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-27305</wp:posOffset>
            </wp:positionV>
            <wp:extent cx="152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0" w:lineRule="exact"/>
        <w:rPr>
          <w:sz w:val="24"/>
          <w:szCs w:val="24"/>
          <w:color w:val="auto"/>
        </w:rPr>
      </w:pPr>
    </w:p>
    <w:p>
      <w:pPr>
        <w:spacing w:after="0" w:line="256" w:lineRule="exact"/>
        <w:rPr>
          <w:sz w:val="24"/>
          <w:szCs w:val="24"/>
          <w:color w:val="auto"/>
        </w:rPr>
      </w:pPr>
    </w:p>
    <w:p>
      <w:pPr>
        <w:ind w:left="600" w:hanging="554"/>
        <w:spacing w:after="0"/>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ind w:left="600" w:hanging="554"/>
        <w:spacing w:after="0" w:line="216" w:lineRule="auto"/>
        <w:tabs>
          <w:tab w:leader="none" w:pos="600" w:val="left"/>
        </w:tabs>
        <w:numPr>
          <w:ilvl w:val="0"/>
          <w:numId w:val="2"/>
        </w:numPr>
        <w:rPr>
          <w:rFonts w:ascii="Arial" w:cs="Arial" w:eastAsia="Arial" w:hAnsi="Arial"/>
          <w:sz w:val="25"/>
          <w:szCs w:val="25"/>
          <w:color w:val="auto"/>
          <w:vertAlign w:val="superscript"/>
        </w:rPr>
      </w:pPr>
      <w:r>
        <w:rPr>
          <w:rFonts w:ascii="Arial" w:cs="Arial" w:eastAsia="Arial" w:hAnsi="Arial"/>
          <w:sz w:val="13"/>
          <w:szCs w:val="13"/>
          <w:color w:val="auto"/>
        </w:rPr>
        <w:t>Confidential, for Use of the Commission Only (as permitted by Rule 14a-6(e)(2))</w:t>
      </w:r>
    </w:p>
    <w:p>
      <w:pPr>
        <w:spacing w:after="0" w:line="90" w:lineRule="exact"/>
        <w:rPr>
          <w:rFonts w:ascii="Arial" w:cs="Arial" w:eastAsia="Arial" w:hAnsi="Arial"/>
          <w:sz w:val="25"/>
          <w:szCs w:val="25"/>
          <w:color w:val="auto"/>
          <w:vertAlign w:val="superscript"/>
        </w:rPr>
      </w:pPr>
    </w:p>
    <w:p>
      <w:pPr>
        <w:ind w:left="600" w:hanging="554"/>
        <w:spacing w:after="0" w:line="187" w:lineRule="auto"/>
        <w:tabs>
          <w:tab w:leader="none" w:pos="600" w:val="left"/>
        </w:tabs>
        <w:numPr>
          <w:ilvl w:val="0"/>
          <w:numId w:val="2"/>
        </w:numPr>
        <w:rPr>
          <w:rFonts w:ascii="Arial" w:cs="Arial" w:eastAsia="Arial" w:hAnsi="Arial"/>
          <w:sz w:val="20"/>
          <w:szCs w:val="20"/>
          <w:color w:val="auto"/>
          <w:vertAlign w:val="superscript"/>
        </w:rPr>
      </w:pPr>
      <w:r>
        <w:rPr>
          <w:rFonts w:ascii="Arial" w:cs="Arial" w:eastAsia="Arial" w:hAnsi="Arial"/>
          <w:sz w:val="11"/>
          <w:szCs w:val="11"/>
          <w:color w:val="auto"/>
        </w:rPr>
        <w:t>Definitive Proxy Statement</w:t>
      </w:r>
    </w:p>
    <w:p>
      <w:pPr>
        <w:spacing w:after="0" w:line="118" w:lineRule="exact"/>
        <w:rPr>
          <w:rFonts w:ascii="Arial" w:cs="Arial" w:eastAsia="Arial" w:hAnsi="Arial"/>
          <w:sz w:val="20"/>
          <w:szCs w:val="20"/>
          <w:color w:val="auto"/>
          <w:vertAlign w:val="superscript"/>
        </w:rPr>
      </w:pPr>
    </w:p>
    <w:p>
      <w:pPr>
        <w:ind w:left="600" w:hanging="554"/>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20" w:lineRule="exact"/>
        <w:rPr>
          <w:rFonts w:ascii="Arial" w:cs="Arial" w:eastAsia="Arial" w:hAnsi="Arial"/>
          <w:sz w:val="13"/>
          <w:szCs w:val="13"/>
          <w:color w:val="auto"/>
        </w:rPr>
      </w:pPr>
    </w:p>
    <w:p>
      <w:pPr>
        <w:ind w:left="600" w:hanging="554"/>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Soliciting Material Pursuant to §240.14a-12</w:t>
      </w:r>
    </w:p>
    <w:p>
      <w:pPr>
        <w:spacing w:after="0" w:line="28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ectPr>
          <w:pgSz w:w="11900" w:h="16838" w:orient="portrait"/>
          <w:cols w:equalWidth="0" w:num="1">
            <w:col w:w="10139"/>
          </w:cols>
          <w:pgMar w:left="320" w:top="987" w:right="1440" w:bottom="1440" w:gutter="0" w:footer="0" w:header="0"/>
        </w:sectPr>
      </w:pPr>
    </w:p>
    <w:bookmarkStart w:id="1" w:name="page2"/>
    <w:bookmarkEnd w:id="1"/>
    <w:p>
      <w:pPr>
        <w:ind w:left="47"/>
        <w:spacing w:after="0"/>
        <w:rPr>
          <w:sz w:val="20"/>
          <w:szCs w:val="20"/>
          <w:color w:val="auto"/>
        </w:rPr>
      </w:pPr>
      <w:r>
        <w:rPr>
          <w:rFonts w:ascii="Arial" w:cs="Arial" w:eastAsia="Arial" w:hAnsi="Arial"/>
          <w:sz w:val="12"/>
          <w:szCs w:val="12"/>
          <w:color w:val="auto"/>
        </w:rPr>
        <w:t>Payment of Filing Fee (Check the appropriate box):</w:t>
      </w:r>
    </w:p>
    <w:p>
      <w:pPr>
        <w:spacing w:after="0" w:line="92" w:lineRule="exact"/>
        <w:rPr>
          <w:sz w:val="20"/>
          <w:szCs w:val="20"/>
          <w:color w:val="auto"/>
        </w:rPr>
      </w:pPr>
    </w:p>
    <w:p>
      <w:pPr>
        <w:ind w:left="7"/>
        <w:spacing w:after="0"/>
        <w:rPr>
          <w:sz w:val="20"/>
          <w:szCs w:val="20"/>
          <w:color w:val="auto"/>
        </w:rPr>
      </w:pPr>
      <w:r>
        <w:rPr>
          <w:rFonts w:ascii="Arial" w:cs="Arial" w:eastAsia="Arial" w:hAnsi="Arial"/>
          <w:sz w:val="13"/>
          <w:szCs w:val="13"/>
          <w:color w:val="auto"/>
        </w:rPr>
        <w:t>x</w:t>
      </w:r>
    </w:p>
    <w:p>
      <w:pPr>
        <w:sectPr>
          <w:pgSz w:w="11900" w:h="16838" w:orient="portrait"/>
          <w:cols w:equalWidth="0" w:num="1">
            <w:col w:w="10987"/>
          </w:cols>
          <w:pgMar w:left="373" w:top="1214" w:right="539" w:bottom="1440" w:gutter="0" w:footer="0" w:header="0"/>
        </w:sectPr>
      </w:pPr>
    </w:p>
    <w:p>
      <w:pPr>
        <w:spacing w:after="0" w:line="242" w:lineRule="exact"/>
        <w:rPr>
          <w:sz w:val="20"/>
          <w:szCs w:val="20"/>
          <w:color w:val="auto"/>
        </w:rPr>
      </w:pPr>
    </w:p>
    <w:p>
      <w:pPr>
        <w:ind w:left="7"/>
        <w:spacing w:after="0"/>
        <w:rPr>
          <w:sz w:val="20"/>
          <w:szCs w:val="20"/>
          <w:color w:val="auto"/>
        </w:rPr>
      </w:pPr>
      <w:r>
        <w:rPr>
          <w:rFonts w:ascii="Arial" w:cs="Arial" w:eastAsia="Arial" w:hAnsi="Arial"/>
          <w:sz w:val="10"/>
          <w:szCs w:val="10"/>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
        <w:spacing w:after="0"/>
        <w:rPr>
          <w:sz w:val="20"/>
          <w:szCs w:val="20"/>
          <w:color w:val="auto"/>
        </w:rPr>
      </w:pPr>
      <w:r>
        <w:rPr>
          <w:rFonts w:ascii="Arial" w:cs="Arial" w:eastAsia="Arial" w:hAnsi="Arial"/>
          <w:sz w:val="10"/>
          <w:szCs w:val="10"/>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 fee required.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Fee computed on table below per Exchange Act Rules 14a-6(i)(1) and 0-11.</w:t>
      </w:r>
    </w:p>
    <w:p>
      <w:pPr>
        <w:spacing w:after="0" w:line="80" w:lineRule="exact"/>
        <w:rPr>
          <w:sz w:val="20"/>
          <w:szCs w:val="20"/>
          <w:color w:val="auto"/>
        </w:rPr>
      </w:pPr>
    </w:p>
    <w:p>
      <w:pPr>
        <w:ind w:left="500" w:hanging="42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309" w:lineRule="exact"/>
        <w:rPr>
          <w:rFonts w:ascii="Arial" w:cs="Arial" w:eastAsia="Arial" w:hAnsi="Arial"/>
          <w:sz w:val="13"/>
          <w:szCs w:val="13"/>
          <w:color w:val="auto"/>
        </w:rPr>
      </w:pPr>
    </w:p>
    <w:p>
      <w:pPr>
        <w:ind w:left="500" w:hanging="42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09" w:lineRule="exact"/>
        <w:rPr>
          <w:rFonts w:ascii="Arial" w:cs="Arial" w:eastAsia="Arial" w:hAnsi="Arial"/>
          <w:sz w:val="13"/>
          <w:szCs w:val="13"/>
          <w:color w:val="auto"/>
        </w:rPr>
      </w:pPr>
    </w:p>
    <w:p>
      <w:pPr>
        <w:ind w:left="500" w:hanging="420"/>
        <w:spacing w:after="0" w:line="219"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3"/>
          <w:szCs w:val="13"/>
          <w:color w:val="auto"/>
        </w:rPr>
      </w:pPr>
    </w:p>
    <w:p>
      <w:pPr>
        <w:ind w:left="500" w:hanging="42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09" w:lineRule="exact"/>
        <w:rPr>
          <w:rFonts w:ascii="Arial" w:cs="Arial" w:eastAsia="Arial" w:hAnsi="Arial"/>
          <w:sz w:val="13"/>
          <w:szCs w:val="13"/>
          <w:color w:val="auto"/>
        </w:rPr>
      </w:pPr>
    </w:p>
    <w:p>
      <w:pPr>
        <w:ind w:left="500" w:hanging="42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182880</wp:posOffset>
            </wp:positionV>
            <wp:extent cx="6772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-107950</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-399415</wp:posOffset>
            </wp:positionV>
            <wp:extent cx="677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-767715</wp:posOffset>
            </wp:positionV>
            <wp:extent cx="6772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-1059180</wp:posOffset>
            </wp:positionV>
            <wp:extent cx="6772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Fee paid previously with preliminary materials.</w:t>
      </w:r>
    </w:p>
    <w:p>
      <w:pPr>
        <w:spacing w:after="0" w:line="80" w:lineRule="exact"/>
        <w:rPr>
          <w:sz w:val="20"/>
          <w:szCs w:val="20"/>
          <w:color w:val="auto"/>
        </w:rPr>
      </w:pPr>
    </w:p>
    <w:p>
      <w:pPr>
        <w:sectPr>
          <w:pgSz w:w="11900" w:h="16838" w:orient="portrait"/>
          <w:cols w:equalWidth="0" w:num="2">
            <w:col w:w="67" w:space="480"/>
            <w:col w:w="10440"/>
          </w:cols>
          <w:pgMar w:left="373" w:top="1214" w:right="539" w:bottom="1440" w:gutter="0" w:footer="0" w:header="0"/>
          <w:type w:val="continuous"/>
        </w:sectPr>
      </w:pPr>
    </w:p>
    <w:p>
      <w:pPr>
        <w:ind w:left="507" w:right="240" w:hanging="507"/>
        <w:spacing w:after="0" w:line="219" w:lineRule="auto"/>
        <w:tabs>
          <w:tab w:leader="none" w:pos="507" w:val="left"/>
        </w:tabs>
        <w:numPr>
          <w:ilvl w:val="0"/>
          <w:numId w:val="4"/>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8" w:lineRule="exact"/>
        <w:rPr>
          <w:rFonts w:ascii="Arial" w:cs="Arial" w:eastAsia="Arial" w:hAnsi="Arial"/>
          <w:sz w:val="13"/>
          <w:szCs w:val="13"/>
          <w:color w:val="auto"/>
        </w:rPr>
      </w:pPr>
    </w:p>
    <w:p>
      <w:pPr>
        <w:ind w:left="1047" w:hanging="420"/>
        <w:spacing w:after="0"/>
        <w:tabs>
          <w:tab w:leader="none" w:pos="1047"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09" w:lineRule="exact"/>
        <w:rPr>
          <w:rFonts w:ascii="Arial" w:cs="Arial" w:eastAsia="Arial" w:hAnsi="Arial"/>
          <w:sz w:val="13"/>
          <w:szCs w:val="13"/>
          <w:color w:val="auto"/>
        </w:rPr>
      </w:pPr>
    </w:p>
    <w:p>
      <w:pPr>
        <w:ind w:left="1047" w:hanging="420"/>
        <w:spacing w:after="0"/>
        <w:tabs>
          <w:tab w:leader="none" w:pos="1047"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09" w:lineRule="exact"/>
        <w:rPr>
          <w:rFonts w:ascii="Arial" w:cs="Arial" w:eastAsia="Arial" w:hAnsi="Arial"/>
          <w:sz w:val="13"/>
          <w:szCs w:val="13"/>
          <w:color w:val="auto"/>
        </w:rPr>
      </w:pPr>
    </w:p>
    <w:p>
      <w:pPr>
        <w:ind w:left="1047" w:hanging="420"/>
        <w:spacing w:after="0"/>
        <w:tabs>
          <w:tab w:leader="none" w:pos="1047"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09" w:lineRule="exact"/>
        <w:rPr>
          <w:rFonts w:ascii="Arial" w:cs="Arial" w:eastAsia="Arial" w:hAnsi="Arial"/>
          <w:sz w:val="13"/>
          <w:szCs w:val="13"/>
          <w:color w:val="auto"/>
        </w:rPr>
      </w:pPr>
    </w:p>
    <w:p>
      <w:pPr>
        <w:ind w:left="1047" w:hanging="420"/>
        <w:spacing w:after="0"/>
        <w:tabs>
          <w:tab w:leader="none" w:pos="1047"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182880</wp:posOffset>
            </wp:positionV>
            <wp:extent cx="6772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-107950</wp:posOffset>
            </wp:positionV>
            <wp:extent cx="6772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-399415</wp:posOffset>
            </wp:positionV>
            <wp:extent cx="6772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-690880</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0987"/>
          </w:cols>
          <w:pgMar w:left="373" w:top="1214" w:right="53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20"/>
          <w:szCs w:val="20"/>
          <w:color w:val="auto"/>
        </w:rPr>
        <w:t>PRELIMINARY PROXY STATEMENT—SUBJECT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4114800" cy="2237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520"/>
        <w:spacing w:after="0" w:line="292" w:lineRule="auto"/>
        <w:rPr>
          <w:sz w:val="20"/>
          <w:szCs w:val="20"/>
          <w:color w:val="auto"/>
        </w:rPr>
      </w:pPr>
      <w:r>
        <w:rPr>
          <w:rFonts w:ascii="Arial" w:cs="Arial" w:eastAsia="Arial" w:hAnsi="Arial"/>
          <w:sz w:val="57"/>
          <w:szCs w:val="57"/>
          <w:b w:val="1"/>
          <w:bCs w:val="1"/>
          <w:color w:val="auto"/>
        </w:rPr>
        <w:t>Notice of 2021 Annual Meeting of Shareholders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vote is important</w:t>
      </w:r>
    </w:p>
    <w:p>
      <w:pPr>
        <w:spacing w:after="0" w:line="1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Please vote online, by telephone, or, if you received or requested paper copies of your proxy materials, by signing, dating, and returning your proxy card by mail.</w:t>
      </w:r>
    </w:p>
    <w:p>
      <w:pPr>
        <w:spacing w:after="0" w:line="223"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FF0000"/>
        </w:rPr>
        <w:t xml:space="preserve">Important notice regarding the availability of proxy materials for the shareholder meeting to be held May 3, 2021: The annual report to shareholders and proxy statement are available at </w:t>
      </w:r>
      <w:r>
        <w:rPr>
          <w:rFonts w:ascii="Arial" w:cs="Arial" w:eastAsia="Arial" w:hAnsi="Arial"/>
          <w:sz w:val="14"/>
          <w:szCs w:val="14"/>
          <w:color w:val="00ABE8"/>
        </w:rPr>
        <w:t>lilly.com/policies-reports/annual-report</w:t>
      </w:r>
      <w:r>
        <w:rPr>
          <w:rFonts w:ascii="Arial" w:cs="Arial" w:eastAsia="Arial" w:hAnsi="Arial"/>
          <w:sz w:val="16"/>
          <w:szCs w:val="16"/>
          <w:color w:val="000000"/>
        </w:rPr>
        <w:t>.</w:t>
      </w:r>
    </w:p>
    <w:p>
      <w:pPr>
        <w:sectPr>
          <w:pgSz w:w="11900" w:h="16838" w:orient="portrait"/>
          <w:cols w:equalWidth="0" w:num="1">
            <w:col w:w="11100"/>
          </w:cols>
          <w:pgMar w:left="320" w:top="1432"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732155</wp:posOffset>
            </wp:positionV>
            <wp:extent cx="1937385" cy="951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738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EF3729"/>
        </w:rPr>
        <w:t>From Our Chairman and Lead Independent Director</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Dear fellow Lilly shareholders,</w:t>
      </w:r>
    </w:p>
    <w:p>
      <w:pPr>
        <w:spacing w:after="0" w:line="235"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As we turn the page on an extraordinary year, we would like to thank you for your continued support of Eli Lilly and Company. We are proud of Lilly's achievements in 2020, which demonstrated our conviction to unite caring with discovery to create medicines that make life better for people around the world. In addition to developing potential therapies for COVID-19 and partnering with governments to make COVID-19 antibody treatments available regardless of income level or geography, we continued to advance our pipeline to help people with diabetes, immune disorders, neurodegeneration, cancer, and pain.</w:t>
      </w:r>
    </w:p>
    <w:p>
      <w:pPr>
        <w:spacing w:after="0" w:line="385"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Due to concerns regarding the ongoing COVID-19 pandemic and to support the health and well-being of our employees, board of directors, shareholders, and other meeting participants, the 2021 Annual Meeting of Shareholders (the Annual Meeting) will be held virtually via live webcast. Although you will not be able to attend the Annual Meeting at a physical location, we have designed the Annual Meeting live webcast to provide shareholders the opportunity to participate virtually to facilitate shareholder attendance and to provide a consistent experience to all shareholders, regardless of location.</w:t>
      </w:r>
    </w:p>
    <w:p>
      <w:pPr>
        <w:spacing w:after="0" w:line="224"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As part of our mission to improve lives around the world, we are committed to creating a safe, supportive, ethical, and rewarding work environment. Lilly’s core values of integrity, excellence, and respect for people and our dedication to diversity and inclusion are critical components of how we do business. We take a holistic approach because we’re a stronger company when we have a workforce of top talent from different backgrounds—people who are respected, valued, welcomed, and heard. To fulfill our purpose, we must look at challenges from multiple viewpoints and understand the diverse experiences of the patients who depend on us. In short, our differences make a difference—to patients and to our business.</w:t>
      </w:r>
    </w:p>
    <w:p>
      <w:pPr>
        <w:spacing w:after="0" w:line="227"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Our board recognizes that one of its key responsibilities is to ensure that Lilly is governed in a manner that provides both independent oversight and efficient and effective decision-making. Our chief executive officer brings to the role of chairman of our board substantial strategic and operational perspectives and a unique understanding of Lilly's opportunities and challenges. This familiarity with our business, as well as extensive experience and leadership in our industry, position our chief executive officer to drive strategy and agenda-setting at the board level. Further, our lead independent director, currently chief executive officer of a Fortune 100 company, drives an "outside in" analysis of company decisions and performance, maintains frequent contact with our chairman to ensure a productive partnership between our independent directors and management, and leads our independent directors in their important oversight function.</w:t>
      </w:r>
    </w:p>
    <w:p>
      <w:pPr>
        <w:spacing w:after="0" w:line="227"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Our board continues to prioritize meaningful engagement with our shareholders and other key stakeholders. Since our 2020 annual meeting of shareholders, we have spoken with a number of investors on an array of subjects, including board leadership; environmental, social, and governance topics; drug pricing transparency and global access to our products, including our COVID-19 therapies; product quality and safety; key enterprise risks; executive compensation; and human capital management. Given the significant challenges the world faced in 2020, we appreciate now more than ever the thoughtful and constructive feedback that we receive from our stakeholders. As a result of this input, as in past years, the board is putting forward management proposals at the Annual Meeting to eliminate the classified board structure and supermajority voting requirements in our articles of incorporation.</w:t>
      </w:r>
    </w:p>
    <w:p>
      <w:pPr>
        <w:spacing w:after="0" w:line="224"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remain committed to serving you and the millions of patients around the world whose lives it is our mission to make better. We look forward to welcoming you at the Annual Meeting.</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207645</wp:posOffset>
            </wp:positionV>
            <wp:extent cx="152590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5905" cy="38608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139065</wp:posOffset>
            </wp:positionV>
            <wp:extent cx="1594485"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4485" cy="523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A. Ricks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Juan Luciano</w:t>
      </w:r>
    </w:p>
    <w:p>
      <w:pPr>
        <w:spacing w:after="0" w:line="32" w:lineRule="exact"/>
        <w:rPr>
          <w:sz w:val="20"/>
          <w:szCs w:val="20"/>
          <w:color w:val="auto"/>
        </w:rPr>
      </w:pPr>
    </w:p>
    <w:p>
      <w:pPr>
        <w:sectPr>
          <w:pgSz w:w="11900" w:h="16838" w:orient="portrait"/>
          <w:cols w:equalWidth="0" w:num="2">
            <w:col w:w="7140" w:space="720"/>
            <w:col w:w="33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Chairman, 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Lead Independent Director</w:t>
      </w:r>
    </w:p>
    <w:p>
      <w:pPr>
        <w:sectPr>
          <w:pgSz w:w="11900" w:h="16838" w:orient="portrait"/>
          <w:cols w:equalWidth="0" w:num="2">
            <w:col w:w="7140" w:space="720"/>
            <w:col w:w="3380"/>
          </w:cols>
          <w:pgMar w:left="320" w:top="144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8040" w:type="dxa"/>
            <w:vAlign w:val="bottom"/>
          </w:tcPr>
          <w:p>
            <w:pPr>
              <w:spacing w:after="0"/>
              <w:rPr>
                <w:sz w:val="20"/>
                <w:szCs w:val="20"/>
                <w:color w:val="auto"/>
              </w:rPr>
            </w:pPr>
            <w:r>
              <w:rPr>
                <w:rFonts w:ascii="Arial" w:cs="Arial" w:eastAsia="Arial" w:hAnsi="Arial"/>
                <w:sz w:val="20"/>
                <w:szCs w:val="20"/>
                <w:b w:val="1"/>
                <w:bCs w:val="1"/>
                <w:color w:val="00ABE8"/>
              </w:rPr>
              <w:t>Table of Contents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8040" w:type="dxa"/>
            <w:vAlign w:val="bottom"/>
          </w:tcPr>
          <w:p>
            <w:pPr>
              <w:ind w:left="20"/>
              <w:spacing w:after="0"/>
              <w:rPr>
                <w:rFonts w:ascii="Arial" w:cs="Arial" w:eastAsia="Arial" w:hAnsi="Arial"/>
                <w:sz w:val="20"/>
                <w:szCs w:val="20"/>
                <w:b w:val="1"/>
                <w:bCs w:val="1"/>
                <w:color w:val="EE2724"/>
              </w:rPr>
            </w:pPr>
            <w:hyperlink w:anchor="page5">
              <w:r>
                <w:rPr>
                  <w:rFonts w:ascii="Arial" w:cs="Arial" w:eastAsia="Arial" w:hAnsi="Arial"/>
                  <w:sz w:val="20"/>
                  <w:szCs w:val="20"/>
                  <w:b w:val="1"/>
                  <w:bCs w:val="1"/>
                  <w:color w:val="EE2724"/>
                </w:rPr>
                <w:t>Notice of 2021 Annual Meeting of Shareholders</w:t>
              </w:r>
            </w:hyperlink>
          </w:p>
        </w:tc>
        <w:tc>
          <w:tcPr>
            <w:tcW w:w="700" w:type="dxa"/>
            <w:vAlign w:val="bottom"/>
          </w:tcPr>
          <w:p>
            <w:pPr>
              <w:jc w:val="right"/>
              <w:spacing w:after="0"/>
              <w:rPr>
                <w:rFonts w:ascii="Arial" w:cs="Arial" w:eastAsia="Arial" w:hAnsi="Arial"/>
                <w:sz w:val="20"/>
                <w:szCs w:val="20"/>
                <w:color w:val="auto"/>
              </w:rPr>
            </w:pPr>
            <w:hyperlink w:anchor="page5">
              <w:r>
                <w:rPr>
                  <w:rFonts w:ascii="Arial" w:cs="Arial" w:eastAsia="Arial" w:hAnsi="Arial"/>
                  <w:sz w:val="20"/>
                  <w:szCs w:val="20"/>
                  <w:color w:val="auto"/>
                </w:rPr>
                <w:t>P1</w:t>
              </w:r>
            </w:hyperlink>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rFonts w:ascii="Arial" w:cs="Arial" w:eastAsia="Arial" w:hAnsi="Arial"/>
                <w:sz w:val="20"/>
                <w:szCs w:val="20"/>
                <w:b w:val="1"/>
                <w:bCs w:val="1"/>
                <w:color w:val="EE2724"/>
              </w:rPr>
            </w:pPr>
            <w:hyperlink w:anchor="page7">
              <w:r>
                <w:rPr>
                  <w:rFonts w:ascii="Arial" w:cs="Arial" w:eastAsia="Arial" w:hAnsi="Arial"/>
                  <w:sz w:val="20"/>
                  <w:szCs w:val="20"/>
                  <w:b w:val="1"/>
                  <w:bCs w:val="1"/>
                  <w:color w:val="EE2724"/>
                </w:rPr>
                <w:t>Proxy Statement Summary</w:t>
              </w:r>
            </w:hyperlink>
          </w:p>
        </w:tc>
        <w:tc>
          <w:tcPr>
            <w:tcW w:w="700" w:type="dxa"/>
            <w:vAlign w:val="bottom"/>
          </w:tcPr>
          <w:p>
            <w:pPr>
              <w:jc w:val="right"/>
              <w:spacing w:after="0"/>
              <w:rPr>
                <w:rFonts w:ascii="Arial" w:cs="Arial" w:eastAsia="Arial" w:hAnsi="Arial"/>
                <w:sz w:val="20"/>
                <w:szCs w:val="20"/>
                <w:color w:val="auto"/>
              </w:rPr>
            </w:pPr>
            <w:hyperlink w:anchor="page7">
              <w:r>
                <w:rPr>
                  <w:rFonts w:ascii="Arial" w:cs="Arial" w:eastAsia="Arial" w:hAnsi="Arial"/>
                  <w:sz w:val="20"/>
                  <w:szCs w:val="20"/>
                  <w:color w:val="auto"/>
                </w:rPr>
                <w:t>P3</w:t>
              </w:r>
            </w:hyperlink>
          </w:p>
        </w:tc>
        <w:tc>
          <w:tcPr>
            <w:tcW w:w="0" w:type="dxa"/>
            <w:vAlign w:val="bottom"/>
          </w:tcPr>
          <w:p>
            <w:pPr>
              <w:spacing w:after="0"/>
              <w:rPr>
                <w:sz w:val="1"/>
                <w:szCs w:val="1"/>
                <w:color w:val="auto"/>
              </w:rPr>
            </w:pPr>
          </w:p>
        </w:tc>
      </w:tr>
      <w:tr>
        <w:trPr>
          <w:trHeight w:val="297"/>
        </w:trPr>
        <w:tc>
          <w:tcPr>
            <w:tcW w:w="8040" w:type="dxa"/>
            <w:vAlign w:val="bottom"/>
          </w:tcPr>
          <w:p>
            <w:pPr>
              <w:ind w:left="20"/>
              <w:spacing w:after="0"/>
              <w:rPr>
                <w:rFonts w:ascii="Arial" w:cs="Arial" w:eastAsia="Arial" w:hAnsi="Arial"/>
                <w:sz w:val="20"/>
                <w:szCs w:val="20"/>
                <w:b w:val="1"/>
                <w:bCs w:val="1"/>
                <w:color w:val="EE2724"/>
              </w:rPr>
            </w:pPr>
            <w:hyperlink w:anchor="page18">
              <w:r>
                <w:rPr>
                  <w:rFonts w:ascii="Arial" w:cs="Arial" w:eastAsia="Arial" w:hAnsi="Arial"/>
                  <w:sz w:val="20"/>
                  <w:szCs w:val="20"/>
                  <w:b w:val="1"/>
                  <w:bCs w:val="1"/>
                  <w:color w:val="EE2724"/>
                </w:rPr>
                <w:t>Governance</w:t>
              </w:r>
            </w:hyperlink>
          </w:p>
        </w:tc>
        <w:tc>
          <w:tcPr>
            <w:tcW w:w="700" w:type="dxa"/>
            <w:vAlign w:val="bottom"/>
          </w:tcPr>
          <w:p>
            <w:pPr>
              <w:jc w:val="right"/>
              <w:spacing w:after="0"/>
              <w:rPr>
                <w:rFonts w:ascii="Arial" w:cs="Arial" w:eastAsia="Arial" w:hAnsi="Arial"/>
                <w:sz w:val="20"/>
                <w:szCs w:val="20"/>
                <w:color w:val="auto"/>
              </w:rPr>
            </w:pPr>
            <w:hyperlink w:anchor="page18">
              <w:r>
                <w:rPr>
                  <w:rFonts w:ascii="Arial" w:cs="Arial" w:eastAsia="Arial" w:hAnsi="Arial"/>
                  <w:sz w:val="20"/>
                  <w:szCs w:val="20"/>
                  <w:color w:val="auto"/>
                </w:rPr>
                <w:t>P13</w:t>
              </w:r>
            </w:hyperlink>
          </w:p>
        </w:tc>
        <w:tc>
          <w:tcPr>
            <w:tcW w:w="0" w:type="dxa"/>
            <w:vAlign w:val="bottom"/>
          </w:tcPr>
          <w:p>
            <w:pPr>
              <w:spacing w:after="0"/>
              <w:rPr>
                <w:sz w:val="1"/>
                <w:szCs w:val="1"/>
                <w:color w:val="auto"/>
              </w:rPr>
            </w:pPr>
          </w:p>
        </w:tc>
      </w:tr>
      <w:tr>
        <w:trPr>
          <w:trHeight w:val="297"/>
        </w:trPr>
        <w:tc>
          <w:tcPr>
            <w:tcW w:w="8040" w:type="dxa"/>
            <w:vAlign w:val="bottom"/>
          </w:tcPr>
          <w:p>
            <w:pPr>
              <w:ind w:left="360"/>
              <w:spacing w:after="0"/>
              <w:rPr>
                <w:rFonts w:ascii="Arial" w:cs="Arial" w:eastAsia="Arial" w:hAnsi="Arial"/>
                <w:sz w:val="18"/>
                <w:szCs w:val="18"/>
                <w:b w:val="1"/>
                <w:bCs w:val="1"/>
                <w:color w:val="auto"/>
              </w:rPr>
            </w:pPr>
            <w:hyperlink w:anchor="page18">
              <w:r>
                <w:rPr>
                  <w:rFonts w:ascii="Arial" w:cs="Arial" w:eastAsia="Arial" w:hAnsi="Arial"/>
                  <w:sz w:val="18"/>
                  <w:szCs w:val="18"/>
                  <w:b w:val="1"/>
                  <w:bCs w:val="1"/>
                  <w:color w:val="auto"/>
                </w:rPr>
                <w:t>Item 1 - Election of Directors</w:t>
              </w:r>
            </w:hyperlink>
          </w:p>
        </w:tc>
        <w:tc>
          <w:tcPr>
            <w:tcW w:w="700" w:type="dxa"/>
            <w:vAlign w:val="bottom"/>
          </w:tcPr>
          <w:p>
            <w:pPr>
              <w:jc w:val="right"/>
              <w:spacing w:after="0"/>
              <w:rPr>
                <w:rFonts w:ascii="Arial" w:cs="Arial" w:eastAsia="Arial" w:hAnsi="Arial"/>
                <w:sz w:val="20"/>
                <w:szCs w:val="20"/>
                <w:color w:val="auto"/>
              </w:rPr>
            </w:pPr>
            <w:hyperlink w:anchor="page18">
              <w:r>
                <w:rPr>
                  <w:rFonts w:ascii="Arial" w:cs="Arial" w:eastAsia="Arial" w:hAnsi="Arial"/>
                  <w:sz w:val="20"/>
                  <w:szCs w:val="20"/>
                  <w:color w:val="auto"/>
                </w:rPr>
                <w:t>P13</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18">
              <w:r>
                <w:rPr>
                  <w:rFonts w:ascii="Arial" w:cs="Arial" w:eastAsia="Arial" w:hAnsi="Arial"/>
                  <w:sz w:val="18"/>
                  <w:szCs w:val="18"/>
                  <w:color w:val="auto"/>
                </w:rPr>
                <w:t>Board Operations and Governance</w:t>
              </w:r>
            </w:hyperlink>
          </w:p>
        </w:tc>
        <w:tc>
          <w:tcPr>
            <w:tcW w:w="700" w:type="dxa"/>
            <w:vAlign w:val="bottom"/>
          </w:tcPr>
          <w:p>
            <w:pPr>
              <w:jc w:val="right"/>
              <w:spacing w:after="0"/>
              <w:rPr>
                <w:rFonts w:ascii="Arial" w:cs="Arial" w:eastAsia="Arial" w:hAnsi="Arial"/>
                <w:sz w:val="20"/>
                <w:szCs w:val="20"/>
                <w:color w:val="auto"/>
              </w:rPr>
            </w:pPr>
            <w:hyperlink w:anchor="page18">
              <w:r>
                <w:rPr>
                  <w:rFonts w:ascii="Arial" w:cs="Arial" w:eastAsia="Arial" w:hAnsi="Arial"/>
                  <w:sz w:val="20"/>
                  <w:szCs w:val="20"/>
                  <w:color w:val="auto"/>
                </w:rPr>
                <w:t>P13</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29">
              <w:r>
                <w:rPr>
                  <w:rFonts w:ascii="Arial" w:cs="Arial" w:eastAsia="Arial" w:hAnsi="Arial"/>
                  <w:sz w:val="18"/>
                  <w:szCs w:val="18"/>
                  <w:color w:val="auto"/>
                </w:rPr>
                <w:t>Director Qualifications and Nomination Process</w:t>
              </w:r>
            </w:hyperlink>
          </w:p>
        </w:tc>
        <w:tc>
          <w:tcPr>
            <w:tcW w:w="700" w:type="dxa"/>
            <w:vAlign w:val="bottom"/>
          </w:tcPr>
          <w:p>
            <w:pPr>
              <w:jc w:val="right"/>
              <w:spacing w:after="0"/>
              <w:rPr>
                <w:rFonts w:ascii="Arial" w:cs="Arial" w:eastAsia="Arial" w:hAnsi="Arial"/>
                <w:sz w:val="20"/>
                <w:szCs w:val="20"/>
                <w:color w:val="auto"/>
              </w:rPr>
            </w:pPr>
            <w:hyperlink w:anchor="page29">
              <w:r>
                <w:rPr>
                  <w:rFonts w:ascii="Arial" w:cs="Arial" w:eastAsia="Arial" w:hAnsi="Arial"/>
                  <w:sz w:val="20"/>
                  <w:szCs w:val="20"/>
                  <w:color w:val="auto"/>
                </w:rPr>
                <w:t>P25</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31">
              <w:r>
                <w:rPr>
                  <w:rFonts w:ascii="Arial" w:cs="Arial" w:eastAsia="Arial" w:hAnsi="Arial"/>
                  <w:sz w:val="18"/>
                  <w:szCs w:val="18"/>
                  <w:color w:val="auto"/>
                </w:rPr>
                <w:t>Director Compensation</w:t>
              </w:r>
            </w:hyperlink>
          </w:p>
        </w:tc>
        <w:tc>
          <w:tcPr>
            <w:tcW w:w="700" w:type="dxa"/>
            <w:vAlign w:val="bottom"/>
          </w:tcPr>
          <w:p>
            <w:pPr>
              <w:jc w:val="right"/>
              <w:spacing w:after="0"/>
              <w:rPr>
                <w:rFonts w:ascii="Arial" w:cs="Arial" w:eastAsia="Arial" w:hAnsi="Arial"/>
                <w:sz w:val="20"/>
                <w:szCs w:val="20"/>
                <w:color w:val="auto"/>
              </w:rPr>
            </w:pPr>
            <w:hyperlink w:anchor="page31">
              <w:r>
                <w:rPr>
                  <w:rFonts w:ascii="Arial" w:cs="Arial" w:eastAsia="Arial" w:hAnsi="Arial"/>
                  <w:sz w:val="20"/>
                  <w:szCs w:val="20"/>
                  <w:color w:val="auto"/>
                </w:rPr>
                <w:t>P26</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33">
              <w:r>
                <w:rPr>
                  <w:rFonts w:ascii="Arial" w:cs="Arial" w:eastAsia="Arial" w:hAnsi="Arial"/>
                  <w:sz w:val="18"/>
                  <w:szCs w:val="18"/>
                  <w:color w:val="auto"/>
                </w:rPr>
                <w:t>Director Independence</w:t>
              </w:r>
            </w:hyperlink>
          </w:p>
        </w:tc>
        <w:tc>
          <w:tcPr>
            <w:tcW w:w="700" w:type="dxa"/>
            <w:vAlign w:val="bottom"/>
          </w:tcPr>
          <w:p>
            <w:pPr>
              <w:jc w:val="right"/>
              <w:spacing w:after="0"/>
              <w:rPr>
                <w:rFonts w:ascii="Arial" w:cs="Arial" w:eastAsia="Arial" w:hAnsi="Arial"/>
                <w:sz w:val="20"/>
                <w:szCs w:val="20"/>
                <w:color w:val="auto"/>
              </w:rPr>
            </w:pPr>
            <w:hyperlink w:anchor="page33">
              <w:r>
                <w:rPr>
                  <w:rFonts w:ascii="Arial" w:cs="Arial" w:eastAsia="Arial" w:hAnsi="Arial"/>
                  <w:sz w:val="20"/>
                  <w:szCs w:val="20"/>
                  <w:color w:val="auto"/>
                </w:rPr>
                <w:t>P28</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34">
              <w:r>
                <w:rPr>
                  <w:rFonts w:ascii="Arial" w:cs="Arial" w:eastAsia="Arial" w:hAnsi="Arial"/>
                  <w:sz w:val="18"/>
                  <w:szCs w:val="18"/>
                  <w:color w:val="auto"/>
                </w:rPr>
                <w:t>Committees of the Board of Directors</w:t>
              </w:r>
            </w:hyperlink>
          </w:p>
        </w:tc>
        <w:tc>
          <w:tcPr>
            <w:tcW w:w="700" w:type="dxa"/>
            <w:vAlign w:val="bottom"/>
          </w:tcPr>
          <w:p>
            <w:pPr>
              <w:jc w:val="right"/>
              <w:spacing w:after="0"/>
              <w:rPr>
                <w:rFonts w:ascii="Arial" w:cs="Arial" w:eastAsia="Arial" w:hAnsi="Arial"/>
                <w:sz w:val="20"/>
                <w:szCs w:val="20"/>
                <w:color w:val="auto"/>
              </w:rPr>
            </w:pPr>
            <w:hyperlink w:anchor="page34">
              <w:r>
                <w:rPr>
                  <w:rFonts w:ascii="Arial" w:cs="Arial" w:eastAsia="Arial" w:hAnsi="Arial"/>
                  <w:sz w:val="20"/>
                  <w:szCs w:val="20"/>
                  <w:color w:val="auto"/>
                </w:rPr>
                <w:t>P29</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34">
              <w:r>
                <w:rPr>
                  <w:rFonts w:ascii="Arial" w:cs="Arial" w:eastAsia="Arial" w:hAnsi="Arial"/>
                  <w:sz w:val="18"/>
                  <w:szCs w:val="18"/>
                  <w:color w:val="auto"/>
                </w:rPr>
                <w:t>Membership and Meetings of the Board and Its Committees</w:t>
              </w:r>
            </w:hyperlink>
          </w:p>
        </w:tc>
        <w:tc>
          <w:tcPr>
            <w:tcW w:w="700" w:type="dxa"/>
            <w:vAlign w:val="bottom"/>
          </w:tcPr>
          <w:p>
            <w:pPr>
              <w:jc w:val="right"/>
              <w:spacing w:after="0"/>
              <w:rPr>
                <w:rFonts w:ascii="Arial" w:cs="Arial" w:eastAsia="Arial" w:hAnsi="Arial"/>
                <w:sz w:val="20"/>
                <w:szCs w:val="20"/>
                <w:color w:val="auto"/>
              </w:rPr>
            </w:pPr>
            <w:hyperlink w:anchor="page34">
              <w:r>
                <w:rPr>
                  <w:rFonts w:ascii="Arial" w:cs="Arial" w:eastAsia="Arial" w:hAnsi="Arial"/>
                  <w:sz w:val="20"/>
                  <w:szCs w:val="20"/>
                  <w:color w:val="auto"/>
                </w:rPr>
                <w:t>P30</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37">
              <w:r>
                <w:rPr>
                  <w:rFonts w:ascii="Arial" w:cs="Arial" w:eastAsia="Arial" w:hAnsi="Arial"/>
                  <w:sz w:val="18"/>
                  <w:szCs w:val="18"/>
                  <w:color w:val="auto"/>
                </w:rPr>
                <w:t>Board Oversight of Strategy, Compliance, and Risk Management</w:t>
              </w:r>
            </w:hyperlink>
          </w:p>
        </w:tc>
        <w:tc>
          <w:tcPr>
            <w:tcW w:w="700" w:type="dxa"/>
            <w:vAlign w:val="bottom"/>
          </w:tcPr>
          <w:p>
            <w:pPr>
              <w:jc w:val="right"/>
              <w:spacing w:after="0"/>
              <w:rPr>
                <w:rFonts w:ascii="Arial" w:cs="Arial" w:eastAsia="Arial" w:hAnsi="Arial"/>
                <w:sz w:val="20"/>
                <w:szCs w:val="20"/>
                <w:color w:val="auto"/>
              </w:rPr>
            </w:pPr>
            <w:hyperlink w:anchor="page37">
              <w:r>
                <w:rPr>
                  <w:rFonts w:ascii="Arial" w:cs="Arial" w:eastAsia="Arial" w:hAnsi="Arial"/>
                  <w:sz w:val="20"/>
                  <w:szCs w:val="20"/>
                  <w:color w:val="auto"/>
                </w:rPr>
                <w:t>P32</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37">
              <w:r>
                <w:rPr>
                  <w:rFonts w:ascii="Arial" w:cs="Arial" w:eastAsia="Arial" w:hAnsi="Arial"/>
                  <w:sz w:val="18"/>
                  <w:szCs w:val="18"/>
                  <w:color w:val="auto"/>
                </w:rPr>
                <w:t>Highlights of the Company's Corporate Governance</w:t>
              </w:r>
            </w:hyperlink>
          </w:p>
        </w:tc>
        <w:tc>
          <w:tcPr>
            <w:tcW w:w="700" w:type="dxa"/>
            <w:vAlign w:val="bottom"/>
          </w:tcPr>
          <w:p>
            <w:pPr>
              <w:jc w:val="right"/>
              <w:spacing w:after="0"/>
              <w:rPr>
                <w:rFonts w:ascii="Arial" w:cs="Arial" w:eastAsia="Arial" w:hAnsi="Arial"/>
                <w:sz w:val="20"/>
                <w:szCs w:val="20"/>
                <w:color w:val="auto"/>
              </w:rPr>
            </w:pPr>
            <w:hyperlink w:anchor="page37">
              <w:r>
                <w:rPr>
                  <w:rFonts w:ascii="Arial" w:cs="Arial" w:eastAsia="Arial" w:hAnsi="Arial"/>
                  <w:sz w:val="20"/>
                  <w:szCs w:val="20"/>
                  <w:color w:val="auto"/>
                </w:rPr>
                <w:t>P32</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44">
              <w:r>
                <w:rPr>
                  <w:rFonts w:ascii="Arial" w:cs="Arial" w:eastAsia="Arial" w:hAnsi="Arial"/>
                  <w:sz w:val="18"/>
                  <w:szCs w:val="18"/>
                  <w:color w:val="auto"/>
                </w:rPr>
                <w:t>Communication with the Board of Directors</w:t>
              </w:r>
            </w:hyperlink>
          </w:p>
        </w:tc>
        <w:tc>
          <w:tcPr>
            <w:tcW w:w="700" w:type="dxa"/>
            <w:vAlign w:val="bottom"/>
          </w:tcPr>
          <w:p>
            <w:pPr>
              <w:jc w:val="right"/>
              <w:spacing w:after="0"/>
              <w:rPr>
                <w:rFonts w:ascii="Arial" w:cs="Arial" w:eastAsia="Arial" w:hAnsi="Arial"/>
                <w:sz w:val="20"/>
                <w:szCs w:val="20"/>
                <w:color w:val="auto"/>
              </w:rPr>
            </w:pPr>
            <w:hyperlink w:anchor="page44">
              <w:r>
                <w:rPr>
                  <w:rFonts w:ascii="Arial" w:cs="Arial" w:eastAsia="Arial" w:hAnsi="Arial"/>
                  <w:sz w:val="20"/>
                  <w:szCs w:val="20"/>
                  <w:color w:val="auto"/>
                </w:rPr>
                <w:t>P39</w:t>
              </w:r>
            </w:hyperlink>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rFonts w:ascii="Arial" w:cs="Arial" w:eastAsia="Arial" w:hAnsi="Arial"/>
                <w:sz w:val="20"/>
                <w:szCs w:val="20"/>
                <w:b w:val="1"/>
                <w:bCs w:val="1"/>
                <w:color w:val="EE2724"/>
              </w:rPr>
            </w:pPr>
            <w:hyperlink w:anchor="page44">
              <w:r>
                <w:rPr>
                  <w:rFonts w:ascii="Arial" w:cs="Arial" w:eastAsia="Arial" w:hAnsi="Arial"/>
                  <w:sz w:val="20"/>
                  <w:szCs w:val="20"/>
                  <w:b w:val="1"/>
                  <w:bCs w:val="1"/>
                  <w:color w:val="EE2724"/>
                </w:rPr>
                <w:t>Shareholder Engagement on Governance Issues</w:t>
              </w:r>
            </w:hyperlink>
          </w:p>
        </w:tc>
        <w:tc>
          <w:tcPr>
            <w:tcW w:w="700" w:type="dxa"/>
            <w:vAlign w:val="bottom"/>
          </w:tcPr>
          <w:p>
            <w:pPr>
              <w:jc w:val="right"/>
              <w:spacing w:after="0"/>
              <w:rPr>
                <w:rFonts w:ascii="Arial" w:cs="Arial" w:eastAsia="Arial" w:hAnsi="Arial"/>
                <w:sz w:val="20"/>
                <w:szCs w:val="20"/>
                <w:color w:val="auto"/>
              </w:rPr>
            </w:pPr>
            <w:hyperlink w:anchor="page44">
              <w:r>
                <w:rPr>
                  <w:rFonts w:ascii="Arial" w:cs="Arial" w:eastAsia="Arial" w:hAnsi="Arial"/>
                  <w:sz w:val="20"/>
                  <w:szCs w:val="20"/>
                  <w:color w:val="auto"/>
                </w:rPr>
                <w:t>P39</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44">
              <w:r>
                <w:rPr>
                  <w:rFonts w:ascii="Arial" w:cs="Arial" w:eastAsia="Arial" w:hAnsi="Arial"/>
                  <w:sz w:val="18"/>
                  <w:szCs w:val="18"/>
                  <w:color w:val="auto"/>
                </w:rPr>
                <w:t>Management Proposals to Eliminate Classified Board and Supermajority Voting Provisions</w:t>
              </w:r>
            </w:hyperlink>
          </w:p>
        </w:tc>
        <w:tc>
          <w:tcPr>
            <w:tcW w:w="700" w:type="dxa"/>
            <w:vAlign w:val="bottom"/>
          </w:tcPr>
          <w:p>
            <w:pPr>
              <w:jc w:val="right"/>
              <w:spacing w:after="0"/>
              <w:rPr>
                <w:rFonts w:ascii="Arial" w:cs="Arial" w:eastAsia="Arial" w:hAnsi="Arial"/>
                <w:sz w:val="20"/>
                <w:szCs w:val="20"/>
                <w:color w:val="auto"/>
              </w:rPr>
            </w:pPr>
            <w:hyperlink w:anchor="page44">
              <w:r>
                <w:rPr>
                  <w:rFonts w:ascii="Arial" w:cs="Arial" w:eastAsia="Arial" w:hAnsi="Arial"/>
                  <w:sz w:val="20"/>
                  <w:szCs w:val="20"/>
                  <w:color w:val="auto"/>
                </w:rPr>
                <w:t>P39</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45">
              <w:r>
                <w:rPr>
                  <w:rFonts w:ascii="Arial" w:cs="Arial" w:eastAsia="Arial" w:hAnsi="Arial"/>
                  <w:sz w:val="18"/>
                  <w:szCs w:val="18"/>
                  <w:color w:val="auto"/>
                </w:rPr>
                <w:t>Shareholder Proposals</w:t>
              </w:r>
            </w:hyperlink>
          </w:p>
        </w:tc>
        <w:tc>
          <w:tcPr>
            <w:tcW w:w="700" w:type="dxa"/>
            <w:vAlign w:val="bottom"/>
          </w:tcPr>
          <w:p>
            <w:pPr>
              <w:jc w:val="right"/>
              <w:spacing w:after="0"/>
              <w:rPr>
                <w:rFonts w:ascii="Arial" w:cs="Arial" w:eastAsia="Arial" w:hAnsi="Arial"/>
                <w:sz w:val="20"/>
                <w:szCs w:val="20"/>
                <w:color w:val="auto"/>
              </w:rPr>
            </w:pPr>
            <w:hyperlink w:anchor="page45">
              <w:r>
                <w:rPr>
                  <w:rFonts w:ascii="Arial" w:cs="Arial" w:eastAsia="Arial" w:hAnsi="Arial"/>
                  <w:sz w:val="20"/>
                  <w:szCs w:val="20"/>
                  <w:color w:val="auto"/>
                </w:rPr>
                <w:t>P40</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45">
              <w:r>
                <w:rPr>
                  <w:rFonts w:ascii="Arial" w:cs="Arial" w:eastAsia="Arial" w:hAnsi="Arial"/>
                  <w:sz w:val="18"/>
                  <w:szCs w:val="18"/>
                  <w:color w:val="auto"/>
                </w:rPr>
                <w:t>Shareholder Recommendations and Nominations for Director Candidates</w:t>
              </w:r>
            </w:hyperlink>
          </w:p>
        </w:tc>
        <w:tc>
          <w:tcPr>
            <w:tcW w:w="700" w:type="dxa"/>
            <w:vAlign w:val="bottom"/>
          </w:tcPr>
          <w:p>
            <w:pPr>
              <w:jc w:val="right"/>
              <w:spacing w:after="0"/>
              <w:rPr>
                <w:rFonts w:ascii="Arial" w:cs="Arial" w:eastAsia="Arial" w:hAnsi="Arial"/>
                <w:sz w:val="20"/>
                <w:szCs w:val="20"/>
                <w:color w:val="auto"/>
              </w:rPr>
            </w:pPr>
            <w:hyperlink w:anchor="page45">
              <w:r>
                <w:rPr>
                  <w:rFonts w:ascii="Arial" w:cs="Arial" w:eastAsia="Arial" w:hAnsi="Arial"/>
                  <w:sz w:val="20"/>
                  <w:szCs w:val="20"/>
                  <w:color w:val="auto"/>
                </w:rPr>
                <w:t>P40</w:t>
              </w:r>
            </w:hyperlink>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rFonts w:ascii="Arial" w:cs="Arial" w:eastAsia="Arial" w:hAnsi="Arial"/>
                <w:sz w:val="20"/>
                <w:szCs w:val="20"/>
                <w:b w:val="1"/>
                <w:bCs w:val="1"/>
                <w:color w:val="EE2724"/>
              </w:rPr>
            </w:pPr>
            <w:hyperlink w:anchor="page45">
              <w:r>
                <w:rPr>
                  <w:rFonts w:ascii="Arial" w:cs="Arial" w:eastAsia="Arial" w:hAnsi="Arial"/>
                  <w:sz w:val="20"/>
                  <w:szCs w:val="20"/>
                  <w:b w:val="1"/>
                  <w:bCs w:val="1"/>
                  <w:color w:val="EE2724"/>
                </w:rPr>
                <w:t>Ownership of Company Stock</w:t>
              </w:r>
            </w:hyperlink>
          </w:p>
        </w:tc>
        <w:tc>
          <w:tcPr>
            <w:tcW w:w="700" w:type="dxa"/>
            <w:vAlign w:val="bottom"/>
          </w:tcPr>
          <w:p>
            <w:pPr>
              <w:jc w:val="right"/>
              <w:spacing w:after="0"/>
              <w:rPr>
                <w:rFonts w:ascii="Arial" w:cs="Arial" w:eastAsia="Arial" w:hAnsi="Arial"/>
                <w:sz w:val="20"/>
                <w:szCs w:val="20"/>
                <w:color w:val="auto"/>
              </w:rPr>
            </w:pPr>
            <w:hyperlink w:anchor="page45">
              <w:r>
                <w:rPr>
                  <w:rFonts w:ascii="Arial" w:cs="Arial" w:eastAsia="Arial" w:hAnsi="Arial"/>
                  <w:sz w:val="20"/>
                  <w:szCs w:val="20"/>
                  <w:color w:val="auto"/>
                </w:rPr>
                <w:t>P41</w:t>
              </w:r>
            </w:hyperlink>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rFonts w:ascii="Arial" w:cs="Arial" w:eastAsia="Arial" w:hAnsi="Arial"/>
                <w:sz w:val="20"/>
                <w:szCs w:val="20"/>
                <w:b w:val="1"/>
                <w:bCs w:val="1"/>
                <w:color w:val="EE2724"/>
              </w:rPr>
            </w:pPr>
            <w:hyperlink w:anchor="page47">
              <w:r>
                <w:rPr>
                  <w:rFonts w:ascii="Arial" w:cs="Arial" w:eastAsia="Arial" w:hAnsi="Arial"/>
                  <w:sz w:val="20"/>
                  <w:szCs w:val="20"/>
                  <w:b w:val="1"/>
                  <w:bCs w:val="1"/>
                  <w:color w:val="EE2724"/>
                </w:rPr>
                <w:t>Compensation</w:t>
              </w:r>
            </w:hyperlink>
          </w:p>
        </w:tc>
        <w:tc>
          <w:tcPr>
            <w:tcW w:w="700" w:type="dxa"/>
            <w:vAlign w:val="bottom"/>
          </w:tcPr>
          <w:p>
            <w:pPr>
              <w:jc w:val="right"/>
              <w:spacing w:after="0"/>
              <w:rPr>
                <w:rFonts w:ascii="Arial" w:cs="Arial" w:eastAsia="Arial" w:hAnsi="Arial"/>
                <w:sz w:val="20"/>
                <w:szCs w:val="20"/>
                <w:color w:val="auto"/>
              </w:rPr>
            </w:pPr>
            <w:hyperlink w:anchor="page47">
              <w:r>
                <w:rPr>
                  <w:rFonts w:ascii="Arial" w:cs="Arial" w:eastAsia="Arial" w:hAnsi="Arial"/>
                  <w:sz w:val="20"/>
                  <w:szCs w:val="20"/>
                  <w:color w:val="auto"/>
                </w:rPr>
                <w:t>P42</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Item 2 - Advisory Vote on Compensation Paid to Named Executive Officers</w:t>
              </w:r>
            </w:hyperlink>
          </w:p>
        </w:tc>
        <w:tc>
          <w:tcPr>
            <w:tcW w:w="700" w:type="dxa"/>
            <w:vAlign w:val="bottom"/>
          </w:tcPr>
          <w:p>
            <w:pPr>
              <w:jc w:val="right"/>
              <w:spacing w:after="0"/>
              <w:rPr>
                <w:rFonts w:ascii="Arial" w:cs="Arial" w:eastAsia="Arial" w:hAnsi="Arial"/>
                <w:sz w:val="20"/>
                <w:szCs w:val="20"/>
                <w:color w:val="auto"/>
              </w:rPr>
            </w:pPr>
            <w:hyperlink w:anchor="page47">
              <w:r>
                <w:rPr>
                  <w:rFonts w:ascii="Arial" w:cs="Arial" w:eastAsia="Arial" w:hAnsi="Arial"/>
                  <w:sz w:val="20"/>
                  <w:szCs w:val="20"/>
                  <w:color w:val="auto"/>
                </w:rPr>
                <w:t>P42</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48">
              <w:r>
                <w:rPr>
                  <w:rFonts w:ascii="Arial" w:cs="Arial" w:eastAsia="Arial" w:hAnsi="Arial"/>
                  <w:sz w:val="18"/>
                  <w:szCs w:val="18"/>
                  <w:color w:val="auto"/>
                </w:rPr>
                <w:t>Compensation Committee Matters</w:t>
              </w:r>
            </w:hyperlink>
          </w:p>
        </w:tc>
        <w:tc>
          <w:tcPr>
            <w:tcW w:w="700" w:type="dxa"/>
            <w:vAlign w:val="bottom"/>
          </w:tcPr>
          <w:p>
            <w:pPr>
              <w:jc w:val="right"/>
              <w:spacing w:after="0"/>
              <w:rPr>
                <w:rFonts w:ascii="Arial" w:cs="Arial" w:eastAsia="Arial" w:hAnsi="Arial"/>
                <w:sz w:val="20"/>
                <w:szCs w:val="20"/>
                <w:color w:val="auto"/>
              </w:rPr>
            </w:pPr>
            <w:hyperlink w:anchor="page48">
              <w:r>
                <w:rPr>
                  <w:rFonts w:ascii="Arial" w:cs="Arial" w:eastAsia="Arial" w:hAnsi="Arial"/>
                  <w:sz w:val="20"/>
                  <w:szCs w:val="20"/>
                  <w:color w:val="auto"/>
                </w:rPr>
                <w:t>P43</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49">
              <w:r>
                <w:rPr>
                  <w:rFonts w:ascii="Arial" w:cs="Arial" w:eastAsia="Arial" w:hAnsi="Arial"/>
                  <w:sz w:val="18"/>
                  <w:szCs w:val="18"/>
                  <w:color w:val="auto"/>
                </w:rPr>
                <w:t>Compensation Discussion and Analysis</w:t>
              </w:r>
            </w:hyperlink>
          </w:p>
        </w:tc>
        <w:tc>
          <w:tcPr>
            <w:tcW w:w="700" w:type="dxa"/>
            <w:vAlign w:val="bottom"/>
          </w:tcPr>
          <w:p>
            <w:pPr>
              <w:jc w:val="right"/>
              <w:spacing w:after="0"/>
              <w:rPr>
                <w:rFonts w:ascii="Arial" w:cs="Arial" w:eastAsia="Arial" w:hAnsi="Arial"/>
                <w:sz w:val="20"/>
                <w:szCs w:val="20"/>
                <w:color w:val="auto"/>
              </w:rPr>
            </w:pPr>
            <w:hyperlink w:anchor="page49">
              <w:r>
                <w:rPr>
                  <w:rFonts w:ascii="Arial" w:cs="Arial" w:eastAsia="Arial" w:hAnsi="Arial"/>
                  <w:sz w:val="20"/>
                  <w:szCs w:val="20"/>
                  <w:color w:val="auto"/>
                </w:rPr>
                <w:t>P45</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66">
              <w:r>
                <w:rPr>
                  <w:rFonts w:ascii="Arial" w:cs="Arial" w:eastAsia="Arial" w:hAnsi="Arial"/>
                  <w:sz w:val="18"/>
                  <w:szCs w:val="18"/>
                  <w:color w:val="auto"/>
                </w:rPr>
                <w:t>Executive Compensation</w:t>
              </w:r>
            </w:hyperlink>
          </w:p>
        </w:tc>
        <w:tc>
          <w:tcPr>
            <w:tcW w:w="700" w:type="dxa"/>
            <w:vAlign w:val="bottom"/>
          </w:tcPr>
          <w:p>
            <w:pPr>
              <w:jc w:val="right"/>
              <w:spacing w:after="0"/>
              <w:rPr>
                <w:rFonts w:ascii="Arial" w:cs="Arial" w:eastAsia="Arial" w:hAnsi="Arial"/>
                <w:sz w:val="20"/>
                <w:szCs w:val="20"/>
                <w:color w:val="auto"/>
              </w:rPr>
            </w:pPr>
            <w:hyperlink w:anchor="page66">
              <w:r>
                <w:rPr>
                  <w:rFonts w:ascii="Arial" w:cs="Arial" w:eastAsia="Arial" w:hAnsi="Arial"/>
                  <w:sz w:val="20"/>
                  <w:szCs w:val="20"/>
                  <w:color w:val="auto"/>
                </w:rPr>
                <w:t>P62</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78">
              <w:r>
                <w:rPr>
                  <w:rFonts w:ascii="Arial" w:cs="Arial" w:eastAsia="Arial" w:hAnsi="Arial"/>
                  <w:sz w:val="18"/>
                  <w:szCs w:val="18"/>
                  <w:color w:val="auto"/>
                </w:rPr>
                <w:t>CEO Pay Ratio</w:t>
              </w:r>
            </w:hyperlink>
          </w:p>
        </w:tc>
        <w:tc>
          <w:tcPr>
            <w:tcW w:w="700" w:type="dxa"/>
            <w:vAlign w:val="bottom"/>
          </w:tcPr>
          <w:p>
            <w:pPr>
              <w:jc w:val="right"/>
              <w:spacing w:after="0"/>
              <w:rPr>
                <w:rFonts w:ascii="Arial" w:cs="Arial" w:eastAsia="Arial" w:hAnsi="Arial"/>
                <w:sz w:val="20"/>
                <w:szCs w:val="20"/>
                <w:color w:val="auto"/>
              </w:rPr>
            </w:pPr>
            <w:hyperlink w:anchor="page78">
              <w:r>
                <w:rPr>
                  <w:rFonts w:ascii="Arial" w:cs="Arial" w:eastAsia="Arial" w:hAnsi="Arial"/>
                  <w:sz w:val="20"/>
                  <w:szCs w:val="20"/>
                  <w:color w:val="auto"/>
                </w:rPr>
                <w:t>P73</w:t>
              </w:r>
            </w:hyperlink>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rFonts w:ascii="Arial" w:cs="Arial" w:eastAsia="Arial" w:hAnsi="Arial"/>
                <w:sz w:val="20"/>
                <w:szCs w:val="20"/>
                <w:b w:val="1"/>
                <w:bCs w:val="1"/>
                <w:color w:val="EE2724"/>
              </w:rPr>
            </w:pPr>
            <w:hyperlink w:anchor="page79">
              <w:r>
                <w:rPr>
                  <w:rFonts w:ascii="Arial" w:cs="Arial" w:eastAsia="Arial" w:hAnsi="Arial"/>
                  <w:sz w:val="20"/>
                  <w:szCs w:val="20"/>
                  <w:b w:val="1"/>
                  <w:bCs w:val="1"/>
                  <w:color w:val="EE2724"/>
                </w:rPr>
                <w:t>Audit Matters</w:t>
              </w:r>
            </w:hyperlink>
          </w:p>
        </w:tc>
        <w:tc>
          <w:tcPr>
            <w:tcW w:w="700" w:type="dxa"/>
            <w:vAlign w:val="bottom"/>
          </w:tcPr>
          <w:p>
            <w:pPr>
              <w:jc w:val="right"/>
              <w:spacing w:after="0"/>
              <w:rPr>
                <w:rFonts w:ascii="Arial" w:cs="Arial" w:eastAsia="Arial" w:hAnsi="Arial"/>
                <w:sz w:val="20"/>
                <w:szCs w:val="20"/>
                <w:color w:val="auto"/>
              </w:rPr>
            </w:pPr>
            <w:hyperlink w:anchor="page79">
              <w:r>
                <w:rPr>
                  <w:rFonts w:ascii="Arial" w:cs="Arial" w:eastAsia="Arial" w:hAnsi="Arial"/>
                  <w:sz w:val="20"/>
                  <w:szCs w:val="20"/>
                  <w:color w:val="auto"/>
                </w:rPr>
                <w:t>P74</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b w:val="1"/>
                <w:bCs w:val="1"/>
                <w:color w:val="auto"/>
              </w:rPr>
            </w:pPr>
            <w:hyperlink w:anchor="page79">
              <w:r>
                <w:rPr>
                  <w:rFonts w:ascii="Arial" w:cs="Arial" w:eastAsia="Arial" w:hAnsi="Arial"/>
                  <w:sz w:val="18"/>
                  <w:szCs w:val="18"/>
                  <w:b w:val="1"/>
                  <w:bCs w:val="1"/>
                  <w:color w:val="auto"/>
                </w:rPr>
                <w:t>Item 3 - Ratification of the Appointment of the Independent Auditor</w:t>
              </w:r>
            </w:hyperlink>
          </w:p>
        </w:tc>
        <w:tc>
          <w:tcPr>
            <w:tcW w:w="700" w:type="dxa"/>
            <w:vAlign w:val="bottom"/>
          </w:tcPr>
          <w:p>
            <w:pPr>
              <w:jc w:val="right"/>
              <w:spacing w:after="0"/>
              <w:rPr>
                <w:rFonts w:ascii="Arial" w:cs="Arial" w:eastAsia="Arial" w:hAnsi="Arial"/>
                <w:sz w:val="20"/>
                <w:szCs w:val="20"/>
                <w:color w:val="auto"/>
              </w:rPr>
            </w:pPr>
            <w:hyperlink w:anchor="page79">
              <w:r>
                <w:rPr>
                  <w:rFonts w:ascii="Arial" w:cs="Arial" w:eastAsia="Arial" w:hAnsi="Arial"/>
                  <w:sz w:val="20"/>
                  <w:szCs w:val="20"/>
                  <w:color w:val="auto"/>
                </w:rPr>
                <w:t>P74</w:t>
              </w:r>
            </w:hyperlink>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rFonts w:ascii="Arial" w:cs="Arial" w:eastAsia="Arial" w:hAnsi="Arial"/>
                <w:sz w:val="20"/>
                <w:szCs w:val="20"/>
                <w:b w:val="1"/>
                <w:bCs w:val="1"/>
                <w:color w:val="EE2724"/>
              </w:rPr>
            </w:pPr>
            <w:hyperlink w:anchor="page81">
              <w:r>
                <w:rPr>
                  <w:rFonts w:ascii="Arial" w:cs="Arial" w:eastAsia="Arial" w:hAnsi="Arial"/>
                  <w:sz w:val="20"/>
                  <w:szCs w:val="20"/>
                  <w:b w:val="1"/>
                  <w:bCs w:val="1"/>
                  <w:color w:val="EE2724"/>
                </w:rPr>
                <w:t>Management Proposals</w:t>
              </w:r>
            </w:hyperlink>
          </w:p>
        </w:tc>
        <w:tc>
          <w:tcPr>
            <w:tcW w:w="700" w:type="dxa"/>
            <w:vAlign w:val="bottom"/>
          </w:tcPr>
          <w:p>
            <w:pPr>
              <w:jc w:val="right"/>
              <w:spacing w:after="0"/>
              <w:rPr>
                <w:rFonts w:ascii="Arial" w:cs="Arial" w:eastAsia="Arial" w:hAnsi="Arial"/>
                <w:sz w:val="20"/>
                <w:szCs w:val="20"/>
                <w:color w:val="auto"/>
              </w:rPr>
            </w:pPr>
            <w:hyperlink w:anchor="page81">
              <w:r>
                <w:rPr>
                  <w:rFonts w:ascii="Arial" w:cs="Arial" w:eastAsia="Arial" w:hAnsi="Arial"/>
                  <w:sz w:val="20"/>
                  <w:szCs w:val="20"/>
                  <w:color w:val="auto"/>
                </w:rPr>
                <w:t>P76</w:t>
              </w:r>
            </w:hyperlink>
          </w:p>
        </w:tc>
        <w:tc>
          <w:tcPr>
            <w:tcW w:w="0" w:type="dxa"/>
            <w:vAlign w:val="bottom"/>
          </w:tcPr>
          <w:p>
            <w:pPr>
              <w:spacing w:after="0"/>
              <w:rPr>
                <w:sz w:val="1"/>
                <w:szCs w:val="1"/>
                <w:color w:val="auto"/>
              </w:rPr>
            </w:pPr>
          </w:p>
        </w:tc>
      </w:tr>
      <w:tr>
        <w:trPr>
          <w:trHeight w:val="212"/>
        </w:trPr>
        <w:tc>
          <w:tcPr>
            <w:tcW w:w="8040" w:type="dxa"/>
            <w:vAlign w:val="bottom"/>
          </w:tcPr>
          <w:p>
            <w:pPr>
              <w:ind w:left="360"/>
              <w:spacing w:after="0"/>
              <w:rPr>
                <w:rFonts w:ascii="Arial" w:cs="Arial" w:eastAsia="Arial" w:hAnsi="Arial"/>
                <w:sz w:val="18"/>
                <w:szCs w:val="18"/>
                <w:b w:val="1"/>
                <w:bCs w:val="1"/>
                <w:color w:val="auto"/>
              </w:rPr>
            </w:pPr>
            <w:hyperlink w:anchor="page81">
              <w:r>
                <w:rPr>
                  <w:rFonts w:ascii="Arial" w:cs="Arial" w:eastAsia="Arial" w:hAnsi="Arial"/>
                  <w:sz w:val="18"/>
                  <w:szCs w:val="18"/>
                  <w:b w:val="1"/>
                  <w:bCs w:val="1"/>
                  <w:color w:val="auto"/>
                </w:rPr>
                <w:t>Item 4 - Proposal to Amend the Company's Articles of Incorporation to Eliminate the</w:t>
              </w:r>
            </w:hyperlink>
          </w:p>
        </w:tc>
        <w:tc>
          <w:tcPr>
            <w:tcW w:w="700" w:type="dxa"/>
            <w:vAlign w:val="bottom"/>
            <w:vMerge w:val="restart"/>
          </w:tcPr>
          <w:p>
            <w:pPr>
              <w:jc w:val="right"/>
              <w:spacing w:after="0"/>
              <w:rPr>
                <w:rFonts w:ascii="Arial" w:cs="Arial" w:eastAsia="Arial" w:hAnsi="Arial"/>
                <w:sz w:val="20"/>
                <w:szCs w:val="20"/>
                <w:color w:val="auto"/>
              </w:rPr>
            </w:pPr>
            <w:hyperlink w:anchor="page81">
              <w:r>
                <w:rPr>
                  <w:rFonts w:ascii="Arial" w:cs="Arial" w:eastAsia="Arial" w:hAnsi="Arial"/>
                  <w:sz w:val="20"/>
                  <w:szCs w:val="20"/>
                  <w:color w:val="auto"/>
                </w:rPr>
                <w:t>P76</w:t>
              </w:r>
            </w:hyperlink>
          </w:p>
        </w:tc>
        <w:tc>
          <w:tcPr>
            <w:tcW w:w="0" w:type="dxa"/>
            <w:vAlign w:val="bottom"/>
          </w:tcPr>
          <w:p>
            <w:pPr>
              <w:spacing w:after="0"/>
              <w:rPr>
                <w:sz w:val="1"/>
                <w:szCs w:val="1"/>
                <w:color w:val="auto"/>
              </w:rPr>
            </w:pPr>
          </w:p>
        </w:tc>
      </w:tr>
      <w:tr>
        <w:trPr>
          <w:trHeight w:val="153"/>
        </w:trPr>
        <w:tc>
          <w:tcPr>
            <w:tcW w:w="8040" w:type="dxa"/>
            <w:vAlign w:val="bottom"/>
            <w:vMerge w:val="restart"/>
          </w:tcPr>
          <w:p>
            <w:pPr>
              <w:ind w:left="1120"/>
              <w:spacing w:after="0"/>
              <w:rPr>
                <w:rFonts w:ascii="Arial" w:cs="Arial" w:eastAsia="Arial" w:hAnsi="Arial"/>
                <w:sz w:val="18"/>
                <w:szCs w:val="18"/>
                <w:b w:val="1"/>
                <w:bCs w:val="1"/>
                <w:color w:val="auto"/>
              </w:rPr>
            </w:pPr>
            <w:hyperlink w:anchor="page81">
              <w:r>
                <w:rPr>
                  <w:rFonts w:ascii="Arial" w:cs="Arial" w:eastAsia="Arial" w:hAnsi="Arial"/>
                  <w:sz w:val="18"/>
                  <w:szCs w:val="18"/>
                  <w:b w:val="1"/>
                  <w:bCs w:val="1"/>
                  <w:color w:val="auto"/>
                </w:rPr>
                <w:t>Classified Board Structure</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80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040" w:type="dxa"/>
            <w:vAlign w:val="bottom"/>
          </w:tcPr>
          <w:p>
            <w:pPr>
              <w:ind w:left="360"/>
              <w:spacing w:after="0"/>
              <w:rPr>
                <w:rFonts w:ascii="Arial" w:cs="Arial" w:eastAsia="Arial" w:hAnsi="Arial"/>
                <w:sz w:val="18"/>
                <w:szCs w:val="18"/>
                <w:b w:val="1"/>
                <w:bCs w:val="1"/>
                <w:color w:val="auto"/>
              </w:rPr>
            </w:pPr>
            <w:hyperlink w:anchor="page82">
              <w:r>
                <w:rPr>
                  <w:rFonts w:ascii="Arial" w:cs="Arial" w:eastAsia="Arial" w:hAnsi="Arial"/>
                  <w:sz w:val="18"/>
                  <w:szCs w:val="18"/>
                  <w:b w:val="1"/>
                  <w:bCs w:val="1"/>
                  <w:color w:val="auto"/>
                </w:rPr>
                <w:t>Item 5 - Proposal to Amend the Company's Articles of Incorporation to Eliminate</w:t>
              </w:r>
            </w:hyperlink>
          </w:p>
        </w:tc>
        <w:tc>
          <w:tcPr>
            <w:tcW w:w="700" w:type="dxa"/>
            <w:vAlign w:val="bottom"/>
            <w:vMerge w:val="restart"/>
          </w:tcPr>
          <w:p>
            <w:pPr>
              <w:jc w:val="right"/>
              <w:spacing w:after="0"/>
              <w:rPr>
                <w:rFonts w:ascii="Arial" w:cs="Arial" w:eastAsia="Arial" w:hAnsi="Arial"/>
                <w:sz w:val="20"/>
                <w:szCs w:val="20"/>
                <w:color w:val="auto"/>
              </w:rPr>
            </w:pPr>
            <w:hyperlink w:anchor="page82">
              <w:r>
                <w:rPr>
                  <w:rFonts w:ascii="Arial" w:cs="Arial" w:eastAsia="Arial" w:hAnsi="Arial"/>
                  <w:sz w:val="20"/>
                  <w:szCs w:val="20"/>
                  <w:color w:val="auto"/>
                </w:rPr>
                <w:t>P77</w:t>
              </w:r>
            </w:hyperlink>
          </w:p>
        </w:tc>
        <w:tc>
          <w:tcPr>
            <w:tcW w:w="0" w:type="dxa"/>
            <w:vAlign w:val="bottom"/>
          </w:tcPr>
          <w:p>
            <w:pPr>
              <w:spacing w:after="0"/>
              <w:rPr>
                <w:sz w:val="1"/>
                <w:szCs w:val="1"/>
                <w:color w:val="auto"/>
              </w:rPr>
            </w:pPr>
          </w:p>
        </w:tc>
      </w:tr>
      <w:tr>
        <w:trPr>
          <w:trHeight w:val="153"/>
        </w:trPr>
        <w:tc>
          <w:tcPr>
            <w:tcW w:w="8040" w:type="dxa"/>
            <w:vAlign w:val="bottom"/>
            <w:vMerge w:val="restart"/>
          </w:tcPr>
          <w:p>
            <w:pPr>
              <w:ind w:left="1120"/>
              <w:spacing w:after="0"/>
              <w:rPr>
                <w:rFonts w:ascii="Arial" w:cs="Arial" w:eastAsia="Arial" w:hAnsi="Arial"/>
                <w:sz w:val="18"/>
                <w:szCs w:val="18"/>
                <w:b w:val="1"/>
                <w:bCs w:val="1"/>
                <w:color w:val="auto"/>
              </w:rPr>
            </w:pPr>
            <w:hyperlink w:anchor="page82">
              <w:r>
                <w:rPr>
                  <w:rFonts w:ascii="Arial" w:cs="Arial" w:eastAsia="Arial" w:hAnsi="Arial"/>
                  <w:sz w:val="18"/>
                  <w:szCs w:val="18"/>
                  <w:b w:val="1"/>
                  <w:bCs w:val="1"/>
                  <w:color w:val="auto"/>
                </w:rPr>
                <w:t>Supermajority Voting Provisions</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80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8040" w:type="dxa"/>
            <w:vAlign w:val="bottom"/>
          </w:tcPr>
          <w:p>
            <w:pPr>
              <w:ind w:left="20"/>
              <w:spacing w:after="0"/>
              <w:rPr>
                <w:rFonts w:ascii="Arial" w:cs="Arial" w:eastAsia="Arial" w:hAnsi="Arial"/>
                <w:sz w:val="20"/>
                <w:szCs w:val="20"/>
                <w:b w:val="1"/>
                <w:bCs w:val="1"/>
                <w:color w:val="EE2724"/>
              </w:rPr>
            </w:pPr>
            <w:hyperlink w:anchor="page83">
              <w:r>
                <w:rPr>
                  <w:rFonts w:ascii="Arial" w:cs="Arial" w:eastAsia="Arial" w:hAnsi="Arial"/>
                  <w:sz w:val="20"/>
                  <w:szCs w:val="20"/>
                  <w:b w:val="1"/>
                  <w:bCs w:val="1"/>
                  <w:color w:val="EE2724"/>
                </w:rPr>
                <w:t>Shareholder Proposals</w:t>
              </w:r>
            </w:hyperlink>
          </w:p>
        </w:tc>
        <w:tc>
          <w:tcPr>
            <w:tcW w:w="700" w:type="dxa"/>
            <w:vAlign w:val="bottom"/>
          </w:tcPr>
          <w:p>
            <w:pPr>
              <w:jc w:val="right"/>
              <w:spacing w:after="0"/>
              <w:rPr>
                <w:rFonts w:ascii="Arial" w:cs="Arial" w:eastAsia="Arial" w:hAnsi="Arial"/>
                <w:sz w:val="20"/>
                <w:szCs w:val="20"/>
                <w:color w:val="auto"/>
              </w:rPr>
            </w:pPr>
            <w:hyperlink w:anchor="page83">
              <w:r>
                <w:rPr>
                  <w:rFonts w:ascii="Arial" w:cs="Arial" w:eastAsia="Arial" w:hAnsi="Arial"/>
                  <w:sz w:val="20"/>
                  <w:szCs w:val="20"/>
                  <w:color w:val="auto"/>
                </w:rPr>
                <w:t>P78</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b w:val="1"/>
                <w:bCs w:val="1"/>
                <w:color w:val="auto"/>
              </w:rPr>
            </w:pPr>
            <w:hyperlink w:anchor="page83">
              <w:r>
                <w:rPr>
                  <w:rFonts w:ascii="Arial" w:cs="Arial" w:eastAsia="Arial" w:hAnsi="Arial"/>
                  <w:sz w:val="18"/>
                  <w:szCs w:val="18"/>
                  <w:b w:val="1"/>
                  <w:bCs w:val="1"/>
                  <w:color w:val="auto"/>
                </w:rPr>
                <w:t>Item 6 - Proposal to Disclose Direct and Indirect Lobbying Activities and Expenditures</w:t>
              </w:r>
            </w:hyperlink>
          </w:p>
        </w:tc>
        <w:tc>
          <w:tcPr>
            <w:tcW w:w="700" w:type="dxa"/>
            <w:vAlign w:val="bottom"/>
          </w:tcPr>
          <w:p>
            <w:pPr>
              <w:jc w:val="right"/>
              <w:spacing w:after="0"/>
              <w:rPr>
                <w:rFonts w:ascii="Arial" w:cs="Arial" w:eastAsia="Arial" w:hAnsi="Arial"/>
                <w:sz w:val="20"/>
                <w:szCs w:val="20"/>
                <w:color w:val="auto"/>
              </w:rPr>
            </w:pPr>
            <w:hyperlink w:anchor="page83">
              <w:r>
                <w:rPr>
                  <w:rFonts w:ascii="Arial" w:cs="Arial" w:eastAsia="Arial" w:hAnsi="Arial"/>
                  <w:sz w:val="20"/>
                  <w:szCs w:val="20"/>
                  <w:color w:val="auto"/>
                </w:rPr>
                <w:t>P78</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b w:val="1"/>
                <w:bCs w:val="1"/>
                <w:color w:val="auto"/>
              </w:rPr>
            </w:pPr>
            <w:hyperlink w:anchor="page85">
              <w:r>
                <w:rPr>
                  <w:rFonts w:ascii="Arial" w:cs="Arial" w:eastAsia="Arial" w:hAnsi="Arial"/>
                  <w:sz w:val="18"/>
                  <w:szCs w:val="18"/>
                  <w:b w:val="1"/>
                  <w:bCs w:val="1"/>
                  <w:color w:val="auto"/>
                </w:rPr>
                <w:t xml:space="preserve">Item 7 - Proposal to </w:t>
              </w:r>
            </w:hyperlink>
            <w:r>
              <w:rPr>
                <w:rFonts w:ascii="Arial" w:cs="Arial" w:eastAsia="Arial" w:hAnsi="Arial"/>
                <w:sz w:val="18"/>
                <w:szCs w:val="18"/>
                <w:b w:val="1"/>
                <w:bCs w:val="1"/>
                <w:color w:val="auto"/>
              </w:rPr>
              <w:t>Amend the Bylaws to Require an Independent Board Chair</w:t>
            </w:r>
          </w:p>
        </w:tc>
        <w:tc>
          <w:tcPr>
            <w:tcW w:w="700" w:type="dxa"/>
            <w:vAlign w:val="bottom"/>
          </w:tcPr>
          <w:p>
            <w:pPr>
              <w:jc w:val="right"/>
              <w:spacing w:after="0"/>
              <w:rPr>
                <w:rFonts w:ascii="Arial" w:cs="Arial" w:eastAsia="Arial" w:hAnsi="Arial"/>
                <w:sz w:val="20"/>
                <w:szCs w:val="20"/>
                <w:color w:val="auto"/>
              </w:rPr>
            </w:pPr>
            <w:hyperlink w:anchor="page85">
              <w:r>
                <w:rPr>
                  <w:rFonts w:ascii="Arial" w:cs="Arial" w:eastAsia="Arial" w:hAnsi="Arial"/>
                  <w:sz w:val="20"/>
                  <w:szCs w:val="20"/>
                  <w:color w:val="auto"/>
                </w:rPr>
                <w:t>P80</w:t>
              </w:r>
            </w:hyperlink>
          </w:p>
        </w:tc>
        <w:tc>
          <w:tcPr>
            <w:tcW w:w="0" w:type="dxa"/>
            <w:vAlign w:val="bottom"/>
          </w:tcPr>
          <w:p>
            <w:pPr>
              <w:spacing w:after="0"/>
              <w:rPr>
                <w:sz w:val="1"/>
                <w:szCs w:val="1"/>
                <w:color w:val="auto"/>
              </w:rPr>
            </w:pPr>
          </w:p>
        </w:tc>
      </w:tr>
      <w:tr>
        <w:trPr>
          <w:trHeight w:val="283"/>
        </w:trPr>
        <w:tc>
          <w:tcPr>
            <w:tcW w:w="8040" w:type="dxa"/>
            <w:vAlign w:val="bottom"/>
          </w:tcPr>
          <w:p>
            <w:pPr>
              <w:ind w:left="360"/>
              <w:spacing w:after="0"/>
              <w:rPr>
                <w:rFonts w:ascii="Arial" w:cs="Arial" w:eastAsia="Arial" w:hAnsi="Arial"/>
                <w:sz w:val="18"/>
                <w:szCs w:val="18"/>
                <w:b w:val="1"/>
                <w:bCs w:val="1"/>
                <w:color w:val="auto"/>
              </w:rPr>
            </w:pPr>
            <w:hyperlink w:anchor="page87">
              <w:r>
                <w:rPr>
                  <w:rFonts w:ascii="Arial" w:cs="Arial" w:eastAsia="Arial" w:hAnsi="Arial"/>
                  <w:sz w:val="18"/>
                  <w:szCs w:val="18"/>
                  <w:b w:val="1"/>
                  <w:bCs w:val="1"/>
                  <w:color w:val="auto"/>
                </w:rPr>
                <w:t xml:space="preserve">Item 8 - Proposal </w:t>
              </w:r>
            </w:hyperlink>
            <w:r>
              <w:rPr>
                <w:rFonts w:ascii="Arial" w:cs="Arial" w:eastAsia="Arial" w:hAnsi="Arial"/>
                <w:sz w:val="18"/>
                <w:szCs w:val="18"/>
                <w:b w:val="1"/>
                <w:bCs w:val="1"/>
                <w:color w:val="auto"/>
              </w:rPr>
              <w:t>to Implement a Bonus Deferral Policy</w:t>
            </w:r>
          </w:p>
        </w:tc>
        <w:tc>
          <w:tcPr>
            <w:tcW w:w="700" w:type="dxa"/>
            <w:vAlign w:val="bottom"/>
          </w:tcPr>
          <w:p>
            <w:pPr>
              <w:jc w:val="right"/>
              <w:spacing w:after="0"/>
              <w:rPr>
                <w:rFonts w:ascii="Arial" w:cs="Arial" w:eastAsia="Arial" w:hAnsi="Arial"/>
                <w:sz w:val="20"/>
                <w:szCs w:val="20"/>
                <w:color w:val="auto"/>
              </w:rPr>
            </w:pPr>
            <w:hyperlink w:anchor="page87">
              <w:r>
                <w:rPr>
                  <w:rFonts w:ascii="Arial" w:cs="Arial" w:eastAsia="Arial" w:hAnsi="Arial"/>
                  <w:sz w:val="20"/>
                  <w:szCs w:val="20"/>
                  <w:color w:val="auto"/>
                </w:rPr>
                <w:t>P82</w:t>
              </w:r>
            </w:hyperlink>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rFonts w:ascii="Arial" w:cs="Arial" w:eastAsia="Arial" w:hAnsi="Arial"/>
                <w:sz w:val="18"/>
                <w:szCs w:val="18"/>
                <w:b w:val="1"/>
                <w:bCs w:val="1"/>
                <w:color w:val="auto"/>
              </w:rPr>
            </w:pPr>
            <w:hyperlink w:anchor="page89">
              <w:r>
                <w:rPr>
                  <w:rFonts w:ascii="Arial" w:cs="Arial" w:eastAsia="Arial" w:hAnsi="Arial"/>
                  <w:sz w:val="18"/>
                  <w:szCs w:val="18"/>
                  <w:b w:val="1"/>
                  <w:bCs w:val="1"/>
                  <w:color w:val="auto"/>
                </w:rPr>
                <w:t>Item 9 - Proposal to Disclose Clawbacks on Executive Incentive Compensation Due to</w:t>
              </w:r>
            </w:hyperlink>
          </w:p>
        </w:tc>
        <w:tc>
          <w:tcPr>
            <w:tcW w:w="700" w:type="dxa"/>
            <w:vAlign w:val="bottom"/>
            <w:vMerge w:val="restart"/>
          </w:tcPr>
          <w:p>
            <w:pPr>
              <w:jc w:val="right"/>
              <w:spacing w:after="0"/>
              <w:rPr>
                <w:rFonts w:ascii="Arial" w:cs="Arial" w:eastAsia="Arial" w:hAnsi="Arial"/>
                <w:sz w:val="20"/>
                <w:szCs w:val="20"/>
                <w:color w:val="auto"/>
              </w:rPr>
            </w:pPr>
            <w:hyperlink w:anchor="page89">
              <w:r>
                <w:rPr>
                  <w:rFonts w:ascii="Arial" w:cs="Arial" w:eastAsia="Arial" w:hAnsi="Arial"/>
                  <w:sz w:val="20"/>
                  <w:szCs w:val="20"/>
                  <w:color w:val="auto"/>
                </w:rPr>
                <w:t>P84</w:t>
              </w:r>
            </w:hyperlink>
          </w:p>
        </w:tc>
        <w:tc>
          <w:tcPr>
            <w:tcW w:w="0" w:type="dxa"/>
            <w:vAlign w:val="bottom"/>
          </w:tcPr>
          <w:p>
            <w:pPr>
              <w:spacing w:after="0"/>
              <w:rPr>
                <w:sz w:val="1"/>
                <w:szCs w:val="1"/>
                <w:color w:val="auto"/>
              </w:rPr>
            </w:pPr>
          </w:p>
        </w:tc>
      </w:tr>
      <w:tr>
        <w:trPr>
          <w:trHeight w:val="153"/>
        </w:trPr>
        <w:tc>
          <w:tcPr>
            <w:tcW w:w="8040" w:type="dxa"/>
            <w:vAlign w:val="bottom"/>
            <w:vMerge w:val="restart"/>
          </w:tcPr>
          <w:p>
            <w:pPr>
              <w:ind w:left="1160"/>
              <w:spacing w:after="0"/>
              <w:rPr>
                <w:rFonts w:ascii="Arial" w:cs="Arial" w:eastAsia="Arial" w:hAnsi="Arial"/>
                <w:sz w:val="18"/>
                <w:szCs w:val="18"/>
                <w:b w:val="1"/>
                <w:bCs w:val="1"/>
                <w:color w:val="auto"/>
              </w:rPr>
            </w:pPr>
            <w:hyperlink w:anchor="page89">
              <w:r>
                <w:rPr>
                  <w:rFonts w:ascii="Arial" w:cs="Arial" w:eastAsia="Arial" w:hAnsi="Arial"/>
                  <w:sz w:val="18"/>
                  <w:szCs w:val="18"/>
                  <w:b w:val="1"/>
                  <w:bCs w:val="1"/>
                  <w:color w:val="auto"/>
                </w:rPr>
                <w:t>Misconduct</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80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8040" w:type="dxa"/>
            <w:vAlign w:val="bottom"/>
          </w:tcPr>
          <w:p>
            <w:pPr>
              <w:ind w:left="20"/>
              <w:spacing w:after="0"/>
              <w:rPr>
                <w:rFonts w:ascii="Arial" w:cs="Arial" w:eastAsia="Arial" w:hAnsi="Arial"/>
                <w:sz w:val="20"/>
                <w:szCs w:val="20"/>
                <w:b w:val="1"/>
                <w:bCs w:val="1"/>
                <w:color w:val="EE2724"/>
              </w:rPr>
            </w:pPr>
            <w:hyperlink w:anchor="page90">
              <w:r>
                <w:rPr>
                  <w:rFonts w:ascii="Arial" w:cs="Arial" w:eastAsia="Arial" w:hAnsi="Arial"/>
                  <w:sz w:val="20"/>
                  <w:szCs w:val="20"/>
                  <w:b w:val="1"/>
                  <w:bCs w:val="1"/>
                  <w:color w:val="EE2724"/>
                </w:rPr>
                <w:t>Other Information</w:t>
              </w:r>
            </w:hyperlink>
          </w:p>
        </w:tc>
        <w:tc>
          <w:tcPr>
            <w:tcW w:w="700" w:type="dxa"/>
            <w:vAlign w:val="bottom"/>
          </w:tcPr>
          <w:p>
            <w:pPr>
              <w:jc w:val="right"/>
              <w:spacing w:after="0"/>
              <w:rPr>
                <w:rFonts w:ascii="Arial" w:cs="Arial" w:eastAsia="Arial" w:hAnsi="Arial"/>
                <w:sz w:val="20"/>
                <w:szCs w:val="20"/>
                <w:color w:val="auto"/>
              </w:rPr>
            </w:pPr>
            <w:hyperlink w:anchor="page90">
              <w:r>
                <w:rPr>
                  <w:rFonts w:ascii="Arial" w:cs="Arial" w:eastAsia="Arial" w:hAnsi="Arial"/>
                  <w:sz w:val="20"/>
                  <w:szCs w:val="20"/>
                  <w:color w:val="auto"/>
                </w:rPr>
                <w:t>P85</w:t>
              </w:r>
            </w:hyperlink>
          </w:p>
        </w:tc>
        <w:tc>
          <w:tcPr>
            <w:tcW w:w="0" w:type="dxa"/>
            <w:vAlign w:val="bottom"/>
          </w:tcPr>
          <w:p>
            <w:pPr>
              <w:spacing w:after="0"/>
              <w:rPr>
                <w:sz w:val="1"/>
                <w:szCs w:val="1"/>
                <w:color w:val="auto"/>
              </w:rPr>
            </w:pPr>
          </w:p>
        </w:tc>
      </w:tr>
      <w:tr>
        <w:trPr>
          <w:trHeight w:val="351"/>
        </w:trPr>
        <w:tc>
          <w:tcPr>
            <w:tcW w:w="8040" w:type="dxa"/>
            <w:vAlign w:val="bottom"/>
          </w:tcPr>
          <w:p>
            <w:pPr>
              <w:ind w:left="360"/>
              <w:spacing w:after="0"/>
              <w:rPr>
                <w:rFonts w:ascii="Arial" w:cs="Arial" w:eastAsia="Arial" w:hAnsi="Arial"/>
                <w:sz w:val="18"/>
                <w:szCs w:val="18"/>
                <w:color w:val="auto"/>
              </w:rPr>
            </w:pPr>
            <w:hyperlink w:anchor="page90">
              <w:r>
                <w:rPr>
                  <w:rFonts w:ascii="Arial" w:cs="Arial" w:eastAsia="Arial" w:hAnsi="Arial"/>
                  <w:sz w:val="18"/>
                  <w:szCs w:val="18"/>
                  <w:color w:val="auto"/>
                </w:rPr>
                <w:t>Meeting and Voting Logistics</w:t>
              </w:r>
            </w:hyperlink>
          </w:p>
        </w:tc>
        <w:tc>
          <w:tcPr>
            <w:tcW w:w="700" w:type="dxa"/>
            <w:vAlign w:val="bottom"/>
          </w:tcPr>
          <w:p>
            <w:pPr>
              <w:jc w:val="right"/>
              <w:spacing w:after="0"/>
              <w:rPr>
                <w:rFonts w:ascii="Arial" w:cs="Arial" w:eastAsia="Arial" w:hAnsi="Arial"/>
                <w:sz w:val="20"/>
                <w:szCs w:val="20"/>
                <w:color w:val="auto"/>
              </w:rPr>
            </w:pPr>
            <w:hyperlink w:anchor="page90">
              <w:r>
                <w:rPr>
                  <w:rFonts w:ascii="Arial" w:cs="Arial" w:eastAsia="Arial" w:hAnsi="Arial"/>
                  <w:sz w:val="20"/>
                  <w:szCs w:val="20"/>
                  <w:color w:val="auto"/>
                </w:rPr>
                <w:t>P85</w:t>
              </w:r>
            </w:hyperlink>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rFonts w:ascii="Arial" w:cs="Arial" w:eastAsia="Arial" w:hAnsi="Arial"/>
                <w:sz w:val="18"/>
                <w:szCs w:val="18"/>
                <w:color w:val="auto"/>
              </w:rPr>
            </w:pPr>
            <w:hyperlink w:anchor="page93">
              <w:r>
                <w:rPr>
                  <w:rFonts w:ascii="Arial" w:cs="Arial" w:eastAsia="Arial" w:hAnsi="Arial"/>
                  <w:sz w:val="18"/>
                  <w:szCs w:val="18"/>
                  <w:color w:val="auto"/>
                </w:rPr>
                <w:t>Other Matters</w:t>
              </w:r>
            </w:hyperlink>
          </w:p>
        </w:tc>
        <w:tc>
          <w:tcPr>
            <w:tcW w:w="700" w:type="dxa"/>
            <w:vAlign w:val="bottom"/>
          </w:tcPr>
          <w:p>
            <w:pPr>
              <w:jc w:val="right"/>
              <w:spacing w:after="0"/>
              <w:rPr>
                <w:rFonts w:ascii="Arial" w:cs="Arial" w:eastAsia="Arial" w:hAnsi="Arial"/>
                <w:sz w:val="20"/>
                <w:szCs w:val="20"/>
                <w:color w:val="auto"/>
              </w:rPr>
            </w:pPr>
            <w:hyperlink w:anchor="page93">
              <w:r>
                <w:rPr>
                  <w:rFonts w:ascii="Arial" w:cs="Arial" w:eastAsia="Arial" w:hAnsi="Arial"/>
                  <w:sz w:val="20"/>
                  <w:szCs w:val="20"/>
                  <w:color w:val="auto"/>
                </w:rPr>
                <w:t>P88</w:t>
              </w:r>
            </w:hyperlink>
          </w:p>
        </w:tc>
        <w:tc>
          <w:tcPr>
            <w:tcW w:w="0" w:type="dxa"/>
            <w:vAlign w:val="bottom"/>
          </w:tcPr>
          <w:p>
            <w:pPr>
              <w:spacing w:after="0"/>
              <w:rPr>
                <w:sz w:val="1"/>
                <w:szCs w:val="1"/>
                <w:color w:val="auto"/>
              </w:rPr>
            </w:pPr>
          </w:p>
        </w:tc>
      </w:tr>
      <w:tr>
        <w:trPr>
          <w:trHeight w:val="307"/>
        </w:trPr>
        <w:tc>
          <w:tcPr>
            <w:tcW w:w="8040" w:type="dxa"/>
            <w:vAlign w:val="bottom"/>
          </w:tcPr>
          <w:p>
            <w:pPr>
              <w:ind w:left="20"/>
              <w:spacing w:after="0"/>
              <w:rPr>
                <w:rFonts w:ascii="Arial" w:cs="Arial" w:eastAsia="Arial" w:hAnsi="Arial"/>
                <w:sz w:val="20"/>
                <w:szCs w:val="20"/>
                <w:b w:val="1"/>
                <w:bCs w:val="1"/>
                <w:color w:val="EE2724"/>
              </w:rPr>
            </w:pPr>
            <w:hyperlink w:anchor="page93">
              <w:r>
                <w:rPr>
                  <w:rFonts w:ascii="Arial" w:cs="Arial" w:eastAsia="Arial" w:hAnsi="Arial"/>
                  <w:sz w:val="20"/>
                  <w:szCs w:val="20"/>
                  <w:b w:val="1"/>
                  <w:bCs w:val="1"/>
                  <w:color w:val="EE2724"/>
                </w:rPr>
                <w:t>Appendix A - Summary of Adjustments Related to the Annual Cash Bonus and</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40" w:type="dxa"/>
            <w:vAlign w:val="bottom"/>
          </w:tcPr>
          <w:p>
            <w:pPr>
              <w:ind w:left="20"/>
              <w:spacing w:after="0"/>
              <w:rPr>
                <w:rFonts w:ascii="Arial" w:cs="Arial" w:eastAsia="Arial" w:hAnsi="Arial"/>
                <w:sz w:val="20"/>
                <w:szCs w:val="20"/>
                <w:b w:val="1"/>
                <w:bCs w:val="1"/>
                <w:color w:val="EE2724"/>
              </w:rPr>
            </w:pPr>
            <w:hyperlink w:anchor="page93">
              <w:r>
                <w:rPr>
                  <w:rFonts w:ascii="Arial" w:cs="Arial" w:eastAsia="Arial" w:hAnsi="Arial"/>
                  <w:sz w:val="20"/>
                  <w:szCs w:val="20"/>
                  <w:b w:val="1"/>
                  <w:bCs w:val="1"/>
                  <w:color w:val="EE2724"/>
                </w:rPr>
                <w:t>Performance Award</w:t>
              </w:r>
            </w:hyperlink>
          </w:p>
        </w:tc>
        <w:tc>
          <w:tcPr>
            <w:tcW w:w="700" w:type="dxa"/>
            <w:vAlign w:val="bottom"/>
            <w:vMerge w:val="restart"/>
          </w:tcPr>
          <w:p>
            <w:pPr>
              <w:jc w:val="right"/>
              <w:spacing w:after="0"/>
              <w:rPr>
                <w:rFonts w:ascii="Arial" w:cs="Arial" w:eastAsia="Arial" w:hAnsi="Arial"/>
                <w:sz w:val="20"/>
                <w:szCs w:val="20"/>
                <w:color w:val="auto"/>
              </w:rPr>
            </w:pPr>
            <w:hyperlink w:anchor="page93">
              <w:r>
                <w:rPr>
                  <w:rFonts w:ascii="Arial" w:cs="Arial" w:eastAsia="Arial" w:hAnsi="Arial"/>
                  <w:sz w:val="20"/>
                  <w:szCs w:val="20"/>
                  <w:color w:val="auto"/>
                </w:rPr>
                <w:t>P89</w:t>
              </w:r>
            </w:hyperlink>
          </w:p>
        </w:tc>
        <w:tc>
          <w:tcPr>
            <w:tcW w:w="0" w:type="dxa"/>
            <w:vAlign w:val="bottom"/>
          </w:tcPr>
          <w:p>
            <w:pPr>
              <w:spacing w:after="0"/>
              <w:rPr>
                <w:sz w:val="1"/>
                <w:szCs w:val="1"/>
                <w:color w:val="auto"/>
              </w:rPr>
            </w:pPr>
          </w:p>
        </w:tc>
      </w:tr>
      <w:tr>
        <w:trPr>
          <w:trHeight w:val="94"/>
        </w:trPr>
        <w:tc>
          <w:tcPr>
            <w:tcW w:w="8040" w:type="dxa"/>
            <w:vAlign w:val="bottom"/>
            <w:vMerge w:val="restart"/>
          </w:tcPr>
          <w:p>
            <w:pPr>
              <w:ind w:left="20"/>
              <w:spacing w:after="0"/>
              <w:rPr>
                <w:rFonts w:ascii="Arial" w:cs="Arial" w:eastAsia="Arial" w:hAnsi="Arial"/>
                <w:sz w:val="20"/>
                <w:szCs w:val="20"/>
                <w:b w:val="1"/>
                <w:bCs w:val="1"/>
                <w:color w:val="EE2724"/>
              </w:rPr>
            </w:pPr>
            <w:hyperlink w:anchor="page96">
              <w:r>
                <w:rPr>
                  <w:rFonts w:ascii="Arial" w:cs="Arial" w:eastAsia="Arial" w:hAnsi="Arial"/>
                  <w:sz w:val="20"/>
                  <w:szCs w:val="20"/>
                  <w:b w:val="1"/>
                  <w:bCs w:val="1"/>
                  <w:color w:val="EE2724"/>
                </w:rPr>
                <w:t>Appendix B - Proposed Amendments to the Company's Articles of Incorporation</w:t>
              </w:r>
            </w:hyperlink>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8040" w:type="dxa"/>
            <w:vAlign w:val="bottom"/>
            <w:vMerge w:val="continue"/>
          </w:tcPr>
          <w:p>
            <w:pPr>
              <w:spacing w:after="0"/>
              <w:rPr>
                <w:sz w:val="22"/>
                <w:szCs w:val="22"/>
                <w:color w:val="auto"/>
              </w:rPr>
            </w:pPr>
          </w:p>
        </w:tc>
        <w:tc>
          <w:tcPr>
            <w:tcW w:w="700" w:type="dxa"/>
            <w:vAlign w:val="bottom"/>
          </w:tcPr>
          <w:p>
            <w:pPr>
              <w:jc w:val="right"/>
              <w:spacing w:after="0"/>
              <w:rPr>
                <w:rFonts w:ascii="Arial" w:cs="Arial" w:eastAsia="Arial" w:hAnsi="Arial"/>
                <w:sz w:val="20"/>
                <w:szCs w:val="20"/>
                <w:color w:val="auto"/>
              </w:rPr>
            </w:pPr>
            <w:hyperlink w:anchor="page96">
              <w:r>
                <w:rPr>
                  <w:rFonts w:ascii="Arial" w:cs="Arial" w:eastAsia="Arial" w:hAnsi="Arial"/>
                  <w:sz w:val="20"/>
                  <w:szCs w:val="20"/>
                  <w:color w:val="auto"/>
                </w:rPr>
                <w:t>P92</w:t>
              </w:r>
            </w:hyperlink>
          </w:p>
        </w:tc>
        <w:tc>
          <w:tcPr>
            <w:tcW w:w="0" w:type="dxa"/>
            <w:vAlign w:val="bottom"/>
          </w:tcPr>
          <w:p>
            <w:pPr>
              <w:spacing w:after="0"/>
              <w:rPr>
                <w:sz w:val="1"/>
                <w:szCs w:val="1"/>
                <w:color w:val="auto"/>
              </w:rPr>
            </w:pPr>
          </w:p>
        </w:tc>
      </w:tr>
    </w:tbl>
    <w:p>
      <w:pPr>
        <w:sectPr>
          <w:pgSz w:w="11900" w:h="16838" w:orient="portrait"/>
          <w:cols w:equalWidth="0" w:num="1">
            <w:col w:w="10139"/>
          </w:cols>
          <w:pgMar w:left="320" w:top="1165" w:right="1440"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EF3729"/>
        </w:rPr>
        <w:t>Notice of 2021 Annual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To the holders of common stock of Eli Lilly and Company:</w:t>
      </w:r>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The 2021 Annual Meeting of Shareholders (the Annual Meeting) of Eli Lilly and Company (referred to as Lilly, we, us, or the company in this proxy statement) will be held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643370" cy="419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43370" cy="419735"/>
                    </a:xfrm>
                    <a:prstGeom prst="rect">
                      <a:avLst/>
                    </a:prstGeom>
                    <a:noFill/>
                  </pic:spPr>
                </pic:pic>
              </a:graphicData>
            </a:graphic>
          </wp:anchor>
        </w:drawing>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540" w:type="dxa"/>
            <w:vAlign w:val="bottom"/>
          </w:tcPr>
          <w:p>
            <w:pPr>
              <w:spacing w:after="0"/>
              <w:rPr>
                <w:sz w:val="20"/>
                <w:szCs w:val="20"/>
                <w:color w:val="auto"/>
              </w:rPr>
            </w:pPr>
            <w:r>
              <w:rPr>
                <w:rFonts w:ascii="Arial" w:cs="Arial" w:eastAsia="Arial" w:hAnsi="Arial"/>
                <w:sz w:val="14"/>
                <w:szCs w:val="14"/>
                <w:b w:val="1"/>
                <w:bCs w:val="1"/>
                <w:color w:val="00ABE8"/>
              </w:rPr>
              <w:t>TIME AND DATE</w:t>
            </w:r>
          </w:p>
        </w:tc>
        <w:tc>
          <w:tcPr>
            <w:tcW w:w="3620" w:type="dxa"/>
            <w:vAlign w:val="bottom"/>
          </w:tcPr>
          <w:p>
            <w:pPr>
              <w:ind w:left="320"/>
              <w:spacing w:after="0"/>
              <w:rPr>
                <w:sz w:val="20"/>
                <w:szCs w:val="20"/>
                <w:color w:val="auto"/>
              </w:rPr>
            </w:pPr>
            <w:r>
              <w:rPr>
                <w:rFonts w:ascii="Arial" w:cs="Arial" w:eastAsia="Arial" w:hAnsi="Arial"/>
                <w:sz w:val="14"/>
                <w:szCs w:val="14"/>
                <w:b w:val="1"/>
                <w:bCs w:val="1"/>
                <w:color w:val="00ABE8"/>
              </w:rPr>
              <w:t>LOCATION</w:t>
            </w:r>
          </w:p>
        </w:tc>
        <w:tc>
          <w:tcPr>
            <w:tcW w:w="4040" w:type="dxa"/>
            <w:vAlign w:val="bottom"/>
          </w:tcPr>
          <w:p>
            <w:pPr>
              <w:ind w:left="180"/>
              <w:spacing w:after="0"/>
              <w:rPr>
                <w:sz w:val="20"/>
                <w:szCs w:val="20"/>
                <w:color w:val="auto"/>
              </w:rPr>
            </w:pPr>
            <w:r>
              <w:rPr>
                <w:rFonts w:ascii="Arial" w:cs="Arial" w:eastAsia="Arial" w:hAnsi="Arial"/>
                <w:sz w:val="14"/>
                <w:szCs w:val="14"/>
                <w:b w:val="1"/>
                <w:bCs w:val="1"/>
                <w:color w:val="00ABE8"/>
              </w:rPr>
              <w:t>WHO CAN VOTE</w:t>
            </w:r>
          </w:p>
        </w:tc>
      </w:tr>
      <w:tr>
        <w:trPr>
          <w:trHeight w:val="161"/>
        </w:trPr>
        <w:tc>
          <w:tcPr>
            <w:tcW w:w="1540" w:type="dxa"/>
            <w:vAlign w:val="bottom"/>
          </w:tcPr>
          <w:p>
            <w:pPr>
              <w:spacing w:after="0"/>
              <w:rPr>
                <w:sz w:val="20"/>
                <w:szCs w:val="20"/>
                <w:color w:val="auto"/>
              </w:rPr>
            </w:pPr>
            <w:r>
              <w:rPr>
                <w:rFonts w:ascii="Arial" w:cs="Arial" w:eastAsia="Arial" w:hAnsi="Arial"/>
                <w:sz w:val="13"/>
                <w:szCs w:val="13"/>
                <w:color w:val="auto"/>
              </w:rPr>
              <w:t>11:00 a.m. EDT,</w:t>
            </w:r>
          </w:p>
        </w:tc>
        <w:tc>
          <w:tcPr>
            <w:tcW w:w="3620" w:type="dxa"/>
            <w:vAlign w:val="bottom"/>
          </w:tcPr>
          <w:p>
            <w:pPr>
              <w:ind w:left="320"/>
              <w:spacing w:after="0"/>
              <w:rPr>
                <w:sz w:val="20"/>
                <w:szCs w:val="20"/>
                <w:color w:val="auto"/>
              </w:rPr>
            </w:pPr>
            <w:r>
              <w:rPr>
                <w:rFonts w:ascii="Arial" w:cs="Arial" w:eastAsia="Arial" w:hAnsi="Arial"/>
                <w:sz w:val="13"/>
                <w:szCs w:val="13"/>
                <w:b w:val="1"/>
                <w:bCs w:val="1"/>
                <w:color w:val="auto"/>
              </w:rPr>
              <w:t xml:space="preserve">Virtually at </w:t>
            </w:r>
            <w:r>
              <w:rPr>
                <w:rFonts w:ascii="Arial" w:cs="Arial" w:eastAsia="Arial" w:hAnsi="Arial"/>
                <w:sz w:val="13"/>
                <w:szCs w:val="13"/>
                <w:b w:val="1"/>
                <w:bCs w:val="1"/>
                <w:color w:val="EE2724"/>
              </w:rPr>
              <w:t>virtualshareholdermeeting.com/LLY2021</w:t>
            </w:r>
          </w:p>
        </w:tc>
        <w:tc>
          <w:tcPr>
            <w:tcW w:w="4040" w:type="dxa"/>
            <w:vAlign w:val="bottom"/>
          </w:tcPr>
          <w:p>
            <w:pPr>
              <w:ind w:left="180"/>
              <w:spacing w:after="0"/>
              <w:rPr>
                <w:sz w:val="20"/>
                <w:szCs w:val="20"/>
                <w:color w:val="auto"/>
              </w:rPr>
            </w:pPr>
            <w:r>
              <w:rPr>
                <w:rFonts w:ascii="Arial" w:cs="Arial" w:eastAsia="Arial" w:hAnsi="Arial"/>
                <w:sz w:val="13"/>
                <w:szCs w:val="13"/>
                <w:color w:val="auto"/>
                <w:w w:val="96"/>
              </w:rPr>
              <w:t>Shareholders of record at the close of business on February 22, 2021</w:t>
            </w:r>
          </w:p>
        </w:tc>
      </w:tr>
      <w:tr>
        <w:trPr>
          <w:trHeight w:val="152"/>
        </w:trPr>
        <w:tc>
          <w:tcPr>
            <w:tcW w:w="1540" w:type="dxa"/>
            <w:vAlign w:val="bottom"/>
          </w:tcPr>
          <w:p>
            <w:pPr>
              <w:spacing w:after="0"/>
              <w:rPr>
                <w:sz w:val="20"/>
                <w:szCs w:val="20"/>
                <w:color w:val="auto"/>
              </w:rPr>
            </w:pPr>
            <w:r>
              <w:rPr>
                <w:rFonts w:ascii="Arial" w:cs="Arial" w:eastAsia="Arial" w:hAnsi="Arial"/>
                <w:sz w:val="13"/>
                <w:szCs w:val="13"/>
                <w:color w:val="auto"/>
              </w:rPr>
              <w:t>Monday, May 3, 2021</w:t>
            </w:r>
          </w:p>
        </w:tc>
        <w:tc>
          <w:tcPr>
            <w:tcW w:w="3620" w:type="dxa"/>
            <w:vAlign w:val="bottom"/>
          </w:tcPr>
          <w:p>
            <w:pPr>
              <w:spacing w:after="0"/>
              <w:rPr>
                <w:sz w:val="13"/>
                <w:szCs w:val="13"/>
                <w:color w:val="auto"/>
              </w:rPr>
            </w:pPr>
          </w:p>
        </w:tc>
        <w:tc>
          <w:tcPr>
            <w:tcW w:w="4040" w:type="dxa"/>
            <w:vAlign w:val="bottom"/>
          </w:tcPr>
          <w:p>
            <w:pPr>
              <w:spacing w:after="0"/>
              <w:rPr>
                <w:sz w:val="13"/>
                <w:szCs w:val="13"/>
                <w:color w:val="auto"/>
              </w:rPr>
            </w:pPr>
          </w:p>
        </w:tc>
      </w:tr>
    </w:tbl>
    <w:p>
      <w:pPr>
        <w:spacing w:after="0" w:line="200" w:lineRule="exact"/>
        <w:rPr>
          <w:sz w:val="20"/>
          <w:szCs w:val="20"/>
          <w:color w:val="auto"/>
        </w:rPr>
      </w:pPr>
    </w:p>
    <w:p>
      <w:pPr>
        <w:spacing w:after="0" w:line="2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Due to concerns regarding the ongoing COVID-19 pandemic and to support the health and well-being of our employees, board of directors, shareholders, and other meeting participants, the Annual Meeting will be held virtually via live webcast. Although you will not be able to attend the Annual Meeting at a physical location, we have designed the Annual Meeting live webcast to provide shareholders the opportunity to participate virtually to facilitate shareholder attendance and to provide a consistent experience to all shareholders, regardless of location.</w:t>
      </w:r>
    </w:p>
    <w:p>
      <w:pPr>
        <w:spacing w:after="0" w:line="229"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This proxy statement is dated March 19, 2021, and we mailed our shareholders of record as of February 22, 2021 (other than those who previously requested electronic or paper delivery of our proxy materials and certain participants in The Lilly Employee 401(k) plan (401(k) Plan)) a notice of internet availability of proxy materials on or about that date.</w:t>
      </w:r>
    </w:p>
    <w:p>
      <w:pPr>
        <w:sectPr>
          <w:pgSz w:w="11900" w:h="16838" w:orient="portrait"/>
          <w:cols w:equalWidth="0" w:num="1">
            <w:col w:w="11220"/>
          </w:cols>
          <w:pgMar w:left="320" w:top="913" w:right="35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00ABE8"/>
        </w:rPr>
        <w:t>ITEMS OF BUSINESS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Governance</w:t>
      </w:r>
    </w:p>
    <w:p>
      <w:pPr>
        <w:spacing w:after="0" w:line="100" w:lineRule="exact"/>
        <w:rPr>
          <w:sz w:val="20"/>
          <w:szCs w:val="20"/>
          <w:color w:val="auto"/>
        </w:rPr>
      </w:pPr>
    </w:p>
    <w:p>
      <w:pPr>
        <w:ind w:left="180"/>
        <w:spacing w:after="0"/>
        <w:tabs>
          <w:tab w:leader="none" w:pos="700" w:val="left"/>
        </w:tabs>
        <w:rPr>
          <w:sz w:val="20"/>
          <w:szCs w:val="20"/>
          <w:color w:val="auto"/>
        </w:rPr>
      </w:pPr>
      <w:r>
        <w:rPr>
          <w:rFonts w:ascii="Arial" w:cs="Arial" w:eastAsia="Arial" w:hAnsi="Arial"/>
          <w:sz w:val="13"/>
          <w:szCs w:val="13"/>
          <w:b w:val="1"/>
          <w:bCs w:val="1"/>
          <w:color w:val="EE2724"/>
        </w:rPr>
        <w:t>Item 1</w:t>
      </w:r>
      <w:r>
        <w:rPr>
          <w:sz w:val="20"/>
          <w:szCs w:val="20"/>
          <w:color w:val="auto"/>
        </w:rPr>
        <w:tab/>
      </w:r>
      <w:r>
        <w:rPr>
          <w:rFonts w:ascii="Arial" w:cs="Arial" w:eastAsia="Arial" w:hAnsi="Arial"/>
          <w:sz w:val="12"/>
          <w:szCs w:val="12"/>
          <w:color w:val="auto"/>
        </w:rPr>
        <w:t>Election of each of the five director nominees to serve three-year terms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Compensation</w:t>
      </w:r>
    </w:p>
    <w:p>
      <w:pPr>
        <w:spacing w:after="0" w:line="87" w:lineRule="exact"/>
        <w:rPr>
          <w:sz w:val="20"/>
          <w:szCs w:val="20"/>
          <w:color w:val="auto"/>
        </w:rPr>
      </w:pPr>
    </w:p>
    <w:p>
      <w:pPr>
        <w:ind w:left="720" w:hanging="543"/>
        <w:spacing w:after="0" w:line="230" w:lineRule="auto"/>
        <w:tabs>
          <w:tab w:leader="none" w:pos="700" w:val="left"/>
        </w:tabs>
        <w:rPr>
          <w:sz w:val="20"/>
          <w:szCs w:val="20"/>
          <w:color w:val="auto"/>
        </w:rPr>
      </w:pPr>
      <w:r>
        <w:rPr>
          <w:rFonts w:ascii="Arial" w:cs="Arial" w:eastAsia="Arial" w:hAnsi="Arial"/>
          <w:sz w:val="13"/>
          <w:szCs w:val="13"/>
          <w:b w:val="1"/>
          <w:bCs w:val="1"/>
          <w:color w:val="EE2724"/>
        </w:rPr>
        <w:t>Item 2</w:t>
      </w:r>
      <w:r>
        <w:rPr>
          <w:sz w:val="20"/>
          <w:szCs w:val="20"/>
          <w:color w:val="auto"/>
        </w:rPr>
        <w:tab/>
      </w:r>
      <w:r>
        <w:rPr>
          <w:rFonts w:ascii="Arial" w:cs="Arial" w:eastAsia="Arial" w:hAnsi="Arial"/>
          <w:sz w:val="13"/>
          <w:szCs w:val="13"/>
          <w:color w:val="auto"/>
        </w:rPr>
        <w:t>Approval, on an advisory basis, of the compensation paid to the company's named executive officers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Audit Matters</w:t>
      </w:r>
    </w:p>
    <w:p>
      <w:pPr>
        <w:spacing w:after="0" w:line="87" w:lineRule="exact"/>
        <w:rPr>
          <w:sz w:val="20"/>
          <w:szCs w:val="20"/>
          <w:color w:val="auto"/>
        </w:rPr>
      </w:pPr>
    </w:p>
    <w:p>
      <w:pPr>
        <w:ind w:left="720" w:right="120" w:hanging="543"/>
        <w:spacing w:after="0" w:line="230" w:lineRule="auto"/>
        <w:tabs>
          <w:tab w:leader="none" w:pos="700" w:val="left"/>
        </w:tabs>
        <w:rPr>
          <w:sz w:val="20"/>
          <w:szCs w:val="20"/>
          <w:color w:val="auto"/>
        </w:rPr>
      </w:pPr>
      <w:r>
        <w:rPr>
          <w:rFonts w:ascii="Arial" w:cs="Arial" w:eastAsia="Arial" w:hAnsi="Arial"/>
          <w:sz w:val="13"/>
          <w:szCs w:val="13"/>
          <w:b w:val="1"/>
          <w:bCs w:val="1"/>
          <w:color w:val="EE2724"/>
        </w:rPr>
        <w:t>Item 3</w:t>
      </w:r>
      <w:r>
        <w:rPr>
          <w:sz w:val="20"/>
          <w:szCs w:val="20"/>
          <w:color w:val="auto"/>
        </w:rPr>
        <w:tab/>
      </w:r>
      <w:r>
        <w:rPr>
          <w:rFonts w:ascii="Arial" w:cs="Arial" w:eastAsia="Arial" w:hAnsi="Arial"/>
          <w:sz w:val="13"/>
          <w:szCs w:val="13"/>
          <w:color w:val="auto"/>
        </w:rPr>
        <w:t>Ratification of the appointment of Ernst &amp; Young LLP as the independent auditor for 2021</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Management Proposals</w:t>
      </w:r>
    </w:p>
    <w:p>
      <w:pPr>
        <w:spacing w:after="0" w:line="87" w:lineRule="exact"/>
        <w:rPr>
          <w:sz w:val="20"/>
          <w:szCs w:val="20"/>
          <w:color w:val="auto"/>
        </w:rPr>
      </w:pPr>
    </w:p>
    <w:p>
      <w:pPr>
        <w:ind w:left="720" w:right="280" w:hanging="543"/>
        <w:spacing w:after="0" w:line="230" w:lineRule="auto"/>
        <w:tabs>
          <w:tab w:leader="none" w:pos="700" w:val="left"/>
        </w:tabs>
        <w:rPr>
          <w:sz w:val="20"/>
          <w:szCs w:val="20"/>
          <w:color w:val="auto"/>
        </w:rPr>
      </w:pPr>
      <w:r>
        <w:rPr>
          <w:rFonts w:ascii="Arial" w:cs="Arial" w:eastAsia="Arial" w:hAnsi="Arial"/>
          <w:sz w:val="13"/>
          <w:szCs w:val="13"/>
          <w:b w:val="1"/>
          <w:bCs w:val="1"/>
          <w:color w:val="EE2724"/>
        </w:rPr>
        <w:t>Item 4</w:t>
      </w:r>
      <w:r>
        <w:rPr>
          <w:sz w:val="20"/>
          <w:szCs w:val="20"/>
          <w:color w:val="auto"/>
        </w:rPr>
        <w:tab/>
      </w:r>
      <w:r>
        <w:rPr>
          <w:rFonts w:ascii="Arial" w:cs="Arial" w:eastAsia="Arial" w:hAnsi="Arial"/>
          <w:sz w:val="13"/>
          <w:szCs w:val="13"/>
          <w:color w:val="auto"/>
        </w:rPr>
        <w:t>Approval of amendments to the company’s Articles of Incorporation to eliminate the classified board structure</w:t>
      </w:r>
    </w:p>
    <w:p>
      <w:pPr>
        <w:spacing w:after="0" w:line="132" w:lineRule="exact"/>
        <w:rPr>
          <w:sz w:val="20"/>
          <w:szCs w:val="20"/>
          <w:color w:val="auto"/>
        </w:rPr>
      </w:pPr>
    </w:p>
    <w:p>
      <w:pPr>
        <w:ind w:left="720" w:right="280" w:hanging="543"/>
        <w:spacing w:after="0" w:line="230" w:lineRule="auto"/>
        <w:tabs>
          <w:tab w:leader="none" w:pos="700" w:val="left"/>
        </w:tabs>
        <w:rPr>
          <w:sz w:val="20"/>
          <w:szCs w:val="20"/>
          <w:color w:val="auto"/>
        </w:rPr>
      </w:pPr>
      <w:r>
        <w:rPr>
          <w:rFonts w:ascii="Arial" w:cs="Arial" w:eastAsia="Arial" w:hAnsi="Arial"/>
          <w:sz w:val="13"/>
          <w:szCs w:val="13"/>
          <w:b w:val="1"/>
          <w:bCs w:val="1"/>
          <w:color w:val="EE2724"/>
        </w:rPr>
        <w:t>Item 5</w:t>
      </w:r>
      <w:r>
        <w:rPr>
          <w:sz w:val="20"/>
          <w:szCs w:val="20"/>
          <w:color w:val="auto"/>
        </w:rPr>
        <w:tab/>
      </w:r>
      <w:r>
        <w:rPr>
          <w:rFonts w:ascii="Arial" w:cs="Arial" w:eastAsia="Arial" w:hAnsi="Arial"/>
          <w:sz w:val="13"/>
          <w:szCs w:val="13"/>
          <w:color w:val="auto"/>
        </w:rPr>
        <w:t>Approval of amendments to the company’s Articles of Incorporation to eliminate supermajority voting provisions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Shareholder Proposals</w:t>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Arial" w:cs="Arial" w:eastAsia="Arial" w:hAnsi="Arial"/>
                <w:sz w:val="13"/>
                <w:szCs w:val="13"/>
                <w:b w:val="1"/>
                <w:bCs w:val="1"/>
                <w:color w:val="EE2724"/>
              </w:rPr>
              <w:t>Item 6</w:t>
            </w:r>
          </w:p>
        </w:tc>
        <w:tc>
          <w:tcPr>
            <w:tcW w:w="4220" w:type="dxa"/>
            <w:vAlign w:val="bottom"/>
            <w:vMerge w:val="restart"/>
          </w:tcPr>
          <w:p>
            <w:pPr>
              <w:ind w:left="100"/>
              <w:spacing w:after="0"/>
              <w:rPr>
                <w:sz w:val="20"/>
                <w:szCs w:val="20"/>
                <w:color w:val="auto"/>
              </w:rPr>
            </w:pPr>
            <w:r>
              <w:rPr>
                <w:rFonts w:ascii="Arial" w:cs="Arial" w:eastAsia="Arial" w:hAnsi="Arial"/>
                <w:sz w:val="13"/>
                <w:szCs w:val="13"/>
                <w:color w:val="auto"/>
                <w:w w:val="96"/>
              </w:rPr>
              <w:t>Shareholder proposal to disclose direct and indirect lobbying activities and</w:t>
            </w:r>
          </w:p>
        </w:tc>
        <w:tc>
          <w:tcPr>
            <w:tcW w:w="0" w:type="dxa"/>
            <w:vAlign w:val="bottom"/>
          </w:tcPr>
          <w:p>
            <w:pPr>
              <w:spacing w:after="0"/>
              <w:rPr>
                <w:sz w:val="1"/>
                <w:szCs w:val="1"/>
                <w:color w:val="auto"/>
              </w:rPr>
            </w:pPr>
          </w:p>
        </w:tc>
      </w:tr>
      <w:tr>
        <w:trPr>
          <w:trHeight w:val="37"/>
        </w:trPr>
        <w:tc>
          <w:tcPr>
            <w:tcW w:w="440" w:type="dxa"/>
            <w:vAlign w:val="bottom"/>
          </w:tcPr>
          <w:p>
            <w:pPr>
              <w:spacing w:after="0"/>
              <w:rPr>
                <w:sz w:val="3"/>
                <w:szCs w:val="3"/>
                <w:color w:val="auto"/>
              </w:rPr>
            </w:pPr>
          </w:p>
        </w:tc>
        <w:tc>
          <w:tcPr>
            <w:tcW w:w="4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44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expenditures, if properly presented at the meeting</w:t>
            </w:r>
          </w:p>
        </w:tc>
        <w:tc>
          <w:tcPr>
            <w:tcW w:w="0" w:type="dxa"/>
            <w:vAlign w:val="bottom"/>
          </w:tcPr>
          <w:p>
            <w:pPr>
              <w:spacing w:after="0"/>
              <w:rPr>
                <w:sz w:val="1"/>
                <w:szCs w:val="1"/>
                <w:color w:val="auto"/>
              </w:rPr>
            </w:pPr>
          </w:p>
        </w:tc>
      </w:tr>
      <w:tr>
        <w:trPr>
          <w:trHeight w:val="145"/>
        </w:trPr>
        <w:tc>
          <w:tcPr>
            <w:tcW w:w="440" w:type="dxa"/>
            <w:vAlign w:val="bottom"/>
          </w:tcPr>
          <w:p>
            <w:pPr>
              <w:spacing w:after="0" w:line="145" w:lineRule="exact"/>
              <w:rPr>
                <w:sz w:val="20"/>
                <w:szCs w:val="20"/>
                <w:color w:val="auto"/>
              </w:rPr>
            </w:pPr>
            <w:r>
              <w:rPr>
                <w:rFonts w:ascii="Arial" w:cs="Arial" w:eastAsia="Arial" w:hAnsi="Arial"/>
                <w:sz w:val="13"/>
                <w:szCs w:val="13"/>
                <w:b w:val="1"/>
                <w:bCs w:val="1"/>
                <w:color w:val="EE2724"/>
              </w:rPr>
              <w:t>Item 7</w:t>
            </w:r>
          </w:p>
        </w:tc>
        <w:tc>
          <w:tcPr>
            <w:tcW w:w="4220" w:type="dxa"/>
            <w:vAlign w:val="bottom"/>
          </w:tcPr>
          <w:p>
            <w:pPr>
              <w:ind w:left="100"/>
              <w:spacing w:after="0" w:line="145" w:lineRule="exact"/>
              <w:rPr>
                <w:sz w:val="20"/>
                <w:szCs w:val="20"/>
                <w:color w:val="auto"/>
              </w:rPr>
            </w:pPr>
            <w:r>
              <w:rPr>
                <w:rFonts w:ascii="Arial" w:cs="Arial" w:eastAsia="Arial" w:hAnsi="Arial"/>
                <w:sz w:val="13"/>
                <w:szCs w:val="13"/>
                <w:color w:val="auto"/>
              </w:rPr>
              <w:t>Shareholder proposal to amend the bylaws to require an independent</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board chair, if properly presented at the meeting</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20"/>
                <w:szCs w:val="20"/>
                <w:color w:val="auto"/>
              </w:rPr>
            </w:pPr>
            <w:r>
              <w:rPr>
                <w:rFonts w:ascii="Arial" w:cs="Arial" w:eastAsia="Arial" w:hAnsi="Arial"/>
                <w:sz w:val="13"/>
                <w:szCs w:val="13"/>
                <w:b w:val="1"/>
                <w:bCs w:val="1"/>
                <w:color w:val="EE2724"/>
              </w:rPr>
              <w:t>Item 8</w:t>
            </w:r>
          </w:p>
        </w:tc>
        <w:tc>
          <w:tcPr>
            <w:tcW w:w="4220" w:type="dxa"/>
            <w:vAlign w:val="bottom"/>
          </w:tcPr>
          <w:p>
            <w:pPr>
              <w:ind w:left="100"/>
              <w:spacing w:after="0"/>
              <w:rPr>
                <w:sz w:val="20"/>
                <w:szCs w:val="20"/>
                <w:color w:val="auto"/>
              </w:rPr>
            </w:pPr>
            <w:r>
              <w:rPr>
                <w:rFonts w:ascii="Arial" w:cs="Arial" w:eastAsia="Arial" w:hAnsi="Arial"/>
                <w:sz w:val="13"/>
                <w:szCs w:val="13"/>
                <w:color w:val="auto"/>
              </w:rPr>
              <w:t>Shareholder proposal to implement a bonus deferral policy, if properly</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presented at the meeting</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20"/>
                <w:szCs w:val="20"/>
                <w:color w:val="auto"/>
              </w:rPr>
            </w:pPr>
            <w:r>
              <w:rPr>
                <w:rFonts w:ascii="Arial" w:cs="Arial" w:eastAsia="Arial" w:hAnsi="Arial"/>
                <w:sz w:val="13"/>
                <w:szCs w:val="13"/>
                <w:b w:val="1"/>
                <w:bCs w:val="1"/>
                <w:color w:val="EE2724"/>
              </w:rPr>
              <w:t>Item 9</w:t>
            </w:r>
          </w:p>
        </w:tc>
        <w:tc>
          <w:tcPr>
            <w:tcW w:w="4220" w:type="dxa"/>
            <w:vAlign w:val="bottom"/>
          </w:tcPr>
          <w:p>
            <w:pPr>
              <w:ind w:left="100"/>
              <w:spacing w:after="0"/>
              <w:rPr>
                <w:sz w:val="20"/>
                <w:szCs w:val="20"/>
                <w:color w:val="auto"/>
              </w:rPr>
            </w:pPr>
            <w:r>
              <w:rPr>
                <w:rFonts w:ascii="Arial" w:cs="Arial" w:eastAsia="Arial" w:hAnsi="Arial"/>
                <w:sz w:val="13"/>
                <w:szCs w:val="13"/>
                <w:color w:val="auto"/>
              </w:rPr>
              <w:t>Shareholder proposal to disclose clawbacks on executive incentive</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compensation due to misconduct, if properly presented at the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w w:val="96"/>
              </w:rPr>
              <w:t>Board Voting Recommendation</w:t>
            </w:r>
          </w:p>
        </w:tc>
        <w:tc>
          <w:tcPr>
            <w:tcW w:w="12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Page Reference</w:t>
            </w:r>
          </w:p>
        </w:tc>
        <w:tc>
          <w:tcPr>
            <w:tcW w:w="0" w:type="dxa"/>
            <w:vAlign w:val="bottom"/>
          </w:tcPr>
          <w:p>
            <w:pPr>
              <w:spacing w:after="0"/>
              <w:rPr>
                <w:sz w:val="1"/>
                <w:szCs w:val="1"/>
                <w:color w:val="auto"/>
              </w:rPr>
            </w:pPr>
          </w:p>
        </w:tc>
      </w:tr>
      <w:tr>
        <w:trPr>
          <w:trHeight w:val="226"/>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rPr>
              <w:t>FOR</w:t>
            </w:r>
          </w:p>
        </w:tc>
        <w:tc>
          <w:tcPr>
            <w:tcW w:w="1200" w:type="dxa"/>
            <w:vAlign w:val="bottom"/>
            <w:vMerge w:val="restart"/>
          </w:tcPr>
          <w:p>
            <w:pPr>
              <w:jc w:val="center"/>
              <w:ind w:left="197"/>
              <w:spacing w:after="0"/>
              <w:rPr>
                <w:sz w:val="20"/>
                <w:szCs w:val="20"/>
                <w:color w:val="auto"/>
              </w:rPr>
            </w:pPr>
            <w:r>
              <w:rPr>
                <w:rFonts w:ascii="Arial" w:cs="Arial" w:eastAsia="Arial" w:hAnsi="Arial"/>
                <w:sz w:val="13"/>
                <w:szCs w:val="13"/>
                <w:color w:val="auto"/>
                <w:w w:val="96"/>
              </w:rPr>
              <w:t>13</w:t>
            </w:r>
          </w:p>
        </w:tc>
        <w:tc>
          <w:tcPr>
            <w:tcW w:w="0" w:type="dxa"/>
            <w:vAlign w:val="bottom"/>
          </w:tcPr>
          <w:p>
            <w:pPr>
              <w:spacing w:after="0"/>
              <w:rPr>
                <w:sz w:val="1"/>
                <w:szCs w:val="1"/>
                <w:color w:val="auto"/>
              </w:rPr>
            </w:pPr>
          </w:p>
        </w:tc>
      </w:tr>
      <w:tr>
        <w:trPr>
          <w:trHeight w:val="152"/>
        </w:trPr>
        <w:tc>
          <w:tcPr>
            <w:tcW w:w="2120" w:type="dxa"/>
            <w:vAlign w:val="bottom"/>
          </w:tcPr>
          <w:p>
            <w:pPr>
              <w:jc w:val="center"/>
              <w:ind w:right="157"/>
              <w:spacing w:after="0"/>
              <w:rPr>
                <w:sz w:val="20"/>
                <w:szCs w:val="20"/>
                <w:color w:val="auto"/>
              </w:rPr>
            </w:pPr>
            <w:r>
              <w:rPr>
                <w:rFonts w:ascii="Arial" w:cs="Arial" w:eastAsia="Arial" w:hAnsi="Arial"/>
                <w:sz w:val="13"/>
                <w:szCs w:val="13"/>
                <w:color w:val="auto"/>
                <w:w w:val="96"/>
              </w:rPr>
              <w:t>each of the director nominees</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0"/>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rPr>
              <w:t>FOR</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42</w:t>
            </w:r>
          </w:p>
        </w:tc>
        <w:tc>
          <w:tcPr>
            <w:tcW w:w="0" w:type="dxa"/>
            <w:vAlign w:val="bottom"/>
          </w:tcPr>
          <w:p>
            <w:pPr>
              <w:spacing w:after="0"/>
              <w:rPr>
                <w:sz w:val="1"/>
                <w:szCs w:val="1"/>
                <w:color w:val="auto"/>
              </w:rPr>
            </w:pPr>
          </w:p>
        </w:tc>
      </w:tr>
      <w:tr>
        <w:trPr>
          <w:trHeight w:val="675"/>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rPr>
              <w:t>FOR</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74</w:t>
            </w:r>
          </w:p>
        </w:tc>
        <w:tc>
          <w:tcPr>
            <w:tcW w:w="0" w:type="dxa"/>
            <w:vAlign w:val="bottom"/>
          </w:tcPr>
          <w:p>
            <w:pPr>
              <w:spacing w:after="0"/>
              <w:rPr>
                <w:sz w:val="1"/>
                <w:szCs w:val="1"/>
                <w:color w:val="auto"/>
              </w:rPr>
            </w:pPr>
          </w:p>
        </w:tc>
      </w:tr>
      <w:tr>
        <w:trPr>
          <w:trHeight w:val="621"/>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rPr>
              <w:t>FOR</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76</w:t>
            </w:r>
          </w:p>
        </w:tc>
        <w:tc>
          <w:tcPr>
            <w:tcW w:w="0" w:type="dxa"/>
            <w:vAlign w:val="bottom"/>
          </w:tcPr>
          <w:p>
            <w:pPr>
              <w:spacing w:after="0"/>
              <w:rPr>
                <w:sz w:val="1"/>
                <w:szCs w:val="1"/>
                <w:color w:val="auto"/>
              </w:rPr>
            </w:pPr>
          </w:p>
        </w:tc>
      </w:tr>
      <w:tr>
        <w:trPr>
          <w:trHeight w:val="418"/>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rPr>
              <w:t>FOR</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77</w:t>
            </w:r>
          </w:p>
        </w:tc>
        <w:tc>
          <w:tcPr>
            <w:tcW w:w="0" w:type="dxa"/>
            <w:vAlign w:val="bottom"/>
          </w:tcPr>
          <w:p>
            <w:pPr>
              <w:spacing w:after="0"/>
              <w:rPr>
                <w:sz w:val="1"/>
                <w:szCs w:val="1"/>
                <w:color w:val="auto"/>
              </w:rPr>
            </w:pPr>
          </w:p>
        </w:tc>
      </w:tr>
      <w:tr>
        <w:trPr>
          <w:trHeight w:val="675"/>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AGAINST</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78</w:t>
            </w:r>
          </w:p>
        </w:tc>
        <w:tc>
          <w:tcPr>
            <w:tcW w:w="0" w:type="dxa"/>
            <w:vAlign w:val="bottom"/>
          </w:tcPr>
          <w:p>
            <w:pPr>
              <w:spacing w:after="0"/>
              <w:rPr>
                <w:sz w:val="1"/>
                <w:szCs w:val="1"/>
                <w:color w:val="auto"/>
              </w:rPr>
            </w:pPr>
          </w:p>
        </w:tc>
      </w:tr>
      <w:tr>
        <w:trPr>
          <w:trHeight w:val="378"/>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AGAINST</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80</w:t>
            </w:r>
          </w:p>
        </w:tc>
        <w:tc>
          <w:tcPr>
            <w:tcW w:w="0" w:type="dxa"/>
            <w:vAlign w:val="bottom"/>
          </w:tcPr>
          <w:p>
            <w:pPr>
              <w:spacing w:after="0"/>
              <w:rPr>
                <w:sz w:val="1"/>
                <w:szCs w:val="1"/>
                <w:color w:val="auto"/>
              </w:rPr>
            </w:pPr>
          </w:p>
        </w:tc>
      </w:tr>
      <w:tr>
        <w:trPr>
          <w:trHeight w:val="365"/>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AGAINST</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82</w:t>
            </w:r>
          </w:p>
        </w:tc>
        <w:tc>
          <w:tcPr>
            <w:tcW w:w="0" w:type="dxa"/>
            <w:vAlign w:val="bottom"/>
          </w:tcPr>
          <w:p>
            <w:pPr>
              <w:spacing w:after="0"/>
              <w:rPr>
                <w:sz w:val="1"/>
                <w:szCs w:val="1"/>
                <w:color w:val="auto"/>
              </w:rPr>
            </w:pPr>
          </w:p>
        </w:tc>
      </w:tr>
      <w:tr>
        <w:trPr>
          <w:trHeight w:val="365"/>
        </w:trPr>
        <w:tc>
          <w:tcPr>
            <w:tcW w:w="212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AGAINST</w:t>
            </w:r>
          </w:p>
        </w:tc>
        <w:tc>
          <w:tcPr>
            <w:tcW w:w="1200" w:type="dxa"/>
            <w:vAlign w:val="bottom"/>
          </w:tcPr>
          <w:p>
            <w:pPr>
              <w:jc w:val="center"/>
              <w:ind w:left="197"/>
              <w:spacing w:after="0"/>
              <w:rPr>
                <w:sz w:val="20"/>
                <w:szCs w:val="20"/>
                <w:color w:val="auto"/>
              </w:rPr>
            </w:pPr>
            <w:r>
              <w:rPr>
                <w:rFonts w:ascii="Arial" w:cs="Arial" w:eastAsia="Arial" w:hAnsi="Arial"/>
                <w:sz w:val="13"/>
                <w:szCs w:val="13"/>
                <w:color w:val="auto"/>
                <w:w w:val="96"/>
              </w:rPr>
              <w:t>84</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4880" w:space="340"/>
            <w:col w:w="6000"/>
          </w:cols>
          <w:pgMar w:left="320" w:top="913" w:right="35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Admission Procedure for Attending the Annual Meeting</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You will be able to attend the Annual Meeting, vote, and submit questions virtually via live webcast by visiting </w:t>
      </w:r>
      <w:r>
        <w:rPr>
          <w:rFonts w:ascii="Arial" w:cs="Arial" w:eastAsia="Arial" w:hAnsi="Arial"/>
          <w:sz w:val="16"/>
          <w:szCs w:val="16"/>
          <w:color w:val="EE2724"/>
        </w:rPr>
        <w:t>virtualshareholdermeeting.com/LLY2021</w:t>
      </w:r>
      <w:r>
        <w:rPr>
          <w:rFonts w:ascii="Arial" w:cs="Arial" w:eastAsia="Arial" w:hAnsi="Arial"/>
          <w:sz w:val="16"/>
          <w:szCs w:val="16"/>
          <w:color w:val="auto"/>
        </w:rPr>
        <w:t xml:space="preserve">. To be admitted to the Annual Meeting webcast, you must enter the 16-digit control number found on the proxy card, voting instruction form, or notice you received. You may vote during the Annual Meeting by following the instructions available on </w:t>
      </w:r>
      <w:r>
        <w:rPr>
          <w:rFonts w:ascii="Arial" w:cs="Arial" w:eastAsia="Arial" w:hAnsi="Arial"/>
          <w:sz w:val="16"/>
          <w:szCs w:val="16"/>
          <w:color w:val="EE2724"/>
        </w:rPr>
        <w:t>virtualshareholdermeeting.com/LLY2021</w:t>
      </w:r>
      <w:r>
        <w:rPr>
          <w:rFonts w:ascii="Arial" w:cs="Arial" w:eastAsia="Arial" w:hAnsi="Arial"/>
          <w:sz w:val="16"/>
          <w:szCs w:val="16"/>
          <w:color w:val="auto"/>
        </w:rPr>
        <w:t xml:space="preserve"> during the Annual Meeting.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on how to attend the Annual Meeting, see the section titled "Other Information—Meeting and Voting Logistics."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P1</w:t>
      </w:r>
    </w:p>
    <w:p>
      <w:pPr>
        <w:sectPr>
          <w:pgSz w:w="11900" w:h="16838" w:orient="portrait"/>
          <w:cols w:equalWidth="0" w:num="1">
            <w:col w:w="11220"/>
          </w:cols>
          <w:pgMar w:left="320" w:top="913" w:right="359" w:bottom="1440" w:gutter="0" w:footer="0" w:header="0"/>
          <w:type w:val="continuous"/>
        </w:sectPr>
      </w:pPr>
    </w:p>
    <w:bookmarkStart w:id="6" w:name="page7"/>
    <w:bookmarkEnd w:id="6"/>
    <w:p>
      <w:pPr>
        <w:spacing w:after="0" w:line="253" w:lineRule="auto"/>
        <w:rPr>
          <w:sz w:val="20"/>
          <w:szCs w:val="20"/>
          <w:color w:val="auto"/>
        </w:rPr>
      </w:pPr>
      <w:r>
        <w:rPr>
          <w:rFonts w:ascii="Arial" w:cs="Arial" w:eastAsia="Arial" w:hAnsi="Arial"/>
          <w:sz w:val="16"/>
          <w:szCs w:val="16"/>
          <w:color w:val="auto"/>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instructions by mail, so that a quorum may be represented at the meeting.</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 order of the Board of Directors,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Ms. Anat Hakim</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Vice President, General Counsel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and Secretary</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19, 2021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Indianapolis,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P2</w:t>
      </w:r>
    </w:p>
    <w:p>
      <w:pPr>
        <w:sectPr>
          <w:pgSz w:w="11900" w:h="16838" w:orient="portrait"/>
          <w:cols w:equalWidth="0" w:num="1">
            <w:col w:w="11180"/>
          </w:cols>
          <w:pgMar w:left="320" w:top="951" w:right="39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EF3729"/>
        </w:rPr>
        <w:t>Proxy Statement Summary</w:t>
      </w: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New in This Year's Proxy Statement</w:t>
      </w:r>
    </w:p>
    <w:p>
      <w:pPr>
        <w:spacing w:after="0" w:line="3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In response to the COVID-19 pandemic, we focused in 2020 on maintaining a reliable supply of our medicines, reducing the strain on the medical system, protecting the health, safety, and well-being of our employees, supporting our communities, and ensuring affordability of and access to our medicines, particularly insulin. In addition, we have been proud to mobilize our scientific and medical expertise to fight COVID-19. As of February 9, 2021, we have received three emergency use authorizations for our COVID-19 therapies, and we are working diligently to support affected patients, communities, and employees during these challenging times.</w:t>
      </w:r>
    </w:p>
    <w:p>
      <w:pPr>
        <w:spacing w:after="0" w:line="23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we have recently undertaken a comprehensive review of our human capital management initiatives, resources, and progress. In this proxy statement, you will find enhanced disclosure about our approach to human capital management, including diversity and inclusion (D&amp;I), and our governance oversight of these topics. See "Governance—Highlights of the Company’s Corporate Governance—Human Capital Management."</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Effective January 25, 2021, Gabrielle Sulzberger was elected to the board as a member of the director class of 2021. Ms. Sulzberger was appointed to the Audit Committee and the Ethics and Compliance Committee. Effective February 16, 2021, Kimberly H. Johnson was elected to the board as a member of the director class of 2022. Ms. Johnson was appointed to the Compensation Committee and the Ethics and Compliance Committee. Kathi Seifert, who joined the board in 1995, will retire from the board following the Annual Meeting.</w:t>
      </w:r>
    </w:p>
    <w:p>
      <w:pPr>
        <w:spacing w:after="0" w:line="22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Effective January 1, 2021, our board disbanded the Finance Committee and reorganized the Public Policy and Compliance Committee as the Ethics and Compliance Committee. The former duties of the Finance Committee have been reallocated to the full board, the Audit Committee, and the Compensation Committee. This restructuring reduced the number of board committees to allow more time for meetings of the remaining committees, encouraging longer, more in-depth committee discussions, and allowing the board to have more in-depth discussions on capital allocation matters.</w:t>
      </w:r>
    </w:p>
    <w:p>
      <w:pPr>
        <w:spacing w:after="0" w:line="22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Further, as in past years, our board has approved, and recommends that our shareholders approve, two important management proposals at the Annual Meeting. The board recommends approval of amendments to the company’s articles of incorporation to eliminate the classified board structure (see Item 4 herein) and to eliminate supermajority voting provisions (see Item 5 herein). The board believes these two proposals balance shareholder interests and demonstrate its accountability and willingness to take steps that address concerns expressed by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Highlights of 2020 Performance</w:t>
      </w:r>
    </w:p>
    <w:p>
      <w:pPr>
        <w:spacing w:after="0" w:line="18"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The following provides a brief overview of our 2020 performance in four dimensions: operating performance, progress in our innovation pipeline, business development, and shareholder return, both absolute and relative. See our Annual Report on Form 10-K for the fiscal year ended December 31, 2020 for more details.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 continued to progress our company's purpose and strategy in 2020 as we remained focused on:</w:t>
      </w:r>
    </w:p>
    <w:p>
      <w:pPr>
        <w:spacing w:after="0" w:line="235" w:lineRule="exact"/>
        <w:rPr>
          <w:sz w:val="20"/>
          <w:szCs w:val="20"/>
          <w:color w:val="auto"/>
        </w:rPr>
      </w:pPr>
    </w:p>
    <w:p>
      <w:pPr>
        <w:ind w:left="660" w:right="80" w:hanging="328"/>
        <w:spacing w:after="0" w:line="228"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Discovering, acquiring, and developing first- or best-in-class medicines to address significant unmet needs in our core therapeutic areas—diabetes, oncology, immunology, neurodegeneration, and pain;</w:t>
      </w:r>
    </w:p>
    <w:p>
      <w:pPr>
        <w:spacing w:after="0" w:line="1" w:lineRule="exact"/>
        <w:rPr>
          <w:rFonts w:ascii="Arial" w:cs="Arial" w:eastAsia="Arial" w:hAnsi="Arial"/>
          <w:sz w:val="16"/>
          <w:szCs w:val="16"/>
          <w:color w:val="auto"/>
        </w:rPr>
      </w:pPr>
    </w:p>
    <w:p>
      <w:pPr>
        <w:ind w:left="660" w:right="240" w:hanging="328"/>
        <w:spacing w:after="0" w:line="228"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Reaching patients who can benefit from our innovative medicines around the world, directly and through partnership with healthcare systems and collaborators, providing broad access to safe, life-changing medicines;</w:t>
      </w:r>
    </w:p>
    <w:p>
      <w:pPr>
        <w:spacing w:after="0" w:line="1" w:lineRule="exact"/>
        <w:rPr>
          <w:rFonts w:ascii="Arial" w:cs="Arial" w:eastAsia="Arial" w:hAnsi="Arial"/>
          <w:sz w:val="16"/>
          <w:szCs w:val="16"/>
          <w:color w:val="auto"/>
        </w:rPr>
      </w:pPr>
    </w:p>
    <w:p>
      <w:pPr>
        <w:ind w:left="620" w:hanging="288"/>
        <w:spacing w:after="0" w:line="228"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Focusing our time and resources on new medicines that our customers value most, delivering volume-driven sustainable growth; and</w:t>
      </w:r>
    </w:p>
    <w:p>
      <w:pPr>
        <w:ind w:left="660" w:right="740" w:hanging="328"/>
        <w:spacing w:after="0" w:line="242"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Reinvesting in our business and our people to discover new medicines to address unmet medical needs, improve cost productivity, reduce environmental impact and reliably supply quality medicines, while returning capital to shareholders.</w:t>
      </w:r>
    </w:p>
    <w:p>
      <w:pPr>
        <w:spacing w:after="0" w:line="236"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We believe our strategic choices, coupled with robust execution, delivered significant value for shareholders and patients in 2020. We reached over 40 million patients globally with our medicines, expanded our patient support programs, achieved significant pipeline advancements and key data readouts across our core therapeutic areas, leveraged external innovation to expand our pipeline, and delivered high total shareholder returns relative to our peers and the S&amp;P 500 index. The discussion below expands on our considerable success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P3</w:t>
      </w:r>
    </w:p>
    <w:p>
      <w:pPr>
        <w:sectPr>
          <w:pgSz w:w="11900" w:h="16838" w:orient="portrait"/>
          <w:cols w:equalWidth="0" w:num="1">
            <w:col w:w="11240"/>
          </w:cols>
          <w:pgMar w:left="320" w:top="1399"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Operating Performance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Performance highlights:</w:t>
      </w:r>
    </w:p>
    <w:p>
      <w:pPr>
        <w:spacing w:after="0" w:line="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2020 revenue increased 10 percent to approximately $24.5 billion;</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2020 earnings per share (EPS) on a reported basis were $6.79, compared to 2019 EPS on a reported basis of $8.89; and</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 non-GAAP basis, 2020 EPS increased 31 percent to $7.93.</w:t>
      </w:r>
    </w:p>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Reported results were prepared in accordance with U.S. generally accepted accounting principles (GAAP) and include all revenue and expenses recognized during the periods. A reconciliation of EPS on a reported basis to EPS on a non-GAAP basis is included in Appendix 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Innovation and Business Development Progress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We made significant pipeline advances in 2020, including:</w:t>
      </w:r>
    </w:p>
    <w:p>
      <w:pPr>
        <w:spacing w:after="0" w:line="2" w:lineRule="exact"/>
        <w:rPr>
          <w:sz w:val="20"/>
          <w:szCs w:val="20"/>
          <w:color w:val="auto"/>
        </w:rPr>
      </w:pPr>
    </w:p>
    <w:p>
      <w:pPr>
        <w:ind w:left="660" w:right="460" w:hanging="328"/>
        <w:spacing w:after="0" w:line="189"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expanded label for Trulicity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(dulaglutide) to include 3.0 mg and 4.5 mg doses and an updated indication statement to include results from the REWIND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cardiovascular outcomes trial;</w:t>
      </w:r>
    </w:p>
    <w:p>
      <w:pPr>
        <w:ind w:left="660" w:right="120" w:hanging="328"/>
        <w:spacing w:after="0" w:line="223"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Retevmo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(selpercatinib) for the treatment of metastatic non-small cell lung cancer in adult patients; for the treatment of advanced metastatic medullary thyroid cancer who require systemic therapy in adult and pediatric patients; and for the treatment of advanced metastatic thyroid cancer in adult and pediatric patients who require systemic therapy and are radioactive iodin-refractory;</w:t>
      </w:r>
    </w:p>
    <w:p>
      <w:pPr>
        <w:ind w:left="620" w:hanging="288"/>
        <w:spacing w:after="0" w:line="187"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Lyumjev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(insulin lispro-aabc), a rapid-acting human insulin analog for the treatment of diabetes;</w:t>
      </w:r>
    </w:p>
    <w:p>
      <w:pPr>
        <w:ind w:left="660" w:right="220" w:hanging="328"/>
        <w:spacing w:after="0" w:line="246"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new indications for Taltz® (ixekizumab) for the treatment of active non-radiographic axial spondyloarthritis (nr-axSpA) and for the treatment of pediatric patients with moderate to severe plaque psoriasis;</w:t>
      </w:r>
    </w:p>
    <w:p>
      <w:pPr>
        <w:ind w:left="660" w:right="400" w:hanging="328"/>
        <w:spacing w:after="0" w:line="223"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Tauvid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(flortaucipir F 18 injection), a radioactive diagnostic agent, for positron emission tomography imaging of the brain to estimate the density and distribution of aggregated tau neurofibrillary tangles in patients with cognitive impairment who are being evaluated for Alzheimer's disease;</w:t>
      </w:r>
    </w:p>
    <w:p>
      <w:pPr>
        <w:ind w:left="660" w:right="40" w:hanging="328"/>
        <w:spacing w:after="0" w:line="246"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a new indication for Cyramza® (ramucirumab) in combination with erlotinib for the first-line treatment of people with metastatic non-small cell lung cancer; and</w:t>
      </w: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European Union approval of a new indication for Olumiant® (baricitinib) for the treatment of moderate-to-severe atopic dermatitis.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announced several key data readouts in 2020, including:</w:t>
      </w:r>
    </w:p>
    <w:p>
      <w:pPr>
        <w:spacing w:after="0" w:line="5" w:lineRule="exact"/>
        <w:rPr>
          <w:sz w:val="20"/>
          <w:szCs w:val="20"/>
          <w:color w:val="auto"/>
        </w:rPr>
      </w:pPr>
    </w:p>
    <w:p>
      <w:pPr>
        <w:ind w:left="660" w:hanging="328"/>
        <w:spacing w:after="0" w:line="246"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positive top-line results from SURPASS-1, a Phase III monotherapy study evaluating the efficacy and safety of tirzepatide compared to placebo. Tirzepatide led to superior A1C and body weight reductions from baseline in adults with type 2 diabetes after 40 weeks of treatment. Tirzepatide is a novel, investigational, once-weekly, dual glucose-dependent insulinotropic polypeptide (GIP) and glucagon-like peptide-1 (GLP-1) receptor agonist that integrates the actions of both incretins into a single molecule, representing a new class of medicines being studied for the treatment of type 2 diabetes;</w:t>
      </w:r>
    </w:p>
    <w:p>
      <w:pPr>
        <w:spacing w:after="0" w:line="2" w:lineRule="exact"/>
        <w:rPr>
          <w:rFonts w:ascii="Arial" w:cs="Arial" w:eastAsia="Arial" w:hAnsi="Arial"/>
          <w:sz w:val="16"/>
          <w:szCs w:val="16"/>
          <w:color w:val="auto"/>
        </w:rPr>
      </w:pPr>
    </w:p>
    <w:p>
      <w:pPr>
        <w:ind w:left="660" w:right="60" w:hanging="328"/>
        <w:spacing w:after="0" w:line="223"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collaboration with Boehringer Ingelheim, positive top-line results from a Phase III study of Jardiance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(empagliflozin) in adults with heart failure with reduced ejection fraction, with and without diabetes. The study met its primary endpoint, demonstrating superiority with Jardiance compared to placebo in reducing the risk for the composite of cardiovascular death or hospitalization due to heart failure, when added to standard of care;</w:t>
      </w:r>
    </w:p>
    <w:p>
      <w:pPr>
        <w:ind w:left="660" w:right="20" w:hanging="328"/>
        <w:spacing w:after="0" w:line="223"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positive results from a pre-planned interim analysis of monarchE, a Phase III study of Verzenio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(abemaciclib) in combination with standard adjuvant endocrine therapy for early breast cancer. The study met the primary endpoint of invasive disease-free survival, significantly decreasing the risk of breast cancer recurrence or death compared to standard adjuvant ET alone; and</w:t>
      </w:r>
    </w:p>
    <w:p>
      <w:pPr>
        <w:ind w:left="660" w:right="220" w:hanging="328"/>
        <w:spacing w:after="0" w:line="260"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updated data from the LOXO-305 BRUIN Phase I/II clinical trial in mantle cell lymphoma and other non-Hodgkin lymphomas, as well as in chronic lymphocytic leukemia and small lymphocytic lymphoma, at the 2020 American Society of Hematology Annual Meeting.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We also completed multiple significant strategic acquisitions, license agreements, and research collaborations to strengthen our pipeline in 2020, including:</w:t>
      </w:r>
    </w:p>
    <w:p>
      <w:pPr>
        <w:spacing w:after="0" w:line="5" w:lineRule="exact"/>
        <w:rPr>
          <w:sz w:val="20"/>
          <w:szCs w:val="20"/>
          <w:color w:val="auto"/>
        </w:rPr>
      </w:pPr>
    </w:p>
    <w:p>
      <w:pPr>
        <w:ind w:left="660" w:right="260" w:hanging="328"/>
        <w:spacing w:after="0" w:line="246" w:lineRule="auto"/>
        <w:tabs>
          <w:tab w:leader="none" w:pos="622"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acquisition of Dermira, Inc. to expand Lilly's immunology pipeline with the addition of lebrikizumab, which is being evaluated in a Phase III clinical development program for the treatment of moderate to severe atopic dermatitis;</w:t>
      </w:r>
    </w:p>
    <w:p>
      <w:pPr>
        <w:ind w:left="660" w:right="40" w:hanging="328"/>
        <w:spacing w:after="0" w:line="246" w:lineRule="auto"/>
        <w:tabs>
          <w:tab w:leader="none" w:pos="622"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acquisition of Disarm Therapeutics, Inc., a privately held biotechnology company creating a new class of disease-modifying therapeutics for patients with axonal degeneration; and</w:t>
      </w:r>
    </w:p>
    <w:p>
      <w:pPr>
        <w:ind w:left="660" w:right="800" w:hanging="328"/>
        <w:spacing w:after="0" w:line="260" w:lineRule="auto"/>
        <w:tabs>
          <w:tab w:leader="none" w:pos="622" w:val="left"/>
        </w:tabs>
        <w:numPr>
          <w:ilvl w:val="0"/>
          <w:numId w:val="9"/>
        </w:numPr>
        <w:rPr>
          <w:rFonts w:ascii="Arial" w:cs="Arial" w:eastAsia="Arial" w:hAnsi="Arial"/>
          <w:sz w:val="16"/>
          <w:szCs w:val="16"/>
          <w:color w:val="auto"/>
        </w:rPr>
      </w:pPr>
      <w:r>
        <w:rPr>
          <w:rFonts w:ascii="Arial" w:cs="Arial" w:eastAsia="Arial" w:hAnsi="Arial"/>
          <w:sz w:val="16"/>
          <w:szCs w:val="16"/>
          <w:color w:val="auto"/>
        </w:rPr>
        <w:t>participated in, and made a $100 million commitment to, the AMR Action Fund, a $1 billion initiative from more than 20 biopharmaceutical companies to address the urgent need for new antibiotics to combat antimicrobial resistance.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w:t>
      </w:r>
    </w:p>
    <w:p>
      <w:pPr>
        <w:sectPr>
          <w:pgSz w:w="11900" w:h="16838" w:orient="portrait"/>
          <w:cols w:equalWidth="0" w:num="1">
            <w:col w:w="11240"/>
          </w:cols>
          <w:pgMar w:left="320" w:top="1408" w:right="339" w:bottom="1440" w:gutter="0" w:footer="0" w:header="0"/>
        </w:sectPr>
      </w:pPr>
    </w:p>
    <w:bookmarkStart w:id="9" w:name="page10"/>
    <w:bookmarkEnd w:id="9"/>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Given the global COVID-19 pandemic, we also redirected our resources and made significant advancements in COVID-19 therapies in 2020, including:</w:t>
      </w:r>
    </w:p>
    <w:p>
      <w:pPr>
        <w:spacing w:after="0" w:line="5" w:lineRule="exact"/>
        <w:rPr>
          <w:sz w:val="20"/>
          <w:szCs w:val="20"/>
          <w:color w:val="auto"/>
        </w:rPr>
      </w:pPr>
    </w:p>
    <w:p>
      <w:pPr>
        <w:ind w:left="660" w:right="460" w:hanging="328"/>
        <w:spacing w:after="0" w:line="246" w:lineRule="auto"/>
        <w:tabs>
          <w:tab w:leader="none" w:pos="6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collaboration with AbCellera Biologics Inc. (AbCellera), received emergency use authorization from the FDA for bamlanivimab in higher-risk patients who have been recently diagnosed with mild-to-moderate COVID-19;</w:t>
      </w:r>
    </w:p>
    <w:p>
      <w:pPr>
        <w:ind w:left="660" w:right="540" w:hanging="328"/>
        <w:spacing w:after="0" w:line="246" w:lineRule="auto"/>
        <w:tabs>
          <w:tab w:leader="none" w:pos="6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collaboration with Incyte Corporation, received emergency use authorization from the FDA for baricitinib in combination with remdesivir for patients with COVID-19 infection;</w:t>
      </w:r>
    </w:p>
    <w:p>
      <w:pPr>
        <w:ind w:left="660" w:right="440" w:hanging="328"/>
        <w:spacing w:after="0" w:line="246" w:lineRule="auto"/>
        <w:tabs>
          <w:tab w:leader="none" w:pos="6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entered into an agreement with Junshi Biosciences Co., Ltd. to co-develop therapeutic antibodies for the potential prevention and treatment of COVID-19, including etesevimab, the lead antibody from the collaboration;</w:t>
      </w:r>
    </w:p>
    <w:p>
      <w:pPr>
        <w:ind w:left="660" w:right="80" w:hanging="328"/>
        <w:spacing w:after="0" w:line="246" w:lineRule="auto"/>
        <w:tabs>
          <w:tab w:leader="none" w:pos="6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entered into a global antibody manufacturing collaboration with Amgen Inc. to significantly increase the supply capacity available for Lilly's potential COVID-19 therapies; and</w:t>
      </w:r>
    </w:p>
    <w:p>
      <w:pPr>
        <w:jc w:val="both"/>
        <w:ind w:left="660" w:hanging="328"/>
        <w:spacing w:after="0" w:line="260" w:lineRule="auto"/>
        <w:tabs>
          <w:tab w:leader="none" w:pos="6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entered into an agreement with the Bill &amp; Melinda Gates Foundation, as part of the COVID-19 Therapeutics Accelerator, to facilitate access to future Lilly therapeutic antibodies under development for the potential prevention and treatment of COVID-19 to benefit low- and middle-income countries.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Returns</w:t>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generated strong total shareholder returns (TSR) through December 31, 2020. Our TSR takes into account both share price appreciation and dividends. Any dividends paid by a given company are assumed to be reinvested in that company’s stock on a quarterly basis. Our returns significantly exceeded our compensation peer group and the S&amp;P 500 during the three- and five-year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554980" cy="254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Our Response to COVID-19</w:t>
      </w:r>
    </w:p>
    <w:p>
      <w:pPr>
        <w:spacing w:after="0" w:line="18"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As discussed in "Proxy Statement Summary—Highlights of 2020 Performance—2020 Innovation and Business Development Progress," we have made significant advancements in developing potential therapies for COVID-19, including making available the first therapy designed for COVID-19 under an emergency use authorization, and we continue our research and development efforts and our partnership with regulators and governments to bring COVID-19 treatments to patients. In addition to dedicating substantial resources to these efforts, we have prioritized maintaining a reliable supply of and access to our medicines, particularly insulin, reducing the strain on the medical system, protecting the health, safety, and well-being of our employees, and supporting our workforce, affected communities, and patients who need our medicines.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Maintaining Supplies of and Access to Lilly Medicines</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Throughout 2020, we took important steps to protect our manufacturing processes and remained in close communication with key suppliers regarding supplies of raw materials. As a result of our efforts, we were largely able to maintain our normal operations in 2020 and we maintained a steady supply of medicines on which millions of patients rely. We also initiated patient support programs to ensure patients maintained affordable access to their medications, and adjusted how we operate to offer innovative solutions to our customers. We remain committed to working with stakeholders in healthcare systems to help patients get the medicines they need. Specific examples include: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P5</w:t>
      </w:r>
    </w:p>
    <w:p>
      <w:pPr>
        <w:sectPr>
          <w:pgSz w:w="11900" w:h="16838" w:orient="portrait"/>
          <w:cols w:equalWidth="0" w:num="1">
            <w:col w:w="11200"/>
          </w:cols>
          <w:pgMar w:left="320" w:top="1440" w:right="379" w:bottom="1440" w:gutter="0" w:footer="0" w:header="0"/>
        </w:sectPr>
      </w:pPr>
    </w:p>
    <w:bookmarkStart w:id="10" w:name="page11"/>
    <w:bookmarkEnd w:id="10"/>
    <w:p>
      <w:pPr>
        <w:spacing w:after="0" w:line="227" w:lineRule="exact"/>
        <w:rPr>
          <w:sz w:val="20"/>
          <w:szCs w:val="20"/>
          <w:color w:val="auto"/>
        </w:rPr>
      </w:pPr>
    </w:p>
    <w:p>
      <w:pPr>
        <w:ind w:left="660" w:right="40" w:hanging="328"/>
        <w:spacing w:after="0" w:line="228" w:lineRule="auto"/>
        <w:tabs>
          <w:tab w:leader="none" w:pos="6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launched the Insulin Value Program, allowing anyone with commercial insurance and those without insurance to fill their monthly prescription of Lilly insulin for $35; and</w:t>
      </w:r>
    </w:p>
    <w:p>
      <w:pPr>
        <w:spacing w:after="0" w:line="1" w:lineRule="exact"/>
        <w:rPr>
          <w:rFonts w:ascii="Arial" w:cs="Arial" w:eastAsia="Arial" w:hAnsi="Arial"/>
          <w:sz w:val="16"/>
          <w:szCs w:val="16"/>
          <w:color w:val="auto"/>
        </w:rPr>
      </w:pPr>
    </w:p>
    <w:p>
      <w:pPr>
        <w:ind w:left="660" w:right="240" w:hanging="328"/>
        <w:spacing w:after="0" w:line="242" w:lineRule="auto"/>
        <w:tabs>
          <w:tab w:leader="none" w:pos="6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established partnerships with leading diabetes technology companies to integrate their technologies into the solutions we are creating to improve diabetes management.</w:t>
      </w:r>
    </w:p>
    <w:p>
      <w:pPr>
        <w:spacing w:after="0" w:line="22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As a result of the pandemic, we have also accelerated changes to further utilize digital capabilities to run our business efficiently and effectively in a virtual environment. These include decentralizing clinical trials with virtual and more digitally-enabled studies, which could provide increased access to more diverse patient populations. We have also changed our go-to-market strategies, including leveraging omnichannel capabilities and virtual healthcare provider engagement. Although reduced in-person interactions by patients and our employees with the healthcare system has resulted, and may continue to result, in decreased demand for our products, we believe our approach is the appropriate posture as we support healthcare professionals navigating the ongoing COVID-19 pandemic and driving broad vaccination efforts.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Keeping Our Employees Safe and Healthy</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While we have consistently focused on protecting the health and safety of our employees, the COVID-19 pandemic has emphasized the importance of this critical priority. In response to the pandemic, we have taken measures to protect our workforce, maximize social distancing, and inform employees about our policies. For example, we instituted travel restrictions and remote working arrangements for employees whose roles do not require on-site presence.</w:t>
      </w:r>
    </w:p>
    <w:p>
      <w:pPr>
        <w:spacing w:after="0" w:line="224"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 xml:space="preserve">To support employee well-being in the U.S., we enhanced local benefits related to health care, childcare, and time off, and expanded reimbursement for home office ergonomic support expenditures. In the U.S., we provide full coverage for COVID-19 diagnostic testing and treatment, and at our corporate headquarters in Indianapolis, we provide free on-site testing for employees. In addition, as part of our </w:t>
      </w:r>
      <w:r>
        <w:rPr>
          <w:rFonts w:ascii="Arial" w:cs="Arial" w:eastAsia="Arial" w:hAnsi="Arial"/>
          <w:sz w:val="16"/>
          <w:szCs w:val="16"/>
          <w:i w:val="1"/>
          <w:iCs w:val="1"/>
          <w:color w:val="auto"/>
        </w:rPr>
        <w:t>Make it Safe to Thrive</w:t>
      </w:r>
      <w:r>
        <w:rPr>
          <w:rFonts w:ascii="Arial" w:cs="Arial" w:eastAsia="Arial" w:hAnsi="Arial"/>
          <w:sz w:val="16"/>
          <w:szCs w:val="16"/>
          <w:color w:val="auto"/>
        </w:rPr>
        <w:t xml:space="preserve"> program, we partnered with our employee resource groups to offer a series of programs highlighting and addressing challenges faced by ERG members during the COVID-19 pandemic, aiming to build understanding of different experiences and to offer ways to be inclusive.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Our Communities</w:t>
      </w:r>
    </w:p>
    <w:p>
      <w:pPr>
        <w:spacing w:after="0" w:line="2"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To support communities affected by the COVID-19 pandemic, we repurposed specialized labs to conduct free diagnostic testing in our home community of Indianapolis, and we created a drive-through testing facility at our corporate headquarters for essential workers, including healthcare workers and first responders, as well as employees. Lilly’s labs tested samples from more than 90,000 people collected around the state and at the Lilly drive-through facility. Together with the governor of Indiana, the mayor of Indianapolis and other community stakeholders, we launched the #INThisTogether community awareness campaign to provide access to helpful information and to encourage a community-wide commitment to reducing COVID-19 infections.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P6</w:t>
      </w:r>
    </w:p>
    <w:p>
      <w:pPr>
        <w:sectPr>
          <w:pgSz w:w="11900" w:h="16838" w:orient="portrait"/>
          <w:cols w:equalWidth="0" w:num="1">
            <w:col w:w="11220"/>
          </w:cols>
          <w:pgMar w:left="320" w:top="1440" w:right="359" w:bottom="1440" w:gutter="0" w:footer="0" w:header="0"/>
        </w:sectPr>
      </w:pPr>
    </w:p>
    <w:bookmarkStart w:id="11" w:name="page12"/>
    <w:bookmarkEnd w:id="11"/>
    <w:p>
      <w:pPr>
        <w:spacing w:after="0"/>
        <w:rPr>
          <w:sz w:val="20"/>
          <w:szCs w:val="20"/>
          <w:color w:val="auto"/>
        </w:rPr>
      </w:pPr>
      <w:r>
        <w:rPr>
          <w:rFonts w:ascii="Arial" w:cs="Arial" w:eastAsia="Arial" w:hAnsi="Arial"/>
          <w:sz w:val="27"/>
          <w:szCs w:val="27"/>
          <w:b w:val="1"/>
          <w:bCs w:val="1"/>
          <w:color w:val="EF3729"/>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99695</wp:posOffset>
            </wp:positionV>
            <wp:extent cx="7046595"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31686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1: Election of Directors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13</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60" w:type="dxa"/>
            <w:vAlign w:val="bottom"/>
            <w:shd w:val="clear" w:color="auto" w:fill="BFBFBF"/>
          </w:tcPr>
          <w:p>
            <w:pPr>
              <w:spacing w:after="0"/>
              <w:rPr>
                <w:sz w:val="17"/>
                <w:szCs w:val="17"/>
                <w:color w:val="auto"/>
              </w:rPr>
            </w:pPr>
          </w:p>
        </w:tc>
        <w:tc>
          <w:tcPr>
            <w:tcW w:w="3320" w:type="dxa"/>
            <w:vAlign w:val="bottom"/>
            <w:vMerge w:val="restart"/>
            <w:shd w:val="clear" w:color="auto" w:fill="BFBFBF"/>
          </w:tcPr>
          <w:p>
            <w:pPr>
              <w:ind w:left="20"/>
              <w:spacing w:after="0"/>
              <w:rPr>
                <w:sz w:val="20"/>
                <w:szCs w:val="20"/>
                <w:color w:val="auto"/>
              </w:rPr>
            </w:pPr>
            <w:r>
              <w:rPr>
                <w:rFonts w:ascii="Arial" w:cs="Arial" w:eastAsia="Arial" w:hAnsi="Arial"/>
                <w:sz w:val="16"/>
                <w:szCs w:val="16"/>
                <w:b w:val="1"/>
                <w:bCs w:val="1"/>
                <w:color w:val="auto"/>
              </w:rPr>
              <w:t>Name, age* and principal occupation</w:t>
            </w:r>
          </w:p>
        </w:tc>
        <w:tc>
          <w:tcPr>
            <w:tcW w:w="2400" w:type="dxa"/>
            <w:vAlign w:val="bottom"/>
            <w:vMerge w:val="restart"/>
            <w:shd w:val="clear" w:color="auto" w:fill="BFBFBF"/>
          </w:tcPr>
          <w:p>
            <w:pPr>
              <w:ind w:left="160"/>
              <w:spacing w:after="0"/>
              <w:rPr>
                <w:sz w:val="20"/>
                <w:szCs w:val="20"/>
                <w:color w:val="auto"/>
              </w:rPr>
            </w:pPr>
            <w:r>
              <w:rPr>
                <w:rFonts w:ascii="Arial" w:cs="Arial" w:eastAsia="Arial" w:hAnsi="Arial"/>
                <w:sz w:val="16"/>
                <w:szCs w:val="16"/>
                <w:b w:val="1"/>
                <w:bCs w:val="1"/>
                <w:color w:val="auto"/>
              </w:rPr>
              <w:t>Public boards</w:t>
            </w:r>
          </w:p>
        </w:tc>
        <w:tc>
          <w:tcPr>
            <w:tcW w:w="1860" w:type="dxa"/>
            <w:vAlign w:val="bottom"/>
            <w:shd w:val="clear" w:color="auto" w:fill="BFBFBF"/>
          </w:tcPr>
          <w:p>
            <w:pPr>
              <w:jc w:val="center"/>
              <w:spacing w:after="0"/>
              <w:rPr>
                <w:sz w:val="20"/>
                <w:szCs w:val="20"/>
                <w:color w:val="auto"/>
              </w:rPr>
            </w:pPr>
            <w:r>
              <w:rPr>
                <w:rFonts w:ascii="Arial" w:cs="Arial" w:eastAsia="Arial" w:hAnsi="Arial"/>
                <w:sz w:val="16"/>
                <w:szCs w:val="16"/>
                <w:b w:val="1"/>
                <w:bCs w:val="1"/>
                <w:color w:val="00ABE8"/>
              </w:rPr>
              <w:t>Management</w:t>
            </w:r>
          </w:p>
        </w:tc>
        <w:tc>
          <w:tcPr>
            <w:tcW w:w="1680" w:type="dxa"/>
            <w:vAlign w:val="bottom"/>
            <w:shd w:val="clear" w:color="auto" w:fill="BFBFBF"/>
          </w:tcPr>
          <w:p>
            <w:pPr>
              <w:ind w:left="300"/>
              <w:spacing w:after="0"/>
              <w:rPr>
                <w:sz w:val="20"/>
                <w:szCs w:val="20"/>
                <w:color w:val="auto"/>
              </w:rPr>
            </w:pPr>
            <w:r>
              <w:rPr>
                <w:rFonts w:ascii="Arial" w:cs="Arial" w:eastAsia="Arial" w:hAnsi="Arial"/>
                <w:sz w:val="16"/>
                <w:szCs w:val="16"/>
                <w:b w:val="1"/>
                <w:bCs w:val="1"/>
                <w:color w:val="00ABE8"/>
              </w:rPr>
              <w:t>Vote required</w:t>
            </w:r>
          </w:p>
        </w:tc>
        <w:tc>
          <w:tcPr>
            <w:tcW w:w="0" w:type="dxa"/>
            <w:vAlign w:val="bottom"/>
          </w:tcPr>
          <w:p>
            <w:pPr>
              <w:spacing w:after="0"/>
              <w:rPr>
                <w:sz w:val="1"/>
                <w:szCs w:val="1"/>
                <w:color w:val="auto"/>
              </w:rPr>
            </w:pPr>
          </w:p>
        </w:tc>
      </w:tr>
      <w:tr>
        <w:trPr>
          <w:trHeight w:val="120"/>
        </w:trPr>
        <w:tc>
          <w:tcPr>
            <w:tcW w:w="1860" w:type="dxa"/>
            <w:vAlign w:val="bottom"/>
            <w:shd w:val="clear" w:color="auto" w:fill="BFBFBF"/>
          </w:tcPr>
          <w:p>
            <w:pPr>
              <w:spacing w:after="0"/>
              <w:rPr>
                <w:sz w:val="10"/>
                <w:szCs w:val="10"/>
                <w:color w:val="auto"/>
              </w:rPr>
            </w:pPr>
          </w:p>
        </w:tc>
        <w:tc>
          <w:tcPr>
            <w:tcW w:w="3320" w:type="dxa"/>
            <w:vAlign w:val="bottom"/>
            <w:vMerge w:val="continue"/>
            <w:shd w:val="clear" w:color="auto" w:fill="BFBFBF"/>
          </w:tcPr>
          <w:p>
            <w:pPr>
              <w:spacing w:after="0"/>
              <w:rPr>
                <w:sz w:val="10"/>
                <w:szCs w:val="10"/>
                <w:color w:val="auto"/>
              </w:rPr>
            </w:pPr>
          </w:p>
        </w:tc>
        <w:tc>
          <w:tcPr>
            <w:tcW w:w="2400" w:type="dxa"/>
            <w:vAlign w:val="bottom"/>
            <w:vMerge w:val="continue"/>
            <w:shd w:val="clear" w:color="auto" w:fill="BFBFBF"/>
          </w:tcPr>
          <w:p>
            <w:pPr>
              <w:spacing w:after="0"/>
              <w:rPr>
                <w:sz w:val="10"/>
                <w:szCs w:val="10"/>
                <w:color w:val="auto"/>
              </w:rPr>
            </w:pPr>
          </w:p>
        </w:tc>
        <w:tc>
          <w:tcPr>
            <w:tcW w:w="1860" w:type="dxa"/>
            <w:vAlign w:val="bottom"/>
            <w:vMerge w:val="restart"/>
            <w:shd w:val="clear" w:color="auto" w:fill="BFBFBF"/>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680" w:type="dxa"/>
            <w:vAlign w:val="bottom"/>
            <w:vMerge w:val="restart"/>
            <w:shd w:val="clear" w:color="auto" w:fill="BFBFBF"/>
          </w:tcPr>
          <w:p>
            <w:pPr>
              <w:jc w:val="center"/>
              <w:spacing w:after="0"/>
              <w:rPr>
                <w:sz w:val="20"/>
                <w:szCs w:val="20"/>
                <w:color w:val="auto"/>
              </w:rPr>
            </w:pPr>
            <w:r>
              <w:rPr>
                <w:rFonts w:ascii="Arial" w:cs="Arial" w:eastAsia="Arial" w:hAnsi="Arial"/>
                <w:sz w:val="16"/>
                <w:szCs w:val="16"/>
                <w:b w:val="1"/>
                <w:bCs w:val="1"/>
                <w:color w:val="00ABE8"/>
                <w:w w:val="99"/>
              </w:rPr>
              <w:t>to pass</w:t>
            </w:r>
          </w:p>
        </w:tc>
        <w:tc>
          <w:tcPr>
            <w:tcW w:w="0" w:type="dxa"/>
            <w:vAlign w:val="bottom"/>
          </w:tcPr>
          <w:p>
            <w:pPr>
              <w:spacing w:after="0"/>
              <w:rPr>
                <w:sz w:val="1"/>
                <w:szCs w:val="1"/>
                <w:color w:val="auto"/>
              </w:rPr>
            </w:pPr>
          </w:p>
        </w:tc>
      </w:tr>
      <w:tr>
        <w:trPr>
          <w:trHeight w:val="114"/>
        </w:trPr>
        <w:tc>
          <w:tcPr>
            <w:tcW w:w="1860" w:type="dxa"/>
            <w:vAlign w:val="bottom"/>
            <w:shd w:val="clear" w:color="auto" w:fill="BFBFBF"/>
          </w:tcPr>
          <w:p>
            <w:pPr>
              <w:spacing w:after="0"/>
              <w:rPr>
                <w:sz w:val="9"/>
                <w:szCs w:val="9"/>
                <w:color w:val="auto"/>
              </w:rPr>
            </w:pPr>
          </w:p>
        </w:tc>
        <w:tc>
          <w:tcPr>
            <w:tcW w:w="3320" w:type="dxa"/>
            <w:vAlign w:val="bottom"/>
            <w:shd w:val="clear" w:color="auto" w:fill="BFBFBF"/>
          </w:tcPr>
          <w:p>
            <w:pPr>
              <w:spacing w:after="0"/>
              <w:rPr>
                <w:sz w:val="9"/>
                <w:szCs w:val="9"/>
                <w:color w:val="auto"/>
              </w:rPr>
            </w:pPr>
          </w:p>
        </w:tc>
        <w:tc>
          <w:tcPr>
            <w:tcW w:w="2400" w:type="dxa"/>
            <w:vAlign w:val="bottom"/>
            <w:shd w:val="clear" w:color="auto" w:fill="BFBFBF"/>
          </w:tcPr>
          <w:p>
            <w:pPr>
              <w:spacing w:after="0"/>
              <w:rPr>
                <w:sz w:val="9"/>
                <w:szCs w:val="9"/>
                <w:color w:val="auto"/>
              </w:rPr>
            </w:pPr>
          </w:p>
        </w:tc>
        <w:tc>
          <w:tcPr>
            <w:tcW w:w="1860" w:type="dxa"/>
            <w:vAlign w:val="bottom"/>
            <w:vMerge w:val="continue"/>
            <w:shd w:val="clear" w:color="auto" w:fill="BFBFBF"/>
          </w:tcPr>
          <w:p>
            <w:pPr>
              <w:spacing w:after="0"/>
              <w:rPr>
                <w:sz w:val="9"/>
                <w:szCs w:val="9"/>
                <w:color w:val="auto"/>
              </w:rPr>
            </w:pPr>
          </w:p>
        </w:tc>
        <w:tc>
          <w:tcPr>
            <w:tcW w:w="1680" w:type="dxa"/>
            <w:vAlign w:val="bottom"/>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86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Katherine Baicker, Ph.D., 49</w:t>
            </w:r>
          </w:p>
        </w:tc>
        <w:tc>
          <w:tcPr>
            <w:tcW w:w="2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Dean and Professor, Harris School of Public Policy,</w:t>
            </w: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3320" w:type="dxa"/>
            <w:vAlign w:val="bottom"/>
          </w:tcPr>
          <w:p>
            <w:pPr>
              <w:ind w:left="20"/>
              <w:spacing w:after="0"/>
              <w:rPr>
                <w:sz w:val="20"/>
                <w:szCs w:val="20"/>
                <w:color w:val="auto"/>
              </w:rPr>
            </w:pPr>
            <w:r>
              <w:rPr>
                <w:rFonts w:ascii="Arial" w:cs="Arial" w:eastAsia="Arial" w:hAnsi="Arial"/>
                <w:sz w:val="13"/>
                <w:szCs w:val="13"/>
                <w:color w:val="auto"/>
              </w:rPr>
              <w:t>University of Chicago</w:t>
            </w:r>
          </w:p>
        </w:tc>
        <w:tc>
          <w:tcPr>
            <w:tcW w:w="2400" w:type="dxa"/>
            <w:vAlign w:val="bottom"/>
            <w:vMerge w:val="restart"/>
          </w:tcPr>
          <w:p>
            <w:pPr>
              <w:ind w:left="160"/>
              <w:spacing w:after="0"/>
              <w:rPr>
                <w:sz w:val="20"/>
                <w:szCs w:val="20"/>
                <w:color w:val="auto"/>
              </w:rPr>
            </w:pPr>
            <w:r>
              <w:rPr>
                <w:rFonts w:ascii="Arial" w:cs="Arial" w:eastAsia="Arial" w:hAnsi="Arial"/>
                <w:sz w:val="13"/>
                <w:szCs w:val="13"/>
                <w:color w:val="auto"/>
              </w:rPr>
              <w:t>HMS Holdings Corp.</w:t>
            </w: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Director since 2011</w:t>
            </w:r>
          </w:p>
        </w:tc>
        <w:tc>
          <w:tcPr>
            <w:tcW w:w="240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860" w:type="dxa"/>
            <w:vAlign w:val="bottom"/>
          </w:tcPr>
          <w:p>
            <w:pPr>
              <w:spacing w:after="0"/>
              <w:rPr>
                <w:sz w:val="3"/>
                <w:szCs w:val="3"/>
                <w:color w:val="auto"/>
              </w:rPr>
            </w:pPr>
          </w:p>
        </w:tc>
        <w:tc>
          <w:tcPr>
            <w:tcW w:w="3320" w:type="dxa"/>
            <w:vAlign w:val="bottom"/>
            <w:vMerge w:val="continue"/>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1"/>
        </w:trPr>
        <w:tc>
          <w:tcPr>
            <w:tcW w:w="1860" w:type="dxa"/>
            <w:vAlign w:val="bottom"/>
          </w:tcPr>
          <w:p>
            <w:pPr>
              <w:spacing w:after="0"/>
              <w:rPr>
                <w:sz w:val="24"/>
                <w:szCs w:val="24"/>
                <w:color w:val="auto"/>
              </w:rPr>
            </w:pPr>
          </w:p>
        </w:tc>
        <w:tc>
          <w:tcPr>
            <w:tcW w:w="3320" w:type="dxa"/>
            <w:vAlign w:val="bottom"/>
            <w:tcBorders>
              <w:bottom w:val="single" w:sz="8" w:color="C8C9CB"/>
            </w:tcBorders>
          </w:tcPr>
          <w:p>
            <w:pPr>
              <w:spacing w:after="0"/>
              <w:rPr>
                <w:sz w:val="24"/>
                <w:szCs w:val="24"/>
                <w:color w:val="auto"/>
              </w:rPr>
            </w:pPr>
          </w:p>
        </w:tc>
        <w:tc>
          <w:tcPr>
            <w:tcW w:w="2400" w:type="dxa"/>
            <w:vAlign w:val="bottom"/>
            <w:tcBorders>
              <w:bottom w:val="single" w:sz="8" w:color="C8C9CB"/>
            </w:tcBorders>
          </w:tcPr>
          <w:p>
            <w:pPr>
              <w:spacing w:after="0"/>
              <w:rPr>
                <w:sz w:val="24"/>
                <w:szCs w:val="24"/>
                <w:color w:val="auto"/>
              </w:rPr>
            </w:pPr>
          </w:p>
        </w:tc>
        <w:tc>
          <w:tcPr>
            <w:tcW w:w="1860" w:type="dxa"/>
            <w:vAlign w:val="bottom"/>
            <w:tcBorders>
              <w:bottom w:val="single" w:sz="8" w:color="C8C9CB"/>
            </w:tcBorders>
          </w:tcPr>
          <w:p>
            <w:pPr>
              <w:spacing w:after="0"/>
              <w:rPr>
                <w:sz w:val="24"/>
                <w:szCs w:val="24"/>
                <w:color w:val="auto"/>
              </w:rPr>
            </w:pPr>
          </w:p>
        </w:tc>
        <w:tc>
          <w:tcPr>
            <w:tcW w:w="1680" w:type="dxa"/>
            <w:vAlign w:val="bottom"/>
            <w:tcBorders>
              <w:bottom w:val="single" w:sz="8" w:color="C8C9CB"/>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4"/>
                <w:szCs w:val="24"/>
                <w:color w:val="auto"/>
              </w:rPr>
            </w:pPr>
          </w:p>
        </w:tc>
        <w:tc>
          <w:tcPr>
            <w:tcW w:w="33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auto"/>
              </w:rPr>
              <w:t>J. Erik Fyrwald, 61</w:t>
            </w:r>
          </w:p>
        </w:tc>
        <w:tc>
          <w:tcPr>
            <w:tcW w:w="2400" w:type="dxa"/>
            <w:vAlign w:val="bottom"/>
            <w:shd w:val="clear" w:color="auto" w:fill="F4F6F6"/>
          </w:tcPr>
          <w:p>
            <w:pPr>
              <w:spacing w:after="0"/>
              <w:rPr>
                <w:sz w:val="24"/>
                <w:szCs w:val="24"/>
                <w:color w:val="auto"/>
              </w:rPr>
            </w:pPr>
          </w:p>
        </w:tc>
        <w:tc>
          <w:tcPr>
            <w:tcW w:w="1860" w:type="dxa"/>
            <w:vAlign w:val="bottom"/>
            <w:shd w:val="clear" w:color="auto" w:fill="F4F6F6"/>
          </w:tcPr>
          <w:p>
            <w:pPr>
              <w:spacing w:after="0"/>
              <w:rPr>
                <w:sz w:val="24"/>
                <w:szCs w:val="24"/>
                <w:color w:val="auto"/>
              </w:rPr>
            </w:pPr>
          </w:p>
        </w:tc>
        <w:tc>
          <w:tcPr>
            <w:tcW w:w="1680" w:type="dxa"/>
            <w:vAlign w:val="bottom"/>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3320" w:type="dxa"/>
            <w:vAlign w:val="bottom"/>
            <w:shd w:val="clear" w:color="auto" w:fill="F4F6F6"/>
          </w:tcPr>
          <w:p>
            <w:pPr>
              <w:ind w:left="20"/>
              <w:spacing w:after="0"/>
              <w:rPr>
                <w:sz w:val="20"/>
                <w:szCs w:val="20"/>
                <w:color w:val="auto"/>
              </w:rPr>
            </w:pPr>
            <w:r>
              <w:rPr>
                <w:rFonts w:ascii="Arial" w:cs="Arial" w:eastAsia="Arial" w:hAnsi="Arial"/>
                <w:sz w:val="13"/>
                <w:szCs w:val="13"/>
                <w:color w:val="auto"/>
              </w:rPr>
              <w:t>President and Chief Executive Officer, Syngenta AG</w:t>
            </w:r>
          </w:p>
        </w:tc>
        <w:tc>
          <w:tcPr>
            <w:tcW w:w="2400" w:type="dxa"/>
            <w:vAlign w:val="bottom"/>
            <w:shd w:val="clear" w:color="auto" w:fill="F4F6F6"/>
          </w:tcPr>
          <w:p>
            <w:pPr>
              <w:spacing w:after="0"/>
              <w:rPr>
                <w:sz w:val="14"/>
                <w:szCs w:val="14"/>
                <w:color w:val="auto"/>
              </w:rPr>
            </w:pPr>
          </w:p>
        </w:tc>
        <w:tc>
          <w:tcPr>
            <w:tcW w:w="1860" w:type="dxa"/>
            <w:vAlign w:val="bottom"/>
            <w:shd w:val="clear" w:color="auto" w:fill="F4F6F6"/>
          </w:tcPr>
          <w:p>
            <w:pPr>
              <w:spacing w:after="0"/>
              <w:rPr>
                <w:sz w:val="14"/>
                <w:szCs w:val="14"/>
                <w:color w:val="auto"/>
              </w:rPr>
            </w:pPr>
          </w:p>
        </w:tc>
        <w:tc>
          <w:tcPr>
            <w:tcW w:w="168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3320" w:type="dxa"/>
            <w:vAlign w:val="bottom"/>
            <w:shd w:val="clear" w:color="auto" w:fill="F4F6F6"/>
          </w:tcPr>
          <w:p>
            <w:pPr>
              <w:spacing w:after="0"/>
              <w:rPr>
                <w:sz w:val="11"/>
                <w:szCs w:val="11"/>
                <w:color w:val="auto"/>
              </w:rPr>
            </w:pPr>
          </w:p>
        </w:tc>
        <w:tc>
          <w:tcPr>
            <w:tcW w:w="2400" w:type="dxa"/>
            <w:vAlign w:val="bottom"/>
            <w:vMerge w:val="restart"/>
            <w:shd w:val="clear" w:color="auto" w:fill="F4F6F6"/>
          </w:tcPr>
          <w:p>
            <w:pPr>
              <w:ind w:left="160"/>
              <w:spacing w:after="0"/>
              <w:rPr>
                <w:sz w:val="20"/>
                <w:szCs w:val="20"/>
                <w:color w:val="auto"/>
              </w:rPr>
            </w:pPr>
            <w:r>
              <w:rPr>
                <w:rFonts w:ascii="Arial" w:cs="Arial" w:eastAsia="Arial" w:hAnsi="Arial"/>
                <w:sz w:val="13"/>
                <w:szCs w:val="13"/>
                <w:color w:val="auto"/>
              </w:rPr>
              <w:t>Bunge Limited</w:t>
            </w:r>
          </w:p>
        </w:tc>
        <w:tc>
          <w:tcPr>
            <w:tcW w:w="186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680" w:type="dxa"/>
            <w:vAlign w:val="bottom"/>
            <w:vMerge w:val="continue"/>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3320" w:type="dxa"/>
            <w:vAlign w:val="bottom"/>
            <w:vMerge w:val="restart"/>
            <w:shd w:val="clear" w:color="auto" w:fill="F4F6F6"/>
          </w:tcPr>
          <w:p>
            <w:pPr>
              <w:ind w:left="20"/>
              <w:spacing w:after="0"/>
              <w:rPr>
                <w:sz w:val="20"/>
                <w:szCs w:val="20"/>
                <w:color w:val="auto"/>
              </w:rPr>
            </w:pPr>
            <w:r>
              <w:rPr>
                <w:rFonts w:ascii="Arial" w:cs="Arial" w:eastAsia="Arial" w:hAnsi="Arial"/>
                <w:sz w:val="13"/>
                <w:szCs w:val="13"/>
                <w:color w:val="auto"/>
              </w:rPr>
              <w:t>Director since 2005</w:t>
            </w:r>
          </w:p>
        </w:tc>
        <w:tc>
          <w:tcPr>
            <w:tcW w:w="2400" w:type="dxa"/>
            <w:vAlign w:val="bottom"/>
            <w:vMerge w:val="continue"/>
            <w:shd w:val="clear" w:color="auto" w:fill="F4F6F6"/>
          </w:tcPr>
          <w:p>
            <w:pPr>
              <w:spacing w:after="0"/>
              <w:rPr>
                <w:sz w:val="11"/>
                <w:szCs w:val="11"/>
                <w:color w:val="auto"/>
              </w:rPr>
            </w:pPr>
          </w:p>
        </w:tc>
        <w:tc>
          <w:tcPr>
            <w:tcW w:w="1860" w:type="dxa"/>
            <w:vAlign w:val="bottom"/>
            <w:vMerge w:val="continue"/>
            <w:shd w:val="clear" w:color="auto" w:fill="F4F6F6"/>
          </w:tcPr>
          <w:p>
            <w:pPr>
              <w:spacing w:after="0"/>
              <w:rPr>
                <w:sz w:val="11"/>
                <w:szCs w:val="11"/>
                <w:color w:val="auto"/>
              </w:rPr>
            </w:pPr>
          </w:p>
        </w:tc>
        <w:tc>
          <w:tcPr>
            <w:tcW w:w="168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3320" w:type="dxa"/>
            <w:vAlign w:val="bottom"/>
            <w:vMerge w:val="continue"/>
            <w:shd w:val="clear" w:color="auto" w:fill="F4F6F6"/>
          </w:tcPr>
          <w:p>
            <w:pPr>
              <w:spacing w:after="0"/>
              <w:rPr>
                <w:sz w:val="7"/>
                <w:szCs w:val="7"/>
                <w:color w:val="auto"/>
              </w:rPr>
            </w:pPr>
          </w:p>
        </w:tc>
        <w:tc>
          <w:tcPr>
            <w:tcW w:w="2400" w:type="dxa"/>
            <w:vAlign w:val="bottom"/>
            <w:shd w:val="clear" w:color="auto" w:fill="F4F6F6"/>
          </w:tcPr>
          <w:p>
            <w:pPr>
              <w:spacing w:after="0"/>
              <w:rPr>
                <w:sz w:val="7"/>
                <w:szCs w:val="7"/>
                <w:color w:val="auto"/>
              </w:rPr>
            </w:pPr>
          </w:p>
        </w:tc>
        <w:tc>
          <w:tcPr>
            <w:tcW w:w="1860" w:type="dxa"/>
            <w:vAlign w:val="bottom"/>
            <w:shd w:val="clear" w:color="auto" w:fill="F4F6F6"/>
          </w:tcPr>
          <w:p>
            <w:pPr>
              <w:spacing w:after="0"/>
              <w:rPr>
                <w:sz w:val="7"/>
                <w:szCs w:val="7"/>
                <w:color w:val="auto"/>
              </w:rPr>
            </w:pPr>
          </w:p>
        </w:tc>
        <w:tc>
          <w:tcPr>
            <w:tcW w:w="1680" w:type="dxa"/>
            <w:vAlign w:val="bottom"/>
            <w:vMerge w:val="continue"/>
            <w:shd w:val="clear" w:color="auto" w:fill="F4F6F6"/>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860" w:type="dxa"/>
            <w:vAlign w:val="bottom"/>
          </w:tcPr>
          <w:p>
            <w:pPr>
              <w:spacing w:after="0"/>
              <w:rPr>
                <w:sz w:val="3"/>
                <w:szCs w:val="3"/>
                <w:color w:val="auto"/>
              </w:rPr>
            </w:pPr>
          </w:p>
        </w:tc>
        <w:tc>
          <w:tcPr>
            <w:tcW w:w="3320" w:type="dxa"/>
            <w:vAlign w:val="bottom"/>
            <w:vMerge w:val="continue"/>
            <w:shd w:val="clear" w:color="auto" w:fill="F4F6F6"/>
          </w:tcPr>
          <w:p>
            <w:pPr>
              <w:spacing w:after="0"/>
              <w:rPr>
                <w:sz w:val="3"/>
                <w:szCs w:val="3"/>
                <w:color w:val="auto"/>
              </w:rPr>
            </w:pPr>
          </w:p>
        </w:tc>
        <w:tc>
          <w:tcPr>
            <w:tcW w:w="2400" w:type="dxa"/>
            <w:vAlign w:val="bottom"/>
            <w:shd w:val="clear" w:color="auto" w:fill="F4F6F6"/>
          </w:tcPr>
          <w:p>
            <w:pPr>
              <w:spacing w:after="0"/>
              <w:rPr>
                <w:sz w:val="3"/>
                <w:szCs w:val="3"/>
                <w:color w:val="auto"/>
              </w:rPr>
            </w:pPr>
          </w:p>
        </w:tc>
        <w:tc>
          <w:tcPr>
            <w:tcW w:w="1860" w:type="dxa"/>
            <w:vAlign w:val="bottom"/>
            <w:shd w:val="clear" w:color="auto" w:fill="F4F6F6"/>
          </w:tcPr>
          <w:p>
            <w:pPr>
              <w:spacing w:after="0"/>
              <w:rPr>
                <w:sz w:val="3"/>
                <w:szCs w:val="3"/>
                <w:color w:val="auto"/>
              </w:rPr>
            </w:pPr>
          </w:p>
        </w:tc>
        <w:tc>
          <w:tcPr>
            <w:tcW w:w="1680" w:type="dxa"/>
            <w:vAlign w:val="bottom"/>
            <w:shd w:val="clear" w:color="auto" w:fill="F4F6F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1"/>
        </w:trPr>
        <w:tc>
          <w:tcPr>
            <w:tcW w:w="1860" w:type="dxa"/>
            <w:vAlign w:val="bottom"/>
          </w:tcPr>
          <w:p>
            <w:pPr>
              <w:spacing w:after="0"/>
              <w:rPr>
                <w:sz w:val="24"/>
                <w:szCs w:val="24"/>
                <w:color w:val="auto"/>
              </w:rPr>
            </w:pPr>
          </w:p>
        </w:tc>
        <w:tc>
          <w:tcPr>
            <w:tcW w:w="3320" w:type="dxa"/>
            <w:vAlign w:val="bottom"/>
            <w:tcBorders>
              <w:bottom w:val="single" w:sz="8" w:color="C8C9CB"/>
            </w:tcBorders>
            <w:shd w:val="clear" w:color="auto" w:fill="F4F6F6"/>
          </w:tcPr>
          <w:p>
            <w:pPr>
              <w:spacing w:after="0"/>
              <w:rPr>
                <w:sz w:val="24"/>
                <w:szCs w:val="24"/>
                <w:color w:val="auto"/>
              </w:rPr>
            </w:pPr>
          </w:p>
        </w:tc>
        <w:tc>
          <w:tcPr>
            <w:tcW w:w="2400" w:type="dxa"/>
            <w:vAlign w:val="bottom"/>
            <w:tcBorders>
              <w:bottom w:val="single" w:sz="8" w:color="C8C9CB"/>
            </w:tcBorders>
            <w:shd w:val="clear" w:color="auto" w:fill="F4F6F6"/>
          </w:tcPr>
          <w:p>
            <w:pPr>
              <w:spacing w:after="0"/>
              <w:rPr>
                <w:sz w:val="24"/>
                <w:szCs w:val="24"/>
                <w:color w:val="auto"/>
              </w:rPr>
            </w:pPr>
          </w:p>
        </w:tc>
        <w:tc>
          <w:tcPr>
            <w:tcW w:w="1860" w:type="dxa"/>
            <w:vAlign w:val="bottom"/>
            <w:tcBorders>
              <w:bottom w:val="single" w:sz="8" w:color="C8C9CB"/>
            </w:tcBorders>
            <w:shd w:val="clear" w:color="auto" w:fill="F4F6F6"/>
          </w:tcPr>
          <w:p>
            <w:pPr>
              <w:spacing w:after="0"/>
              <w:rPr>
                <w:sz w:val="24"/>
                <w:szCs w:val="24"/>
                <w:color w:val="auto"/>
              </w:rPr>
            </w:pPr>
          </w:p>
        </w:tc>
        <w:tc>
          <w:tcPr>
            <w:tcW w:w="1680" w:type="dxa"/>
            <w:vAlign w:val="bottom"/>
            <w:tcBorders>
              <w:bottom w:val="single" w:sz="8" w:color="C8C9CB"/>
            </w:tcBorders>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Jamere Jackson, 52</w:t>
            </w:r>
          </w:p>
        </w:tc>
        <w:tc>
          <w:tcPr>
            <w:tcW w:w="2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Executive Vice President and Chief Financial Officer,</w:t>
            </w: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3"/>
                <w:szCs w:val="13"/>
                <w:color w:val="auto"/>
              </w:rPr>
              <w:t>AutoZone, Inc.</w:t>
            </w:r>
          </w:p>
        </w:tc>
        <w:tc>
          <w:tcPr>
            <w:tcW w:w="2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97"/>
        </w:trPr>
        <w:tc>
          <w:tcPr>
            <w:tcW w:w="1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0" w:type="dxa"/>
            <w:vAlign w:val="bottom"/>
            <w:vMerge w:val="restart"/>
          </w:tcPr>
          <w:p>
            <w:pPr>
              <w:ind w:left="180"/>
              <w:spacing w:after="0"/>
              <w:rPr>
                <w:sz w:val="20"/>
                <w:szCs w:val="20"/>
                <w:color w:val="auto"/>
              </w:rPr>
            </w:pPr>
            <w:r>
              <w:rPr>
                <w:rFonts w:ascii="Arial" w:cs="Arial" w:eastAsia="Arial" w:hAnsi="Arial"/>
                <w:sz w:val="13"/>
                <w:szCs w:val="13"/>
                <w:color w:val="auto"/>
              </w:rPr>
              <w:t>Hibbett Sports, Inc.</w:t>
            </w: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3"/>
                <w:szCs w:val="13"/>
                <w:color w:val="auto"/>
              </w:rPr>
              <w:t>Director since 2016</w:t>
            </w:r>
          </w:p>
        </w:tc>
        <w:tc>
          <w:tcPr>
            <w:tcW w:w="2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1860" w:type="dxa"/>
            <w:vAlign w:val="bottom"/>
          </w:tcPr>
          <w:p>
            <w:pPr>
              <w:spacing w:after="0"/>
              <w:rPr>
                <w:sz w:val="24"/>
                <w:szCs w:val="24"/>
                <w:color w:val="auto"/>
              </w:rPr>
            </w:pPr>
          </w:p>
        </w:tc>
        <w:tc>
          <w:tcPr>
            <w:tcW w:w="3320" w:type="dxa"/>
            <w:vAlign w:val="bottom"/>
            <w:tcBorders>
              <w:bottom w:val="single" w:sz="8" w:color="DBDBDB"/>
            </w:tcBorders>
          </w:tcPr>
          <w:p>
            <w:pPr>
              <w:spacing w:after="0"/>
              <w:rPr>
                <w:sz w:val="24"/>
                <w:szCs w:val="24"/>
                <w:color w:val="auto"/>
              </w:rPr>
            </w:pPr>
          </w:p>
        </w:tc>
        <w:tc>
          <w:tcPr>
            <w:tcW w:w="2400" w:type="dxa"/>
            <w:vAlign w:val="bottom"/>
            <w:tcBorders>
              <w:bottom w:val="single" w:sz="8" w:color="DBDBDB"/>
            </w:tcBorders>
          </w:tcPr>
          <w:p>
            <w:pPr>
              <w:spacing w:after="0"/>
              <w:rPr>
                <w:sz w:val="24"/>
                <w:szCs w:val="24"/>
                <w:color w:val="auto"/>
              </w:rPr>
            </w:pPr>
          </w:p>
        </w:tc>
        <w:tc>
          <w:tcPr>
            <w:tcW w:w="1860" w:type="dxa"/>
            <w:vAlign w:val="bottom"/>
            <w:tcBorders>
              <w:bottom w:val="single" w:sz="8" w:color="DBDBDB"/>
            </w:tcBorders>
          </w:tcPr>
          <w:p>
            <w:pPr>
              <w:spacing w:after="0"/>
              <w:rPr>
                <w:sz w:val="24"/>
                <w:szCs w:val="24"/>
                <w:color w:val="auto"/>
              </w:rPr>
            </w:pPr>
          </w:p>
        </w:tc>
        <w:tc>
          <w:tcPr>
            <w:tcW w:w="168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4"/>
                <w:szCs w:val="24"/>
                <w:color w:val="auto"/>
              </w:rPr>
            </w:pPr>
          </w:p>
        </w:tc>
        <w:tc>
          <w:tcPr>
            <w:tcW w:w="33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auto"/>
              </w:rPr>
              <w:t>Gabrielle Sulzberger, 60</w:t>
            </w:r>
          </w:p>
        </w:tc>
        <w:tc>
          <w:tcPr>
            <w:tcW w:w="2400" w:type="dxa"/>
            <w:vAlign w:val="bottom"/>
            <w:shd w:val="clear" w:color="auto" w:fill="F4F6F6"/>
          </w:tcPr>
          <w:p>
            <w:pPr>
              <w:spacing w:after="0"/>
              <w:rPr>
                <w:sz w:val="24"/>
                <w:szCs w:val="24"/>
                <w:color w:val="auto"/>
              </w:rPr>
            </w:pPr>
          </w:p>
        </w:tc>
        <w:tc>
          <w:tcPr>
            <w:tcW w:w="1860" w:type="dxa"/>
            <w:vAlign w:val="bottom"/>
            <w:shd w:val="clear" w:color="auto" w:fill="F4F6F6"/>
          </w:tcPr>
          <w:p>
            <w:pPr>
              <w:spacing w:after="0"/>
              <w:rPr>
                <w:sz w:val="24"/>
                <w:szCs w:val="24"/>
                <w:color w:val="auto"/>
              </w:rPr>
            </w:pPr>
          </w:p>
        </w:tc>
        <w:tc>
          <w:tcPr>
            <w:tcW w:w="1680" w:type="dxa"/>
            <w:vAlign w:val="bottom"/>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3320" w:type="dxa"/>
            <w:vAlign w:val="bottom"/>
            <w:shd w:val="clear" w:color="auto" w:fill="F4F6F6"/>
          </w:tcPr>
          <w:p>
            <w:pPr>
              <w:ind w:left="20"/>
              <w:spacing w:after="0"/>
              <w:rPr>
                <w:sz w:val="20"/>
                <w:szCs w:val="20"/>
                <w:color w:val="auto"/>
              </w:rPr>
            </w:pPr>
            <w:r>
              <w:rPr>
                <w:rFonts w:ascii="Arial" w:cs="Arial" w:eastAsia="Arial" w:hAnsi="Arial"/>
                <w:sz w:val="13"/>
                <w:szCs w:val="13"/>
                <w:color w:val="auto"/>
              </w:rPr>
              <w:t>Strategic Advisor, TwoSigma Impact</w:t>
            </w:r>
          </w:p>
        </w:tc>
        <w:tc>
          <w:tcPr>
            <w:tcW w:w="2400" w:type="dxa"/>
            <w:vAlign w:val="bottom"/>
            <w:vMerge w:val="restart"/>
            <w:shd w:val="clear" w:color="auto" w:fill="F4F6F6"/>
          </w:tcPr>
          <w:p>
            <w:pPr>
              <w:ind w:left="160"/>
              <w:spacing w:after="0"/>
              <w:rPr>
                <w:sz w:val="20"/>
                <w:szCs w:val="20"/>
                <w:color w:val="auto"/>
              </w:rPr>
            </w:pPr>
            <w:r>
              <w:rPr>
                <w:rFonts w:ascii="Arial" w:cs="Arial" w:eastAsia="Arial" w:hAnsi="Arial"/>
                <w:sz w:val="13"/>
                <w:szCs w:val="13"/>
                <w:color w:val="auto"/>
              </w:rPr>
              <w:t>Mastercard Incorporated;</w:t>
            </w:r>
          </w:p>
        </w:tc>
        <w:tc>
          <w:tcPr>
            <w:tcW w:w="1860" w:type="dxa"/>
            <w:vAlign w:val="bottom"/>
            <w:shd w:val="clear" w:color="auto" w:fill="F4F6F6"/>
          </w:tcPr>
          <w:p>
            <w:pPr>
              <w:spacing w:after="0"/>
              <w:rPr>
                <w:sz w:val="14"/>
                <w:szCs w:val="14"/>
                <w:color w:val="auto"/>
              </w:rPr>
            </w:pPr>
          </w:p>
        </w:tc>
        <w:tc>
          <w:tcPr>
            <w:tcW w:w="168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91"/>
        </w:trPr>
        <w:tc>
          <w:tcPr>
            <w:tcW w:w="1860" w:type="dxa"/>
            <w:vAlign w:val="bottom"/>
          </w:tcPr>
          <w:p>
            <w:pPr>
              <w:spacing w:after="0"/>
              <w:rPr>
                <w:sz w:val="7"/>
                <w:szCs w:val="7"/>
                <w:color w:val="auto"/>
              </w:rPr>
            </w:pPr>
          </w:p>
        </w:tc>
        <w:tc>
          <w:tcPr>
            <w:tcW w:w="3320" w:type="dxa"/>
            <w:vAlign w:val="bottom"/>
            <w:shd w:val="clear" w:color="auto" w:fill="F4F6F6"/>
          </w:tcPr>
          <w:p>
            <w:pPr>
              <w:spacing w:after="0"/>
              <w:rPr>
                <w:sz w:val="7"/>
                <w:szCs w:val="7"/>
                <w:color w:val="auto"/>
              </w:rPr>
            </w:pPr>
          </w:p>
        </w:tc>
        <w:tc>
          <w:tcPr>
            <w:tcW w:w="2400" w:type="dxa"/>
            <w:vAlign w:val="bottom"/>
            <w:vMerge w:val="continue"/>
            <w:shd w:val="clear" w:color="auto" w:fill="F4F6F6"/>
          </w:tcPr>
          <w:p>
            <w:pPr>
              <w:spacing w:after="0"/>
              <w:rPr>
                <w:sz w:val="7"/>
                <w:szCs w:val="7"/>
                <w:color w:val="auto"/>
              </w:rPr>
            </w:pPr>
          </w:p>
        </w:tc>
        <w:tc>
          <w:tcPr>
            <w:tcW w:w="186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680" w:type="dxa"/>
            <w:vAlign w:val="bottom"/>
            <w:vMerge w:val="continue"/>
            <w:shd w:val="clear" w:color="auto" w:fill="F4F6F6"/>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3320" w:type="dxa"/>
            <w:vAlign w:val="bottom"/>
            <w:shd w:val="clear" w:color="auto" w:fill="F4F6F6"/>
          </w:tcPr>
          <w:p>
            <w:pPr>
              <w:spacing w:after="0"/>
              <w:rPr>
                <w:sz w:val="10"/>
                <w:szCs w:val="10"/>
                <w:color w:val="auto"/>
              </w:rPr>
            </w:pPr>
          </w:p>
        </w:tc>
        <w:tc>
          <w:tcPr>
            <w:tcW w:w="2400" w:type="dxa"/>
            <w:vAlign w:val="bottom"/>
            <w:shd w:val="clear" w:color="auto" w:fill="F4F6F6"/>
          </w:tcPr>
          <w:p>
            <w:pPr>
              <w:ind w:left="160"/>
              <w:spacing w:after="0" w:line="122" w:lineRule="exact"/>
              <w:rPr>
                <w:sz w:val="20"/>
                <w:szCs w:val="20"/>
                <w:color w:val="auto"/>
              </w:rPr>
            </w:pPr>
            <w:r>
              <w:rPr>
                <w:rFonts w:ascii="Arial" w:cs="Arial" w:eastAsia="Arial" w:hAnsi="Arial"/>
                <w:sz w:val="13"/>
                <w:szCs w:val="13"/>
                <w:color w:val="auto"/>
              </w:rPr>
              <w:t>Brixmor Property Group Inc.;</w:t>
            </w:r>
          </w:p>
        </w:tc>
        <w:tc>
          <w:tcPr>
            <w:tcW w:w="1860" w:type="dxa"/>
            <w:vAlign w:val="bottom"/>
            <w:vMerge w:val="continue"/>
            <w:shd w:val="clear" w:color="auto" w:fill="F4F6F6"/>
          </w:tcPr>
          <w:p>
            <w:pPr>
              <w:spacing w:after="0"/>
              <w:rPr>
                <w:sz w:val="10"/>
                <w:szCs w:val="10"/>
                <w:color w:val="auto"/>
              </w:rPr>
            </w:pPr>
          </w:p>
        </w:tc>
        <w:tc>
          <w:tcPr>
            <w:tcW w:w="168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3320" w:type="dxa"/>
            <w:vAlign w:val="bottom"/>
            <w:vMerge w:val="restart"/>
            <w:shd w:val="clear" w:color="auto" w:fill="F4F6F6"/>
          </w:tcPr>
          <w:p>
            <w:pPr>
              <w:ind w:left="20"/>
              <w:spacing w:after="0"/>
              <w:rPr>
                <w:sz w:val="20"/>
                <w:szCs w:val="20"/>
                <w:color w:val="auto"/>
              </w:rPr>
            </w:pPr>
            <w:r>
              <w:rPr>
                <w:rFonts w:ascii="Arial" w:cs="Arial" w:eastAsia="Arial" w:hAnsi="Arial"/>
                <w:sz w:val="13"/>
                <w:szCs w:val="13"/>
                <w:color w:val="auto"/>
              </w:rPr>
              <w:t>Director since 2021</w:t>
            </w:r>
          </w:p>
        </w:tc>
        <w:tc>
          <w:tcPr>
            <w:tcW w:w="2400" w:type="dxa"/>
            <w:vAlign w:val="bottom"/>
            <w:shd w:val="clear" w:color="auto" w:fill="F4F6F6"/>
          </w:tcPr>
          <w:p>
            <w:pPr>
              <w:ind w:left="160"/>
              <w:spacing w:after="0"/>
              <w:rPr>
                <w:sz w:val="20"/>
                <w:szCs w:val="20"/>
                <w:color w:val="auto"/>
              </w:rPr>
            </w:pPr>
            <w:r>
              <w:rPr>
                <w:rFonts w:ascii="Arial" w:cs="Arial" w:eastAsia="Arial" w:hAnsi="Arial"/>
                <w:sz w:val="13"/>
                <w:szCs w:val="13"/>
                <w:color w:val="auto"/>
              </w:rPr>
              <w:t>Cerevel Therapeutics Holdings, Inc.</w:t>
            </w:r>
          </w:p>
        </w:tc>
        <w:tc>
          <w:tcPr>
            <w:tcW w:w="1860" w:type="dxa"/>
            <w:vAlign w:val="bottom"/>
            <w:shd w:val="clear" w:color="auto" w:fill="F4F6F6"/>
          </w:tcPr>
          <w:p>
            <w:pPr>
              <w:spacing w:after="0"/>
              <w:rPr>
                <w:sz w:val="13"/>
                <w:szCs w:val="13"/>
                <w:color w:val="auto"/>
              </w:rPr>
            </w:pPr>
          </w:p>
        </w:tc>
        <w:tc>
          <w:tcPr>
            <w:tcW w:w="1680" w:type="dxa"/>
            <w:vAlign w:val="bottom"/>
            <w:vMerge w:val="continue"/>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320" w:type="dxa"/>
            <w:vAlign w:val="bottom"/>
            <w:vMerge w:val="continue"/>
            <w:shd w:val="clear" w:color="auto" w:fill="F4F6F6"/>
          </w:tcPr>
          <w:p>
            <w:pPr>
              <w:spacing w:after="0"/>
              <w:rPr>
                <w:sz w:val="9"/>
                <w:szCs w:val="9"/>
                <w:color w:val="auto"/>
              </w:rPr>
            </w:pPr>
          </w:p>
        </w:tc>
        <w:tc>
          <w:tcPr>
            <w:tcW w:w="2400" w:type="dxa"/>
            <w:vAlign w:val="bottom"/>
            <w:shd w:val="clear" w:color="auto" w:fill="F4F6F6"/>
          </w:tcPr>
          <w:p>
            <w:pPr>
              <w:spacing w:after="0"/>
              <w:rPr>
                <w:sz w:val="9"/>
                <w:szCs w:val="9"/>
                <w:color w:val="auto"/>
              </w:rPr>
            </w:pPr>
          </w:p>
        </w:tc>
        <w:tc>
          <w:tcPr>
            <w:tcW w:w="1860" w:type="dxa"/>
            <w:vAlign w:val="bottom"/>
            <w:shd w:val="clear" w:color="auto" w:fill="F4F6F6"/>
          </w:tcPr>
          <w:p>
            <w:pPr>
              <w:spacing w:after="0"/>
              <w:rPr>
                <w:sz w:val="9"/>
                <w:szCs w:val="9"/>
                <w:color w:val="auto"/>
              </w:rPr>
            </w:pPr>
          </w:p>
        </w:tc>
        <w:tc>
          <w:tcPr>
            <w:tcW w:w="1680" w:type="dxa"/>
            <w:vAlign w:val="bottom"/>
            <w:shd w:val="clear" w:color="auto" w:fill="F4F6F6"/>
          </w:tcPr>
          <w:p>
            <w:pPr>
              <w:spacing w:after="0"/>
              <w:rPr>
                <w:sz w:val="9"/>
                <w:szCs w:val="9"/>
                <w:color w:val="auto"/>
              </w:rPr>
            </w:pPr>
          </w:p>
        </w:tc>
        <w:tc>
          <w:tcPr>
            <w:tcW w:w="0" w:type="dxa"/>
            <w:vAlign w:val="bottom"/>
          </w:tcPr>
          <w:p>
            <w:pPr>
              <w:spacing w:after="0"/>
              <w:rPr>
                <w:sz w:val="1"/>
                <w:szCs w:val="1"/>
                <w:color w:val="auto"/>
              </w:rPr>
            </w:pPr>
          </w:p>
        </w:tc>
      </w:tr>
      <w:tr>
        <w:trPr>
          <w:trHeight w:val="340"/>
        </w:trPr>
        <w:tc>
          <w:tcPr>
            <w:tcW w:w="1860" w:type="dxa"/>
            <w:vAlign w:val="bottom"/>
          </w:tcPr>
          <w:p>
            <w:pPr>
              <w:spacing w:after="0"/>
              <w:rPr>
                <w:sz w:val="24"/>
                <w:szCs w:val="24"/>
                <w:color w:val="auto"/>
              </w:rPr>
            </w:pPr>
          </w:p>
        </w:tc>
        <w:tc>
          <w:tcPr>
            <w:tcW w:w="3320" w:type="dxa"/>
            <w:vAlign w:val="bottom"/>
            <w:tcBorders>
              <w:bottom w:val="single" w:sz="8" w:color="C8C9CB"/>
            </w:tcBorders>
            <w:shd w:val="clear" w:color="auto" w:fill="F4F6F6"/>
          </w:tcPr>
          <w:p>
            <w:pPr>
              <w:spacing w:after="0"/>
              <w:rPr>
                <w:sz w:val="24"/>
                <w:szCs w:val="24"/>
                <w:color w:val="auto"/>
              </w:rPr>
            </w:pPr>
          </w:p>
        </w:tc>
        <w:tc>
          <w:tcPr>
            <w:tcW w:w="2400" w:type="dxa"/>
            <w:vAlign w:val="bottom"/>
            <w:tcBorders>
              <w:bottom w:val="single" w:sz="8" w:color="C8C9CB"/>
            </w:tcBorders>
            <w:shd w:val="clear" w:color="auto" w:fill="F4F6F6"/>
          </w:tcPr>
          <w:p>
            <w:pPr>
              <w:spacing w:after="0"/>
              <w:rPr>
                <w:sz w:val="24"/>
                <w:szCs w:val="24"/>
                <w:color w:val="auto"/>
              </w:rPr>
            </w:pPr>
          </w:p>
        </w:tc>
        <w:tc>
          <w:tcPr>
            <w:tcW w:w="1860" w:type="dxa"/>
            <w:vAlign w:val="bottom"/>
            <w:tcBorders>
              <w:bottom w:val="single" w:sz="8" w:color="C8C9CB"/>
            </w:tcBorders>
            <w:shd w:val="clear" w:color="auto" w:fill="F4F6F6"/>
          </w:tcPr>
          <w:p>
            <w:pPr>
              <w:spacing w:after="0"/>
              <w:rPr>
                <w:sz w:val="24"/>
                <w:szCs w:val="24"/>
                <w:color w:val="auto"/>
              </w:rPr>
            </w:pPr>
          </w:p>
        </w:tc>
        <w:tc>
          <w:tcPr>
            <w:tcW w:w="1680" w:type="dxa"/>
            <w:vAlign w:val="bottom"/>
            <w:tcBorders>
              <w:bottom w:val="single" w:sz="8" w:color="C8C9CB"/>
            </w:tcBorders>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Jackson P. Tai, 70</w:t>
            </w:r>
          </w:p>
        </w:tc>
        <w:tc>
          <w:tcPr>
            <w:tcW w:w="2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Former Vice Chairman and Chief Executive Officer, DBS</w:t>
            </w: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3"/>
                <w:szCs w:val="13"/>
                <w:color w:val="auto"/>
              </w:rPr>
              <w:t>Group Holdings Ltd and DBS Bank Ltd.</w:t>
            </w:r>
          </w:p>
        </w:tc>
        <w:tc>
          <w:tcPr>
            <w:tcW w:w="2400" w:type="dxa"/>
            <w:vAlign w:val="bottom"/>
            <w:vMerge w:val="restart"/>
          </w:tcPr>
          <w:p>
            <w:pPr>
              <w:ind w:left="160"/>
              <w:spacing w:after="0"/>
              <w:rPr>
                <w:sz w:val="20"/>
                <w:szCs w:val="20"/>
                <w:color w:val="auto"/>
              </w:rPr>
            </w:pPr>
            <w:r>
              <w:rPr>
                <w:rFonts w:ascii="Arial" w:cs="Arial" w:eastAsia="Arial" w:hAnsi="Arial"/>
                <w:sz w:val="13"/>
                <w:szCs w:val="13"/>
                <w:color w:val="auto"/>
              </w:rPr>
              <w:t>Mastercard Incorporated;</w:t>
            </w:r>
          </w:p>
        </w:tc>
        <w:tc>
          <w:tcPr>
            <w:tcW w:w="186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97"/>
        </w:trPr>
        <w:tc>
          <w:tcPr>
            <w:tcW w:w="1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0" w:type="dxa"/>
            <w:vAlign w:val="bottom"/>
            <w:vMerge w:val="restart"/>
          </w:tcPr>
          <w:p>
            <w:pPr>
              <w:ind w:left="160"/>
              <w:spacing w:after="0"/>
              <w:rPr>
                <w:sz w:val="20"/>
                <w:szCs w:val="20"/>
                <w:color w:val="auto"/>
              </w:rPr>
            </w:pPr>
            <w:r>
              <w:rPr>
                <w:rFonts w:ascii="Arial" w:cs="Arial" w:eastAsia="Arial" w:hAnsi="Arial"/>
                <w:sz w:val="13"/>
                <w:szCs w:val="13"/>
                <w:color w:val="auto"/>
              </w:rPr>
              <w:t>HSBC Holdings plc</w:t>
            </w:r>
          </w:p>
        </w:tc>
        <w:tc>
          <w:tcPr>
            <w:tcW w:w="186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Director since 2013</w:t>
            </w:r>
          </w:p>
        </w:tc>
        <w:tc>
          <w:tcPr>
            <w:tcW w:w="240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8"/>
        </w:trPr>
        <w:tc>
          <w:tcPr>
            <w:tcW w:w="1860" w:type="dxa"/>
            <w:vAlign w:val="bottom"/>
            <w:tcBorders>
              <w:bottom w:val="single" w:sz="8" w:color="DBDBDB"/>
            </w:tcBorders>
          </w:tcPr>
          <w:p>
            <w:pPr>
              <w:spacing w:after="0"/>
              <w:rPr>
                <w:sz w:val="24"/>
                <w:szCs w:val="24"/>
                <w:color w:val="auto"/>
              </w:rPr>
            </w:pPr>
          </w:p>
        </w:tc>
        <w:tc>
          <w:tcPr>
            <w:tcW w:w="3320" w:type="dxa"/>
            <w:vAlign w:val="bottom"/>
            <w:tcBorders>
              <w:bottom w:val="single" w:sz="8" w:color="C8C9CB"/>
            </w:tcBorders>
          </w:tcPr>
          <w:p>
            <w:pPr>
              <w:spacing w:after="0"/>
              <w:rPr>
                <w:sz w:val="24"/>
                <w:szCs w:val="24"/>
                <w:color w:val="auto"/>
              </w:rPr>
            </w:pPr>
          </w:p>
        </w:tc>
        <w:tc>
          <w:tcPr>
            <w:tcW w:w="2400" w:type="dxa"/>
            <w:vAlign w:val="bottom"/>
            <w:tcBorders>
              <w:bottom w:val="single" w:sz="8" w:color="C8C9CB"/>
            </w:tcBorders>
          </w:tcPr>
          <w:p>
            <w:pPr>
              <w:spacing w:after="0"/>
              <w:rPr>
                <w:sz w:val="24"/>
                <w:szCs w:val="24"/>
                <w:color w:val="auto"/>
              </w:rPr>
            </w:pPr>
          </w:p>
        </w:tc>
        <w:tc>
          <w:tcPr>
            <w:tcW w:w="1860" w:type="dxa"/>
            <w:vAlign w:val="bottom"/>
            <w:tcBorders>
              <w:bottom w:val="single" w:sz="8" w:color="C8C9CB"/>
            </w:tcBorders>
          </w:tcPr>
          <w:p>
            <w:pPr>
              <w:spacing w:after="0"/>
              <w:rPr>
                <w:sz w:val="24"/>
                <w:szCs w:val="24"/>
                <w:color w:val="auto"/>
              </w:rPr>
            </w:pPr>
          </w:p>
        </w:tc>
        <w:tc>
          <w:tcPr>
            <w:tcW w:w="1680" w:type="dxa"/>
            <w:vAlign w:val="bottom"/>
            <w:tcBorders>
              <w:bottom w:val="single" w:sz="8" w:color="C8C9CB"/>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*Age is as of the date of this proxy statement.</w:t>
            </w:r>
          </w:p>
        </w:tc>
        <w:tc>
          <w:tcPr>
            <w:tcW w:w="2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-4387215</wp:posOffset>
            </wp:positionV>
            <wp:extent cx="720090" cy="414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41490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Corporate Governance Policies Reflect Best Practices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Strategy and risk oversight</w:t>
      </w:r>
    </w:p>
    <w:p>
      <w:pPr>
        <w:spacing w:after="0" w:line="5"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actively oversees and approves our corporate strategy.</w:t>
      </w:r>
    </w:p>
    <w:p>
      <w:pPr>
        <w:spacing w:after="0" w:line="5" w:lineRule="exact"/>
        <w:rPr>
          <w:rFonts w:ascii="Arial" w:cs="Arial" w:eastAsia="Arial" w:hAnsi="Arial"/>
          <w:sz w:val="16"/>
          <w:szCs w:val="16"/>
          <w:color w:val="auto"/>
        </w:rPr>
      </w:pPr>
    </w:p>
    <w:p>
      <w:pPr>
        <w:ind w:left="340" w:hanging="332"/>
        <w:spacing w:after="0" w:line="246" w:lineRule="auto"/>
        <w:tabs>
          <w:tab w:leader="none" w:pos="2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and board committee agendas are structured to engage our directors in informed reviews of strategic and forward-looking issues, as well as in constructive challenges to management initiatives and programs.</w:t>
      </w:r>
    </w:p>
    <w:p>
      <w:pPr>
        <w:ind w:left="340" w:right="140" w:hanging="332"/>
        <w:spacing w:after="0" w:line="246" w:lineRule="auto"/>
        <w:tabs>
          <w:tab w:leader="none" w:pos="2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oversees the state of our compliance program and reviews our enterprise-level risks, including related to cybersecurity; our Audit Committee oversees our enterprise risk management processes and policies.</w:t>
      </w:r>
    </w:p>
    <w:p>
      <w:pPr>
        <w:ind w:left="340" w:right="60" w:hanging="332"/>
        <w:spacing w:after="0" w:line="246" w:lineRule="auto"/>
        <w:tabs>
          <w:tab w:leader="none" w:pos="2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 comprehensive code of ethical and legal business conduct that applies to our board and all employees worldwide. This code is reviewed and approved annually by the board.</w:t>
      </w:r>
    </w:p>
    <w:p>
      <w:pPr>
        <w:ind w:left="340" w:right="340" w:hanging="332"/>
        <w:spacing w:after="0" w:line="260" w:lineRule="auto"/>
        <w:tabs>
          <w:tab w:leader="none" w:pos="2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 supplemental code for our CEO and all members of financial management, in recognition of their unique responsibilities to ensure proper accounting, financial reporting, internal controls, and financial stewardship.</w:t>
      </w:r>
    </w:p>
    <w:p>
      <w:pPr>
        <w:sectPr>
          <w:pgSz w:w="11900" w:h="16838" w:orient="portrait"/>
          <w:cols w:equalWidth="0" w:num="1">
            <w:col w:w="11220"/>
          </w:cols>
          <w:pgMar w:left="320" w:top="1414" w:right="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P7</w:t>
      </w:r>
    </w:p>
    <w:p>
      <w:pPr>
        <w:sectPr>
          <w:pgSz w:w="11900" w:h="16838" w:orient="portrait"/>
          <w:cols w:equalWidth="0" w:num="1">
            <w:col w:w="11220"/>
          </w:cols>
          <w:pgMar w:left="320" w:top="1414" w:right="359" w:bottom="1440" w:gutter="0" w:footer="0" w:header="0"/>
          <w:type w:val="continuous"/>
        </w:sectPr>
      </w:pPr>
    </w:p>
    <w:bookmarkStart w:id="12" w:name="page13"/>
    <w:bookmarkEnd w:id="12"/>
    <w:p>
      <w:pPr>
        <w:ind w:left="280" w:hanging="272"/>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charters of our board committees clearly establish the committees’ respective roles and responsibilities.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an annual cap on director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Board skills and experience</w:t>
      </w:r>
    </w:p>
    <w:p>
      <w:pPr>
        <w:spacing w:after="0" w:line="25"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board membership is characterized by leadership, experience, and diversity.</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conduct comprehensive orientation and continuing education programs for directors.</w:t>
      </w:r>
    </w:p>
    <w:p>
      <w:pPr>
        <w:spacing w:after="0" w:line="5" w:lineRule="exact"/>
        <w:rPr>
          <w:rFonts w:ascii="Arial" w:cs="Arial" w:eastAsia="Arial" w:hAnsi="Arial"/>
          <w:sz w:val="16"/>
          <w:szCs w:val="16"/>
          <w:color w:val="auto"/>
        </w:rPr>
      </w:pPr>
    </w:p>
    <w:p>
      <w:pPr>
        <w:ind w:left="340" w:right="280" w:hanging="332"/>
        <w:spacing w:after="0" w:line="246" w:lineRule="auto"/>
        <w:tabs>
          <w:tab w:leader="none" w:pos="2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board conducts a robust annual assessment of board performance led by the lead independent director, including an annual assessment of each individual director.</w:t>
      </w:r>
    </w:p>
    <w:p>
      <w:pPr>
        <w:ind w:left="340" w:right="140" w:hanging="332"/>
        <w:spacing w:after="0" w:line="260" w:lineRule="auto"/>
        <w:tabs>
          <w:tab w:leader="none" w:pos="2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committed to board refreshment and seek to balance continuity and fresh perspectives. Our director composition reflects a mix of tenure on the board. Currently, eight directors have served on the board for six years or more and seven directors have served on the board for five years or less.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Focus on independence</w:t>
      </w:r>
    </w:p>
    <w:p>
      <w:pPr>
        <w:spacing w:after="0" w:line="2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our current board members other than the CEO is independent (14 of our 15 directors as of the date of this proxy statement).</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 strong lead independent director empowered with clearly defined responsibilities.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standing board committees are composed solely of independent directors and led by independent committee chairs.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board holds executive sessions of the independent directors at every regular board meeting that is presided over by our lead independent director.</w:t>
      </w:r>
    </w:p>
    <w:p>
      <w:pPr>
        <w:spacing w:after="0" w:line="5" w:lineRule="exact"/>
        <w:rPr>
          <w:rFonts w:ascii="Arial" w:cs="Arial" w:eastAsia="Arial" w:hAnsi="Arial"/>
          <w:sz w:val="16"/>
          <w:szCs w:val="16"/>
          <w:color w:val="auto"/>
        </w:rPr>
      </w:pPr>
    </w:p>
    <w:p>
      <w:pPr>
        <w:ind w:left="340" w:hanging="332"/>
        <w:spacing w:after="0" w:line="246" w:lineRule="auto"/>
        <w:tabs>
          <w:tab w:leader="none" w:pos="28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independent directors actively engage in board meetings, have direct access to management, and, along with our board committees, have discretion to hire independent advisors at the company’s expense.</w:t>
      </w: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independent directors lead the board’s process for selecting the CEO.</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28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Compensation Committee (and, in the case of our CEO, in consultation with other independent directors and our external compensation consultant) establishes the compensation for our CEO and other executive officers.</w:t>
      </w: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conflict of interest policy requires disclosures of potential conflicts to Lilly and clarifies when Lilly board service must be disclosed to others.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Governance and accountability to shareholders</w:t>
      </w:r>
    </w:p>
    <w:p>
      <w:pPr>
        <w:spacing w:after="0" w:line="25" w:lineRule="exact"/>
        <w:rPr>
          <w:sz w:val="20"/>
          <w:szCs w:val="20"/>
          <w:color w:val="auto"/>
        </w:rPr>
      </w:pPr>
    </w:p>
    <w:p>
      <w:pPr>
        <w:ind w:left="340" w:right="460" w:hanging="332"/>
        <w:spacing w:after="0" w:line="246" w:lineRule="auto"/>
        <w:tabs>
          <w:tab w:leader="none" w:pos="28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board values active shareholder engagement. In response to input from our shareholders, we have put forward for consideration at the Annual Meeting management proposals to eliminate the classified board structure and supermajority voting provisions in our articles of incorporation.</w:t>
      </w:r>
    </w:p>
    <w:p>
      <w:pPr>
        <w:ind w:left="340" w:right="40" w:hanging="332"/>
        <w:spacing w:after="0" w:line="246" w:lineRule="auto"/>
        <w:tabs>
          <w:tab w:leader="none" w:pos="28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2019, the board amended our bylaws to add proxy access rights for shareholders holding at least three percent of our common stock for at least three years to nominate to the board the greater of two directors or 20 percent of our board seats.</w:t>
      </w:r>
    </w:p>
    <w:p>
      <w:pPr>
        <w:ind w:left="280" w:hanging="272"/>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a majority voting standard and resignation policy for the election of directors in uncontested elections.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do not have a shareholder rights plan ("poison pill").</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meaningful stock ownership and retention guidelines for our directors and executive officers to foster alignment with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Sustainability</w:t>
      </w:r>
    </w:p>
    <w:p>
      <w:pPr>
        <w:spacing w:after="0" w:line="2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board has a longstanding commitment to corporate responsibility.</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strong governance and disclosure of corporate political spending.</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transparent public policy engagement.</w:t>
      </w:r>
    </w:p>
    <w:p>
      <w:pPr>
        <w:spacing w:after="0" w:line="5" w:lineRule="exact"/>
        <w:rPr>
          <w:rFonts w:ascii="Arial" w:cs="Arial" w:eastAsia="Arial" w:hAnsi="Arial"/>
          <w:sz w:val="16"/>
          <w:szCs w:val="16"/>
          <w:color w:val="auto"/>
        </w:rPr>
      </w:pPr>
    </w:p>
    <w:p>
      <w:pPr>
        <w:ind w:left="340" w:right="420" w:hanging="332"/>
        <w:spacing w:after="0" w:line="237" w:lineRule="auto"/>
        <w:tabs>
          <w:tab w:leader="none" w:pos="28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board oversees and maintains ongoing engagement with our Compensation Committee, Directors and Corporate Governance Committee, and senior executives on key political, social, and governance matters, including sustainability and human capital management.</w:t>
      </w:r>
    </w:p>
    <w:p>
      <w:pPr>
        <w:spacing w:after="0" w:line="1" w:lineRule="exact"/>
        <w:rPr>
          <w:rFonts w:ascii="Arial" w:cs="Arial" w:eastAsia="Arial" w:hAnsi="Arial"/>
          <w:sz w:val="16"/>
          <w:szCs w:val="16"/>
          <w:color w:val="auto"/>
        </w:rPr>
      </w:pPr>
    </w:p>
    <w:p>
      <w:pPr>
        <w:ind w:left="340" w:right="240" w:hanging="332"/>
        <w:spacing w:after="0" w:line="242" w:lineRule="auto"/>
        <w:tabs>
          <w:tab w:leader="none" w:pos="28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publish annual reports describing our sustainability efforts across key focus areas and we are engaged in a project to enhance our environmental, social, and governance sustainability reporting in 2021.</w:t>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40575" cy="737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737235"/>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sectPr>
      </w:pPr>
    </w:p>
    <w:p>
      <w:pPr>
        <w:spacing w:after="0" w:line="170" w:lineRule="exact"/>
        <w:rPr>
          <w:sz w:val="20"/>
          <w:szCs w:val="20"/>
          <w:color w:val="auto"/>
        </w:rPr>
      </w:pPr>
    </w:p>
    <w:p>
      <w:pPr>
        <w:ind w:left="40" w:right="2660"/>
        <w:spacing w:after="0" w:line="271" w:lineRule="auto"/>
        <w:rPr>
          <w:sz w:val="20"/>
          <w:szCs w:val="20"/>
          <w:color w:val="auto"/>
        </w:rPr>
      </w:pPr>
      <w:r>
        <w:rPr>
          <w:rFonts w:ascii="Arial" w:cs="Arial" w:eastAsia="Arial" w:hAnsi="Arial"/>
          <w:sz w:val="20"/>
          <w:szCs w:val="20"/>
          <w:b w:val="1"/>
          <w:bCs w:val="1"/>
          <w:color w:val="auto"/>
        </w:rPr>
        <w:t>Item 2: Advisory Vote on Compensation Paid to Named Executive Officers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42</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jc w:val="center"/>
              <w:ind w:right="199"/>
              <w:spacing w:after="0"/>
              <w:rPr>
                <w:sz w:val="20"/>
                <w:szCs w:val="20"/>
                <w:color w:val="auto"/>
              </w:rPr>
            </w:pPr>
            <w:r>
              <w:rPr>
                <w:rFonts w:ascii="Arial" w:cs="Arial" w:eastAsia="Arial" w:hAnsi="Arial"/>
                <w:sz w:val="16"/>
                <w:szCs w:val="16"/>
                <w:b w:val="1"/>
                <w:bCs w:val="1"/>
                <w:color w:val="00ABE8"/>
              </w:rPr>
              <w:t>Management</w:t>
            </w:r>
          </w:p>
        </w:tc>
        <w:tc>
          <w:tcPr>
            <w:tcW w:w="1920" w:type="dxa"/>
            <w:vAlign w:val="bottom"/>
          </w:tcPr>
          <w:p>
            <w:pPr>
              <w:jc w:val="center"/>
              <w:ind w:left="17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15"/>
        </w:trPr>
        <w:tc>
          <w:tcPr>
            <w:tcW w:w="1560" w:type="dxa"/>
            <w:vAlign w:val="bottom"/>
          </w:tcPr>
          <w:p>
            <w:pPr>
              <w:jc w:val="center"/>
              <w:ind w:right="179"/>
              <w:spacing w:after="0"/>
              <w:rPr>
                <w:sz w:val="20"/>
                <w:szCs w:val="20"/>
                <w:color w:val="auto"/>
              </w:rPr>
            </w:pPr>
            <w:r>
              <w:rPr>
                <w:rFonts w:ascii="Arial" w:cs="Arial" w:eastAsia="Arial" w:hAnsi="Arial"/>
                <w:sz w:val="16"/>
                <w:szCs w:val="16"/>
                <w:b w:val="1"/>
                <w:bCs w:val="1"/>
                <w:color w:val="00ABE8"/>
              </w:rPr>
              <w:t>recommendation</w:t>
            </w:r>
          </w:p>
        </w:tc>
        <w:tc>
          <w:tcPr>
            <w:tcW w:w="1920" w:type="dxa"/>
            <w:vAlign w:val="bottom"/>
            <w:vMerge w:val="restart"/>
          </w:tcPr>
          <w:p>
            <w:pPr>
              <w:jc w:val="center"/>
              <w:ind w:left="159"/>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94"/>
        </w:trPr>
        <w:tc>
          <w:tcPr>
            <w:tcW w:w="156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8"/>
              </w:rPr>
              <w:t>Vote FOR</w:t>
            </w: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sectPr>
          <w:pgSz w:w="11900" w:h="16838" w:orient="portrait"/>
          <w:cols w:equalWidth="0" w:num="2">
            <w:col w:w="6900" w:space="720"/>
            <w:col w:w="3600"/>
          </w:cols>
          <w:pgMar w:left="320" w:top="143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P8</w:t>
      </w:r>
    </w:p>
    <w:p>
      <w:pPr>
        <w:sectPr>
          <w:pgSz w:w="11900" w:h="16838" w:orient="portrait"/>
          <w:cols w:equalWidth="0" w:num="1">
            <w:col w:w="11220"/>
          </w:cols>
          <w:pgMar w:left="320" w:top="1437"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Our Executive Compensation Programs Reflect Best Practices</w:t>
      </w:r>
    </w:p>
    <w:p>
      <w:pPr>
        <w:spacing w:after="0" w:line="29" w:lineRule="exact"/>
        <w:rPr>
          <w:sz w:val="20"/>
          <w:szCs w:val="20"/>
          <w:color w:val="auto"/>
        </w:rPr>
      </w:pPr>
    </w:p>
    <w:p>
      <w:pPr>
        <w:ind w:left="340" w:right="100" w:hanging="332"/>
        <w:spacing w:after="0" w:line="246" w:lineRule="auto"/>
        <w:tabs>
          <w:tab w:leader="none" w:pos="2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Shareholders strongly support our compensation practices: for the last five years, approximately 97 percent or more of shares cast voted in favor of our executive compensation programs.</w:t>
      </w:r>
    </w:p>
    <w:p>
      <w:pPr>
        <w:ind w:left="340" w:right="220" w:hanging="332"/>
        <w:spacing w:after="0" w:line="246" w:lineRule="auto"/>
        <w:tabs>
          <w:tab w:leader="none" w:pos="2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compensation programs are designed to align executive pay with shareholder interests and link pay to performance through a blend of short- and long-term performance measures.</w:t>
      </w:r>
    </w:p>
    <w:p>
      <w:pPr>
        <w:ind w:left="340" w:hanging="332"/>
        <w:spacing w:after="0" w:line="246" w:lineRule="auto"/>
        <w:tabs>
          <w:tab w:leader="none" w:pos="2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Compensation Committee annually reviews our compensation programs to ensure they provide incentives to deliver long-term, sustainable business results while discouraging excessive risk-taking and other adverse behaviors.</w:t>
      </w: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a broad compensation recovery or "clawback" policy that applies to all executives and covers a wide range of misconduct.</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executive officers are subject to robust stock ownership and retention guidelines and are prohibited from hedging or pledging their company stock.</w:t>
      </w:r>
    </w:p>
    <w:p>
      <w:pPr>
        <w:spacing w:after="0" w:line="5" w:lineRule="exact"/>
        <w:rPr>
          <w:rFonts w:ascii="Arial" w:cs="Arial" w:eastAsia="Arial" w:hAnsi="Arial"/>
          <w:sz w:val="16"/>
          <w:szCs w:val="16"/>
          <w:color w:val="auto"/>
        </w:rPr>
      </w:pPr>
    </w:p>
    <w:p>
      <w:pPr>
        <w:ind w:left="340" w:right="200" w:hanging="332"/>
        <w:spacing w:after="0" w:line="246" w:lineRule="auto"/>
        <w:tabs>
          <w:tab w:leader="none" w:pos="2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do not have "top hat" retirement plans. Supplemental plans are open to all employees and are limited to restoring benefits lost due to IRS limits on qualified plans.</w:t>
      </w: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do not provide tax gross-ups to executive officers (except for limited gross-ups related to international assignments).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a very restrictive policy on perquisites.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severance plans related to change-in-control require a double trigger.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do not have employment agreements with any of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Summary for 2020</w:t>
      </w:r>
    </w:p>
    <w:p>
      <w:pPr>
        <w:spacing w:after="0" w:line="2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At the time total target compensation was established at the end of 2019, the target compensation in aggregate for our named executive officers was slightly below median of the company's peer group. Incentive compensation payouts exceeded target, consistent with strong company performance over the bonus and equity performance periods.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for Performance</w:t>
      </w:r>
    </w:p>
    <w:p>
      <w:pPr>
        <w:spacing w:after="0" w:line="29"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As described in the Compensation Discussion and Analysis (CD&amp;A), we link our incentive pay programs to a mix of measures on three dimensions of company performance: operating performance; progress with our innovation pipeline; and shareholder return (both absolute and relative). The Compensation Committee adjusts reported EPS results to eliminate the distorting effect of certain unusual items on incentive compensation performance measures.</w:t>
      </w:r>
    </w:p>
    <w:p>
      <w:pPr>
        <w:spacing w:after="0" w:line="229"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The summary below highlights how our incentive pay programs are intended to align with company performance. Please also see Appendix A for adjustments made to revenue and EPS for incentive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P9</w:t>
      </w:r>
    </w:p>
    <w:p>
      <w:pPr>
        <w:sectPr>
          <w:pgSz w:w="11900" w:h="16838" w:orient="portrait"/>
          <w:cols w:equalWidth="0" w:num="1">
            <w:col w:w="11200"/>
          </w:cols>
          <w:pgMar w:left="320" w:top="1408"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EE2724"/>
        </w:rPr>
        <w:t>2020 Bonus Plan Multiple</w:t>
      </w:r>
    </w:p>
    <w:p>
      <w:pPr>
        <w:spacing w:after="0" w:line="12"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In 2020, the company exceeded its annual cash bonus target for revenue, nearly achieved its target for EPS, and significantly exceeded its targets for pipeline progression. For purposes of the bonus, the Compensation Committee adjusted non-GAAP EPS by $0.98 to exclude net gains on investments in equity securities that significantly exceeded business plan. The Compensation Committee also reduced revenue and EPS for the purposes of the bonus calculation to exclude estimated savings from certain discrete and unplanned performance items from the bonus plan multiple. See the CD&amp;A for further discussion of the Eli Lilly and Company Bonus Plan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54980" cy="2606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2019-2021 Performance Award Multiple</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exceeded the EPS growth targets under our performance award program, which has targets based on expected EPS growth of peer companies over a two-year period. For purposes of the performance award, the Compensation Committee adjusted non-GAAP EPS by $0.98 to exclude net gains on investments in equity securities that significantly exceeded business plan. This performance resulted in a performance award payout above target. See the CD&amp;A for further discussion on the performance award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5554980" cy="1448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498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P10</w:t>
      </w:r>
    </w:p>
    <w:p>
      <w:pPr>
        <w:sectPr>
          <w:pgSz w:w="11900" w:h="16838" w:orient="portrait"/>
          <w:cols w:equalWidth="0" w:num="1">
            <w:col w:w="11080"/>
          </w:cols>
          <w:pgMar w:left="320" w:top="1417" w:right="499" w:bottom="1440" w:gutter="0" w:footer="0" w:header="0"/>
        </w:sectPr>
      </w:pPr>
    </w:p>
    <w:bookmarkStart w:id="15" w:name="page16"/>
    <w:bookmarkEnd w:id="15"/>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2018-2020 Shareholder Value Award Multiple</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Our stock price growth exceeded the target range (16.9 percent to 29.7 percent) under our shareholder value award program, which is based on expected large-cap company returns over a three-year period. This performance resulted in a shareholder value award payout above target.</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For individuals who were executive officers when the award was granted, shareholder value award payouts were modified based on a three-year cumulative TSR relative to peer companies. Our relative TSR was 68.7 percentage points above the peer group median, resulting in a maximum award payout of 180 percent of target (SVA payout multiple of 150 percent multiplied by the 1.2 modifier = 180 percent final payout). See the CD&amp;A for further discussion on the shareholder value award program and the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5554980" cy="30346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49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Audit Matters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120" w:type="dxa"/>
            <w:vAlign w:val="bottom"/>
          </w:tcPr>
          <w:p>
            <w:pPr>
              <w:spacing w:after="0" w:line="206" w:lineRule="exact"/>
              <w:rPr>
                <w:sz w:val="20"/>
                <w:szCs w:val="20"/>
                <w:color w:val="auto"/>
              </w:rPr>
            </w:pPr>
            <w:r>
              <w:rPr>
                <w:rFonts w:ascii="Arial" w:cs="Arial" w:eastAsia="Arial" w:hAnsi="Arial"/>
                <w:sz w:val="20"/>
                <w:szCs w:val="20"/>
                <w:b w:val="1"/>
                <w:bCs w:val="1"/>
                <w:color w:val="auto"/>
              </w:rPr>
              <w:t>Item 3: Ratification of the Appointment of the</w:t>
            </w:r>
          </w:p>
        </w:tc>
        <w:tc>
          <w:tcPr>
            <w:tcW w:w="1680" w:type="dxa"/>
            <w:vAlign w:val="bottom"/>
            <w:tcBorders>
              <w:top w:val="single" w:sz="8" w:color="F4F6F6"/>
            </w:tcBorders>
          </w:tcPr>
          <w:p>
            <w:pPr>
              <w:jc w:val="center"/>
              <w:ind w:left="2"/>
              <w:spacing w:after="0"/>
              <w:rPr>
                <w:sz w:val="20"/>
                <w:szCs w:val="20"/>
                <w:color w:val="auto"/>
              </w:rPr>
            </w:pPr>
            <w:r>
              <w:rPr>
                <w:rFonts w:ascii="Arial" w:cs="Arial" w:eastAsia="Arial" w:hAnsi="Arial"/>
                <w:sz w:val="16"/>
                <w:szCs w:val="16"/>
                <w:b w:val="1"/>
                <w:bCs w:val="1"/>
                <w:color w:val="00ABE8"/>
              </w:rPr>
              <w:t>Management</w:t>
            </w:r>
          </w:p>
        </w:tc>
        <w:tc>
          <w:tcPr>
            <w:tcW w:w="1460" w:type="dxa"/>
            <w:vAlign w:val="bottom"/>
            <w:tcBorders>
              <w:top w:val="single" w:sz="8" w:color="F4F6F6"/>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Vote required to</w:t>
            </w:r>
          </w:p>
        </w:tc>
        <w:tc>
          <w:tcPr>
            <w:tcW w:w="0" w:type="dxa"/>
            <w:vAlign w:val="bottom"/>
          </w:tcPr>
          <w:p>
            <w:pPr>
              <w:spacing w:after="0"/>
              <w:rPr>
                <w:sz w:val="1"/>
                <w:szCs w:val="1"/>
                <w:color w:val="auto"/>
              </w:rPr>
            </w:pPr>
          </w:p>
        </w:tc>
      </w:tr>
      <w:tr>
        <w:trPr>
          <w:trHeight w:val="279"/>
        </w:trPr>
        <w:tc>
          <w:tcPr>
            <w:tcW w:w="5120" w:type="dxa"/>
            <w:vAlign w:val="bottom"/>
          </w:tcPr>
          <w:p>
            <w:pPr>
              <w:spacing w:after="0"/>
              <w:rPr>
                <w:sz w:val="20"/>
                <w:szCs w:val="20"/>
                <w:color w:val="auto"/>
              </w:rPr>
            </w:pPr>
            <w:r>
              <w:rPr>
                <w:rFonts w:ascii="Arial" w:cs="Arial" w:eastAsia="Arial" w:hAnsi="Arial"/>
                <w:sz w:val="20"/>
                <w:szCs w:val="20"/>
                <w:b w:val="1"/>
                <w:bCs w:val="1"/>
                <w:color w:val="auto"/>
              </w:rPr>
              <w:t>Independent Auditor</w:t>
            </w:r>
          </w:p>
        </w:tc>
        <w:tc>
          <w:tcPr>
            <w:tcW w:w="1680" w:type="dxa"/>
            <w:vAlign w:val="bottom"/>
          </w:tcPr>
          <w:p>
            <w:pPr>
              <w:jc w:val="center"/>
              <w:ind w:left="2"/>
              <w:spacing w:after="0"/>
              <w:rPr>
                <w:sz w:val="20"/>
                <w:szCs w:val="20"/>
                <w:color w:val="auto"/>
              </w:rPr>
            </w:pPr>
            <w:r>
              <w:rPr>
                <w:rFonts w:ascii="Arial" w:cs="Arial" w:eastAsia="Arial" w:hAnsi="Arial"/>
                <w:sz w:val="16"/>
                <w:szCs w:val="16"/>
                <w:b w:val="1"/>
                <w:bCs w:val="1"/>
                <w:color w:val="00ABE8"/>
              </w:rPr>
              <w:t>recommendation</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8"/>
              </w:rPr>
              <w:t>pass</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168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rPr>
              <w:t>Vote FOR</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4"/>
                <w:szCs w:val="14"/>
                <w:b w:val="1"/>
                <w:bCs w:val="1"/>
                <w:color w:val="auto"/>
              </w:rPr>
              <w:t>Majority of votes</w:t>
            </w:r>
          </w:p>
        </w:tc>
        <w:tc>
          <w:tcPr>
            <w:tcW w:w="0" w:type="dxa"/>
            <w:vAlign w:val="bottom"/>
          </w:tcPr>
          <w:p>
            <w:pPr>
              <w:spacing w:after="0"/>
              <w:rPr>
                <w:sz w:val="1"/>
                <w:szCs w:val="1"/>
                <w:color w:val="auto"/>
              </w:rPr>
            </w:pPr>
          </w:p>
        </w:tc>
      </w:tr>
      <w:tr>
        <w:trPr>
          <w:trHeight w:val="204"/>
        </w:trPr>
        <w:tc>
          <w:tcPr>
            <w:tcW w:w="5120" w:type="dxa"/>
            <w:vAlign w:val="bottom"/>
          </w:tcPr>
          <w:p>
            <w:pPr>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74</w:t>
            </w:r>
          </w:p>
        </w:tc>
        <w:tc>
          <w:tcPr>
            <w:tcW w:w="1680" w:type="dxa"/>
            <w:vAlign w:val="bottom"/>
            <w:vMerge w:val="continue"/>
          </w:tcPr>
          <w:p>
            <w:pPr>
              <w:spacing w:after="0"/>
              <w:rPr>
                <w:sz w:val="17"/>
                <w:szCs w:val="17"/>
                <w:color w:val="auto"/>
              </w:rPr>
            </w:pP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4"/>
                <w:szCs w:val="14"/>
                <w:b w:val="1"/>
                <w:bCs w:val="1"/>
                <w:color w:val="auto"/>
                <w:w w:val="99"/>
              </w:rPr>
              <w:t>cast</w:t>
            </w:r>
          </w:p>
        </w:tc>
        <w:tc>
          <w:tcPr>
            <w:tcW w:w="0" w:type="dxa"/>
            <w:vAlign w:val="bottom"/>
          </w:tcPr>
          <w:p>
            <w:pPr>
              <w:spacing w:after="0"/>
              <w:rPr>
                <w:sz w:val="1"/>
                <w:szCs w:val="1"/>
                <w:color w:val="auto"/>
              </w:rPr>
            </w:pPr>
          </w:p>
        </w:tc>
      </w:tr>
      <w:tr>
        <w:trPr>
          <w:trHeight w:val="498"/>
        </w:trPr>
        <w:tc>
          <w:tcPr>
            <w:tcW w:w="5120" w:type="dxa"/>
            <w:vAlign w:val="bottom"/>
          </w:tcPr>
          <w:p>
            <w:pPr>
              <w:spacing w:after="0"/>
              <w:rPr>
                <w:sz w:val="24"/>
                <w:szCs w:val="24"/>
                <w:color w:val="auto"/>
              </w:rPr>
            </w:pPr>
          </w:p>
        </w:tc>
        <w:tc>
          <w:tcPr>
            <w:tcW w:w="1680" w:type="dxa"/>
            <w:vAlign w:val="bottom"/>
            <w:tcBorders>
              <w:bottom w:val="single" w:sz="8" w:color="F4F6F6"/>
            </w:tcBorders>
          </w:tcPr>
          <w:p>
            <w:pPr>
              <w:spacing w:after="0"/>
              <w:rPr>
                <w:sz w:val="24"/>
                <w:szCs w:val="24"/>
                <w:color w:val="auto"/>
              </w:rPr>
            </w:pPr>
          </w:p>
        </w:tc>
        <w:tc>
          <w:tcPr>
            <w:tcW w:w="1460" w:type="dxa"/>
            <w:vAlign w:val="bottom"/>
            <w:tcBorders>
              <w:bottom w:val="single" w:sz="8" w:color="F4F6F6"/>
              <w:right w:val="single" w:sz="8" w:color="F4F6F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Management Proposals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200" w:type="dxa"/>
            <w:vAlign w:val="bottom"/>
            <w:tcBorders>
              <w:top w:val="single" w:sz="8" w:color="F4F6F6"/>
              <w:left w:val="single" w:sz="8" w:color="F4F6F6"/>
            </w:tcBorders>
          </w:tcPr>
          <w:p>
            <w:pPr>
              <w:ind w:left="40"/>
              <w:spacing w:after="0" w:line="216" w:lineRule="exact"/>
              <w:rPr>
                <w:sz w:val="20"/>
                <w:szCs w:val="20"/>
                <w:color w:val="auto"/>
              </w:rPr>
            </w:pPr>
            <w:r>
              <w:rPr>
                <w:rFonts w:ascii="Arial" w:cs="Arial" w:eastAsia="Arial" w:hAnsi="Arial"/>
                <w:sz w:val="20"/>
                <w:szCs w:val="20"/>
                <w:b w:val="1"/>
                <w:bCs w:val="1"/>
                <w:color w:val="auto"/>
              </w:rPr>
              <w:t>Item 4: Proposal to Amend the Company's Articles of</w:t>
            </w:r>
          </w:p>
        </w:tc>
        <w:tc>
          <w:tcPr>
            <w:tcW w:w="1620" w:type="dxa"/>
            <w:vAlign w:val="bottom"/>
            <w:tcBorders>
              <w:top w:val="single" w:sz="8" w:color="F4F6F6"/>
            </w:tcBorders>
          </w:tcPr>
          <w:p>
            <w:pPr>
              <w:jc w:val="center"/>
              <w:spacing w:after="0"/>
              <w:rPr>
                <w:sz w:val="20"/>
                <w:szCs w:val="20"/>
                <w:color w:val="auto"/>
              </w:rPr>
            </w:pPr>
            <w:r>
              <w:rPr>
                <w:rFonts w:ascii="Arial" w:cs="Arial" w:eastAsia="Arial" w:hAnsi="Arial"/>
                <w:sz w:val="16"/>
                <w:szCs w:val="16"/>
                <w:b w:val="1"/>
                <w:bCs w:val="1"/>
                <w:color w:val="00ABE8"/>
              </w:rPr>
              <w:t>Management</w:t>
            </w:r>
          </w:p>
        </w:tc>
        <w:tc>
          <w:tcPr>
            <w:tcW w:w="1460" w:type="dxa"/>
            <w:vAlign w:val="bottom"/>
            <w:tcBorders>
              <w:top w:val="single" w:sz="8" w:color="F4F6F6"/>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Vote required to</w:t>
            </w:r>
          </w:p>
        </w:tc>
        <w:tc>
          <w:tcPr>
            <w:tcW w:w="0" w:type="dxa"/>
            <w:vAlign w:val="bottom"/>
          </w:tcPr>
          <w:p>
            <w:pPr>
              <w:spacing w:after="0"/>
              <w:rPr>
                <w:sz w:val="1"/>
                <w:szCs w:val="1"/>
                <w:color w:val="auto"/>
              </w:rPr>
            </w:pPr>
          </w:p>
        </w:tc>
      </w:tr>
      <w:tr>
        <w:trPr>
          <w:trHeight w:val="256"/>
        </w:trPr>
        <w:tc>
          <w:tcPr>
            <w:tcW w:w="52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Incorporation to Eliminate the Classified Board</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8"/>
              </w:rPr>
              <w:t>pass</w:t>
            </w:r>
          </w:p>
        </w:tc>
        <w:tc>
          <w:tcPr>
            <w:tcW w:w="0" w:type="dxa"/>
            <w:vAlign w:val="bottom"/>
          </w:tcPr>
          <w:p>
            <w:pPr>
              <w:spacing w:after="0"/>
              <w:rPr>
                <w:sz w:val="1"/>
                <w:szCs w:val="1"/>
                <w:color w:val="auto"/>
              </w:rPr>
            </w:pPr>
          </w:p>
        </w:tc>
      </w:tr>
      <w:tr>
        <w:trPr>
          <w:trHeight w:val="272"/>
        </w:trPr>
        <w:tc>
          <w:tcPr>
            <w:tcW w:w="52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Structure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80% of</w:t>
            </w:r>
          </w:p>
        </w:tc>
        <w:tc>
          <w:tcPr>
            <w:tcW w:w="0" w:type="dxa"/>
            <w:vAlign w:val="bottom"/>
          </w:tcPr>
          <w:p>
            <w:pPr>
              <w:spacing w:after="0"/>
              <w:rPr>
                <w:sz w:val="1"/>
                <w:szCs w:val="1"/>
                <w:color w:val="auto"/>
              </w:rPr>
            </w:pPr>
          </w:p>
        </w:tc>
      </w:tr>
      <w:tr>
        <w:trPr>
          <w:trHeight w:val="162"/>
        </w:trPr>
        <w:tc>
          <w:tcPr>
            <w:tcW w:w="5200" w:type="dxa"/>
            <w:vAlign w:val="bottom"/>
            <w:tcBorders>
              <w:left w:val="single" w:sz="8" w:color="F4F6F6"/>
            </w:tcBorders>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Borders>
              <w:right w:val="single" w:sz="8" w:color="F4F6F6"/>
            </w:tcBorders>
          </w:tcPr>
          <w:p>
            <w:pPr>
              <w:jc w:val="center"/>
              <w:spacing w:after="0" w:line="162" w:lineRule="exact"/>
              <w:rPr>
                <w:sz w:val="20"/>
                <w:szCs w:val="20"/>
                <w:color w:val="auto"/>
              </w:rPr>
            </w:pPr>
            <w:r>
              <w:rPr>
                <w:rFonts w:ascii="Arial" w:cs="Arial" w:eastAsia="Arial" w:hAnsi="Arial"/>
                <w:sz w:val="16"/>
                <w:szCs w:val="16"/>
                <w:color w:val="auto"/>
              </w:rPr>
              <w:t>outstanding</w:t>
            </w:r>
          </w:p>
        </w:tc>
        <w:tc>
          <w:tcPr>
            <w:tcW w:w="0" w:type="dxa"/>
            <w:vAlign w:val="bottom"/>
          </w:tcPr>
          <w:p>
            <w:pPr>
              <w:spacing w:after="0"/>
              <w:rPr>
                <w:sz w:val="1"/>
                <w:szCs w:val="1"/>
                <w:color w:val="auto"/>
              </w:rPr>
            </w:pPr>
          </w:p>
        </w:tc>
      </w:tr>
      <w:tr>
        <w:trPr>
          <w:trHeight w:val="229"/>
        </w:trPr>
        <w:tc>
          <w:tcPr>
            <w:tcW w:w="5200" w:type="dxa"/>
            <w:vAlign w:val="bottom"/>
            <w:tcBorders>
              <w:left w:val="single" w:sz="8" w:color="F4F6F6"/>
            </w:tcBorders>
          </w:tcPr>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76</w:t>
            </w:r>
          </w:p>
        </w:tc>
        <w:tc>
          <w:tcPr>
            <w:tcW w:w="1620" w:type="dxa"/>
            <w:vAlign w:val="bottom"/>
          </w:tcPr>
          <w:p>
            <w:pPr>
              <w:spacing w:after="0"/>
              <w:rPr>
                <w:sz w:val="19"/>
                <w:szCs w:val="19"/>
                <w:color w:val="auto"/>
              </w:rPr>
            </w:pP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241"/>
        </w:trPr>
        <w:tc>
          <w:tcPr>
            <w:tcW w:w="5200" w:type="dxa"/>
            <w:vAlign w:val="bottom"/>
            <w:tcBorders>
              <w:left w:val="single" w:sz="8" w:color="F4F6F6"/>
              <w:bottom w:val="single" w:sz="8" w:color="F4F6F6"/>
            </w:tcBorders>
          </w:tcPr>
          <w:p>
            <w:pPr>
              <w:spacing w:after="0"/>
              <w:rPr>
                <w:sz w:val="21"/>
                <w:szCs w:val="21"/>
                <w:color w:val="auto"/>
              </w:rPr>
            </w:pPr>
          </w:p>
        </w:tc>
        <w:tc>
          <w:tcPr>
            <w:tcW w:w="1620" w:type="dxa"/>
            <w:vAlign w:val="bottom"/>
            <w:tcBorders>
              <w:bottom w:val="single" w:sz="8" w:color="F4F6F6"/>
            </w:tcBorders>
          </w:tcPr>
          <w:p>
            <w:pPr>
              <w:spacing w:after="0"/>
              <w:rPr>
                <w:sz w:val="21"/>
                <w:szCs w:val="21"/>
                <w:color w:val="auto"/>
              </w:rPr>
            </w:pPr>
          </w:p>
        </w:tc>
        <w:tc>
          <w:tcPr>
            <w:tcW w:w="1460" w:type="dxa"/>
            <w:vAlign w:val="bottom"/>
            <w:tcBorders>
              <w:bottom w:val="single" w:sz="8" w:color="F4F6F6"/>
              <w:right w:val="single" w:sz="8" w:color="F4F6F6"/>
            </w:tcBorders>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5200" w:type="dxa"/>
            <w:vAlign w:val="bottom"/>
            <w:tcBorders>
              <w:bottom w:val="single" w:sz="8" w:color="F4F6F6"/>
            </w:tcBorders>
          </w:tcPr>
          <w:p>
            <w:pPr>
              <w:spacing w:after="0"/>
              <w:rPr>
                <w:sz w:val="8"/>
                <w:szCs w:val="8"/>
                <w:color w:val="auto"/>
              </w:rPr>
            </w:pPr>
          </w:p>
        </w:tc>
        <w:tc>
          <w:tcPr>
            <w:tcW w:w="1620" w:type="dxa"/>
            <w:vAlign w:val="bottom"/>
            <w:tcBorders>
              <w:bottom w:val="single" w:sz="8" w:color="F4F6F6"/>
            </w:tcBorders>
          </w:tcPr>
          <w:p>
            <w:pPr>
              <w:spacing w:after="0"/>
              <w:rPr>
                <w:sz w:val="8"/>
                <w:szCs w:val="8"/>
                <w:color w:val="auto"/>
              </w:rPr>
            </w:pPr>
          </w:p>
        </w:tc>
        <w:tc>
          <w:tcPr>
            <w:tcW w:w="1460" w:type="dxa"/>
            <w:vAlign w:val="bottom"/>
            <w:tcBorders>
              <w:bottom w:val="single" w:sz="8" w:color="F4F6F6"/>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200" w:type="dxa"/>
            <w:vAlign w:val="bottom"/>
            <w:tcBorders>
              <w:left w:val="single" w:sz="8" w:color="F4F6F6"/>
            </w:tcBorders>
          </w:tcPr>
          <w:p>
            <w:pPr>
              <w:ind w:left="40"/>
              <w:spacing w:after="0" w:line="196" w:lineRule="exact"/>
              <w:rPr>
                <w:sz w:val="20"/>
                <w:szCs w:val="20"/>
                <w:color w:val="auto"/>
              </w:rPr>
            </w:pPr>
            <w:r>
              <w:rPr>
                <w:rFonts w:ascii="Arial" w:cs="Arial" w:eastAsia="Arial" w:hAnsi="Arial"/>
                <w:sz w:val="20"/>
                <w:szCs w:val="20"/>
                <w:b w:val="1"/>
                <w:bCs w:val="1"/>
                <w:color w:val="auto"/>
              </w:rPr>
              <w:t>Item 5: Proposal to Amend the Company's Articles of</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00ABE8"/>
              </w:rPr>
              <w:t>Management</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Vote required to</w:t>
            </w:r>
          </w:p>
        </w:tc>
        <w:tc>
          <w:tcPr>
            <w:tcW w:w="0" w:type="dxa"/>
            <w:vAlign w:val="bottom"/>
          </w:tcPr>
          <w:p>
            <w:pPr>
              <w:spacing w:after="0"/>
              <w:rPr>
                <w:sz w:val="1"/>
                <w:szCs w:val="1"/>
                <w:color w:val="auto"/>
              </w:rPr>
            </w:pPr>
          </w:p>
        </w:tc>
      </w:tr>
      <w:tr>
        <w:trPr>
          <w:trHeight w:val="256"/>
        </w:trPr>
        <w:tc>
          <w:tcPr>
            <w:tcW w:w="52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Incorporation to Eliminate Supermajority Voting</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8"/>
              </w:rPr>
              <w:t>pass</w:t>
            </w:r>
          </w:p>
        </w:tc>
        <w:tc>
          <w:tcPr>
            <w:tcW w:w="0" w:type="dxa"/>
            <w:vAlign w:val="bottom"/>
          </w:tcPr>
          <w:p>
            <w:pPr>
              <w:spacing w:after="0"/>
              <w:rPr>
                <w:sz w:val="1"/>
                <w:szCs w:val="1"/>
                <w:color w:val="auto"/>
              </w:rPr>
            </w:pPr>
          </w:p>
        </w:tc>
      </w:tr>
      <w:tr>
        <w:trPr>
          <w:trHeight w:val="232"/>
        </w:trPr>
        <w:tc>
          <w:tcPr>
            <w:tcW w:w="52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Provisions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80% of</w:t>
            </w:r>
          </w:p>
        </w:tc>
        <w:tc>
          <w:tcPr>
            <w:tcW w:w="0" w:type="dxa"/>
            <w:vAlign w:val="bottom"/>
          </w:tcPr>
          <w:p>
            <w:pPr>
              <w:spacing w:after="0"/>
              <w:rPr>
                <w:sz w:val="1"/>
                <w:szCs w:val="1"/>
                <w:color w:val="auto"/>
              </w:rPr>
            </w:pPr>
          </w:p>
        </w:tc>
      </w:tr>
      <w:tr>
        <w:trPr>
          <w:trHeight w:val="162"/>
        </w:trPr>
        <w:tc>
          <w:tcPr>
            <w:tcW w:w="5200" w:type="dxa"/>
            <w:vAlign w:val="bottom"/>
            <w:tcBorders>
              <w:left w:val="single" w:sz="8" w:color="F4F6F6"/>
            </w:tcBorders>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Borders>
              <w:right w:val="single" w:sz="8" w:color="F4F6F6"/>
            </w:tcBorders>
          </w:tcPr>
          <w:p>
            <w:pPr>
              <w:jc w:val="center"/>
              <w:spacing w:after="0" w:line="162" w:lineRule="exact"/>
              <w:rPr>
                <w:sz w:val="20"/>
                <w:szCs w:val="20"/>
                <w:color w:val="auto"/>
              </w:rPr>
            </w:pPr>
            <w:r>
              <w:rPr>
                <w:rFonts w:ascii="Arial" w:cs="Arial" w:eastAsia="Arial" w:hAnsi="Arial"/>
                <w:sz w:val="16"/>
                <w:szCs w:val="16"/>
                <w:color w:val="auto"/>
              </w:rPr>
              <w:t>outstanding</w:t>
            </w:r>
          </w:p>
        </w:tc>
        <w:tc>
          <w:tcPr>
            <w:tcW w:w="0" w:type="dxa"/>
            <w:vAlign w:val="bottom"/>
          </w:tcPr>
          <w:p>
            <w:pPr>
              <w:spacing w:after="0"/>
              <w:rPr>
                <w:sz w:val="1"/>
                <w:szCs w:val="1"/>
                <w:color w:val="auto"/>
              </w:rPr>
            </w:pPr>
          </w:p>
        </w:tc>
      </w:tr>
      <w:tr>
        <w:trPr>
          <w:trHeight w:val="195"/>
        </w:trPr>
        <w:tc>
          <w:tcPr>
            <w:tcW w:w="520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77</w:t>
            </w:r>
          </w:p>
        </w:tc>
        <w:tc>
          <w:tcPr>
            <w:tcW w:w="1620" w:type="dxa"/>
            <w:vAlign w:val="bottom"/>
          </w:tcPr>
          <w:p>
            <w:pPr>
              <w:spacing w:after="0"/>
              <w:rPr>
                <w:sz w:val="16"/>
                <w:szCs w:val="16"/>
                <w:color w:val="auto"/>
              </w:rPr>
            </w:pPr>
          </w:p>
        </w:tc>
        <w:tc>
          <w:tcPr>
            <w:tcW w:w="146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75"/>
        </w:trPr>
        <w:tc>
          <w:tcPr>
            <w:tcW w:w="5200" w:type="dxa"/>
            <w:vAlign w:val="bottom"/>
            <w:tcBorders>
              <w:left w:val="single" w:sz="8" w:color="F4F6F6"/>
            </w:tcBorders>
            <w:vMerge w:val="continue"/>
          </w:tcPr>
          <w:p>
            <w:pPr>
              <w:spacing w:after="0"/>
              <w:rPr>
                <w:sz w:val="6"/>
                <w:szCs w:val="6"/>
                <w:color w:val="auto"/>
              </w:rPr>
            </w:pPr>
          </w:p>
        </w:tc>
        <w:tc>
          <w:tcPr>
            <w:tcW w:w="1620" w:type="dxa"/>
            <w:vAlign w:val="bottom"/>
          </w:tcPr>
          <w:p>
            <w:pPr>
              <w:spacing w:after="0"/>
              <w:rPr>
                <w:sz w:val="6"/>
                <w:szCs w:val="6"/>
                <w:color w:val="auto"/>
              </w:rPr>
            </w:pPr>
          </w:p>
        </w:tc>
        <w:tc>
          <w:tcPr>
            <w:tcW w:w="1460" w:type="dxa"/>
            <w:vAlign w:val="bottom"/>
            <w:tcBorders>
              <w:right w:val="single" w:sz="8" w:color="F4F6F6"/>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5200" w:type="dxa"/>
            <w:vAlign w:val="bottom"/>
            <w:tcBorders>
              <w:left w:val="single" w:sz="8" w:color="F4F6F6"/>
              <w:bottom w:val="single" w:sz="8" w:color="F4F6F6"/>
            </w:tcBorders>
          </w:tcPr>
          <w:p>
            <w:pPr>
              <w:spacing w:after="0"/>
              <w:rPr>
                <w:sz w:val="21"/>
                <w:szCs w:val="21"/>
                <w:color w:val="auto"/>
              </w:rPr>
            </w:pPr>
          </w:p>
        </w:tc>
        <w:tc>
          <w:tcPr>
            <w:tcW w:w="1620" w:type="dxa"/>
            <w:vAlign w:val="bottom"/>
            <w:tcBorders>
              <w:bottom w:val="single" w:sz="8" w:color="F4F6F6"/>
            </w:tcBorders>
          </w:tcPr>
          <w:p>
            <w:pPr>
              <w:spacing w:after="0"/>
              <w:rPr>
                <w:sz w:val="21"/>
                <w:szCs w:val="21"/>
                <w:color w:val="auto"/>
              </w:rPr>
            </w:pPr>
          </w:p>
        </w:tc>
        <w:tc>
          <w:tcPr>
            <w:tcW w:w="1460" w:type="dxa"/>
            <w:vAlign w:val="bottom"/>
            <w:tcBorders>
              <w:bottom w:val="single" w:sz="8" w:color="F4F6F6"/>
              <w:right w:val="single" w:sz="8" w:color="F4F6F6"/>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P11</w:t>
      </w:r>
    </w:p>
    <w:p>
      <w:pPr>
        <w:sectPr>
          <w:pgSz w:w="11900" w:h="16838" w:orient="portrait"/>
          <w:cols w:equalWidth="0" w:num="1">
            <w:col w:w="11180"/>
          </w:cols>
          <w:pgMar w:left="320" w:top="1440" w:right="399" w:bottom="1440" w:gutter="0" w:footer="0" w:header="0"/>
          <w:type w:val="continuous"/>
        </w:sectPr>
      </w:pPr>
    </w:p>
    <w:bookmarkStart w:id="16" w:name="page17"/>
    <w:bookmarkEnd w:id="16"/>
    <w:p>
      <w:pPr>
        <w:spacing w:after="0" w:line="21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Shareholder Proposals</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60" w:type="dxa"/>
            <w:vAlign w:val="bottom"/>
            <w:tcBorders>
              <w:top w:val="single" w:sz="8" w:color="F4F6F6"/>
              <w:left w:val="single" w:sz="8" w:color="F4F6F6"/>
            </w:tcBorders>
          </w:tcPr>
          <w:p>
            <w:pPr>
              <w:ind w:left="40"/>
              <w:spacing w:after="0" w:line="216" w:lineRule="exact"/>
              <w:rPr>
                <w:sz w:val="20"/>
                <w:szCs w:val="20"/>
                <w:color w:val="auto"/>
              </w:rPr>
            </w:pPr>
            <w:r>
              <w:rPr>
                <w:rFonts w:ascii="Arial" w:cs="Arial" w:eastAsia="Arial" w:hAnsi="Arial"/>
                <w:sz w:val="20"/>
                <w:szCs w:val="20"/>
                <w:b w:val="1"/>
                <w:bCs w:val="1"/>
                <w:color w:val="auto"/>
              </w:rPr>
              <w:t>Item 6: Proposal to Disclose Direct and Indirect</w:t>
            </w:r>
          </w:p>
        </w:tc>
        <w:tc>
          <w:tcPr>
            <w:tcW w:w="1700" w:type="dxa"/>
            <w:vAlign w:val="bottom"/>
            <w:tcBorders>
              <w:top w:val="single" w:sz="8" w:color="F4F6F6"/>
            </w:tcBorders>
          </w:tcPr>
          <w:p>
            <w:pPr>
              <w:jc w:val="center"/>
              <w:spacing w:after="0"/>
              <w:rPr>
                <w:sz w:val="20"/>
                <w:szCs w:val="20"/>
                <w:color w:val="auto"/>
              </w:rPr>
            </w:pPr>
            <w:r>
              <w:rPr>
                <w:rFonts w:ascii="Arial" w:cs="Arial" w:eastAsia="Arial" w:hAnsi="Arial"/>
                <w:sz w:val="18"/>
                <w:szCs w:val="18"/>
                <w:b w:val="1"/>
                <w:bCs w:val="1"/>
                <w:color w:val="00ABE8"/>
                <w:w w:val="99"/>
              </w:rPr>
              <w:t>Management</w:t>
            </w:r>
          </w:p>
        </w:tc>
        <w:tc>
          <w:tcPr>
            <w:tcW w:w="1420" w:type="dxa"/>
            <w:vAlign w:val="bottom"/>
            <w:tcBorders>
              <w:top w:val="single" w:sz="8" w:color="F4F6F6"/>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Vote required to</w:t>
            </w:r>
          </w:p>
        </w:tc>
        <w:tc>
          <w:tcPr>
            <w:tcW w:w="0" w:type="dxa"/>
            <w:vAlign w:val="bottom"/>
          </w:tcPr>
          <w:p>
            <w:pPr>
              <w:spacing w:after="0"/>
              <w:rPr>
                <w:sz w:val="1"/>
                <w:szCs w:val="1"/>
                <w:color w:val="auto"/>
              </w:rPr>
            </w:pPr>
          </w:p>
        </w:tc>
      </w:tr>
      <w:tr>
        <w:trPr>
          <w:trHeight w:val="288"/>
        </w:trPr>
        <w:tc>
          <w:tcPr>
            <w:tcW w:w="516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Lobbying Activities and Expenditures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0ABE8"/>
                <w:w w:val="99"/>
              </w:rPr>
              <w:t>recommendation</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8"/>
              </w:rPr>
              <w:t>pass</w:t>
            </w:r>
          </w:p>
        </w:tc>
        <w:tc>
          <w:tcPr>
            <w:tcW w:w="0" w:type="dxa"/>
            <w:vAlign w:val="bottom"/>
          </w:tcPr>
          <w:p>
            <w:pPr>
              <w:spacing w:after="0"/>
              <w:rPr>
                <w:sz w:val="1"/>
                <w:szCs w:val="1"/>
                <w:color w:val="auto"/>
              </w:rPr>
            </w:pPr>
          </w:p>
        </w:tc>
      </w:tr>
      <w:tr>
        <w:trPr>
          <w:trHeight w:val="252"/>
        </w:trPr>
        <w:tc>
          <w:tcPr>
            <w:tcW w:w="516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78</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Vote AGAINST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Majority of votes</w:t>
            </w:r>
          </w:p>
        </w:tc>
        <w:tc>
          <w:tcPr>
            <w:tcW w:w="0" w:type="dxa"/>
            <w:vAlign w:val="bottom"/>
          </w:tcPr>
          <w:p>
            <w:pPr>
              <w:spacing w:after="0"/>
              <w:rPr>
                <w:sz w:val="1"/>
                <w:szCs w:val="1"/>
                <w:color w:val="auto"/>
              </w:rPr>
            </w:pPr>
          </w:p>
        </w:tc>
      </w:tr>
      <w:tr>
        <w:trPr>
          <w:trHeight w:val="195"/>
        </w:trPr>
        <w:tc>
          <w:tcPr>
            <w:tcW w:w="5160" w:type="dxa"/>
            <w:vAlign w:val="bottom"/>
            <w:tcBorders>
              <w:left w:val="single" w:sz="8" w:color="F4F6F6"/>
            </w:tcBorders>
            <w:vMerge w:val="continue"/>
          </w:tcPr>
          <w:p>
            <w:pPr>
              <w:spacing w:after="0"/>
              <w:rPr>
                <w:sz w:val="16"/>
                <w:szCs w:val="16"/>
                <w:color w:val="auto"/>
              </w:rPr>
            </w:pPr>
          </w:p>
        </w:tc>
        <w:tc>
          <w:tcPr>
            <w:tcW w:w="1700" w:type="dxa"/>
            <w:vAlign w:val="bottom"/>
          </w:tcPr>
          <w:p>
            <w:pPr>
              <w:spacing w:after="0"/>
              <w:rPr>
                <w:sz w:val="16"/>
                <w:szCs w:val="16"/>
                <w:color w:val="auto"/>
              </w:rPr>
            </w:pP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cast</w:t>
            </w:r>
          </w:p>
        </w:tc>
        <w:tc>
          <w:tcPr>
            <w:tcW w:w="0" w:type="dxa"/>
            <w:vAlign w:val="bottom"/>
          </w:tcPr>
          <w:p>
            <w:pPr>
              <w:spacing w:after="0"/>
              <w:rPr>
                <w:sz w:val="1"/>
                <w:szCs w:val="1"/>
                <w:color w:val="auto"/>
              </w:rPr>
            </w:pPr>
          </w:p>
        </w:tc>
      </w:tr>
      <w:tr>
        <w:trPr>
          <w:trHeight w:val="197"/>
        </w:trPr>
        <w:tc>
          <w:tcPr>
            <w:tcW w:w="5160" w:type="dxa"/>
            <w:vAlign w:val="bottom"/>
            <w:tcBorders>
              <w:left w:val="single" w:sz="8" w:color="F4F6F6"/>
              <w:bottom w:val="single" w:sz="8" w:color="F4F6F6"/>
            </w:tcBorders>
          </w:tcPr>
          <w:p>
            <w:pPr>
              <w:spacing w:after="0"/>
              <w:rPr>
                <w:sz w:val="17"/>
                <w:szCs w:val="17"/>
                <w:color w:val="auto"/>
              </w:rPr>
            </w:pPr>
          </w:p>
        </w:tc>
        <w:tc>
          <w:tcPr>
            <w:tcW w:w="1700" w:type="dxa"/>
            <w:vAlign w:val="bottom"/>
            <w:tcBorders>
              <w:bottom w:val="single" w:sz="8" w:color="F4F6F6"/>
            </w:tcBorders>
          </w:tcPr>
          <w:p>
            <w:pPr>
              <w:spacing w:after="0"/>
              <w:rPr>
                <w:sz w:val="17"/>
                <w:szCs w:val="17"/>
                <w:color w:val="auto"/>
              </w:rPr>
            </w:pPr>
          </w:p>
        </w:tc>
        <w:tc>
          <w:tcPr>
            <w:tcW w:w="1420" w:type="dxa"/>
            <w:vAlign w:val="bottom"/>
            <w:tcBorders>
              <w:bottom w:val="single" w:sz="8" w:color="F4F6F6"/>
              <w:right w:val="single" w:sz="8" w:color="F4F6F6"/>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F4F6F6"/>
            </w:tcBorders>
          </w:tcPr>
          <w:p>
            <w:pPr>
              <w:spacing w:after="0"/>
              <w:rPr>
                <w:sz w:val="8"/>
                <w:szCs w:val="8"/>
                <w:color w:val="auto"/>
              </w:rPr>
            </w:pPr>
          </w:p>
        </w:tc>
        <w:tc>
          <w:tcPr>
            <w:tcW w:w="1700" w:type="dxa"/>
            <w:vAlign w:val="bottom"/>
            <w:tcBorders>
              <w:bottom w:val="single" w:sz="8" w:color="F4F6F6"/>
            </w:tcBorders>
          </w:tcPr>
          <w:p>
            <w:pPr>
              <w:spacing w:after="0"/>
              <w:rPr>
                <w:sz w:val="8"/>
                <w:szCs w:val="8"/>
                <w:color w:val="auto"/>
              </w:rPr>
            </w:pPr>
          </w:p>
        </w:tc>
        <w:tc>
          <w:tcPr>
            <w:tcW w:w="1420" w:type="dxa"/>
            <w:vAlign w:val="bottom"/>
            <w:tcBorders>
              <w:bottom w:val="single" w:sz="8" w:color="F4F6F6"/>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F4F6F6"/>
            </w:tcBorders>
          </w:tcPr>
          <w:p>
            <w:pPr>
              <w:ind w:left="40"/>
              <w:spacing w:after="0" w:line="196" w:lineRule="exact"/>
              <w:rPr>
                <w:sz w:val="20"/>
                <w:szCs w:val="20"/>
                <w:color w:val="auto"/>
              </w:rPr>
            </w:pPr>
            <w:r>
              <w:rPr>
                <w:rFonts w:ascii="Arial" w:cs="Arial" w:eastAsia="Arial" w:hAnsi="Arial"/>
                <w:sz w:val="20"/>
                <w:szCs w:val="20"/>
                <w:b w:val="1"/>
                <w:bCs w:val="1"/>
                <w:color w:val="auto"/>
              </w:rPr>
              <w:t>Item 7: Proposal to Amend the Bylaws to Require an</w:t>
            </w:r>
          </w:p>
        </w:tc>
        <w:tc>
          <w:tcPr>
            <w:tcW w:w="1700" w:type="dxa"/>
            <w:vAlign w:val="bottom"/>
          </w:tcPr>
          <w:p>
            <w:pPr>
              <w:jc w:val="center"/>
              <w:spacing w:after="0" w:line="196" w:lineRule="exact"/>
              <w:rPr>
                <w:sz w:val="20"/>
                <w:szCs w:val="20"/>
                <w:color w:val="auto"/>
              </w:rPr>
            </w:pPr>
            <w:r>
              <w:rPr>
                <w:rFonts w:ascii="Arial" w:cs="Arial" w:eastAsia="Arial" w:hAnsi="Arial"/>
                <w:sz w:val="18"/>
                <w:szCs w:val="18"/>
                <w:b w:val="1"/>
                <w:bCs w:val="1"/>
                <w:color w:val="00ABE8"/>
                <w:w w:val="99"/>
              </w:rPr>
              <w:t>Management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Vote required to</w:t>
            </w:r>
          </w:p>
        </w:tc>
        <w:tc>
          <w:tcPr>
            <w:tcW w:w="0" w:type="dxa"/>
            <w:vAlign w:val="bottom"/>
          </w:tcPr>
          <w:p>
            <w:pPr>
              <w:spacing w:after="0"/>
              <w:rPr>
                <w:sz w:val="1"/>
                <w:szCs w:val="1"/>
                <w:color w:val="auto"/>
              </w:rPr>
            </w:pPr>
          </w:p>
        </w:tc>
      </w:tr>
      <w:tr>
        <w:trPr>
          <w:trHeight w:val="288"/>
        </w:trPr>
        <w:tc>
          <w:tcPr>
            <w:tcW w:w="516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Independent Board Chair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0ABE8"/>
                <w:w w:val="99"/>
              </w:rPr>
              <w:t>recommendation</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8"/>
              </w:rPr>
              <w:t>pass</w:t>
            </w:r>
          </w:p>
        </w:tc>
        <w:tc>
          <w:tcPr>
            <w:tcW w:w="0" w:type="dxa"/>
            <w:vAlign w:val="bottom"/>
          </w:tcPr>
          <w:p>
            <w:pPr>
              <w:spacing w:after="0"/>
              <w:rPr>
                <w:sz w:val="1"/>
                <w:szCs w:val="1"/>
                <w:color w:val="auto"/>
              </w:rPr>
            </w:pPr>
          </w:p>
        </w:tc>
      </w:tr>
      <w:tr>
        <w:trPr>
          <w:trHeight w:val="252"/>
        </w:trPr>
        <w:tc>
          <w:tcPr>
            <w:tcW w:w="516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80</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Vote AGAINST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Majority of votes</w:t>
            </w:r>
          </w:p>
        </w:tc>
        <w:tc>
          <w:tcPr>
            <w:tcW w:w="0" w:type="dxa"/>
            <w:vAlign w:val="bottom"/>
          </w:tcPr>
          <w:p>
            <w:pPr>
              <w:spacing w:after="0"/>
              <w:rPr>
                <w:sz w:val="1"/>
                <w:szCs w:val="1"/>
                <w:color w:val="auto"/>
              </w:rPr>
            </w:pPr>
          </w:p>
        </w:tc>
      </w:tr>
      <w:tr>
        <w:trPr>
          <w:trHeight w:val="195"/>
        </w:trPr>
        <w:tc>
          <w:tcPr>
            <w:tcW w:w="5160" w:type="dxa"/>
            <w:vAlign w:val="bottom"/>
            <w:tcBorders>
              <w:left w:val="single" w:sz="8" w:color="F4F6F6"/>
            </w:tcBorders>
            <w:vMerge w:val="continue"/>
          </w:tcPr>
          <w:p>
            <w:pPr>
              <w:spacing w:after="0"/>
              <w:rPr>
                <w:sz w:val="16"/>
                <w:szCs w:val="16"/>
                <w:color w:val="auto"/>
              </w:rPr>
            </w:pPr>
          </w:p>
        </w:tc>
        <w:tc>
          <w:tcPr>
            <w:tcW w:w="1700" w:type="dxa"/>
            <w:vAlign w:val="bottom"/>
          </w:tcPr>
          <w:p>
            <w:pPr>
              <w:spacing w:after="0"/>
              <w:rPr>
                <w:sz w:val="16"/>
                <w:szCs w:val="16"/>
                <w:color w:val="auto"/>
              </w:rPr>
            </w:pP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cast</w:t>
            </w:r>
          </w:p>
        </w:tc>
        <w:tc>
          <w:tcPr>
            <w:tcW w:w="0" w:type="dxa"/>
            <w:vAlign w:val="bottom"/>
          </w:tcPr>
          <w:p>
            <w:pPr>
              <w:spacing w:after="0"/>
              <w:rPr>
                <w:sz w:val="1"/>
                <w:szCs w:val="1"/>
                <w:color w:val="auto"/>
              </w:rPr>
            </w:pPr>
          </w:p>
        </w:tc>
      </w:tr>
      <w:tr>
        <w:trPr>
          <w:trHeight w:val="197"/>
        </w:trPr>
        <w:tc>
          <w:tcPr>
            <w:tcW w:w="5160" w:type="dxa"/>
            <w:vAlign w:val="bottom"/>
            <w:tcBorders>
              <w:left w:val="single" w:sz="8" w:color="F4F6F6"/>
              <w:bottom w:val="single" w:sz="8" w:color="F4F6F6"/>
            </w:tcBorders>
          </w:tcPr>
          <w:p>
            <w:pPr>
              <w:spacing w:after="0"/>
              <w:rPr>
                <w:sz w:val="17"/>
                <w:szCs w:val="17"/>
                <w:color w:val="auto"/>
              </w:rPr>
            </w:pPr>
          </w:p>
        </w:tc>
        <w:tc>
          <w:tcPr>
            <w:tcW w:w="1700" w:type="dxa"/>
            <w:vAlign w:val="bottom"/>
            <w:tcBorders>
              <w:bottom w:val="single" w:sz="8" w:color="F4F6F6"/>
            </w:tcBorders>
          </w:tcPr>
          <w:p>
            <w:pPr>
              <w:spacing w:after="0"/>
              <w:rPr>
                <w:sz w:val="17"/>
                <w:szCs w:val="17"/>
                <w:color w:val="auto"/>
              </w:rPr>
            </w:pPr>
          </w:p>
        </w:tc>
        <w:tc>
          <w:tcPr>
            <w:tcW w:w="1420" w:type="dxa"/>
            <w:vAlign w:val="bottom"/>
            <w:tcBorders>
              <w:bottom w:val="single" w:sz="8" w:color="F4F6F6"/>
              <w:right w:val="single" w:sz="8" w:color="F4F6F6"/>
            </w:tcBorders>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F4F6F6"/>
            </w:tcBorders>
          </w:tcPr>
          <w:p>
            <w:pPr>
              <w:spacing w:after="0"/>
              <w:rPr>
                <w:sz w:val="10"/>
                <w:szCs w:val="10"/>
                <w:color w:val="auto"/>
              </w:rPr>
            </w:pPr>
          </w:p>
        </w:tc>
        <w:tc>
          <w:tcPr>
            <w:tcW w:w="1700" w:type="dxa"/>
            <w:vAlign w:val="bottom"/>
            <w:tcBorders>
              <w:bottom w:val="single" w:sz="8" w:color="F4F6F6"/>
            </w:tcBorders>
          </w:tcPr>
          <w:p>
            <w:pPr>
              <w:spacing w:after="0"/>
              <w:rPr>
                <w:sz w:val="10"/>
                <w:szCs w:val="10"/>
                <w:color w:val="auto"/>
              </w:rPr>
            </w:pPr>
          </w:p>
        </w:tc>
        <w:tc>
          <w:tcPr>
            <w:tcW w:w="1420" w:type="dxa"/>
            <w:vAlign w:val="bottom"/>
            <w:tcBorders>
              <w:bottom w:val="single" w:sz="8" w:color="F4F6F6"/>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F4F6F6"/>
            </w:tcBorders>
          </w:tcPr>
          <w:p>
            <w:pPr>
              <w:ind w:left="40"/>
              <w:spacing w:after="0" w:line="196" w:lineRule="exact"/>
              <w:rPr>
                <w:sz w:val="20"/>
                <w:szCs w:val="20"/>
                <w:color w:val="auto"/>
              </w:rPr>
            </w:pPr>
            <w:r>
              <w:rPr>
                <w:rFonts w:ascii="Arial" w:cs="Arial" w:eastAsia="Arial" w:hAnsi="Arial"/>
                <w:sz w:val="20"/>
                <w:szCs w:val="20"/>
                <w:b w:val="1"/>
                <w:bCs w:val="1"/>
                <w:color w:val="auto"/>
              </w:rPr>
              <w:t>Item 8: Proposal to Implement a Bonus Deferral</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0ABE8"/>
              </w:rPr>
              <w:t>Management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Vote required to</w:t>
            </w:r>
          </w:p>
        </w:tc>
        <w:tc>
          <w:tcPr>
            <w:tcW w:w="0" w:type="dxa"/>
            <w:vAlign w:val="bottom"/>
          </w:tcPr>
          <w:p>
            <w:pPr>
              <w:spacing w:after="0"/>
              <w:rPr>
                <w:sz w:val="1"/>
                <w:szCs w:val="1"/>
                <w:color w:val="auto"/>
              </w:rPr>
            </w:pPr>
          </w:p>
        </w:tc>
      </w:tr>
      <w:tr>
        <w:trPr>
          <w:trHeight w:val="288"/>
        </w:trPr>
        <w:tc>
          <w:tcPr>
            <w:tcW w:w="516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Policy</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8"/>
              </w:rPr>
              <w:t>pass</w:t>
            </w:r>
          </w:p>
        </w:tc>
        <w:tc>
          <w:tcPr>
            <w:tcW w:w="0" w:type="dxa"/>
            <w:vAlign w:val="bottom"/>
          </w:tcPr>
          <w:p>
            <w:pPr>
              <w:spacing w:after="0"/>
              <w:rPr>
                <w:sz w:val="1"/>
                <w:szCs w:val="1"/>
                <w:color w:val="auto"/>
              </w:rPr>
            </w:pPr>
          </w:p>
        </w:tc>
      </w:tr>
      <w:tr>
        <w:trPr>
          <w:trHeight w:val="200"/>
        </w:trPr>
        <w:tc>
          <w:tcPr>
            <w:tcW w:w="5160" w:type="dxa"/>
            <w:vAlign w:val="bottom"/>
            <w:tcBorders>
              <w:left w:val="single" w:sz="8" w:color="F4F6F6"/>
            </w:tcBorders>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Vote AGAINST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Majority of votes</w:t>
            </w:r>
          </w:p>
        </w:tc>
        <w:tc>
          <w:tcPr>
            <w:tcW w:w="0" w:type="dxa"/>
            <w:vAlign w:val="bottom"/>
          </w:tcPr>
          <w:p>
            <w:pPr>
              <w:spacing w:after="0"/>
              <w:rPr>
                <w:sz w:val="1"/>
                <w:szCs w:val="1"/>
                <w:color w:val="auto"/>
              </w:rPr>
            </w:pPr>
          </w:p>
        </w:tc>
      </w:tr>
      <w:tr>
        <w:trPr>
          <w:trHeight w:val="202"/>
        </w:trPr>
        <w:tc>
          <w:tcPr>
            <w:tcW w:w="5160" w:type="dxa"/>
            <w:vAlign w:val="bottom"/>
            <w:tcBorders>
              <w:left w:val="single" w:sz="8" w:color="F4F6F6"/>
            </w:tcBorders>
          </w:tcPr>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82</w:t>
            </w:r>
          </w:p>
        </w:tc>
        <w:tc>
          <w:tcPr>
            <w:tcW w:w="1700" w:type="dxa"/>
            <w:vAlign w:val="bottom"/>
          </w:tcPr>
          <w:p>
            <w:pPr>
              <w:spacing w:after="0"/>
              <w:rPr>
                <w:sz w:val="17"/>
                <w:szCs w:val="17"/>
                <w:color w:val="auto"/>
              </w:rPr>
            </w:pP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cast</w:t>
            </w:r>
          </w:p>
        </w:tc>
        <w:tc>
          <w:tcPr>
            <w:tcW w:w="0" w:type="dxa"/>
            <w:vAlign w:val="bottom"/>
          </w:tcPr>
          <w:p>
            <w:pPr>
              <w:spacing w:after="0"/>
              <w:rPr>
                <w:sz w:val="1"/>
                <w:szCs w:val="1"/>
                <w:color w:val="auto"/>
              </w:rPr>
            </w:pPr>
          </w:p>
        </w:tc>
      </w:tr>
      <w:tr>
        <w:trPr>
          <w:trHeight w:val="66"/>
        </w:trPr>
        <w:tc>
          <w:tcPr>
            <w:tcW w:w="5160" w:type="dxa"/>
            <w:vAlign w:val="bottom"/>
            <w:tcBorders>
              <w:left w:val="single" w:sz="8" w:color="F4F6F6"/>
              <w:bottom w:val="single" w:sz="8" w:color="F4F6F6"/>
            </w:tcBorders>
          </w:tcPr>
          <w:p>
            <w:pPr>
              <w:spacing w:after="0"/>
              <w:rPr>
                <w:sz w:val="5"/>
                <w:szCs w:val="5"/>
                <w:color w:val="auto"/>
              </w:rPr>
            </w:pPr>
          </w:p>
        </w:tc>
        <w:tc>
          <w:tcPr>
            <w:tcW w:w="1700" w:type="dxa"/>
            <w:vAlign w:val="bottom"/>
            <w:tcBorders>
              <w:bottom w:val="single" w:sz="8" w:color="F4F6F6"/>
            </w:tcBorders>
          </w:tcPr>
          <w:p>
            <w:pPr>
              <w:spacing w:after="0"/>
              <w:rPr>
                <w:sz w:val="5"/>
                <w:szCs w:val="5"/>
                <w:color w:val="auto"/>
              </w:rPr>
            </w:pPr>
          </w:p>
        </w:tc>
        <w:tc>
          <w:tcPr>
            <w:tcW w:w="1420" w:type="dxa"/>
            <w:vAlign w:val="bottom"/>
            <w:tcBorders>
              <w:bottom w:val="single" w:sz="8" w:color="F4F6F6"/>
              <w:right w:val="single" w:sz="8" w:color="F4F6F6"/>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F4F6F6"/>
            </w:tcBorders>
          </w:tcPr>
          <w:p>
            <w:pPr>
              <w:spacing w:after="0"/>
              <w:rPr>
                <w:sz w:val="10"/>
                <w:szCs w:val="10"/>
                <w:color w:val="auto"/>
              </w:rPr>
            </w:pPr>
          </w:p>
        </w:tc>
        <w:tc>
          <w:tcPr>
            <w:tcW w:w="1700" w:type="dxa"/>
            <w:vAlign w:val="bottom"/>
            <w:tcBorders>
              <w:bottom w:val="single" w:sz="8" w:color="F4F6F6"/>
            </w:tcBorders>
          </w:tcPr>
          <w:p>
            <w:pPr>
              <w:spacing w:after="0"/>
              <w:rPr>
                <w:sz w:val="10"/>
                <w:szCs w:val="10"/>
                <w:color w:val="auto"/>
              </w:rPr>
            </w:pPr>
          </w:p>
        </w:tc>
        <w:tc>
          <w:tcPr>
            <w:tcW w:w="1420" w:type="dxa"/>
            <w:vAlign w:val="bottom"/>
            <w:tcBorders>
              <w:bottom w:val="single" w:sz="8" w:color="F4F6F6"/>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F4F6F6"/>
            </w:tcBorders>
          </w:tcPr>
          <w:p>
            <w:pPr>
              <w:ind w:left="40"/>
              <w:spacing w:after="0" w:line="196" w:lineRule="exact"/>
              <w:rPr>
                <w:sz w:val="20"/>
                <w:szCs w:val="20"/>
                <w:color w:val="auto"/>
              </w:rPr>
            </w:pPr>
            <w:r>
              <w:rPr>
                <w:rFonts w:ascii="Arial" w:cs="Arial" w:eastAsia="Arial" w:hAnsi="Arial"/>
                <w:sz w:val="20"/>
                <w:szCs w:val="20"/>
                <w:b w:val="1"/>
                <w:bCs w:val="1"/>
                <w:color w:val="auto"/>
              </w:rPr>
              <w:t>Item 9: Proposal to Disclose Clawbacks on Executive</w:t>
            </w:r>
          </w:p>
        </w:tc>
        <w:tc>
          <w:tcPr>
            <w:tcW w:w="1700" w:type="dxa"/>
            <w:vAlign w:val="bottom"/>
          </w:tcPr>
          <w:p>
            <w:pPr>
              <w:jc w:val="center"/>
              <w:spacing w:after="0" w:line="196" w:lineRule="exact"/>
              <w:rPr>
                <w:sz w:val="20"/>
                <w:szCs w:val="20"/>
                <w:color w:val="auto"/>
              </w:rPr>
            </w:pPr>
            <w:r>
              <w:rPr>
                <w:rFonts w:ascii="Arial" w:cs="Arial" w:eastAsia="Arial" w:hAnsi="Arial"/>
                <w:sz w:val="18"/>
                <w:szCs w:val="18"/>
                <w:b w:val="1"/>
                <w:bCs w:val="1"/>
                <w:color w:val="00ABE8"/>
                <w:w w:val="99"/>
              </w:rPr>
              <w:t>Management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w w:val="99"/>
              </w:rPr>
              <w:t>Vote required to</w:t>
            </w:r>
          </w:p>
        </w:tc>
        <w:tc>
          <w:tcPr>
            <w:tcW w:w="0" w:type="dxa"/>
            <w:vAlign w:val="bottom"/>
          </w:tcPr>
          <w:p>
            <w:pPr>
              <w:spacing w:after="0"/>
              <w:rPr>
                <w:sz w:val="1"/>
                <w:szCs w:val="1"/>
                <w:color w:val="auto"/>
              </w:rPr>
            </w:pPr>
          </w:p>
        </w:tc>
      </w:tr>
      <w:tr>
        <w:trPr>
          <w:trHeight w:val="288"/>
        </w:trPr>
        <w:tc>
          <w:tcPr>
            <w:tcW w:w="516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Incentive Compensation Due to Misconduct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0ABE8"/>
              </w:rPr>
              <w:t>recommendation</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b w:val="1"/>
                <w:bCs w:val="1"/>
                <w:color w:val="00ABE8"/>
              </w:rPr>
              <w:t>pass</w:t>
            </w:r>
          </w:p>
        </w:tc>
        <w:tc>
          <w:tcPr>
            <w:tcW w:w="0" w:type="dxa"/>
            <w:vAlign w:val="bottom"/>
          </w:tcPr>
          <w:p>
            <w:pPr>
              <w:spacing w:after="0"/>
              <w:rPr>
                <w:sz w:val="1"/>
                <w:szCs w:val="1"/>
                <w:color w:val="auto"/>
              </w:rPr>
            </w:pPr>
          </w:p>
        </w:tc>
      </w:tr>
      <w:tr>
        <w:trPr>
          <w:trHeight w:val="200"/>
        </w:trPr>
        <w:tc>
          <w:tcPr>
            <w:tcW w:w="5160" w:type="dxa"/>
            <w:vAlign w:val="bottom"/>
            <w:tcBorders>
              <w:left w:val="single" w:sz="8" w:color="F4F6F6"/>
            </w:tcBorders>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Vote AGAINST</w:t>
            </w:r>
          </w:p>
        </w:tc>
        <w:tc>
          <w:tcPr>
            <w:tcW w:w="1420" w:type="dxa"/>
            <w:vAlign w:val="bottom"/>
            <w:tcBorders>
              <w:right w:val="single" w:sz="8" w:color="F4F6F6"/>
            </w:tcBorders>
          </w:tcPr>
          <w:p>
            <w:pPr>
              <w:jc w:val="center"/>
              <w:spacing w:after="0"/>
              <w:rPr>
                <w:sz w:val="20"/>
                <w:szCs w:val="20"/>
                <w:color w:val="auto"/>
              </w:rPr>
            </w:pPr>
            <w:r>
              <w:rPr>
                <w:rFonts w:ascii="Arial" w:cs="Arial" w:eastAsia="Arial" w:hAnsi="Arial"/>
                <w:sz w:val="16"/>
                <w:szCs w:val="16"/>
                <w:color w:val="auto"/>
              </w:rPr>
              <w:t>Majority of votes</w:t>
            </w:r>
          </w:p>
        </w:tc>
        <w:tc>
          <w:tcPr>
            <w:tcW w:w="0" w:type="dxa"/>
            <w:vAlign w:val="bottom"/>
          </w:tcPr>
          <w:p>
            <w:pPr>
              <w:spacing w:after="0"/>
              <w:rPr>
                <w:sz w:val="1"/>
                <w:szCs w:val="1"/>
                <w:color w:val="auto"/>
              </w:rPr>
            </w:pPr>
          </w:p>
        </w:tc>
      </w:tr>
      <w:tr>
        <w:trPr>
          <w:trHeight w:val="114"/>
        </w:trPr>
        <w:tc>
          <w:tcPr>
            <w:tcW w:w="516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For further information, see page </w:t>
            </w:r>
            <w:r>
              <w:rPr>
                <w:rFonts w:ascii="Arial" w:cs="Arial" w:eastAsia="Arial" w:hAnsi="Arial"/>
                <w:sz w:val="14"/>
                <w:szCs w:val="14"/>
                <w:b w:val="1"/>
                <w:bCs w:val="1"/>
                <w:color w:val="00ABE8"/>
              </w:rPr>
              <w:t>84</w:t>
            </w:r>
          </w:p>
        </w:tc>
        <w:tc>
          <w:tcPr>
            <w:tcW w:w="1700" w:type="dxa"/>
            <w:vAlign w:val="bottom"/>
            <w:vMerge w:val="continue"/>
          </w:tcPr>
          <w:p>
            <w:pPr>
              <w:spacing w:after="0"/>
              <w:rPr>
                <w:sz w:val="9"/>
                <w:szCs w:val="9"/>
                <w:color w:val="auto"/>
              </w:rPr>
            </w:pPr>
          </w:p>
        </w:tc>
        <w:tc>
          <w:tcPr>
            <w:tcW w:w="1420" w:type="dxa"/>
            <w:vAlign w:val="bottom"/>
            <w:tcBorders>
              <w:right w:val="single" w:sz="8" w:color="F4F6F6"/>
            </w:tcBorders>
            <w:vMerge w:val="restart"/>
          </w:tcPr>
          <w:p>
            <w:pPr>
              <w:jc w:val="center"/>
              <w:spacing w:after="0"/>
              <w:rPr>
                <w:sz w:val="20"/>
                <w:szCs w:val="20"/>
                <w:color w:val="auto"/>
              </w:rPr>
            </w:pPr>
            <w:r>
              <w:rPr>
                <w:rFonts w:ascii="Arial" w:cs="Arial" w:eastAsia="Arial" w:hAnsi="Arial"/>
                <w:sz w:val="16"/>
                <w:szCs w:val="16"/>
                <w:color w:val="auto"/>
              </w:rPr>
              <w:t>cast</w:t>
            </w:r>
          </w:p>
        </w:tc>
        <w:tc>
          <w:tcPr>
            <w:tcW w:w="0" w:type="dxa"/>
            <w:vAlign w:val="bottom"/>
          </w:tcPr>
          <w:p>
            <w:pPr>
              <w:spacing w:after="0"/>
              <w:rPr>
                <w:sz w:val="1"/>
                <w:szCs w:val="1"/>
                <w:color w:val="auto"/>
              </w:rPr>
            </w:pPr>
          </w:p>
        </w:tc>
      </w:tr>
      <w:tr>
        <w:trPr>
          <w:trHeight w:val="89"/>
        </w:trPr>
        <w:tc>
          <w:tcPr>
            <w:tcW w:w="5160" w:type="dxa"/>
            <w:vAlign w:val="bottom"/>
            <w:tcBorders>
              <w:left w:val="single" w:sz="8" w:color="F4F6F6"/>
            </w:tcBorders>
            <w:vMerge w:val="continue"/>
          </w:tcPr>
          <w:p>
            <w:pPr>
              <w:spacing w:after="0"/>
              <w:rPr>
                <w:sz w:val="7"/>
                <w:szCs w:val="7"/>
                <w:color w:val="auto"/>
              </w:rPr>
            </w:pPr>
          </w:p>
        </w:tc>
        <w:tc>
          <w:tcPr>
            <w:tcW w:w="1700" w:type="dxa"/>
            <w:vAlign w:val="bottom"/>
          </w:tcPr>
          <w:p>
            <w:pPr>
              <w:spacing w:after="0"/>
              <w:rPr>
                <w:sz w:val="7"/>
                <w:szCs w:val="7"/>
                <w:color w:val="auto"/>
              </w:rPr>
            </w:pPr>
          </w:p>
        </w:tc>
        <w:tc>
          <w:tcPr>
            <w:tcW w:w="1420" w:type="dxa"/>
            <w:vAlign w:val="bottom"/>
            <w:tcBorders>
              <w:right w:val="single" w:sz="8" w:color="F4F6F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160" w:type="dxa"/>
            <w:vAlign w:val="bottom"/>
            <w:tcBorders>
              <w:left w:val="single" w:sz="8" w:color="F4F6F6"/>
              <w:bottom w:val="single" w:sz="8" w:color="F4F6F6"/>
            </w:tcBorders>
          </w:tcPr>
          <w:p>
            <w:pPr>
              <w:spacing w:after="0"/>
              <w:rPr>
                <w:sz w:val="5"/>
                <w:szCs w:val="5"/>
                <w:color w:val="auto"/>
              </w:rPr>
            </w:pPr>
          </w:p>
        </w:tc>
        <w:tc>
          <w:tcPr>
            <w:tcW w:w="1700" w:type="dxa"/>
            <w:vAlign w:val="bottom"/>
            <w:tcBorders>
              <w:bottom w:val="single" w:sz="8" w:color="F4F6F6"/>
            </w:tcBorders>
          </w:tcPr>
          <w:p>
            <w:pPr>
              <w:spacing w:after="0"/>
              <w:rPr>
                <w:sz w:val="5"/>
                <w:szCs w:val="5"/>
                <w:color w:val="auto"/>
              </w:rPr>
            </w:pPr>
          </w:p>
        </w:tc>
        <w:tc>
          <w:tcPr>
            <w:tcW w:w="1420" w:type="dxa"/>
            <w:vAlign w:val="bottom"/>
            <w:tcBorders>
              <w:bottom w:val="single" w:sz="8" w:color="F4F6F6"/>
              <w:right w:val="single" w:sz="8" w:color="F4F6F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Voting</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How to Vote in Advance of the Meeting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Even if you plan to attend the Annual Meeting, we encourage you to vote prior to the meeting using one of the methods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617220" cy="600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60007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87630</wp:posOffset>
            </wp:positionV>
            <wp:extent cx="617220"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 cy="60007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87630</wp:posOffset>
            </wp:positionV>
            <wp:extent cx="617220" cy="600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3440" w:type="dxa"/>
            <w:vAlign w:val="bottom"/>
          </w:tcPr>
          <w:p>
            <w:pPr>
              <w:jc w:val="center"/>
              <w:ind w:right="33"/>
              <w:spacing w:after="0"/>
              <w:rPr>
                <w:sz w:val="20"/>
                <w:szCs w:val="20"/>
                <w:color w:val="auto"/>
              </w:rPr>
            </w:pPr>
            <w:r>
              <w:rPr>
                <w:rFonts w:ascii="Arial" w:cs="Arial" w:eastAsia="Arial" w:hAnsi="Arial"/>
                <w:sz w:val="18"/>
                <w:szCs w:val="18"/>
                <w:b w:val="1"/>
                <w:bCs w:val="1"/>
                <w:color w:val="00ABE8"/>
                <w:w w:val="99"/>
              </w:rPr>
              <w:t>ONLINE</w:t>
            </w:r>
          </w:p>
        </w:tc>
        <w:tc>
          <w:tcPr>
            <w:tcW w:w="3740" w:type="dxa"/>
            <w:vAlign w:val="bottom"/>
          </w:tcPr>
          <w:p>
            <w:pPr>
              <w:jc w:val="center"/>
              <w:ind w:left="13"/>
              <w:spacing w:after="0"/>
              <w:rPr>
                <w:sz w:val="20"/>
                <w:szCs w:val="20"/>
                <w:color w:val="auto"/>
              </w:rPr>
            </w:pPr>
            <w:r>
              <w:rPr>
                <w:rFonts w:ascii="Arial" w:cs="Arial" w:eastAsia="Arial" w:hAnsi="Arial"/>
                <w:sz w:val="18"/>
                <w:szCs w:val="18"/>
                <w:b w:val="1"/>
                <w:bCs w:val="1"/>
                <w:color w:val="00ABE8"/>
                <w:w w:val="99"/>
              </w:rPr>
              <w:t>BY TELEPHONE</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00ABE8"/>
                <w:w w:val="99"/>
              </w:rPr>
              <w:t>BY MAIL</w:t>
            </w:r>
          </w:p>
        </w:tc>
      </w:tr>
      <w:tr>
        <w:trPr>
          <w:trHeight w:val="196"/>
        </w:trPr>
        <w:tc>
          <w:tcPr>
            <w:tcW w:w="3440" w:type="dxa"/>
            <w:vAlign w:val="bottom"/>
          </w:tcPr>
          <w:p>
            <w:pPr>
              <w:jc w:val="center"/>
              <w:ind w:right="53"/>
              <w:spacing w:after="0"/>
              <w:rPr>
                <w:sz w:val="20"/>
                <w:szCs w:val="20"/>
                <w:color w:val="auto"/>
              </w:rPr>
            </w:pPr>
            <w:r>
              <w:rPr>
                <w:rFonts w:ascii="Arial" w:cs="Arial" w:eastAsia="Arial" w:hAnsi="Arial"/>
                <w:sz w:val="17"/>
                <w:szCs w:val="17"/>
                <w:color w:val="auto"/>
              </w:rPr>
              <w:t>Visit the website listed on your notice, proxy</w:t>
            </w:r>
          </w:p>
        </w:tc>
        <w:tc>
          <w:tcPr>
            <w:tcW w:w="3740" w:type="dxa"/>
            <w:vAlign w:val="bottom"/>
          </w:tcPr>
          <w:p>
            <w:pPr>
              <w:jc w:val="center"/>
              <w:ind w:left="13"/>
              <w:spacing w:after="0"/>
              <w:rPr>
                <w:sz w:val="20"/>
                <w:szCs w:val="20"/>
                <w:color w:val="auto"/>
              </w:rPr>
            </w:pPr>
            <w:r>
              <w:rPr>
                <w:rFonts w:ascii="Arial" w:cs="Arial" w:eastAsia="Arial" w:hAnsi="Arial"/>
                <w:sz w:val="17"/>
                <w:szCs w:val="17"/>
                <w:color w:val="auto"/>
              </w:rPr>
              <w:t>Call 1-800-690-6903 using a touch-tone phone</w:t>
            </w:r>
          </w:p>
        </w:tc>
        <w:tc>
          <w:tcPr>
            <w:tcW w:w="3700" w:type="dxa"/>
            <w:vAlign w:val="bottom"/>
          </w:tcPr>
          <w:p>
            <w:pPr>
              <w:jc w:val="center"/>
              <w:spacing w:after="0"/>
              <w:rPr>
                <w:sz w:val="20"/>
                <w:szCs w:val="20"/>
                <w:color w:val="auto"/>
              </w:rPr>
            </w:pPr>
            <w:r>
              <w:rPr>
                <w:rFonts w:ascii="Arial" w:cs="Arial" w:eastAsia="Arial" w:hAnsi="Arial"/>
                <w:sz w:val="17"/>
                <w:szCs w:val="17"/>
                <w:color w:val="auto"/>
              </w:rPr>
              <w:t>If you received or requested paper copies of</w:t>
            </w:r>
          </w:p>
        </w:tc>
      </w:tr>
      <w:tr>
        <w:trPr>
          <w:trHeight w:val="162"/>
        </w:trPr>
        <w:tc>
          <w:tcPr>
            <w:tcW w:w="3440" w:type="dxa"/>
            <w:vAlign w:val="bottom"/>
          </w:tcPr>
          <w:p>
            <w:pPr>
              <w:jc w:val="center"/>
              <w:ind w:right="53"/>
              <w:spacing w:after="0" w:line="162" w:lineRule="exact"/>
              <w:rPr>
                <w:sz w:val="20"/>
                <w:szCs w:val="20"/>
                <w:color w:val="auto"/>
              </w:rPr>
            </w:pPr>
            <w:r>
              <w:rPr>
                <w:rFonts w:ascii="Arial" w:cs="Arial" w:eastAsia="Arial" w:hAnsi="Arial"/>
                <w:sz w:val="17"/>
                <w:szCs w:val="17"/>
                <w:color w:val="auto"/>
              </w:rPr>
              <w:t>card, or voting instruction form</w:t>
            </w:r>
          </w:p>
        </w:tc>
        <w:tc>
          <w:tcPr>
            <w:tcW w:w="3740" w:type="dxa"/>
            <w:vAlign w:val="bottom"/>
          </w:tcPr>
          <w:p>
            <w:pPr>
              <w:jc w:val="center"/>
              <w:ind w:left="13"/>
              <w:spacing w:after="0" w:line="162" w:lineRule="exact"/>
              <w:rPr>
                <w:sz w:val="20"/>
                <w:szCs w:val="20"/>
                <w:color w:val="auto"/>
              </w:rPr>
            </w:pPr>
            <w:r>
              <w:rPr>
                <w:rFonts w:ascii="Arial" w:cs="Arial" w:eastAsia="Arial" w:hAnsi="Arial"/>
                <w:sz w:val="17"/>
                <w:szCs w:val="17"/>
                <w:color w:val="auto"/>
              </w:rPr>
              <w:t>and follow the instructions provided</w:t>
            </w:r>
          </w:p>
        </w:tc>
        <w:tc>
          <w:tcPr>
            <w:tcW w:w="3700" w:type="dxa"/>
            <w:vAlign w:val="bottom"/>
          </w:tcPr>
          <w:p>
            <w:pPr>
              <w:jc w:val="center"/>
              <w:spacing w:after="0" w:line="162" w:lineRule="exact"/>
              <w:rPr>
                <w:sz w:val="20"/>
                <w:szCs w:val="20"/>
                <w:color w:val="auto"/>
              </w:rPr>
            </w:pPr>
            <w:r>
              <w:rPr>
                <w:rFonts w:ascii="Arial" w:cs="Arial" w:eastAsia="Arial" w:hAnsi="Arial"/>
                <w:sz w:val="17"/>
                <w:szCs w:val="17"/>
                <w:color w:val="auto"/>
              </w:rPr>
              <w:t>your proxy materials, sign, date, and return your</w:t>
            </w:r>
          </w:p>
        </w:tc>
      </w:tr>
      <w:tr>
        <w:trPr>
          <w:trHeight w:val="205"/>
        </w:trPr>
        <w:tc>
          <w:tcPr>
            <w:tcW w:w="3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7"/>
                <w:szCs w:val="17"/>
                <w:color w:val="auto"/>
                <w:w w:val="99"/>
              </w:rPr>
              <w:t>proxy card or voting instruction form</w:t>
            </w:r>
          </w:p>
        </w:tc>
      </w:tr>
    </w:tbl>
    <w:p>
      <w:pPr>
        <w:spacing w:after="0" w:line="34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Shareholders who hold their shares beneficially through an institutional holder of record, such as a broker or 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"Other Information—Meeting and Voting Logistics—Voting Shares Held by a Broker" for more information.</w:t>
      </w:r>
    </w:p>
    <w:p>
      <w:pPr>
        <w:spacing w:after="0" w:line="229"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Further information on how to vote, including if you hold voting shares in the 401(k) Plan, is provided at the end of this proxy statement under "Other Information—Meeting and Voting Logistics."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You may vote your shares prior to the Annual Meeting until 11:59 p.m. EDT on May 2, 2021 online or by telephone. If you are voting by mail, your marked, signed, and dated proxy card must be received by May 2, 2021. Shareholders who hold their shares in the 401(k) Plan must vote in advance of the Annual Meeting, by April 28, 2021, so the plan trustee can vote their shares accordingly. See "Other Information—Meeting and Voting Logistics—Voting Shares Held in the Company 401(k) Plan" for more information.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P12</w:t>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3"/>
          <w:szCs w:val="23"/>
          <w:b w:val="1"/>
          <w:bCs w:val="1"/>
          <w:color w:val="1CA8E1"/>
        </w:rPr>
        <w:t>Voting at Our 2021 Annual Meeting</w:t>
      </w:r>
    </w:p>
    <w:p>
      <w:pPr>
        <w:spacing w:after="0" w:line="27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 xml:space="preserve">You may also opt to vote by attending the Annual Meeting, which will be held online via live webcast at </w:t>
      </w:r>
      <w:r>
        <w:rPr>
          <w:rFonts w:ascii="Arial" w:cs="Arial" w:eastAsia="Arial" w:hAnsi="Arial"/>
          <w:sz w:val="16"/>
          <w:szCs w:val="16"/>
          <w:color w:val="EE2724"/>
        </w:rPr>
        <w:t>virtualshareholdermeeting.com/LLY2021</w:t>
      </w:r>
      <w:r>
        <w:rPr>
          <w:rFonts w:ascii="Arial" w:cs="Arial" w:eastAsia="Arial" w:hAnsi="Arial"/>
          <w:sz w:val="16"/>
          <w:szCs w:val="16"/>
          <w:color w:val="auto"/>
        </w:rPr>
        <w:t xml:space="preserve"> on Monday, May 3, 2021, at 11:00 a.m. EDT. See the section titled "Other Information—Meeting and Voting Logistics" for instructions.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Governance</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1. Election of Directors</w:t>
      </w:r>
    </w:p>
    <w:p>
      <w:pPr>
        <w:spacing w:after="0" w:line="25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Under our articles of incorporation, the board is divided into three classes with approximately one-third of the directors standing for election each year. The term for directors to be elected this year will expire at the annual meeting of shareholders held in 2024. Each of the director nominees listed below has agreed to serve that term. The following sections provide information about our director nominees, including their qualifications, the director nomination process, and director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1</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FOR each of the following director nominees:</w:t>
      </w:r>
    </w:p>
    <w:p>
      <w:pPr>
        <w:spacing w:after="0" w:line="25" w:lineRule="exact"/>
        <w:rPr>
          <w:sz w:val="20"/>
          <w:szCs w:val="20"/>
          <w:color w:val="auto"/>
        </w:rPr>
      </w:pPr>
    </w:p>
    <w:p>
      <w:pPr>
        <w:ind w:left="300" w:hanging="130"/>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Katherine Baicker, Ph.D.</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J. Erik Fyrwald</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Jamere Jackson</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Gabrielle Sulzberger</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Jackson P. Tai</w:t>
      </w:r>
    </w:p>
    <w:p>
      <w:pPr>
        <w:spacing w:after="0" w:line="22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Operations and Governance</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of Directors</w:t>
      </w:r>
    </w:p>
    <w:p>
      <w:pPr>
        <w:spacing w:after="0" w:line="31"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Each of our directors is elected to serve until his or her successor is duly elected and qualified. If a bona fide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Director Biographies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Set forth below is information, as of March 19, 2021, regarding our directors and director nominees, which has been confirmed by each of them for inclusion in this proxy statement. We have provided the most significant experiences, qualifications, attributes, and skills that led to the conclusion that each director or director nominee should serve as a director in light of our business and structure.</w:t>
      </w: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P13</w:t>
      </w:r>
    </w:p>
    <w:p>
      <w:pPr>
        <w:sectPr>
          <w:pgSz w:w="11900" w:h="16838" w:orient="portrait"/>
          <w:cols w:equalWidth="0" w:num="1">
            <w:col w:w="11240"/>
          </w:cols>
          <w:pgMar w:left="320" w:top="1412" w:right="339" w:bottom="1440" w:gutter="0" w:footer="0" w:header="0"/>
        </w:sectPr>
      </w:pPr>
    </w:p>
    <w:bookmarkStart w:id="18" w:name="page19"/>
    <w:bookmarkEnd w:id="18"/>
    <w:p>
      <w:pPr>
        <w:spacing w:after="0"/>
        <w:rPr>
          <w:sz w:val="20"/>
          <w:szCs w:val="20"/>
          <w:color w:val="auto"/>
        </w:rPr>
      </w:pPr>
      <w:r>
        <w:rPr>
          <w:rFonts w:ascii="Arial" w:cs="Arial" w:eastAsia="Arial" w:hAnsi="Arial"/>
          <w:sz w:val="23"/>
          <w:szCs w:val="23"/>
          <w:b w:val="1"/>
          <w:bCs w:val="1"/>
          <w:color w:val="1CA8E1"/>
        </w:rPr>
        <w:t>Class of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five directors listed below will seek reelection at the Annual Meeting. See "Item 1. Election of Directors" above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79375</wp:posOffset>
            </wp:positionV>
            <wp:extent cx="702945" cy="702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Katherine Baicker, Ph.D.</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49, Director since 2011,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Ethics and Compliance (chair); Science and Technology</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76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8500" w:type="dxa"/>
            <w:vAlign w:val="bottom"/>
            <w:tcBorders>
              <w:right w:val="single" w:sz="8" w:color="F4F6F6"/>
            </w:tcBorders>
            <w:shd w:val="clear" w:color="auto" w:fill="F4F6F6"/>
          </w:tcPr>
          <w:p>
            <w:pPr>
              <w:ind w:left="100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191"/>
        </w:trPr>
        <w:tc>
          <w:tcPr>
            <w:tcW w:w="276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HMS Holdings Corp.</w:t>
            </w:r>
          </w:p>
        </w:tc>
        <w:tc>
          <w:tcPr>
            <w:tcW w:w="8500" w:type="dxa"/>
            <w:vAlign w:val="bottom"/>
            <w:tcBorders>
              <w:right w:val="single" w:sz="8" w:color="F4F6F6"/>
            </w:tcBorders>
          </w:tcPr>
          <w:p>
            <w:pPr>
              <w:ind w:left="1000"/>
              <w:spacing w:after="0"/>
              <w:rPr>
                <w:sz w:val="20"/>
                <w:szCs w:val="20"/>
                <w:color w:val="auto"/>
              </w:rPr>
            </w:pPr>
            <w:r>
              <w:rPr>
                <w:rFonts w:ascii="Arial" w:cs="Arial" w:eastAsia="Arial" w:hAnsi="Arial"/>
                <w:sz w:val="16"/>
                <w:szCs w:val="16"/>
                <w:color w:val="auto"/>
              </w:rPr>
              <w:t>Panel of Health Advisers to the Congressional Budget Office;</w:t>
            </w:r>
          </w:p>
        </w:tc>
      </w:tr>
      <w:tr>
        <w:trPr>
          <w:trHeight w:val="176"/>
        </w:trPr>
        <w:tc>
          <w:tcPr>
            <w:tcW w:w="2760" w:type="dxa"/>
            <w:vAlign w:val="bottom"/>
            <w:tcBorders>
              <w:left w:val="single" w:sz="8" w:color="F4F6F6"/>
            </w:tcBorders>
          </w:tcPr>
          <w:p>
            <w:pPr>
              <w:spacing w:after="0"/>
              <w:rPr>
                <w:sz w:val="15"/>
                <w:szCs w:val="15"/>
                <w:color w:val="auto"/>
              </w:rPr>
            </w:pPr>
          </w:p>
        </w:tc>
        <w:tc>
          <w:tcPr>
            <w:tcW w:w="8500" w:type="dxa"/>
            <w:vAlign w:val="bottom"/>
            <w:tcBorders>
              <w:right w:val="single" w:sz="8" w:color="F4F6F6"/>
            </w:tcBorders>
          </w:tcPr>
          <w:p>
            <w:pPr>
              <w:ind w:left="1000"/>
              <w:spacing w:after="0" w:line="175" w:lineRule="exact"/>
              <w:rPr>
                <w:sz w:val="20"/>
                <w:szCs w:val="20"/>
                <w:color w:val="auto"/>
              </w:rPr>
            </w:pPr>
            <w:r>
              <w:rPr>
                <w:rFonts w:ascii="Arial" w:cs="Arial" w:eastAsia="Arial" w:hAnsi="Arial"/>
                <w:sz w:val="16"/>
                <w:szCs w:val="16"/>
                <w:color w:val="auto"/>
              </w:rPr>
              <w:t>Advisory Board of the National Institute for Health Care Management;</w:t>
            </w:r>
          </w:p>
        </w:tc>
      </w:tr>
      <w:tr>
        <w:trPr>
          <w:trHeight w:val="175"/>
        </w:trPr>
        <w:tc>
          <w:tcPr>
            <w:tcW w:w="2760" w:type="dxa"/>
            <w:vAlign w:val="bottom"/>
            <w:tcBorders>
              <w:left w:val="single" w:sz="8" w:color="F4F6F6"/>
            </w:tcBorders>
          </w:tcPr>
          <w:p>
            <w:pPr>
              <w:spacing w:after="0"/>
              <w:rPr>
                <w:sz w:val="15"/>
                <w:szCs w:val="15"/>
                <w:color w:val="auto"/>
              </w:rPr>
            </w:pPr>
          </w:p>
        </w:tc>
        <w:tc>
          <w:tcPr>
            <w:tcW w:w="8500" w:type="dxa"/>
            <w:vAlign w:val="bottom"/>
            <w:tcBorders>
              <w:right w:val="single" w:sz="8" w:color="F4F6F6"/>
            </w:tcBorders>
          </w:tcPr>
          <w:p>
            <w:pPr>
              <w:ind w:left="1000"/>
              <w:spacing w:after="0" w:line="175" w:lineRule="exact"/>
              <w:rPr>
                <w:sz w:val="20"/>
                <w:szCs w:val="20"/>
                <w:color w:val="auto"/>
              </w:rPr>
            </w:pPr>
            <w:r>
              <w:rPr>
                <w:rFonts w:ascii="Arial" w:cs="Arial" w:eastAsia="Arial" w:hAnsi="Arial"/>
                <w:sz w:val="16"/>
                <w:szCs w:val="16"/>
                <w:color w:val="auto"/>
              </w:rPr>
              <w:t>Editorial Board of Health Affairs; Research Associate of the National Bureau of Economic Research;</w:t>
            </w:r>
          </w:p>
        </w:tc>
      </w:tr>
      <w:tr>
        <w:trPr>
          <w:trHeight w:val="176"/>
        </w:trPr>
        <w:tc>
          <w:tcPr>
            <w:tcW w:w="2760" w:type="dxa"/>
            <w:vAlign w:val="bottom"/>
            <w:tcBorders>
              <w:left w:val="single" w:sz="8" w:color="F4F6F6"/>
            </w:tcBorders>
          </w:tcPr>
          <w:p>
            <w:pPr>
              <w:spacing w:after="0"/>
              <w:rPr>
                <w:sz w:val="15"/>
                <w:szCs w:val="15"/>
                <w:color w:val="auto"/>
              </w:rPr>
            </w:pPr>
          </w:p>
        </w:tc>
        <w:tc>
          <w:tcPr>
            <w:tcW w:w="8500" w:type="dxa"/>
            <w:vAlign w:val="bottom"/>
            <w:tcBorders>
              <w:right w:val="single" w:sz="8" w:color="F4F6F6"/>
            </w:tcBorders>
          </w:tcPr>
          <w:p>
            <w:pPr>
              <w:ind w:left="1000"/>
              <w:spacing w:after="0" w:line="175" w:lineRule="exact"/>
              <w:rPr>
                <w:sz w:val="20"/>
                <w:szCs w:val="20"/>
                <w:color w:val="auto"/>
              </w:rPr>
            </w:pPr>
            <w:r>
              <w:rPr>
                <w:rFonts w:ascii="Arial" w:cs="Arial" w:eastAsia="Arial" w:hAnsi="Arial"/>
                <w:sz w:val="16"/>
                <w:szCs w:val="16"/>
                <w:color w:val="auto"/>
              </w:rPr>
              <w:t>Trustee of the Mayo Clinic, National Opinion Research Center, and the Chicago Council on Global</w:t>
            </w:r>
          </w:p>
        </w:tc>
      </w:tr>
      <w:tr>
        <w:trPr>
          <w:trHeight w:val="176"/>
        </w:trPr>
        <w:tc>
          <w:tcPr>
            <w:tcW w:w="2760" w:type="dxa"/>
            <w:vAlign w:val="bottom"/>
            <w:tcBorders>
              <w:left w:val="single" w:sz="8" w:color="F4F6F6"/>
            </w:tcBorders>
          </w:tcPr>
          <w:p>
            <w:pPr>
              <w:spacing w:after="0"/>
              <w:rPr>
                <w:sz w:val="15"/>
                <w:szCs w:val="15"/>
                <w:color w:val="auto"/>
              </w:rPr>
            </w:pPr>
          </w:p>
        </w:tc>
        <w:tc>
          <w:tcPr>
            <w:tcW w:w="8500" w:type="dxa"/>
            <w:vAlign w:val="bottom"/>
            <w:tcBorders>
              <w:right w:val="single" w:sz="8" w:color="F4F6F6"/>
            </w:tcBorders>
          </w:tcPr>
          <w:p>
            <w:pPr>
              <w:ind w:left="1000"/>
              <w:spacing w:after="0" w:line="175" w:lineRule="exact"/>
              <w:rPr>
                <w:sz w:val="20"/>
                <w:szCs w:val="20"/>
                <w:color w:val="auto"/>
              </w:rPr>
            </w:pPr>
            <w:r>
              <w:rPr>
                <w:rFonts w:ascii="Arial" w:cs="Arial" w:eastAsia="Arial" w:hAnsi="Arial"/>
                <w:sz w:val="16"/>
                <w:szCs w:val="16"/>
                <w:color w:val="auto"/>
              </w:rPr>
              <w:t>Affairs; Member of the National Academy of Medicine, the National Academy of Social Insurance, the</w:t>
            </w:r>
          </w:p>
        </w:tc>
      </w:tr>
      <w:tr>
        <w:trPr>
          <w:trHeight w:val="204"/>
        </w:trPr>
        <w:tc>
          <w:tcPr>
            <w:tcW w:w="2760" w:type="dxa"/>
            <w:vAlign w:val="bottom"/>
            <w:tcBorders>
              <w:left w:val="single" w:sz="8" w:color="F4F6F6"/>
            </w:tcBorders>
          </w:tcPr>
          <w:p>
            <w:pPr>
              <w:spacing w:after="0"/>
              <w:rPr>
                <w:sz w:val="17"/>
                <w:szCs w:val="17"/>
                <w:color w:val="auto"/>
              </w:rPr>
            </w:pPr>
          </w:p>
        </w:tc>
        <w:tc>
          <w:tcPr>
            <w:tcW w:w="8500" w:type="dxa"/>
            <w:vAlign w:val="bottom"/>
            <w:tcBorders>
              <w:right w:val="single" w:sz="8" w:color="F4F6F6"/>
            </w:tcBorders>
          </w:tcPr>
          <w:p>
            <w:pPr>
              <w:ind w:left="1000"/>
              <w:spacing w:after="0"/>
              <w:rPr>
                <w:sz w:val="20"/>
                <w:szCs w:val="20"/>
                <w:color w:val="auto"/>
              </w:rPr>
            </w:pPr>
            <w:r>
              <w:rPr>
                <w:rFonts w:ascii="Arial" w:cs="Arial" w:eastAsia="Arial" w:hAnsi="Arial"/>
                <w:sz w:val="16"/>
                <w:szCs w:val="16"/>
                <w:color w:val="auto"/>
              </w:rPr>
              <w:t>Council on Foreign Relations, and the American Academy of Arts and Sciences</w:t>
            </w:r>
          </w:p>
        </w:tc>
      </w:tr>
      <w:tr>
        <w:trPr>
          <w:trHeight w:val="253"/>
        </w:trPr>
        <w:tc>
          <w:tcPr>
            <w:tcW w:w="276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8500" w:type="dxa"/>
            <w:vAlign w:val="bottom"/>
            <w:tcBorders>
              <w:right w:val="single" w:sz="8" w:color="F4F6F6"/>
            </w:tcBorders>
            <w:shd w:val="clear" w:color="auto" w:fill="F4F6F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17145" cy="1234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23444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0</wp:posOffset>
            </wp:positionV>
            <wp:extent cx="17145" cy="1234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1234440"/>
                    </a:xfrm>
                    <a:prstGeom prst="rect">
                      <a:avLst/>
                    </a:prstGeom>
                    <a:noFill/>
                  </pic:spPr>
                </pic:pic>
              </a:graphicData>
            </a:graphic>
          </wp:anchor>
        </w:drawing>
      </w:r>
    </w:p>
    <w:p>
      <w:pPr>
        <w:ind w:left="140" w:hanging="101"/>
        <w:spacing w:after="0"/>
        <w:tabs>
          <w:tab w:leader="none" w:pos="1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Harris School of Public Policy, University of Chicago</w:t>
      </w:r>
    </w:p>
    <w:p>
      <w:pPr>
        <w:spacing w:after="0" w:line="47" w:lineRule="exact"/>
        <w:rPr>
          <w:rFonts w:ascii="Arial" w:cs="Arial" w:eastAsia="Arial" w:hAnsi="Arial"/>
          <w:sz w:val="16"/>
          <w:szCs w:val="16"/>
          <w:b w:val="1"/>
          <w:bCs w:val="1"/>
          <w:color w:val="auto"/>
        </w:rPr>
      </w:pPr>
    </w:p>
    <w:p>
      <w:pPr>
        <w:ind w:left="360" w:hanging="95"/>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Dean and the Emmett Dedmon Professor (2017 -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Harvard T.H. Chan School of Public Health, Department of Health Policy and Management</w:t>
      </w:r>
    </w:p>
    <w:p>
      <w:pPr>
        <w:spacing w:after="0" w:line="52" w:lineRule="exact"/>
        <w:rPr>
          <w:rFonts w:ascii="Arial" w:cs="Arial" w:eastAsia="Arial" w:hAnsi="Arial"/>
          <w:sz w:val="16"/>
          <w:szCs w:val="16"/>
          <w:b w:val="1"/>
          <w:bCs w:val="1"/>
          <w:color w:val="auto"/>
        </w:rPr>
      </w:pPr>
    </w:p>
    <w:p>
      <w:pPr>
        <w:ind w:left="360" w:hanging="95"/>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 Boyden Gray Professor (2014 -2017)</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Acting Chair (2014 - 2016)</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Professor of health economics (2007 - 2017)</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Council of Economic Advisers, Executive Office of the President</w:t>
      </w:r>
    </w:p>
    <w:p>
      <w:pPr>
        <w:spacing w:after="0" w:line="52" w:lineRule="exact"/>
        <w:rPr>
          <w:rFonts w:ascii="Arial" w:cs="Arial" w:eastAsia="Arial" w:hAnsi="Arial"/>
          <w:sz w:val="16"/>
          <w:szCs w:val="16"/>
          <w:b w:val="1"/>
          <w:bCs w:val="1"/>
          <w:color w:val="auto"/>
        </w:rPr>
      </w:pPr>
    </w:p>
    <w:p>
      <w:pPr>
        <w:ind w:left="360" w:hanging="95"/>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Member (2005 - 2007)</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Senior Economist (2001 - 2002)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4946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543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420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0370"/>
                    </a:xfrm>
                    <a:prstGeom prst="rect">
                      <a:avLst/>
                    </a:prstGeom>
                    <a:noFill/>
                  </pic:spPr>
                </pic:pic>
              </a:graphicData>
            </a:graphic>
          </wp:anchor>
        </w:drawing>
      </w:r>
    </w:p>
    <w:p>
      <w:pPr>
        <w:spacing w:after="0" w:line="46" w:lineRule="exact"/>
        <w:rPr>
          <w:sz w:val="20"/>
          <w:szCs w:val="20"/>
          <w:color w:val="auto"/>
        </w:rPr>
      </w:pPr>
    </w:p>
    <w:p>
      <w:pPr>
        <w:ind w:left="40" w:right="1000"/>
        <w:spacing w:after="0" w:line="232" w:lineRule="auto"/>
        <w:rPr>
          <w:sz w:val="20"/>
          <w:szCs w:val="20"/>
          <w:color w:val="auto"/>
        </w:rPr>
      </w:pPr>
      <w:r>
        <w:rPr>
          <w:rFonts w:ascii="Arial" w:cs="Arial" w:eastAsia="Arial" w:hAnsi="Arial"/>
          <w:sz w:val="16"/>
          <w:szCs w:val="16"/>
          <w:color w:val="auto"/>
        </w:rPr>
        <w:t>Dr. Baicker is a leading researcher in the fields of health economics and public economics. As a valued adviser to numerous healthcare-related commissions and committees, her expertise in healthcare policy and healthcare delivery is recognized in both academia and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P14</w:t>
      </w:r>
    </w:p>
    <w:p>
      <w:pPr>
        <w:sectPr>
          <w:pgSz w:w="11900" w:h="16838" w:orient="portrait"/>
          <w:cols w:equalWidth="0" w:num="1">
            <w:col w:w="11260"/>
          </w:cols>
          <w:pgMar w:left="320" w:top="1412" w:right="3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988695</wp:posOffset>
            </wp:positionV>
            <wp:extent cx="702945" cy="70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68" w:lineRule="exact"/>
        <w:rPr>
          <w:sz w:val="20"/>
          <w:szCs w:val="20"/>
          <w:color w:val="auto"/>
        </w:rPr>
      </w:pPr>
    </w:p>
    <w:p>
      <w:pPr>
        <w:ind w:left="1580"/>
        <w:spacing w:after="0"/>
        <w:rPr>
          <w:sz w:val="20"/>
          <w:szCs w:val="20"/>
          <w:color w:val="auto"/>
        </w:rPr>
      </w:pPr>
      <w:r>
        <w:rPr>
          <w:rFonts w:ascii="Arial" w:cs="Arial" w:eastAsia="Arial" w:hAnsi="Arial"/>
          <w:sz w:val="27"/>
          <w:szCs w:val="27"/>
          <w:b w:val="1"/>
          <w:bCs w:val="1"/>
          <w:color w:val="EF3729"/>
        </w:rPr>
        <w:t>J. Erik Fyrwald</w:t>
      </w:r>
    </w:p>
    <w:p>
      <w:pPr>
        <w:spacing w:after="0" w:line="25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xml:space="preserve">Age: 61, Director since 2005,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Science and Technology</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820" w:type="dxa"/>
            <w:vAlign w:val="bottom"/>
            <w:tcBorders>
              <w:left w:val="single" w:sz="8" w:color="F4F6F6"/>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2540" w:type="dxa"/>
            <w:vAlign w:val="bottom"/>
            <w:tcBorders>
              <w:bottom w:val="single" w:sz="8" w:color="F4F6F6"/>
            </w:tcBorders>
            <w:shd w:val="clear" w:color="auto" w:fill="F4F6F6"/>
          </w:tcPr>
          <w:p>
            <w:pPr>
              <w:ind w:left="420"/>
              <w:spacing w:after="0"/>
              <w:rPr>
                <w:sz w:val="20"/>
                <w:szCs w:val="20"/>
                <w:color w:val="auto"/>
              </w:rPr>
            </w:pPr>
            <w:r>
              <w:rPr>
                <w:rFonts w:ascii="Arial" w:cs="Arial" w:eastAsia="Arial" w:hAnsi="Arial"/>
                <w:sz w:val="16"/>
                <w:szCs w:val="16"/>
                <w:b w:val="1"/>
                <w:bCs w:val="1"/>
                <w:color w:val="00ABE8"/>
              </w:rPr>
              <w:t>PRIVATE BOARDS</w:t>
            </w:r>
          </w:p>
        </w:tc>
        <w:tc>
          <w:tcPr>
            <w:tcW w:w="6780" w:type="dxa"/>
            <w:vAlign w:val="bottom"/>
            <w:tcBorders>
              <w:bottom w:val="single" w:sz="8" w:color="F4F6F6"/>
              <w:right w:val="single" w:sz="8" w:color="F4F6F6"/>
            </w:tcBorders>
            <w:shd w:val="clear" w:color="auto" w:fill="F4F6F6"/>
          </w:tcPr>
          <w:p>
            <w:pPr>
              <w:ind w:left="680"/>
              <w:spacing w:after="0"/>
              <w:rPr>
                <w:sz w:val="20"/>
                <w:szCs w:val="20"/>
                <w:color w:val="auto"/>
              </w:rPr>
            </w:pPr>
            <w:r>
              <w:rPr>
                <w:rFonts w:ascii="Arial" w:cs="Arial" w:eastAsia="Arial" w:hAnsi="Arial"/>
                <w:sz w:val="16"/>
                <w:szCs w:val="16"/>
                <w:b w:val="1"/>
                <w:bCs w:val="1"/>
                <w:color w:val="00ABE8"/>
              </w:rPr>
              <w:t>NON-PROFIT BOARDS</w:t>
            </w:r>
          </w:p>
        </w:tc>
      </w:tr>
      <w:tr>
        <w:trPr>
          <w:trHeight w:val="191"/>
        </w:trPr>
        <w:tc>
          <w:tcPr>
            <w:tcW w:w="182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Bunge Limited</w:t>
            </w:r>
          </w:p>
        </w:tc>
        <w:tc>
          <w:tcPr>
            <w:tcW w:w="2540" w:type="dxa"/>
            <w:vAlign w:val="bottom"/>
          </w:tcPr>
          <w:p>
            <w:pPr>
              <w:ind w:left="420"/>
              <w:spacing w:after="0"/>
              <w:rPr>
                <w:sz w:val="20"/>
                <w:szCs w:val="20"/>
                <w:color w:val="auto"/>
              </w:rPr>
            </w:pPr>
            <w:r>
              <w:rPr>
                <w:rFonts w:ascii="Arial" w:cs="Arial" w:eastAsia="Arial" w:hAnsi="Arial"/>
                <w:sz w:val="16"/>
                <w:szCs w:val="16"/>
                <w:color w:val="auto"/>
              </w:rPr>
              <w:t>Syngenta AG</w:t>
            </w:r>
          </w:p>
        </w:tc>
        <w:tc>
          <w:tcPr>
            <w:tcW w:w="6780" w:type="dxa"/>
            <w:vAlign w:val="bottom"/>
            <w:tcBorders>
              <w:right w:val="single" w:sz="8" w:color="F4F6F6"/>
            </w:tcBorders>
          </w:tcPr>
          <w:p>
            <w:pPr>
              <w:ind w:left="680"/>
              <w:spacing w:after="0"/>
              <w:rPr>
                <w:sz w:val="20"/>
                <w:szCs w:val="20"/>
                <w:color w:val="auto"/>
              </w:rPr>
            </w:pPr>
            <w:r>
              <w:rPr>
                <w:rFonts w:ascii="Arial" w:cs="Arial" w:eastAsia="Arial" w:hAnsi="Arial"/>
                <w:sz w:val="16"/>
                <w:szCs w:val="16"/>
                <w:color w:val="auto"/>
              </w:rPr>
              <w:t>UN World Food Program Farm to Market Initiative;</w:t>
            </w:r>
          </w:p>
        </w:tc>
      </w:tr>
      <w:tr>
        <w:trPr>
          <w:trHeight w:val="176"/>
        </w:trPr>
        <w:tc>
          <w:tcPr>
            <w:tcW w:w="1820" w:type="dxa"/>
            <w:vAlign w:val="bottom"/>
            <w:tcBorders>
              <w:left w:val="single" w:sz="8" w:color="F4F6F6"/>
            </w:tcBorders>
          </w:tcPr>
          <w:p>
            <w:pPr>
              <w:spacing w:after="0"/>
              <w:rPr>
                <w:sz w:val="15"/>
                <w:szCs w:val="15"/>
                <w:color w:val="auto"/>
              </w:rPr>
            </w:pPr>
          </w:p>
        </w:tc>
        <w:tc>
          <w:tcPr>
            <w:tcW w:w="2540" w:type="dxa"/>
            <w:vAlign w:val="bottom"/>
          </w:tcPr>
          <w:p>
            <w:pPr>
              <w:spacing w:after="0"/>
              <w:rPr>
                <w:sz w:val="15"/>
                <w:szCs w:val="15"/>
                <w:color w:val="auto"/>
              </w:rPr>
            </w:pPr>
          </w:p>
        </w:tc>
        <w:tc>
          <w:tcPr>
            <w:tcW w:w="6780" w:type="dxa"/>
            <w:vAlign w:val="bottom"/>
            <w:tcBorders>
              <w:right w:val="single" w:sz="8" w:color="F4F6F6"/>
            </w:tcBorders>
          </w:tcPr>
          <w:p>
            <w:pPr>
              <w:ind w:left="680"/>
              <w:spacing w:after="0" w:line="175" w:lineRule="exact"/>
              <w:rPr>
                <w:sz w:val="20"/>
                <w:szCs w:val="20"/>
                <w:color w:val="auto"/>
              </w:rPr>
            </w:pPr>
            <w:r>
              <w:rPr>
                <w:rFonts w:ascii="Arial" w:cs="Arial" w:eastAsia="Arial" w:hAnsi="Arial"/>
                <w:sz w:val="16"/>
                <w:szCs w:val="16"/>
                <w:color w:val="auto"/>
              </w:rPr>
              <w:t>CropLife International; Swiss-American Chamber of Commerce;</w:t>
            </w:r>
          </w:p>
        </w:tc>
      </w:tr>
      <w:tr>
        <w:trPr>
          <w:trHeight w:val="195"/>
        </w:trPr>
        <w:tc>
          <w:tcPr>
            <w:tcW w:w="1820" w:type="dxa"/>
            <w:vAlign w:val="bottom"/>
            <w:tcBorders>
              <w:left w:val="single" w:sz="8" w:color="F4F6F6"/>
            </w:tcBorders>
          </w:tcPr>
          <w:p>
            <w:pPr>
              <w:spacing w:after="0"/>
              <w:rPr>
                <w:sz w:val="16"/>
                <w:szCs w:val="16"/>
                <w:color w:val="auto"/>
              </w:rPr>
            </w:pPr>
          </w:p>
        </w:tc>
        <w:tc>
          <w:tcPr>
            <w:tcW w:w="2540" w:type="dxa"/>
            <w:vAlign w:val="bottom"/>
          </w:tcPr>
          <w:p>
            <w:pPr>
              <w:spacing w:after="0"/>
              <w:rPr>
                <w:sz w:val="16"/>
                <w:szCs w:val="16"/>
                <w:color w:val="auto"/>
              </w:rPr>
            </w:pPr>
          </w:p>
        </w:tc>
        <w:tc>
          <w:tcPr>
            <w:tcW w:w="6780" w:type="dxa"/>
            <w:vAlign w:val="bottom"/>
            <w:tcBorders>
              <w:right w:val="single" w:sz="8" w:color="F4F6F6"/>
            </w:tcBorders>
          </w:tcPr>
          <w:p>
            <w:pPr>
              <w:ind w:left="680"/>
              <w:spacing w:after="0"/>
              <w:rPr>
                <w:sz w:val="20"/>
                <w:szCs w:val="20"/>
                <w:color w:val="auto"/>
              </w:rPr>
            </w:pPr>
            <w:r>
              <w:rPr>
                <w:rFonts w:ascii="Arial" w:cs="Arial" w:eastAsia="Arial" w:hAnsi="Arial"/>
                <w:sz w:val="16"/>
                <w:szCs w:val="16"/>
                <w:color w:val="auto"/>
              </w:rPr>
              <w:t>Syngenta Foundation for Sustainable Agriculture (chair)</w:t>
            </w:r>
          </w:p>
        </w:tc>
      </w:tr>
      <w:tr>
        <w:trPr>
          <w:trHeight w:val="73"/>
        </w:trPr>
        <w:tc>
          <w:tcPr>
            <w:tcW w:w="1820" w:type="dxa"/>
            <w:vAlign w:val="bottom"/>
            <w:tcBorders>
              <w:left w:val="single" w:sz="8" w:color="F4F6F6"/>
            </w:tcBorders>
          </w:tcPr>
          <w:p>
            <w:pPr>
              <w:spacing w:after="0"/>
              <w:rPr>
                <w:sz w:val="6"/>
                <w:szCs w:val="6"/>
                <w:color w:val="auto"/>
              </w:rPr>
            </w:pPr>
          </w:p>
        </w:tc>
        <w:tc>
          <w:tcPr>
            <w:tcW w:w="2540" w:type="dxa"/>
            <w:vAlign w:val="bottom"/>
          </w:tcPr>
          <w:p>
            <w:pPr>
              <w:spacing w:after="0"/>
              <w:rPr>
                <w:sz w:val="6"/>
                <w:szCs w:val="6"/>
                <w:color w:val="auto"/>
              </w:rPr>
            </w:pPr>
          </w:p>
        </w:tc>
        <w:tc>
          <w:tcPr>
            <w:tcW w:w="6780" w:type="dxa"/>
            <w:vAlign w:val="bottom"/>
            <w:tcBorders>
              <w:right w:val="single" w:sz="8" w:color="F4F6F6"/>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0719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140" w:hanging="100"/>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Syngenta AG, </w:t>
      </w:r>
      <w:r>
        <w:rPr>
          <w:rFonts w:ascii="Arial" w:cs="Arial" w:eastAsia="Arial" w:hAnsi="Arial"/>
          <w:sz w:val="16"/>
          <w:szCs w:val="16"/>
          <w:color w:val="auto"/>
        </w:rPr>
        <w:t>a global Swiss-based agriculture technology company that produces agrochemicals and seeds</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President and Chief Executive Officer (2016 - present)</w:t>
      </w:r>
    </w:p>
    <w:p>
      <w:pPr>
        <w:spacing w:after="0" w:line="12" w:lineRule="exact"/>
        <w:rPr>
          <w:rFonts w:ascii="Arial" w:cs="Arial" w:eastAsia="Arial" w:hAnsi="Arial"/>
          <w:sz w:val="16"/>
          <w:szCs w:val="16"/>
          <w:color w:val="auto"/>
        </w:rPr>
      </w:pPr>
    </w:p>
    <w:p>
      <w:pPr>
        <w:ind w:left="140" w:hanging="100"/>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President and Chief Executive Officer (2012 - 2016)</w:t>
      </w:r>
    </w:p>
    <w:p>
      <w:pPr>
        <w:spacing w:after="0" w:line="12" w:lineRule="exact"/>
        <w:rPr>
          <w:rFonts w:ascii="Arial" w:cs="Arial" w:eastAsia="Arial" w:hAnsi="Arial"/>
          <w:sz w:val="16"/>
          <w:szCs w:val="16"/>
          <w:color w:val="auto"/>
        </w:rPr>
      </w:pPr>
    </w:p>
    <w:p>
      <w:pPr>
        <w:ind w:left="140" w:hanging="100"/>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Ecolab Inc., </w:t>
      </w:r>
      <w:r>
        <w:rPr>
          <w:rFonts w:ascii="Arial" w:cs="Arial" w:eastAsia="Arial" w:hAnsi="Arial"/>
          <w:sz w:val="16"/>
          <w:szCs w:val="16"/>
          <w:color w:val="auto"/>
        </w:rPr>
        <w:t>a leading provider of cleaning, sanitization, and water products and services</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President (2012)</w:t>
      </w:r>
    </w:p>
    <w:p>
      <w:pPr>
        <w:spacing w:after="0" w:line="12" w:lineRule="exact"/>
        <w:rPr>
          <w:rFonts w:ascii="Arial" w:cs="Arial" w:eastAsia="Arial" w:hAnsi="Arial"/>
          <w:sz w:val="16"/>
          <w:szCs w:val="16"/>
          <w:color w:val="auto"/>
        </w:rPr>
      </w:pPr>
    </w:p>
    <w:p>
      <w:pPr>
        <w:ind w:left="140" w:hanging="100"/>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Chairman and Chief Executive Officer (2008 - 2011)</w:t>
      </w:r>
    </w:p>
    <w:p>
      <w:pPr>
        <w:spacing w:after="0" w:line="12" w:lineRule="exact"/>
        <w:rPr>
          <w:rFonts w:ascii="Arial" w:cs="Arial" w:eastAsia="Arial" w:hAnsi="Arial"/>
          <w:sz w:val="16"/>
          <w:szCs w:val="16"/>
          <w:color w:val="auto"/>
        </w:rPr>
      </w:pPr>
    </w:p>
    <w:p>
      <w:pPr>
        <w:ind w:left="140" w:hanging="100"/>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E.I. duPont de Nemours and Company, </w:t>
      </w:r>
      <w:r>
        <w:rPr>
          <w:rFonts w:ascii="Arial" w:cs="Arial" w:eastAsia="Arial" w:hAnsi="Arial"/>
          <w:sz w:val="16"/>
          <w:szCs w:val="16"/>
          <w:color w:val="auto"/>
        </w:rPr>
        <w:t>a global chemical company</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Group Vice President, agriculture and nutrition (2003 - 2008)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-1360170</wp:posOffset>
            </wp:positionV>
            <wp:extent cx="7071995" cy="1534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53416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071995"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1995" cy="394335"/>
                    </a:xfrm>
                    <a:prstGeom prst="rect">
                      <a:avLst/>
                    </a:prstGeom>
                    <a:noFill/>
                  </pic:spPr>
                </pic:pic>
              </a:graphicData>
            </a:graphic>
          </wp:anchor>
        </w:drawing>
      </w:r>
    </w:p>
    <w:p>
      <w:pPr>
        <w:spacing w:after="0" w:line="46" w:lineRule="exact"/>
        <w:rPr>
          <w:sz w:val="20"/>
          <w:szCs w:val="20"/>
          <w:color w:val="auto"/>
        </w:rPr>
      </w:pPr>
    </w:p>
    <w:p>
      <w:pPr>
        <w:ind w:left="40" w:right="80"/>
        <w:spacing w:after="0" w:line="242" w:lineRule="auto"/>
        <w:rPr>
          <w:sz w:val="20"/>
          <w:szCs w:val="20"/>
          <w:color w:val="auto"/>
        </w:rPr>
      </w:pPr>
      <w:r>
        <w:rPr>
          <w:rFonts w:ascii="Arial" w:cs="Arial" w:eastAsia="Arial" w:hAnsi="Arial"/>
          <w:sz w:val="16"/>
          <w:szCs w:val="16"/>
          <w:color w:val="auto"/>
        </w:rPr>
        <w:t>Mr. Fyrwald has a strong record of operational and strategic leadership in complex worldwide businesses with a focus on technology and innovation. He is an engineer by training and has significant chief executive officer experience with Syngenta, Univar, and Nalco.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P15</w:t>
      </w:r>
    </w:p>
    <w:p>
      <w:pPr>
        <w:sectPr>
          <w:pgSz w:w="11900" w:h="16838" w:orient="portrait"/>
          <w:cols w:equalWidth="0" w:num="1">
            <w:col w:w="11140"/>
          </w:cols>
          <w:pgMar w:left="380" w:top="1440" w:right="3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988695</wp:posOffset>
            </wp:positionV>
            <wp:extent cx="702945" cy="702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68" w:lineRule="exact"/>
        <w:rPr>
          <w:sz w:val="20"/>
          <w:szCs w:val="20"/>
          <w:color w:val="auto"/>
        </w:rPr>
      </w:pPr>
    </w:p>
    <w:p>
      <w:pPr>
        <w:ind w:left="1680"/>
        <w:spacing w:after="0"/>
        <w:rPr>
          <w:sz w:val="20"/>
          <w:szCs w:val="20"/>
          <w:color w:val="auto"/>
        </w:rPr>
      </w:pPr>
      <w:r>
        <w:rPr>
          <w:rFonts w:ascii="Arial" w:cs="Arial" w:eastAsia="Arial" w:hAnsi="Arial"/>
          <w:sz w:val="27"/>
          <w:szCs w:val="27"/>
          <w:b w:val="1"/>
          <w:bCs w:val="1"/>
          <w:color w:val="EF3729"/>
        </w:rPr>
        <w:t>Jamere Jackson</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Age: 52, Director since 2016,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(chair); 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BE8"/>
        </w:rPr>
        <w:t>PUBLIC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1808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80848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Hibbett Sports, Inc.</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59" w:lineRule="exact"/>
        <w:rPr>
          <w:sz w:val="20"/>
          <w:szCs w:val="20"/>
          <w:color w:val="auto"/>
        </w:rPr>
      </w:pPr>
    </w:p>
    <w:p>
      <w:pPr>
        <w:ind w:left="240" w:right="3120" w:hanging="201"/>
        <w:spacing w:after="0" w:line="268" w:lineRule="auto"/>
        <w:tabs>
          <w:tab w:leader="none" w:pos="135"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Autozone, Inc., </w:t>
      </w:r>
      <w:r>
        <w:rPr>
          <w:rFonts w:ascii="Arial" w:cs="Arial" w:eastAsia="Arial" w:hAnsi="Arial"/>
          <w:sz w:val="16"/>
          <w:szCs w:val="16"/>
          <w:color w:val="auto"/>
        </w:rPr>
        <w:t>a leading retailer and distributor of automotive replacement parts and accessories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Mexico, and Brazil</w:t>
      </w:r>
    </w:p>
    <w:p>
      <w:pPr>
        <w:spacing w:after="0" w:line="14" w:lineRule="exact"/>
        <w:rPr>
          <w:rFonts w:ascii="Arial" w:cs="Arial" w:eastAsia="Arial" w:hAnsi="Arial"/>
          <w:sz w:val="16"/>
          <w:szCs w:val="16"/>
          <w:color w:val="auto"/>
        </w:rPr>
      </w:pPr>
    </w:p>
    <w:p>
      <w:pPr>
        <w:ind w:left="360" w:hanging="95"/>
        <w:spacing w:after="0"/>
        <w:tabs>
          <w:tab w:leader="none" w:pos="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(2020 -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Hertz Global Holdings Inc.*, </w:t>
      </w:r>
      <w:r>
        <w:rPr>
          <w:rFonts w:ascii="Arial" w:cs="Arial" w:eastAsia="Arial" w:hAnsi="Arial"/>
          <w:sz w:val="16"/>
          <w:szCs w:val="16"/>
          <w:color w:val="auto"/>
        </w:rPr>
        <w:t>a global vehicle rental, leasing, and fleet management business</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Chief Financial Officer (2018 - 2020)</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Chief Financial Officer (2014 - 2018)</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General Electric Company</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Vice President and Chief Financial Officer, General Electric Oil &amp; Gas, drilling and surface division (2013 - 2014)</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Senior Executive, Finance, General Electric Aviation (2007 - 2013)</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Finance Executive, General Electric Corporate (2004 - 2007)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4946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543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557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557530"/>
                    </a:xfrm>
                    <a:prstGeom prst="rect">
                      <a:avLst/>
                    </a:prstGeom>
                    <a:noFill/>
                  </pic:spPr>
                </pic:pic>
              </a:graphicData>
            </a:graphic>
          </wp:anchor>
        </w:drawing>
      </w:r>
    </w:p>
    <w:p>
      <w:pPr>
        <w:spacing w:after="0" w:line="46" w:lineRule="exact"/>
        <w:rPr>
          <w:sz w:val="20"/>
          <w:szCs w:val="20"/>
          <w:color w:val="auto"/>
        </w:rPr>
      </w:pPr>
    </w:p>
    <w:p>
      <w:pPr>
        <w:ind w:left="40" w:right="80"/>
        <w:spacing w:after="0" w:line="237" w:lineRule="auto"/>
        <w:rPr>
          <w:sz w:val="20"/>
          <w:szCs w:val="20"/>
          <w:color w:val="auto"/>
        </w:rPr>
      </w:pPr>
      <w:r>
        <w:rPr>
          <w:rFonts w:ascii="Arial" w:cs="Arial" w:eastAsia="Arial" w:hAnsi="Arial"/>
          <w:sz w:val="16"/>
          <w:szCs w:val="16"/>
          <w:color w:val="auto"/>
        </w:rPr>
        <w:t>Through his senior financial roles at Autozone, Hertz, Nielsen, and General Electric, Mr. Jackson brings to the board significant global financial expertise and a strong background in strategic planning. He has spent his professional career in a broad range of financial and strategic planning roles. He is an audit committee financial expert, based on his chief financial officer experience and his training as a certified public accountant.</w:t>
      </w:r>
    </w:p>
    <w:p>
      <w:pPr>
        <w:spacing w:after="0" w:line="200" w:lineRule="exact"/>
        <w:rPr>
          <w:sz w:val="20"/>
          <w:szCs w:val="20"/>
          <w:color w:val="auto"/>
        </w:rPr>
      </w:pPr>
    </w:p>
    <w:p>
      <w:pPr>
        <w:spacing w:after="0" w:line="213" w:lineRule="exact"/>
        <w:rPr>
          <w:sz w:val="20"/>
          <w:szCs w:val="20"/>
          <w:color w:val="auto"/>
        </w:rPr>
      </w:pPr>
    </w:p>
    <w:p>
      <w:pPr>
        <w:ind w:right="500" w:firstLine="8"/>
        <w:spacing w:after="0" w:line="260" w:lineRule="auto"/>
        <w:tabs>
          <w:tab w:leader="none" w:pos="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Hertz Global Holdings Inc., The Hertz Corporation, and certain of their subsidiaries filed voluntary petitions for relief under chapter 11 of title 11 of the United States Code in May 2020. We do not believe this proceeding is material to an evaluation of the ability or integrity of Mr.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217170</wp:posOffset>
            </wp:positionV>
            <wp:extent cx="702945"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80"/>
        <w:spacing w:after="0"/>
        <w:rPr>
          <w:sz w:val="20"/>
          <w:szCs w:val="20"/>
          <w:color w:val="auto"/>
        </w:rPr>
      </w:pPr>
      <w:r>
        <w:rPr>
          <w:rFonts w:ascii="Arial" w:cs="Arial" w:eastAsia="Arial" w:hAnsi="Arial"/>
          <w:sz w:val="27"/>
          <w:szCs w:val="27"/>
          <w:b w:val="1"/>
          <w:bCs w:val="1"/>
          <w:color w:val="EF3729"/>
        </w:rPr>
        <w:t>Gabrielle Sulzberger</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Age: 60, Director since 2021,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Ethics and Compliance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20" w:type="dxa"/>
            <w:vAlign w:val="bottom"/>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3600" w:type="dxa"/>
            <w:vAlign w:val="bottom"/>
            <w:tcBorders>
              <w:bottom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PRIOR PUBLIC BOARDS</w:t>
            </w:r>
          </w:p>
        </w:tc>
        <w:tc>
          <w:tcPr>
            <w:tcW w:w="404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BE8"/>
              </w:rPr>
              <w:t>NON-PROFIT BOARDS</w:t>
            </w:r>
          </w:p>
        </w:tc>
      </w:tr>
      <w:tr>
        <w:trPr>
          <w:trHeight w:val="171"/>
        </w:trPr>
        <w:tc>
          <w:tcPr>
            <w:tcW w:w="3620" w:type="dxa"/>
            <w:vAlign w:val="bottom"/>
          </w:tcPr>
          <w:p>
            <w:pPr>
              <w:ind w:left="40"/>
              <w:spacing w:after="0" w:line="171" w:lineRule="exact"/>
              <w:rPr>
                <w:sz w:val="20"/>
                <w:szCs w:val="20"/>
                <w:color w:val="auto"/>
              </w:rPr>
            </w:pPr>
            <w:r>
              <w:rPr>
                <w:rFonts w:ascii="Arial" w:cs="Arial" w:eastAsia="Arial" w:hAnsi="Arial"/>
                <w:sz w:val="16"/>
                <w:szCs w:val="16"/>
                <w:color w:val="auto"/>
              </w:rPr>
              <w:t>Mastercard Incorporated;</w:t>
            </w:r>
          </w:p>
        </w:tc>
        <w:tc>
          <w:tcPr>
            <w:tcW w:w="3600" w:type="dxa"/>
            <w:vAlign w:val="bottom"/>
          </w:tcPr>
          <w:p>
            <w:pPr>
              <w:ind w:left="20"/>
              <w:spacing w:after="0" w:line="171" w:lineRule="exact"/>
              <w:rPr>
                <w:sz w:val="20"/>
                <w:szCs w:val="20"/>
                <w:color w:val="auto"/>
              </w:rPr>
            </w:pPr>
            <w:r>
              <w:rPr>
                <w:rFonts w:ascii="Arial" w:cs="Arial" w:eastAsia="Arial" w:hAnsi="Arial"/>
                <w:sz w:val="16"/>
                <w:szCs w:val="16"/>
                <w:color w:val="auto"/>
              </w:rPr>
              <w:t>Whole Foods Markets, Inc.; Teva</w:t>
            </w:r>
          </w:p>
        </w:tc>
        <w:tc>
          <w:tcPr>
            <w:tcW w:w="4040" w:type="dxa"/>
            <w:vAlign w:val="bottom"/>
          </w:tcPr>
          <w:p>
            <w:pPr>
              <w:ind w:left="20"/>
              <w:spacing w:after="0" w:line="171" w:lineRule="exact"/>
              <w:rPr>
                <w:sz w:val="20"/>
                <w:szCs w:val="20"/>
                <w:color w:val="auto"/>
              </w:rPr>
            </w:pPr>
            <w:r>
              <w:rPr>
                <w:rFonts w:ascii="Arial" w:cs="Arial" w:eastAsia="Arial" w:hAnsi="Arial"/>
                <w:sz w:val="16"/>
                <w:szCs w:val="16"/>
                <w:color w:val="auto"/>
              </w:rPr>
              <w:t>Metropolitan Museum of Art;</w:t>
            </w:r>
          </w:p>
        </w:tc>
      </w:tr>
      <w:tr>
        <w:trPr>
          <w:trHeight w:val="176"/>
        </w:trPr>
        <w:tc>
          <w:tcPr>
            <w:tcW w:w="3620" w:type="dxa"/>
            <w:vAlign w:val="bottom"/>
          </w:tcPr>
          <w:p>
            <w:pPr>
              <w:ind w:left="40"/>
              <w:spacing w:after="0" w:line="175" w:lineRule="exact"/>
              <w:rPr>
                <w:sz w:val="20"/>
                <w:szCs w:val="20"/>
                <w:color w:val="auto"/>
              </w:rPr>
            </w:pPr>
            <w:r>
              <w:rPr>
                <w:rFonts w:ascii="Arial" w:cs="Arial" w:eastAsia="Arial" w:hAnsi="Arial"/>
                <w:sz w:val="16"/>
                <w:szCs w:val="16"/>
                <w:color w:val="auto"/>
              </w:rPr>
              <w:t>Brixmor Property Group Inc.;</w:t>
            </w:r>
          </w:p>
        </w:tc>
        <w:tc>
          <w:tcPr>
            <w:tcW w:w="3600" w:type="dxa"/>
            <w:vAlign w:val="bottom"/>
          </w:tcPr>
          <w:p>
            <w:pPr>
              <w:ind w:left="20"/>
              <w:spacing w:after="0" w:line="175" w:lineRule="exact"/>
              <w:rPr>
                <w:sz w:val="20"/>
                <w:szCs w:val="20"/>
                <w:color w:val="auto"/>
              </w:rPr>
            </w:pPr>
            <w:r>
              <w:rPr>
                <w:rFonts w:ascii="Arial" w:cs="Arial" w:eastAsia="Arial" w:hAnsi="Arial"/>
                <w:sz w:val="16"/>
                <w:szCs w:val="16"/>
                <w:color w:val="auto"/>
              </w:rPr>
              <w:t>Pharmaceuticals Industries Limited;</w:t>
            </w:r>
          </w:p>
        </w:tc>
        <w:tc>
          <w:tcPr>
            <w:tcW w:w="4040" w:type="dxa"/>
            <w:vAlign w:val="bottom"/>
          </w:tcPr>
          <w:p>
            <w:pPr>
              <w:ind w:left="20"/>
              <w:spacing w:after="0" w:line="175" w:lineRule="exact"/>
              <w:rPr>
                <w:sz w:val="20"/>
                <w:szCs w:val="20"/>
                <w:color w:val="auto"/>
              </w:rPr>
            </w:pPr>
            <w:r>
              <w:rPr>
                <w:rFonts w:ascii="Arial" w:cs="Arial" w:eastAsia="Arial" w:hAnsi="Arial"/>
                <w:sz w:val="16"/>
                <w:szCs w:val="16"/>
                <w:color w:val="auto"/>
              </w:rPr>
              <w:t>Ford Foundation;</w:t>
            </w:r>
          </w:p>
        </w:tc>
      </w:tr>
      <w:tr>
        <w:trPr>
          <w:trHeight w:val="175"/>
        </w:trPr>
        <w:tc>
          <w:tcPr>
            <w:tcW w:w="3620" w:type="dxa"/>
            <w:vAlign w:val="bottom"/>
          </w:tcPr>
          <w:p>
            <w:pPr>
              <w:ind w:left="40"/>
              <w:spacing w:after="0" w:line="175" w:lineRule="exact"/>
              <w:rPr>
                <w:sz w:val="20"/>
                <w:szCs w:val="20"/>
                <w:color w:val="auto"/>
              </w:rPr>
            </w:pPr>
            <w:r>
              <w:rPr>
                <w:rFonts w:ascii="Arial" w:cs="Arial" w:eastAsia="Arial" w:hAnsi="Arial"/>
                <w:sz w:val="16"/>
                <w:szCs w:val="16"/>
                <w:color w:val="auto"/>
              </w:rPr>
              <w:t>Cerevel Therapeutics Holdings, Inc.</w:t>
            </w:r>
          </w:p>
        </w:tc>
        <w:tc>
          <w:tcPr>
            <w:tcW w:w="3600" w:type="dxa"/>
            <w:vAlign w:val="bottom"/>
          </w:tcPr>
          <w:p>
            <w:pPr>
              <w:ind w:left="20"/>
              <w:spacing w:after="0" w:line="175" w:lineRule="exact"/>
              <w:rPr>
                <w:sz w:val="20"/>
                <w:szCs w:val="20"/>
                <w:color w:val="auto"/>
              </w:rPr>
            </w:pPr>
            <w:r>
              <w:rPr>
                <w:rFonts w:ascii="Arial" w:cs="Arial" w:eastAsia="Arial" w:hAnsi="Arial"/>
                <w:sz w:val="16"/>
                <w:szCs w:val="16"/>
                <w:color w:val="auto"/>
              </w:rPr>
              <w:t>Stage Stores, Inc.;</w:t>
            </w:r>
          </w:p>
        </w:tc>
        <w:tc>
          <w:tcPr>
            <w:tcW w:w="4040" w:type="dxa"/>
            <w:vAlign w:val="bottom"/>
          </w:tcPr>
          <w:p>
            <w:pPr>
              <w:ind w:left="20"/>
              <w:spacing w:after="0" w:line="175" w:lineRule="exact"/>
              <w:rPr>
                <w:sz w:val="20"/>
                <w:szCs w:val="20"/>
                <w:color w:val="auto"/>
              </w:rPr>
            </w:pPr>
            <w:r>
              <w:rPr>
                <w:rFonts w:ascii="Arial" w:cs="Arial" w:eastAsia="Arial" w:hAnsi="Arial"/>
                <w:sz w:val="16"/>
                <w:szCs w:val="16"/>
                <w:color w:val="auto"/>
              </w:rPr>
              <w:t>Trinity Wall Street;</w:t>
            </w:r>
          </w:p>
        </w:tc>
      </w:tr>
      <w:tr>
        <w:trPr>
          <w:trHeight w:val="175"/>
        </w:trPr>
        <w:tc>
          <w:tcPr>
            <w:tcW w:w="3620" w:type="dxa"/>
            <w:vAlign w:val="bottom"/>
          </w:tcPr>
          <w:p>
            <w:pPr>
              <w:spacing w:after="0"/>
              <w:rPr>
                <w:sz w:val="15"/>
                <w:szCs w:val="15"/>
                <w:color w:val="auto"/>
              </w:rPr>
            </w:pPr>
          </w:p>
        </w:tc>
        <w:tc>
          <w:tcPr>
            <w:tcW w:w="3600" w:type="dxa"/>
            <w:vAlign w:val="bottom"/>
          </w:tcPr>
          <w:p>
            <w:pPr>
              <w:ind w:left="20"/>
              <w:spacing w:after="0" w:line="175" w:lineRule="exact"/>
              <w:rPr>
                <w:sz w:val="20"/>
                <w:szCs w:val="20"/>
                <w:color w:val="auto"/>
              </w:rPr>
            </w:pPr>
            <w:r>
              <w:rPr>
                <w:rFonts w:ascii="Arial" w:cs="Arial" w:eastAsia="Arial" w:hAnsi="Arial"/>
                <w:sz w:val="16"/>
                <w:szCs w:val="16"/>
                <w:color w:val="auto"/>
              </w:rPr>
              <w:t>IndyMac Bancorp, Inc.;</w:t>
            </w:r>
          </w:p>
        </w:tc>
        <w:tc>
          <w:tcPr>
            <w:tcW w:w="4040" w:type="dxa"/>
            <w:vAlign w:val="bottom"/>
          </w:tcPr>
          <w:p>
            <w:pPr>
              <w:ind w:left="20"/>
              <w:spacing w:after="0" w:line="175" w:lineRule="exact"/>
              <w:rPr>
                <w:sz w:val="20"/>
                <w:szCs w:val="20"/>
                <w:color w:val="auto"/>
              </w:rPr>
            </w:pPr>
            <w:r>
              <w:rPr>
                <w:rFonts w:ascii="Arial" w:cs="Arial" w:eastAsia="Arial" w:hAnsi="Arial"/>
                <w:sz w:val="16"/>
                <w:szCs w:val="16"/>
                <w:color w:val="auto"/>
              </w:rPr>
              <w:t>Sesame Street Workshop;</w:t>
            </w:r>
          </w:p>
        </w:tc>
      </w:tr>
      <w:tr>
        <w:trPr>
          <w:trHeight w:val="208"/>
        </w:trPr>
        <w:tc>
          <w:tcPr>
            <w:tcW w:w="36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Bright Horizons Family Solutions Inc.</w:t>
            </w:r>
          </w:p>
        </w:tc>
        <w:tc>
          <w:tcPr>
            <w:tcW w:w="4040" w:type="dxa"/>
            <w:vAlign w:val="bottom"/>
          </w:tcPr>
          <w:p>
            <w:pPr>
              <w:ind w:left="20"/>
              <w:spacing w:after="0"/>
              <w:rPr>
                <w:sz w:val="20"/>
                <w:szCs w:val="20"/>
                <w:color w:val="auto"/>
              </w:rPr>
            </w:pPr>
            <w:r>
              <w:rPr>
                <w:rFonts w:ascii="Arial" w:cs="Arial" w:eastAsia="Arial" w:hAnsi="Arial"/>
                <w:sz w:val="16"/>
                <w:szCs w:val="16"/>
                <w:color w:val="auto"/>
              </w:rPr>
              <w:t>TimesUp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149465" cy="1405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40589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59" w:lineRule="exact"/>
        <w:rPr>
          <w:sz w:val="20"/>
          <w:szCs w:val="20"/>
          <w:color w:val="auto"/>
        </w:rPr>
      </w:pPr>
    </w:p>
    <w:p>
      <w:pPr>
        <w:ind w:left="140" w:hanging="101"/>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TwoSigma Impact, </w:t>
      </w:r>
      <w:r>
        <w:rPr>
          <w:rFonts w:ascii="Arial" w:cs="Arial" w:eastAsia="Arial" w:hAnsi="Arial"/>
          <w:sz w:val="16"/>
          <w:szCs w:val="16"/>
          <w:color w:val="auto"/>
        </w:rPr>
        <w:t>a private equity fund based in New York, New York</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Strategic Advisor (2021 - present)</w:t>
      </w:r>
    </w:p>
    <w:p>
      <w:pPr>
        <w:spacing w:after="0" w:line="25" w:lineRule="exact"/>
        <w:rPr>
          <w:rFonts w:ascii="Arial" w:cs="Arial" w:eastAsia="Arial" w:hAnsi="Arial"/>
          <w:sz w:val="16"/>
          <w:szCs w:val="16"/>
          <w:color w:val="auto"/>
        </w:rPr>
      </w:pPr>
    </w:p>
    <w:p>
      <w:pPr>
        <w:ind w:left="140" w:hanging="101"/>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Rustic Canyon/Fontis Partners L.P., </w:t>
      </w:r>
      <w:r>
        <w:rPr>
          <w:rFonts w:ascii="Arial" w:cs="Arial" w:eastAsia="Arial" w:hAnsi="Arial"/>
          <w:sz w:val="16"/>
          <w:szCs w:val="16"/>
          <w:color w:val="auto"/>
        </w:rPr>
        <w:t>a private equity fund based in Pasadena, California</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General Partner (2005 - 2018)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4946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43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548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548640"/>
                    </a:xfrm>
                    <a:prstGeom prst="rect">
                      <a:avLst/>
                    </a:prstGeom>
                    <a:noFill/>
                  </pic:spPr>
                </pic:pic>
              </a:graphicData>
            </a:graphic>
          </wp:anchor>
        </w:drawing>
      </w:r>
    </w:p>
    <w:p>
      <w:pPr>
        <w:spacing w:after="0" w:line="46" w:lineRule="exact"/>
        <w:rPr>
          <w:sz w:val="20"/>
          <w:szCs w:val="20"/>
          <w:color w:val="auto"/>
        </w:rPr>
      </w:pPr>
    </w:p>
    <w:p>
      <w:pPr>
        <w:ind w:left="40" w:right="260"/>
        <w:spacing w:after="0" w:line="235" w:lineRule="auto"/>
        <w:rPr>
          <w:sz w:val="20"/>
          <w:szCs w:val="20"/>
          <w:color w:val="auto"/>
        </w:rPr>
      </w:pPr>
      <w:r>
        <w:rPr>
          <w:rFonts w:ascii="Arial" w:cs="Arial" w:eastAsia="Arial" w:hAnsi="Arial"/>
          <w:sz w:val="16"/>
          <w:szCs w:val="16"/>
          <w:color w:val="auto"/>
        </w:rPr>
        <w:t>Ms. Sulzberger brings 30 years of experience advising public and privately held companies in consumer products, retail, financial services, and life sciences, and deep corporate governance experience through her work with corporate boards. She is an audit committee financial expert based on her audit committee service at Cerevel and Whole Foods, her experience in private equity, and her prior service as chief financial officer of several public and private companies.</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P16</w:t>
      </w:r>
    </w:p>
    <w:p>
      <w:pPr>
        <w:sectPr>
          <w:pgSz w:w="11900" w:h="16838" w:orient="portrait"/>
          <w:cols w:equalWidth="0" w:num="1">
            <w:col w:w="11260"/>
          </w:cols>
          <w:pgMar w:left="320" w:top="1440" w:right="3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988695</wp:posOffset>
            </wp:positionV>
            <wp:extent cx="720090" cy="720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395" w:lineRule="exact"/>
        <w:rPr>
          <w:sz w:val="20"/>
          <w:szCs w:val="20"/>
          <w:color w:val="auto"/>
        </w:rPr>
      </w:pPr>
    </w:p>
    <w:p>
      <w:pPr>
        <w:ind w:left="1680"/>
        <w:spacing w:after="0"/>
        <w:rPr>
          <w:sz w:val="20"/>
          <w:szCs w:val="20"/>
          <w:color w:val="auto"/>
        </w:rPr>
      </w:pPr>
      <w:r>
        <w:rPr>
          <w:rFonts w:ascii="Arial" w:cs="Arial" w:eastAsia="Arial" w:hAnsi="Arial"/>
          <w:sz w:val="27"/>
          <w:szCs w:val="27"/>
          <w:b w:val="1"/>
          <w:bCs w:val="1"/>
          <w:color w:val="EF3729"/>
        </w:rPr>
        <w:t>Jackson P. Tai</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Age: 70, Director since 2013,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037705" cy="3017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301752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40" w:type="dxa"/>
            <w:vAlign w:val="bottom"/>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3020" w:type="dxa"/>
            <w:vAlign w:val="bottom"/>
            <w:shd w:val="clear" w:color="auto" w:fill="F4F6F6"/>
          </w:tcPr>
          <w:p>
            <w:pPr>
              <w:ind w:left="400"/>
              <w:spacing w:after="0"/>
              <w:rPr>
                <w:sz w:val="20"/>
                <w:szCs w:val="20"/>
                <w:color w:val="auto"/>
              </w:rPr>
            </w:pPr>
            <w:r>
              <w:rPr>
                <w:rFonts w:ascii="Arial" w:cs="Arial" w:eastAsia="Arial" w:hAnsi="Arial"/>
                <w:sz w:val="16"/>
                <w:szCs w:val="16"/>
                <w:b w:val="1"/>
                <w:bCs w:val="1"/>
                <w:color w:val="00ABE8"/>
              </w:rPr>
              <w:t>PRIOR PUBLIC BOARDS</w:t>
            </w:r>
          </w:p>
        </w:tc>
        <w:tc>
          <w:tcPr>
            <w:tcW w:w="2560" w:type="dxa"/>
            <w:vAlign w:val="bottom"/>
            <w:shd w:val="clear" w:color="auto" w:fill="F4F6F6"/>
          </w:tcPr>
          <w:p>
            <w:pPr>
              <w:ind w:left="180"/>
              <w:spacing w:after="0"/>
              <w:rPr>
                <w:sz w:val="20"/>
                <w:szCs w:val="20"/>
                <w:color w:val="auto"/>
              </w:rPr>
            </w:pPr>
            <w:r>
              <w:rPr>
                <w:rFonts w:ascii="Arial" w:cs="Arial" w:eastAsia="Arial" w:hAnsi="Arial"/>
                <w:sz w:val="16"/>
                <w:szCs w:val="16"/>
                <w:b w:val="1"/>
                <w:bCs w:val="1"/>
                <w:color w:val="00ABE8"/>
              </w:rPr>
              <w:t>NON-PROFIT BOARDS</w:t>
            </w:r>
          </w:p>
        </w:tc>
        <w:tc>
          <w:tcPr>
            <w:tcW w:w="3240" w:type="dxa"/>
            <w:vAlign w:val="bottom"/>
            <w:shd w:val="clear" w:color="auto" w:fill="F4F6F6"/>
          </w:tcPr>
          <w:p>
            <w:pPr>
              <w:ind w:left="60"/>
              <w:spacing w:after="0"/>
              <w:rPr>
                <w:sz w:val="20"/>
                <w:szCs w:val="20"/>
                <w:color w:val="auto"/>
              </w:rPr>
            </w:pPr>
            <w:r>
              <w:rPr>
                <w:rFonts w:ascii="Arial" w:cs="Arial" w:eastAsia="Arial" w:hAnsi="Arial"/>
                <w:sz w:val="16"/>
                <w:szCs w:val="16"/>
                <w:b w:val="1"/>
                <w:bCs w:val="1"/>
                <w:color w:val="00ABE8"/>
              </w:rPr>
              <w:t>MEMBERSHIPS + OTHER</w:t>
            </w:r>
          </w:p>
        </w:tc>
        <w:tc>
          <w:tcPr>
            <w:tcW w:w="20" w:type="dxa"/>
            <w:vAlign w:val="bottom"/>
          </w:tcPr>
          <w:p>
            <w:pPr>
              <w:spacing w:after="0"/>
              <w:rPr>
                <w:sz w:val="18"/>
                <w:szCs w:val="18"/>
                <w:color w:val="auto"/>
              </w:rPr>
            </w:pPr>
          </w:p>
        </w:tc>
      </w:tr>
      <w:tr>
        <w:trPr>
          <w:trHeight w:val="228"/>
        </w:trPr>
        <w:tc>
          <w:tcPr>
            <w:tcW w:w="2240" w:type="dxa"/>
            <w:vAlign w:val="bottom"/>
            <w:tcBorders>
              <w:bottom w:val="single" w:sz="8" w:color="F4F6F6"/>
            </w:tcBorders>
            <w:shd w:val="clear" w:color="auto" w:fill="F4F6F6"/>
          </w:tcPr>
          <w:p>
            <w:pPr>
              <w:spacing w:after="0"/>
              <w:rPr>
                <w:sz w:val="19"/>
                <w:szCs w:val="19"/>
                <w:color w:val="auto"/>
              </w:rPr>
            </w:pPr>
          </w:p>
        </w:tc>
        <w:tc>
          <w:tcPr>
            <w:tcW w:w="3020" w:type="dxa"/>
            <w:vAlign w:val="bottom"/>
            <w:tcBorders>
              <w:bottom w:val="single" w:sz="8" w:color="F4F6F6"/>
            </w:tcBorders>
            <w:shd w:val="clear" w:color="auto" w:fill="F4F6F6"/>
          </w:tcPr>
          <w:p>
            <w:pPr>
              <w:spacing w:after="0"/>
              <w:rPr>
                <w:sz w:val="19"/>
                <w:szCs w:val="19"/>
                <w:color w:val="auto"/>
              </w:rPr>
            </w:pPr>
          </w:p>
        </w:tc>
        <w:tc>
          <w:tcPr>
            <w:tcW w:w="2560" w:type="dxa"/>
            <w:vAlign w:val="bottom"/>
            <w:tcBorders>
              <w:bottom w:val="single" w:sz="8" w:color="F4F6F6"/>
            </w:tcBorders>
            <w:shd w:val="clear" w:color="auto" w:fill="F4F6F6"/>
          </w:tcPr>
          <w:p>
            <w:pPr>
              <w:spacing w:after="0"/>
              <w:rPr>
                <w:sz w:val="19"/>
                <w:szCs w:val="19"/>
                <w:color w:val="auto"/>
              </w:rPr>
            </w:pPr>
          </w:p>
        </w:tc>
        <w:tc>
          <w:tcPr>
            <w:tcW w:w="3240" w:type="dxa"/>
            <w:vAlign w:val="bottom"/>
            <w:tcBorders>
              <w:bottom w:val="single" w:sz="8" w:color="F4F6F6"/>
            </w:tcBorders>
            <w:shd w:val="clear" w:color="auto" w:fill="F4F6F6"/>
          </w:tcPr>
          <w:p>
            <w:pPr>
              <w:ind w:left="60"/>
              <w:spacing w:after="0"/>
              <w:rPr>
                <w:sz w:val="20"/>
                <w:szCs w:val="20"/>
                <w:color w:val="auto"/>
              </w:rPr>
            </w:pPr>
            <w:r>
              <w:rPr>
                <w:rFonts w:ascii="Arial" w:cs="Arial" w:eastAsia="Arial" w:hAnsi="Arial"/>
                <w:sz w:val="16"/>
                <w:szCs w:val="16"/>
                <w:b w:val="1"/>
                <w:bCs w:val="1"/>
                <w:color w:val="00ABE8"/>
              </w:rPr>
              <w:t>ORGANIZATIONS</w:t>
            </w:r>
          </w:p>
        </w:tc>
        <w:tc>
          <w:tcPr>
            <w:tcW w:w="20" w:type="dxa"/>
            <w:vAlign w:val="bottom"/>
            <w:tcBorders>
              <w:bottom w:val="single" w:sz="8" w:color="F4F6F6"/>
            </w:tcBorders>
          </w:tcPr>
          <w:p>
            <w:pPr>
              <w:spacing w:after="0"/>
              <w:rPr>
                <w:sz w:val="19"/>
                <w:szCs w:val="19"/>
                <w:color w:val="auto"/>
              </w:rPr>
            </w:pPr>
          </w:p>
        </w:tc>
      </w:tr>
      <w:tr>
        <w:trPr>
          <w:trHeight w:val="191"/>
        </w:trPr>
        <w:tc>
          <w:tcPr>
            <w:tcW w:w="2240" w:type="dxa"/>
            <w:vAlign w:val="bottom"/>
          </w:tcPr>
          <w:p>
            <w:pPr>
              <w:ind w:left="40"/>
              <w:spacing w:after="0"/>
              <w:rPr>
                <w:sz w:val="20"/>
                <w:szCs w:val="20"/>
                <w:color w:val="auto"/>
              </w:rPr>
            </w:pPr>
            <w:r>
              <w:rPr>
                <w:rFonts w:ascii="Arial" w:cs="Arial" w:eastAsia="Arial" w:hAnsi="Arial"/>
                <w:sz w:val="16"/>
                <w:szCs w:val="16"/>
                <w:color w:val="auto"/>
              </w:rPr>
              <w:t>Mastercard Incorporated;</w:t>
            </w:r>
          </w:p>
        </w:tc>
        <w:tc>
          <w:tcPr>
            <w:tcW w:w="3020" w:type="dxa"/>
            <w:vAlign w:val="bottom"/>
          </w:tcPr>
          <w:p>
            <w:pPr>
              <w:ind w:left="400"/>
              <w:spacing w:after="0"/>
              <w:rPr>
                <w:sz w:val="20"/>
                <w:szCs w:val="20"/>
                <w:color w:val="auto"/>
              </w:rPr>
            </w:pPr>
            <w:r>
              <w:rPr>
                <w:rFonts w:ascii="Arial" w:cs="Arial" w:eastAsia="Arial" w:hAnsi="Arial"/>
                <w:sz w:val="16"/>
                <w:szCs w:val="16"/>
                <w:color w:val="auto"/>
              </w:rPr>
              <w:t>Canada Pension Plan;</w:t>
            </w:r>
          </w:p>
        </w:tc>
        <w:tc>
          <w:tcPr>
            <w:tcW w:w="2560" w:type="dxa"/>
            <w:vAlign w:val="bottom"/>
          </w:tcPr>
          <w:p>
            <w:pPr>
              <w:ind w:left="180"/>
              <w:spacing w:after="0"/>
              <w:rPr>
                <w:sz w:val="20"/>
                <w:szCs w:val="20"/>
                <w:color w:val="auto"/>
              </w:rPr>
            </w:pPr>
            <w:r>
              <w:rPr>
                <w:rFonts w:ascii="Arial" w:cs="Arial" w:eastAsia="Arial" w:hAnsi="Arial"/>
                <w:sz w:val="16"/>
                <w:szCs w:val="16"/>
                <w:color w:val="auto"/>
              </w:rPr>
              <w:t>Metropolitan Opera;</w:t>
            </w:r>
          </w:p>
        </w:tc>
        <w:tc>
          <w:tcPr>
            <w:tcW w:w="3240" w:type="dxa"/>
            <w:vAlign w:val="bottom"/>
          </w:tcPr>
          <w:p>
            <w:pPr>
              <w:ind w:left="60"/>
              <w:spacing w:after="0"/>
              <w:rPr>
                <w:sz w:val="20"/>
                <w:szCs w:val="20"/>
                <w:color w:val="auto"/>
              </w:rPr>
            </w:pPr>
            <w:r>
              <w:rPr>
                <w:rFonts w:ascii="Arial" w:cs="Arial" w:eastAsia="Arial" w:hAnsi="Arial"/>
                <w:sz w:val="16"/>
                <w:szCs w:val="16"/>
                <w:color w:val="auto"/>
              </w:rPr>
              <w:t>Harvard Business School</w:t>
            </w:r>
          </w:p>
        </w:tc>
        <w:tc>
          <w:tcPr>
            <w:tcW w:w="20" w:type="dxa"/>
            <w:vAlign w:val="bottom"/>
          </w:tcPr>
          <w:p>
            <w:pPr>
              <w:spacing w:after="0"/>
              <w:rPr>
                <w:sz w:val="16"/>
                <w:szCs w:val="16"/>
                <w:color w:val="auto"/>
              </w:rPr>
            </w:pPr>
          </w:p>
        </w:tc>
      </w:tr>
      <w:tr>
        <w:trPr>
          <w:trHeight w:val="176"/>
        </w:trPr>
        <w:tc>
          <w:tcPr>
            <w:tcW w:w="2240" w:type="dxa"/>
            <w:vAlign w:val="bottom"/>
          </w:tcPr>
          <w:p>
            <w:pPr>
              <w:ind w:left="40"/>
              <w:spacing w:after="0" w:line="175" w:lineRule="exact"/>
              <w:rPr>
                <w:sz w:val="20"/>
                <w:szCs w:val="20"/>
                <w:color w:val="auto"/>
              </w:rPr>
            </w:pPr>
            <w:r>
              <w:rPr>
                <w:rFonts w:ascii="Arial" w:cs="Arial" w:eastAsia="Arial" w:hAnsi="Arial"/>
                <w:sz w:val="16"/>
                <w:szCs w:val="16"/>
                <w:color w:val="auto"/>
              </w:rPr>
              <w:t>HSBC Holdings plc</w:t>
            </w: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Investment Board;</w:t>
            </w:r>
          </w:p>
        </w:tc>
        <w:tc>
          <w:tcPr>
            <w:tcW w:w="2560" w:type="dxa"/>
            <w:vAlign w:val="bottom"/>
          </w:tcPr>
          <w:p>
            <w:pPr>
              <w:ind w:left="180"/>
              <w:spacing w:after="0" w:line="175" w:lineRule="exact"/>
              <w:rPr>
                <w:sz w:val="20"/>
                <w:szCs w:val="20"/>
                <w:color w:val="auto"/>
              </w:rPr>
            </w:pPr>
            <w:r>
              <w:rPr>
                <w:rFonts w:ascii="Arial" w:cs="Arial" w:eastAsia="Arial" w:hAnsi="Arial"/>
                <w:sz w:val="16"/>
                <w:szCs w:val="16"/>
                <w:color w:val="auto"/>
              </w:rPr>
              <w:t>Rensselaer Polytechnic Institute</w:t>
            </w:r>
          </w:p>
        </w:tc>
        <w:tc>
          <w:tcPr>
            <w:tcW w:w="3240" w:type="dxa"/>
            <w:vAlign w:val="bottom"/>
          </w:tcPr>
          <w:p>
            <w:pPr>
              <w:ind w:left="60"/>
              <w:spacing w:after="0" w:line="175" w:lineRule="exact"/>
              <w:rPr>
                <w:sz w:val="20"/>
                <w:szCs w:val="20"/>
                <w:color w:val="auto"/>
              </w:rPr>
            </w:pPr>
            <w:r>
              <w:rPr>
                <w:rFonts w:ascii="Arial" w:cs="Arial" w:eastAsia="Arial" w:hAnsi="Arial"/>
                <w:sz w:val="16"/>
                <w:szCs w:val="16"/>
                <w:color w:val="auto"/>
              </w:rPr>
              <w:t>Asia-Pacific Advisory Board</w:t>
            </w:r>
          </w:p>
        </w:tc>
        <w:tc>
          <w:tcPr>
            <w:tcW w:w="20" w:type="dxa"/>
            <w:vAlign w:val="bottom"/>
          </w:tcPr>
          <w:p>
            <w:pPr>
              <w:spacing w:after="0"/>
              <w:rPr>
                <w:sz w:val="15"/>
                <w:szCs w:val="15"/>
                <w:color w:val="auto"/>
              </w:rPr>
            </w:pPr>
          </w:p>
        </w:tc>
      </w:tr>
      <w:tr>
        <w:trPr>
          <w:trHeight w:val="175"/>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Koninklijke Philips N.V.;</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The Bank of China Limited;</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Singapore Airlines Limited;</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NYSE Euronext;</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ING Groep N.V.;</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CapitaLand Limited (Singapore);</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3020" w:type="dxa"/>
            <w:vAlign w:val="bottom"/>
          </w:tcPr>
          <w:p>
            <w:pPr>
              <w:ind w:left="400"/>
              <w:spacing w:after="0" w:line="175" w:lineRule="exact"/>
              <w:rPr>
                <w:sz w:val="20"/>
                <w:szCs w:val="20"/>
                <w:color w:val="auto"/>
              </w:rPr>
            </w:pPr>
            <w:r>
              <w:rPr>
                <w:rFonts w:ascii="Arial" w:cs="Arial" w:eastAsia="Arial" w:hAnsi="Arial"/>
                <w:sz w:val="16"/>
                <w:szCs w:val="16"/>
                <w:color w:val="auto"/>
              </w:rPr>
              <w:t>DBS Group Holdings Ltd and DBS</w:t>
            </w:r>
          </w:p>
        </w:tc>
        <w:tc>
          <w:tcPr>
            <w:tcW w:w="2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2240" w:type="dxa"/>
            <w:vAlign w:val="bottom"/>
          </w:tcPr>
          <w:p>
            <w:pPr>
              <w:spacing w:after="0"/>
              <w:rPr>
                <w:sz w:val="16"/>
                <w:szCs w:val="16"/>
                <w:color w:val="auto"/>
              </w:rPr>
            </w:pPr>
          </w:p>
        </w:tc>
        <w:tc>
          <w:tcPr>
            <w:tcW w:w="3020" w:type="dxa"/>
            <w:vAlign w:val="bottom"/>
          </w:tcPr>
          <w:p>
            <w:pPr>
              <w:ind w:left="400"/>
              <w:spacing w:after="0"/>
              <w:rPr>
                <w:sz w:val="20"/>
                <w:szCs w:val="20"/>
                <w:color w:val="auto"/>
              </w:rPr>
            </w:pPr>
            <w:r>
              <w:rPr>
                <w:rFonts w:ascii="Arial" w:cs="Arial" w:eastAsia="Arial" w:hAnsi="Arial"/>
                <w:sz w:val="16"/>
                <w:szCs w:val="16"/>
                <w:color w:val="auto"/>
              </w:rPr>
              <w:t>Bank Ltd</w:t>
            </w:r>
          </w:p>
        </w:tc>
        <w:tc>
          <w:tcPr>
            <w:tcW w:w="2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260" w:right="2600" w:hanging="221"/>
        <w:spacing w:after="0" w:line="294" w:lineRule="auto"/>
        <w:tabs>
          <w:tab w:leader="none" w:pos="137"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DBS Group Holdings Ltd and DBS Bank Ltd (formerly the Development Bank of Singapore), </w:t>
      </w:r>
      <w:r>
        <w:rPr>
          <w:rFonts w:ascii="Arial" w:cs="Arial" w:eastAsia="Arial" w:hAnsi="Arial"/>
          <w:sz w:val="16"/>
          <w:szCs w:val="16"/>
          <w:color w:val="auto"/>
        </w:rPr>
        <w:t>one of the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services groups in Asia</w:t>
      </w:r>
    </w:p>
    <w:p>
      <w:pPr>
        <w:spacing w:after="0" w:line="1" w:lineRule="exact"/>
        <w:rPr>
          <w:rFonts w:ascii="Arial" w:cs="Arial" w:eastAsia="Arial" w:hAnsi="Arial"/>
          <w:sz w:val="16"/>
          <w:szCs w:val="16"/>
          <w:color w:val="auto"/>
        </w:rPr>
      </w:pPr>
    </w:p>
    <w:p>
      <w:pPr>
        <w:ind w:left="360" w:hanging="95"/>
        <w:spacing w:after="0"/>
        <w:tabs>
          <w:tab w:leader="none" w:pos="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Vice Chairman and Chief Executive Officer (2002 - 2007)</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President and Chief Operating Officer (2001 - 2002)</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Chief Financial Officer (1999 - 2001)</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J.P. Morgan &amp; Co. Incorporated, </w:t>
      </w:r>
      <w:r>
        <w:rPr>
          <w:rFonts w:ascii="Arial" w:cs="Arial" w:eastAsia="Arial" w:hAnsi="Arial"/>
          <w:sz w:val="16"/>
          <w:szCs w:val="16"/>
          <w:color w:val="auto"/>
        </w:rPr>
        <w:t>a leading global financial institution</w:t>
      </w:r>
    </w:p>
    <w:p>
      <w:pPr>
        <w:spacing w:after="0" w:line="52" w:lineRule="exact"/>
        <w:rPr>
          <w:rFonts w:ascii="Arial" w:cs="Arial" w:eastAsia="Arial" w:hAnsi="Arial"/>
          <w:sz w:val="16"/>
          <w:szCs w:val="16"/>
          <w:color w:val="auto"/>
        </w:rPr>
      </w:pPr>
    </w:p>
    <w:p>
      <w:pPr>
        <w:ind w:left="400" w:right="2880" w:hanging="135"/>
        <w:spacing w:after="0" w:line="277" w:lineRule="auto"/>
        <w:tabs>
          <w:tab w:leader="none" w:pos="3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Managing Director in the Investment Banking Division (1974 - 1999), including service as the senior officer for Japan Capital Markets and chairman of the Asia Pacific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03770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037705" cy="625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625475"/>
                    </a:xfrm>
                    <a:prstGeom prst="rect">
                      <a:avLst/>
                    </a:prstGeom>
                    <a:noFill/>
                  </pic:spPr>
                </pic:pic>
              </a:graphicData>
            </a:graphic>
          </wp:anchor>
        </w:drawing>
      </w:r>
    </w:p>
    <w:p>
      <w:pPr>
        <w:spacing w:after="0" w:line="46" w:lineRule="exact"/>
        <w:rPr>
          <w:sz w:val="20"/>
          <w:szCs w:val="20"/>
          <w:color w:val="auto"/>
        </w:rPr>
      </w:pPr>
    </w:p>
    <w:p>
      <w:pPr>
        <w:ind w:left="40" w:right="80"/>
        <w:spacing w:after="0" w:line="235" w:lineRule="auto"/>
        <w:rPr>
          <w:sz w:val="20"/>
          <w:szCs w:val="20"/>
          <w:color w:val="auto"/>
        </w:rPr>
      </w:pPr>
      <w:r>
        <w:rPr>
          <w:rFonts w:ascii="Arial" w:cs="Arial" w:eastAsia="Arial" w:hAnsi="Arial"/>
          <w:sz w:val="16"/>
          <w:szCs w:val="16"/>
          <w:color w:val="auto"/>
        </w:rPr>
        <w:t>Mr. Tai is a former chief executive officer with extensive experience in international business and finance, and he is an audit committee financial expert based on his public company experience, including as an audit committee member of HSBC Holdings and Mastercard, and as chair of the risk committee of HSBC Holdings. He has deep expertise in the Asia-Pacific region, an important growth market for Lilly. He also has broad corporate governance experience from his service on public company boards in North America, Europe, and 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P17</w:t>
      </w:r>
    </w:p>
    <w:p>
      <w:pPr>
        <w:sectPr>
          <w:pgSz w:w="11900" w:h="16838" w:orient="portrait"/>
          <w:cols w:equalWidth="0" w:num="1">
            <w:col w:w="11080"/>
          </w:cols>
          <w:pgMar w:left="320" w:top="1440" w:right="49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1CA8E1"/>
        </w:rPr>
        <w:t>Class of 2022</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five directors are serving terms that will expire in May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79375</wp:posOffset>
            </wp:positionV>
            <wp:extent cx="702945" cy="702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80"/>
        <w:spacing w:after="0"/>
        <w:rPr>
          <w:sz w:val="20"/>
          <w:szCs w:val="20"/>
          <w:color w:val="auto"/>
        </w:rPr>
      </w:pPr>
      <w:r>
        <w:rPr>
          <w:rFonts w:ascii="Arial" w:cs="Arial" w:eastAsia="Arial" w:hAnsi="Arial"/>
          <w:sz w:val="27"/>
          <w:szCs w:val="27"/>
          <w:b w:val="1"/>
          <w:bCs w:val="1"/>
          <w:color w:val="EF3729"/>
        </w:rPr>
        <w:t>Ralph Alvarez</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Age: 65, Director since 2009,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Compensation (chair)</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0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3480" w:type="dxa"/>
            <w:vAlign w:val="bottom"/>
            <w:shd w:val="clear" w:color="auto" w:fill="F4F6F6"/>
          </w:tcPr>
          <w:p>
            <w:pPr>
              <w:ind w:left="540"/>
              <w:spacing w:after="0"/>
              <w:rPr>
                <w:sz w:val="20"/>
                <w:szCs w:val="20"/>
                <w:color w:val="auto"/>
              </w:rPr>
            </w:pPr>
            <w:r>
              <w:rPr>
                <w:rFonts w:ascii="Arial" w:cs="Arial" w:eastAsia="Arial" w:hAnsi="Arial"/>
                <w:sz w:val="16"/>
                <w:szCs w:val="16"/>
                <w:b w:val="1"/>
                <w:bCs w:val="1"/>
                <w:color w:val="00ABE8"/>
              </w:rPr>
              <w:t>PRIOR PUBLIC BOARDS</w:t>
            </w:r>
          </w:p>
        </w:tc>
        <w:tc>
          <w:tcPr>
            <w:tcW w:w="5480" w:type="dxa"/>
            <w:vAlign w:val="bottom"/>
            <w:tcBorders>
              <w:right w:val="single" w:sz="8" w:color="F4F6F6"/>
            </w:tcBorders>
            <w:shd w:val="clear" w:color="auto" w:fill="F4F6F6"/>
          </w:tcPr>
          <w:p>
            <w:pPr>
              <w:ind w:left="100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177"/>
        </w:trPr>
        <w:tc>
          <w:tcPr>
            <w:tcW w:w="2300" w:type="dxa"/>
            <w:vAlign w:val="bottom"/>
            <w:tcBorders>
              <w:left w:val="single" w:sz="8" w:color="F4F6F6"/>
            </w:tcBorders>
          </w:tcPr>
          <w:p>
            <w:pPr>
              <w:ind w:left="40"/>
              <w:spacing w:after="0" w:line="178" w:lineRule="exact"/>
              <w:rPr>
                <w:sz w:val="20"/>
                <w:szCs w:val="20"/>
                <w:color w:val="auto"/>
              </w:rPr>
            </w:pPr>
            <w:r>
              <w:rPr>
                <w:rFonts w:ascii="Arial" w:cs="Arial" w:eastAsia="Arial" w:hAnsi="Arial"/>
                <w:sz w:val="16"/>
                <w:szCs w:val="16"/>
                <w:color w:val="auto"/>
              </w:rPr>
              <w:t>Lowe's Companies, Inc.</w:t>
            </w:r>
          </w:p>
        </w:tc>
        <w:tc>
          <w:tcPr>
            <w:tcW w:w="3480" w:type="dxa"/>
            <w:vAlign w:val="bottom"/>
          </w:tcPr>
          <w:p>
            <w:pPr>
              <w:ind w:left="540"/>
              <w:spacing w:after="0" w:line="178" w:lineRule="exact"/>
              <w:rPr>
                <w:sz w:val="20"/>
                <w:szCs w:val="20"/>
                <w:color w:val="auto"/>
              </w:rPr>
            </w:pPr>
            <w:r>
              <w:rPr>
                <w:rFonts w:ascii="Arial" w:cs="Arial" w:eastAsia="Arial" w:hAnsi="Arial"/>
                <w:sz w:val="16"/>
                <w:szCs w:val="16"/>
                <w:color w:val="auto"/>
              </w:rPr>
              <w:t>Dunkin’ Brands Group, Inc.</w:t>
            </w:r>
          </w:p>
        </w:tc>
        <w:tc>
          <w:tcPr>
            <w:tcW w:w="5480" w:type="dxa"/>
            <w:vAlign w:val="bottom"/>
            <w:tcBorders>
              <w:right w:val="single" w:sz="8" w:color="F4F6F6"/>
            </w:tcBorders>
          </w:tcPr>
          <w:p>
            <w:pPr>
              <w:ind w:left="1000"/>
              <w:spacing w:after="0" w:line="178" w:lineRule="exact"/>
              <w:rPr>
                <w:sz w:val="20"/>
                <w:szCs w:val="20"/>
                <w:color w:val="auto"/>
              </w:rPr>
            </w:pPr>
            <w:r>
              <w:rPr>
                <w:rFonts w:ascii="Arial" w:cs="Arial" w:eastAsia="Arial" w:hAnsi="Arial"/>
                <w:sz w:val="16"/>
                <w:szCs w:val="16"/>
                <w:color w:val="auto"/>
              </w:rPr>
              <w:t>University of Miami President's Council</w:t>
            </w:r>
          </w:p>
        </w:tc>
      </w:tr>
      <w:tr>
        <w:trPr>
          <w:trHeight w:val="162"/>
        </w:trPr>
        <w:tc>
          <w:tcPr>
            <w:tcW w:w="2300" w:type="dxa"/>
            <w:vAlign w:val="bottom"/>
            <w:tcBorders>
              <w:left w:val="single" w:sz="8" w:color="F4F6F6"/>
            </w:tcBorders>
          </w:tcPr>
          <w:p>
            <w:pPr>
              <w:spacing w:after="0"/>
              <w:rPr>
                <w:sz w:val="14"/>
                <w:szCs w:val="14"/>
                <w:color w:val="auto"/>
              </w:rPr>
            </w:pPr>
          </w:p>
        </w:tc>
        <w:tc>
          <w:tcPr>
            <w:tcW w:w="3480" w:type="dxa"/>
            <w:vAlign w:val="bottom"/>
          </w:tcPr>
          <w:p>
            <w:pPr>
              <w:ind w:left="540"/>
              <w:spacing w:after="0" w:line="162" w:lineRule="exact"/>
              <w:rPr>
                <w:sz w:val="20"/>
                <w:szCs w:val="20"/>
                <w:color w:val="auto"/>
              </w:rPr>
            </w:pPr>
            <w:r>
              <w:rPr>
                <w:rFonts w:ascii="Arial" w:cs="Arial" w:eastAsia="Arial" w:hAnsi="Arial"/>
                <w:sz w:val="16"/>
                <w:szCs w:val="16"/>
                <w:color w:val="auto"/>
              </w:rPr>
              <w:t>McDonald's Corporation;</w:t>
            </w:r>
          </w:p>
        </w:tc>
        <w:tc>
          <w:tcPr>
            <w:tcW w:w="5480" w:type="dxa"/>
            <w:vAlign w:val="bottom"/>
            <w:tcBorders>
              <w:right w:val="single" w:sz="8" w:color="F4F6F6"/>
            </w:tcBorders>
          </w:tcPr>
          <w:p>
            <w:pPr>
              <w:spacing w:after="0"/>
              <w:rPr>
                <w:sz w:val="14"/>
                <w:szCs w:val="14"/>
                <w:color w:val="auto"/>
              </w:rPr>
            </w:pPr>
          </w:p>
        </w:tc>
      </w:tr>
      <w:tr>
        <w:trPr>
          <w:trHeight w:val="162"/>
        </w:trPr>
        <w:tc>
          <w:tcPr>
            <w:tcW w:w="2300" w:type="dxa"/>
            <w:vAlign w:val="bottom"/>
            <w:tcBorders>
              <w:left w:val="single" w:sz="8" w:color="F4F6F6"/>
            </w:tcBorders>
          </w:tcPr>
          <w:p>
            <w:pPr>
              <w:spacing w:after="0"/>
              <w:rPr>
                <w:sz w:val="14"/>
                <w:szCs w:val="14"/>
                <w:color w:val="auto"/>
              </w:rPr>
            </w:pPr>
          </w:p>
        </w:tc>
        <w:tc>
          <w:tcPr>
            <w:tcW w:w="3480" w:type="dxa"/>
            <w:vAlign w:val="bottom"/>
          </w:tcPr>
          <w:p>
            <w:pPr>
              <w:ind w:left="540"/>
              <w:spacing w:after="0" w:line="162" w:lineRule="exact"/>
              <w:rPr>
                <w:sz w:val="20"/>
                <w:szCs w:val="20"/>
                <w:color w:val="auto"/>
              </w:rPr>
            </w:pPr>
            <w:r>
              <w:rPr>
                <w:rFonts w:ascii="Arial" w:cs="Arial" w:eastAsia="Arial" w:hAnsi="Arial"/>
                <w:sz w:val="16"/>
                <w:szCs w:val="16"/>
                <w:color w:val="auto"/>
              </w:rPr>
              <w:t>KeyCorp;</w:t>
            </w:r>
          </w:p>
        </w:tc>
        <w:tc>
          <w:tcPr>
            <w:tcW w:w="5480" w:type="dxa"/>
            <w:vAlign w:val="bottom"/>
            <w:tcBorders>
              <w:right w:val="single" w:sz="8" w:color="F4F6F6"/>
            </w:tcBorders>
          </w:tcPr>
          <w:p>
            <w:pPr>
              <w:spacing w:after="0"/>
              <w:rPr>
                <w:sz w:val="14"/>
                <w:szCs w:val="14"/>
                <w:color w:val="auto"/>
              </w:rPr>
            </w:pPr>
          </w:p>
        </w:tc>
      </w:tr>
      <w:tr>
        <w:trPr>
          <w:trHeight w:val="162"/>
        </w:trPr>
        <w:tc>
          <w:tcPr>
            <w:tcW w:w="2300" w:type="dxa"/>
            <w:vAlign w:val="bottom"/>
            <w:tcBorders>
              <w:left w:val="single" w:sz="8" w:color="F4F6F6"/>
            </w:tcBorders>
          </w:tcPr>
          <w:p>
            <w:pPr>
              <w:spacing w:after="0"/>
              <w:rPr>
                <w:sz w:val="14"/>
                <w:szCs w:val="14"/>
                <w:color w:val="auto"/>
              </w:rPr>
            </w:pPr>
          </w:p>
        </w:tc>
        <w:tc>
          <w:tcPr>
            <w:tcW w:w="3480" w:type="dxa"/>
            <w:vAlign w:val="bottom"/>
          </w:tcPr>
          <w:p>
            <w:pPr>
              <w:ind w:left="540"/>
              <w:spacing w:after="0" w:line="162" w:lineRule="exact"/>
              <w:rPr>
                <w:sz w:val="20"/>
                <w:szCs w:val="20"/>
                <w:color w:val="auto"/>
              </w:rPr>
            </w:pPr>
            <w:r>
              <w:rPr>
                <w:rFonts w:ascii="Arial" w:cs="Arial" w:eastAsia="Arial" w:hAnsi="Arial"/>
                <w:sz w:val="16"/>
                <w:szCs w:val="16"/>
                <w:color w:val="auto"/>
              </w:rPr>
              <w:t>Skylark Co., Ltd.;</w:t>
            </w:r>
          </w:p>
        </w:tc>
        <w:tc>
          <w:tcPr>
            <w:tcW w:w="5480" w:type="dxa"/>
            <w:vAlign w:val="bottom"/>
            <w:tcBorders>
              <w:right w:val="single" w:sz="8" w:color="F4F6F6"/>
            </w:tcBorders>
          </w:tcPr>
          <w:p>
            <w:pPr>
              <w:spacing w:after="0"/>
              <w:rPr>
                <w:sz w:val="14"/>
                <w:szCs w:val="14"/>
                <w:color w:val="auto"/>
              </w:rPr>
            </w:pPr>
          </w:p>
        </w:tc>
      </w:tr>
      <w:tr>
        <w:trPr>
          <w:trHeight w:val="195"/>
        </w:trPr>
        <w:tc>
          <w:tcPr>
            <w:tcW w:w="2300" w:type="dxa"/>
            <w:vAlign w:val="bottom"/>
            <w:tcBorders>
              <w:left w:val="single" w:sz="8" w:color="F4F6F6"/>
            </w:tcBorders>
          </w:tcPr>
          <w:p>
            <w:pPr>
              <w:spacing w:after="0"/>
              <w:rPr>
                <w:sz w:val="16"/>
                <w:szCs w:val="16"/>
                <w:color w:val="auto"/>
              </w:rPr>
            </w:pPr>
          </w:p>
        </w:tc>
        <w:tc>
          <w:tcPr>
            <w:tcW w:w="3480" w:type="dxa"/>
            <w:vAlign w:val="bottom"/>
          </w:tcPr>
          <w:p>
            <w:pPr>
              <w:ind w:left="540"/>
              <w:spacing w:after="0"/>
              <w:rPr>
                <w:sz w:val="20"/>
                <w:szCs w:val="20"/>
                <w:color w:val="auto"/>
              </w:rPr>
            </w:pPr>
            <w:r>
              <w:rPr>
                <w:rFonts w:ascii="Arial" w:cs="Arial" w:eastAsia="Arial" w:hAnsi="Arial"/>
                <w:sz w:val="16"/>
                <w:szCs w:val="16"/>
                <w:color w:val="auto"/>
              </w:rPr>
              <w:t>Realogy Holdings Corp.</w:t>
            </w:r>
          </w:p>
        </w:tc>
        <w:tc>
          <w:tcPr>
            <w:tcW w:w="5480" w:type="dxa"/>
            <w:vAlign w:val="bottom"/>
            <w:tcBorders>
              <w:right w:val="single" w:sz="8" w:color="F4F6F6"/>
            </w:tcBorders>
          </w:tcPr>
          <w:p>
            <w:pPr>
              <w:spacing w:after="0"/>
              <w:rPr>
                <w:sz w:val="16"/>
                <w:szCs w:val="16"/>
                <w:color w:val="auto"/>
              </w:rPr>
            </w:pPr>
          </w:p>
        </w:tc>
      </w:tr>
      <w:tr>
        <w:trPr>
          <w:trHeight w:val="114"/>
        </w:trPr>
        <w:tc>
          <w:tcPr>
            <w:tcW w:w="2300" w:type="dxa"/>
            <w:vAlign w:val="bottom"/>
            <w:tcBorders>
              <w:left w:val="single" w:sz="8" w:color="F4F6F6"/>
            </w:tcBorders>
          </w:tcPr>
          <w:p>
            <w:pPr>
              <w:spacing w:after="0"/>
              <w:rPr>
                <w:sz w:val="9"/>
                <w:szCs w:val="9"/>
                <w:color w:val="auto"/>
              </w:rPr>
            </w:pPr>
          </w:p>
        </w:tc>
        <w:tc>
          <w:tcPr>
            <w:tcW w:w="3480" w:type="dxa"/>
            <w:vAlign w:val="bottom"/>
          </w:tcPr>
          <w:p>
            <w:pPr>
              <w:spacing w:after="0"/>
              <w:rPr>
                <w:sz w:val="9"/>
                <w:szCs w:val="9"/>
                <w:color w:val="auto"/>
              </w:rPr>
            </w:pPr>
          </w:p>
        </w:tc>
        <w:tc>
          <w:tcPr>
            <w:tcW w:w="5480" w:type="dxa"/>
            <w:vAlign w:val="bottom"/>
            <w:tcBorders>
              <w:right w:val="single" w:sz="8" w:color="F4F6F6"/>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4946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140" w:hanging="101"/>
        <w:spacing w:after="0"/>
        <w:tabs>
          <w:tab w:leader="none" w:pos="14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Operating Partner (2017 -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Skylark Co., Ltd., </w:t>
      </w:r>
      <w:r>
        <w:rPr>
          <w:rFonts w:ascii="Arial" w:cs="Arial" w:eastAsia="Arial" w:hAnsi="Arial"/>
          <w:sz w:val="16"/>
          <w:szCs w:val="16"/>
          <w:color w:val="auto"/>
        </w:rPr>
        <w:t>a leading restaurant operator in Japan</w:t>
      </w:r>
    </w:p>
    <w:p>
      <w:pPr>
        <w:spacing w:after="0" w:line="52" w:lineRule="exact"/>
        <w:rPr>
          <w:rFonts w:ascii="Arial" w:cs="Arial" w:eastAsia="Arial" w:hAnsi="Arial"/>
          <w:sz w:val="16"/>
          <w:szCs w:val="16"/>
          <w:b w:val="1"/>
          <w:bCs w:val="1"/>
          <w:color w:val="auto"/>
        </w:rPr>
      </w:pPr>
    </w:p>
    <w:p>
      <w:pPr>
        <w:ind w:left="360" w:hanging="95"/>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Chairman of the Board (2013 - 2018)</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McDonald's Corporation</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President and Chief Operating Officer (2006 - 2009)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49465" cy="985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98552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866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866140"/>
                    </a:xfrm>
                    <a:prstGeom prst="rect">
                      <a:avLst/>
                    </a:prstGeom>
                    <a:noFill/>
                  </pic:spPr>
                </pic:pic>
              </a:graphicData>
            </a:graphic>
          </wp:anchor>
        </w:drawing>
      </w:r>
    </w:p>
    <w:p>
      <w:pPr>
        <w:spacing w:after="0" w:line="46" w:lineRule="exact"/>
        <w:rPr>
          <w:sz w:val="20"/>
          <w:szCs w:val="20"/>
          <w:color w:val="auto"/>
        </w:rPr>
      </w:pPr>
    </w:p>
    <w:p>
      <w:pPr>
        <w:ind w:left="40" w:right="120"/>
        <w:spacing w:after="0" w:line="233" w:lineRule="auto"/>
        <w:rPr>
          <w:sz w:val="20"/>
          <w:szCs w:val="20"/>
          <w:color w:val="auto"/>
        </w:rPr>
      </w:pPr>
      <w:r>
        <w:rPr>
          <w:rFonts w:ascii="Arial" w:cs="Arial" w:eastAsia="Arial" w:hAnsi="Arial"/>
          <w:sz w:val="16"/>
          <w:szCs w:val="16"/>
          <w:color w:val="auto"/>
        </w:rPr>
        <w:t>Through his positions at Skylark Co., Ltd. and McDonald’s Corporation, as well as with other global restaurant businesses, Mr. Alvarez has extensive experience in consumer marketing, global operations, international business, and strategic planning. Mr. Alvarez is an audit committee financial expert based on his public company experience, including his prior audit committee service on the Lowe’s board of directors. His international experience includes a special focus on Japan and emerging markets. He also has extensive corporate governance experience through his service on other public company boards as well as several private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P18</w:t>
      </w:r>
    </w:p>
    <w:p>
      <w:pPr>
        <w:sectPr>
          <w:pgSz w:w="11900" w:h="16838" w:orient="portrait"/>
          <w:cols w:equalWidth="0" w:num="1">
            <w:col w:w="11260"/>
          </w:cols>
          <w:pgMar w:left="320" w:top="1412" w:right="3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988695</wp:posOffset>
            </wp:positionV>
            <wp:extent cx="702945" cy="702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68" w:lineRule="exact"/>
        <w:rPr>
          <w:sz w:val="20"/>
          <w:szCs w:val="20"/>
          <w:color w:val="auto"/>
        </w:rPr>
      </w:pPr>
    </w:p>
    <w:p>
      <w:pPr>
        <w:ind w:left="1680"/>
        <w:spacing w:after="0"/>
        <w:rPr>
          <w:sz w:val="20"/>
          <w:szCs w:val="20"/>
          <w:color w:val="auto"/>
        </w:rPr>
      </w:pPr>
      <w:r>
        <w:rPr>
          <w:rFonts w:ascii="Arial" w:cs="Arial" w:eastAsia="Arial" w:hAnsi="Arial"/>
          <w:sz w:val="27"/>
          <w:szCs w:val="27"/>
          <w:b w:val="1"/>
          <w:bCs w:val="1"/>
          <w:color w:val="EF3729"/>
        </w:rPr>
        <w:t>Carolyn R. Bertozzi, Ph.D.</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Age: 54, Director since 2017,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Ethics and Compliance;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063740" cy="2966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3740" cy="296608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4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8180" w:type="dxa"/>
            <w:vAlign w:val="bottom"/>
            <w:tcBorders>
              <w:bottom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MEMBERSHIPS + OTHER ORGANIZATIONS</w:t>
            </w:r>
          </w:p>
        </w:tc>
        <w:tc>
          <w:tcPr>
            <w:tcW w:w="20" w:type="dxa"/>
            <w:vAlign w:val="bottom"/>
            <w:tcBorders>
              <w:bottom w:val="single" w:sz="8" w:color="F4F6F6"/>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40"/>
              <w:spacing w:after="0"/>
              <w:rPr>
                <w:sz w:val="20"/>
                <w:szCs w:val="20"/>
                <w:color w:val="auto"/>
              </w:rPr>
            </w:pPr>
            <w:r>
              <w:rPr>
                <w:rFonts w:ascii="Arial" w:cs="Arial" w:eastAsia="Arial" w:hAnsi="Arial"/>
                <w:sz w:val="16"/>
                <w:szCs w:val="16"/>
                <w:color w:val="auto"/>
              </w:rPr>
              <w:t>Glenn Foundation;</w:t>
            </w:r>
          </w:p>
        </w:tc>
        <w:tc>
          <w:tcPr>
            <w:tcW w:w="8180" w:type="dxa"/>
            <w:vAlign w:val="bottom"/>
          </w:tcPr>
          <w:p>
            <w:pPr>
              <w:ind w:left="20"/>
              <w:spacing w:after="0"/>
              <w:rPr>
                <w:sz w:val="20"/>
                <w:szCs w:val="20"/>
                <w:color w:val="auto"/>
              </w:rPr>
            </w:pPr>
            <w:r>
              <w:rPr>
                <w:rFonts w:ascii="Arial" w:cs="Arial" w:eastAsia="Arial" w:hAnsi="Arial"/>
                <w:sz w:val="16"/>
                <w:szCs w:val="16"/>
                <w:color w:val="auto"/>
              </w:rPr>
              <w:t>National Institute of Medicine; National Academy of Sciences; Foreign Member of the Royal Society; American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40" w:type="dxa"/>
            <w:vAlign w:val="bottom"/>
          </w:tcPr>
          <w:p>
            <w:pPr>
              <w:ind w:left="40"/>
              <w:spacing w:after="0"/>
              <w:rPr>
                <w:sz w:val="20"/>
                <w:szCs w:val="20"/>
                <w:color w:val="auto"/>
              </w:rPr>
            </w:pPr>
            <w:r>
              <w:rPr>
                <w:rFonts w:ascii="Arial" w:cs="Arial" w:eastAsia="Arial" w:hAnsi="Arial"/>
                <w:sz w:val="16"/>
                <w:szCs w:val="16"/>
                <w:color w:val="auto"/>
              </w:rPr>
              <w:t>Grace Science Foundation</w:t>
            </w:r>
          </w:p>
        </w:tc>
        <w:tc>
          <w:tcPr>
            <w:tcW w:w="8180" w:type="dxa"/>
            <w:vAlign w:val="bottom"/>
          </w:tcPr>
          <w:p>
            <w:pPr>
              <w:ind w:left="20"/>
              <w:spacing w:after="0"/>
              <w:rPr>
                <w:sz w:val="20"/>
                <w:szCs w:val="20"/>
                <w:color w:val="auto"/>
              </w:rPr>
            </w:pPr>
            <w:r>
              <w:rPr>
                <w:rFonts w:ascii="Arial" w:cs="Arial" w:eastAsia="Arial" w:hAnsi="Arial"/>
                <w:sz w:val="16"/>
                <w:szCs w:val="16"/>
                <w:color w:val="auto"/>
              </w:rPr>
              <w:t>Academy of Arts and Sciences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40" w:type="dxa"/>
            <w:vAlign w:val="bottom"/>
            <w:tcBorders>
              <w:bottom w:val="single" w:sz="8" w:color="F4F6F6"/>
            </w:tcBorders>
            <w:vMerge w:val="restart"/>
            <w:shd w:val="clear" w:color="auto" w:fill="F4F6F6"/>
          </w:tcPr>
          <w:p>
            <w:pPr>
              <w:ind w:left="40"/>
              <w:spacing w:after="0"/>
              <w:rPr>
                <w:sz w:val="20"/>
                <w:szCs w:val="20"/>
                <w:color w:val="auto"/>
              </w:rPr>
            </w:pPr>
            <w:r>
              <w:rPr>
                <w:rFonts w:ascii="Arial" w:cs="Arial" w:eastAsia="Arial" w:hAnsi="Arial"/>
                <w:sz w:val="16"/>
                <w:szCs w:val="16"/>
                <w:b w:val="1"/>
                <w:bCs w:val="1"/>
                <w:color w:val="00ABE8"/>
              </w:rPr>
              <w:t>HONORS</w:t>
            </w:r>
          </w:p>
        </w:tc>
        <w:tc>
          <w:tcPr>
            <w:tcW w:w="8180" w:type="dxa"/>
            <w:vAlign w:val="bottom"/>
            <w:tcBorders>
              <w:bottom w:val="single" w:sz="8" w:color="F4F6F6"/>
            </w:tcBorders>
          </w:tcPr>
          <w:p>
            <w:pPr>
              <w:spacing w:after="0"/>
              <w:rPr>
                <w:sz w:val="2"/>
                <w:szCs w:val="2"/>
                <w:color w:val="auto"/>
              </w:rPr>
            </w:pPr>
          </w:p>
        </w:tc>
        <w:tc>
          <w:tcPr>
            <w:tcW w:w="20" w:type="dxa"/>
            <w:vAlign w:val="bottom"/>
            <w:tcBorders>
              <w:bottom w:val="single" w:sz="8" w:color="F4F6F6"/>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940" w:type="dxa"/>
            <w:vAlign w:val="bottom"/>
            <w:vMerge w:val="continue"/>
            <w:shd w:val="clear" w:color="auto" w:fill="F4F6F6"/>
          </w:tcPr>
          <w:p>
            <w:pPr>
              <w:spacing w:after="0"/>
              <w:rPr>
                <w:sz w:val="19"/>
                <w:szCs w:val="19"/>
                <w:color w:val="auto"/>
              </w:rPr>
            </w:pPr>
          </w:p>
        </w:tc>
        <w:tc>
          <w:tcPr>
            <w:tcW w:w="8180" w:type="dxa"/>
            <w:vAlign w:val="bottom"/>
            <w:shd w:val="clear" w:color="auto" w:fill="F4F6F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940" w:type="dxa"/>
            <w:vAlign w:val="bottom"/>
            <w:shd w:val="clear" w:color="auto" w:fill="F4F6F6"/>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40" w:right="180"/>
        <w:spacing w:after="0" w:line="242" w:lineRule="auto"/>
        <w:rPr>
          <w:sz w:val="20"/>
          <w:szCs w:val="20"/>
          <w:color w:val="auto"/>
        </w:rPr>
      </w:pPr>
      <w:r>
        <w:rPr>
          <w:rFonts w:ascii="Arial" w:cs="Arial" w:eastAsia="Arial" w:hAnsi="Arial"/>
          <w:sz w:val="16"/>
          <w:szCs w:val="16"/>
          <w:color w:val="auto"/>
        </w:rPr>
        <w:t>Solvay Prize for the Future of Chemistry; MacArthur Foundation Fellowship; Lemelson MIT Prize; Heinrich Wieland Prize; National Academy of Sciences Award in the Chemical Sciences; UC Berkeley Distinguished Teaching Award; Donald Sterling Noyce Prize for Excellence in Undergraduate Teaching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59" w:lineRule="exact"/>
        <w:rPr>
          <w:sz w:val="20"/>
          <w:szCs w:val="20"/>
          <w:color w:val="auto"/>
        </w:rPr>
      </w:pPr>
    </w:p>
    <w:p>
      <w:pPr>
        <w:ind w:left="140" w:hanging="101"/>
        <w:spacing w:after="0"/>
        <w:tabs>
          <w:tab w:leader="none" w:pos="1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Stanford University</w:t>
      </w:r>
    </w:p>
    <w:p>
      <w:pPr>
        <w:spacing w:after="0" w:line="52" w:lineRule="exact"/>
        <w:rPr>
          <w:rFonts w:ascii="Arial" w:cs="Arial" w:eastAsia="Arial" w:hAnsi="Arial"/>
          <w:sz w:val="16"/>
          <w:szCs w:val="16"/>
          <w:b w:val="1"/>
          <w:bCs w:val="1"/>
          <w:color w:val="auto"/>
        </w:rPr>
      </w:pPr>
    </w:p>
    <w:p>
      <w:pPr>
        <w:ind w:left="400" w:right="3460" w:hanging="91"/>
        <w:spacing w:after="0" w:line="281" w:lineRule="auto"/>
        <w:tabs>
          <w:tab w:leader="none" w:pos="409" w:val="left"/>
        </w:tabs>
        <w:numPr>
          <w:ilvl w:val="2"/>
          <w:numId w:val="27"/>
        </w:numPr>
        <w:rPr>
          <w:rFonts w:ascii="Arial" w:cs="Arial" w:eastAsia="Arial" w:hAnsi="Arial"/>
          <w:sz w:val="16"/>
          <w:szCs w:val="16"/>
          <w:color w:val="auto"/>
        </w:rPr>
      </w:pPr>
      <w:r>
        <w:rPr>
          <w:rFonts w:ascii="Arial" w:cs="Arial" w:eastAsia="Arial" w:hAnsi="Arial"/>
          <w:sz w:val="16"/>
          <w:szCs w:val="16"/>
          <w:color w:val="auto"/>
        </w:rPr>
        <w:t>Anne T. and Robert M. Bass Professor of Chemistry, Professor of Chemical and Systems Biology and Radiology by courtesy (2015 - present)</w:t>
      </w:r>
    </w:p>
    <w:p>
      <w:pPr>
        <w:spacing w:after="0" w:line="1" w:lineRule="exact"/>
        <w:rPr>
          <w:rFonts w:ascii="Arial" w:cs="Arial" w:eastAsia="Arial" w:hAnsi="Arial"/>
          <w:sz w:val="16"/>
          <w:szCs w:val="16"/>
          <w:color w:val="auto"/>
        </w:rPr>
      </w:pPr>
    </w:p>
    <w:p>
      <w:pPr>
        <w:ind w:left="360" w:hanging="95"/>
        <w:spacing w:after="0"/>
        <w:tabs>
          <w:tab w:leader="none" w:pos="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Baker Family Co-Director of Stanford ChEM-H (2017 -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Howard Hughes Medical Institute</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Investigator (2000 -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University of California, Berkeley</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T.Z. and Irmgard Chu Professor of Chemistry and Professor of Molecular and Cell Biology (1996 - 2015)</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79" w:lineRule="exact"/>
        <w:rPr>
          <w:sz w:val="20"/>
          <w:szCs w:val="20"/>
          <w:color w:val="auto"/>
        </w:rPr>
      </w:pPr>
    </w:p>
    <w:p>
      <w:pPr>
        <w:ind w:left="40" w:right="260"/>
        <w:spacing w:after="0" w:line="235" w:lineRule="auto"/>
        <w:rPr>
          <w:sz w:val="20"/>
          <w:szCs w:val="20"/>
          <w:color w:val="auto"/>
        </w:rPr>
      </w:pPr>
      <w:r>
        <w:rPr>
          <w:rFonts w:ascii="Arial" w:cs="Arial" w:eastAsia="Arial" w:hAnsi="Arial"/>
          <w:sz w:val="16"/>
          <w:szCs w:val="16"/>
          <w:color w:val="auto"/>
        </w:rPr>
        <w:t>Dr. Bertozzi is a prominent researcher and academician. She has extensive experience at Stanford University and the University of Berkeley, California, two major research institutions. Her deep expertise spans the disciplines of chemistry and biology, with an emphasis on studies of cell surface glycosylation associated with cancer, inflammation, and bacterial infection, and exploiting this knowledge for development of diagnostic and therapeutic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P19</w:t>
      </w:r>
    </w:p>
    <w:p>
      <w:pPr>
        <w:sectPr>
          <w:pgSz w:w="11900" w:h="16838" w:orient="portrait"/>
          <w:cols w:equalWidth="0" w:num="1">
            <w:col w:w="11140"/>
          </w:cols>
          <w:pgMar w:left="320" w:top="1440" w:right="4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988695</wp:posOffset>
            </wp:positionV>
            <wp:extent cx="702945" cy="702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68" w:lineRule="exact"/>
        <w:rPr>
          <w:sz w:val="20"/>
          <w:szCs w:val="20"/>
          <w:color w:val="auto"/>
        </w:rPr>
      </w:pPr>
    </w:p>
    <w:p>
      <w:pPr>
        <w:ind w:left="1660"/>
        <w:spacing w:after="0"/>
        <w:rPr>
          <w:sz w:val="20"/>
          <w:szCs w:val="20"/>
          <w:color w:val="auto"/>
        </w:rPr>
      </w:pPr>
      <w:r>
        <w:rPr>
          <w:rFonts w:ascii="Arial" w:cs="Arial" w:eastAsia="Arial" w:hAnsi="Arial"/>
          <w:sz w:val="27"/>
          <w:szCs w:val="27"/>
          <w:b w:val="1"/>
          <w:bCs w:val="1"/>
          <w:color w:val="EF3729"/>
        </w:rPr>
        <w:t>Kimberly H. Johnson</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Age: 48, Director since 2021,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ABE8"/>
        </w:rPr>
        <w:t>NON-PROFIT BOARDS + OTHER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40575" cy="419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41973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Princeton University, Trustee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Our Strength, Director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Planet Word,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10795</wp:posOffset>
            </wp:positionV>
            <wp:extent cx="7149465" cy="1268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26873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BE8"/>
        </w:rPr>
        <w:t>CAREER HIGHLIGHTS</w:t>
      </w:r>
    </w:p>
    <w:p>
      <w:pPr>
        <w:spacing w:after="0" w:line="59" w:lineRule="exact"/>
        <w:rPr>
          <w:sz w:val="20"/>
          <w:szCs w:val="20"/>
          <w:color w:val="auto"/>
        </w:rPr>
      </w:pPr>
    </w:p>
    <w:p>
      <w:pPr>
        <w:ind w:left="120" w:hanging="101"/>
        <w:spacing w:after="0"/>
        <w:tabs>
          <w:tab w:leader="none" w:pos="12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Federal National Mortgage Association (Fannie Mae), </w:t>
      </w:r>
      <w:r>
        <w:rPr>
          <w:rFonts w:ascii="Arial" w:cs="Arial" w:eastAsia="Arial" w:hAnsi="Arial"/>
          <w:sz w:val="16"/>
          <w:szCs w:val="16"/>
          <w:color w:val="auto"/>
        </w:rPr>
        <w:t>provider of affordable mortgage financing in the United States</w:t>
      </w:r>
    </w:p>
    <w:p>
      <w:pPr>
        <w:spacing w:after="0" w:line="65" w:lineRule="exact"/>
        <w:rPr>
          <w:rFonts w:ascii="Arial" w:cs="Arial" w:eastAsia="Arial" w:hAnsi="Arial"/>
          <w:sz w:val="16"/>
          <w:szCs w:val="16"/>
          <w:color w:val="auto"/>
        </w:rPr>
      </w:pPr>
    </w:p>
    <w:p>
      <w:pPr>
        <w:ind w:left="340" w:hanging="95"/>
        <w:spacing w:after="0"/>
        <w:tabs>
          <w:tab w:leader="none" w:pos="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Executive Vice President and Chief Operating Officer (2018-present)</w:t>
      </w:r>
    </w:p>
    <w:p>
      <w:pPr>
        <w:spacing w:after="0" w:line="32" w:lineRule="exact"/>
        <w:rPr>
          <w:rFonts w:ascii="Arial" w:cs="Arial" w:eastAsia="Arial" w:hAnsi="Arial"/>
          <w:sz w:val="16"/>
          <w:szCs w:val="16"/>
          <w:color w:val="auto"/>
        </w:rPr>
      </w:pPr>
    </w:p>
    <w:p>
      <w:pPr>
        <w:ind w:left="340" w:hanging="95"/>
        <w:spacing w:after="0"/>
        <w:tabs>
          <w:tab w:leader="none" w:pos="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Executive Vice President and Chief Risk Officer (2017-2018)</w:t>
      </w:r>
    </w:p>
    <w:p>
      <w:pPr>
        <w:spacing w:after="0" w:line="32" w:lineRule="exact"/>
        <w:rPr>
          <w:rFonts w:ascii="Arial" w:cs="Arial" w:eastAsia="Arial" w:hAnsi="Arial"/>
          <w:sz w:val="16"/>
          <w:szCs w:val="16"/>
          <w:color w:val="auto"/>
        </w:rPr>
      </w:pPr>
    </w:p>
    <w:p>
      <w:pPr>
        <w:ind w:left="340" w:hanging="95"/>
        <w:spacing w:after="0"/>
        <w:tabs>
          <w:tab w:leader="none" w:pos="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Senior Vice President and Chief Risk Officer (2015-2017)</w:t>
      </w:r>
    </w:p>
    <w:p>
      <w:pPr>
        <w:spacing w:after="0" w:line="32" w:lineRule="exact"/>
        <w:rPr>
          <w:rFonts w:ascii="Arial" w:cs="Arial" w:eastAsia="Arial" w:hAnsi="Arial"/>
          <w:sz w:val="16"/>
          <w:szCs w:val="16"/>
          <w:color w:val="auto"/>
        </w:rPr>
      </w:pPr>
    </w:p>
    <w:p>
      <w:pPr>
        <w:ind w:left="340" w:hanging="95"/>
        <w:spacing w:after="0"/>
        <w:tabs>
          <w:tab w:leader="none" w:pos="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Senior Vice President and Deputy Chief Risk Officer (2013-2015)</w:t>
      </w:r>
    </w:p>
    <w:p>
      <w:pPr>
        <w:spacing w:after="0" w:line="12" w:lineRule="exact"/>
        <w:rPr>
          <w:rFonts w:ascii="Arial" w:cs="Arial" w:eastAsia="Arial" w:hAnsi="Arial"/>
          <w:sz w:val="16"/>
          <w:szCs w:val="16"/>
          <w:color w:val="auto"/>
        </w:rPr>
      </w:pPr>
    </w:p>
    <w:p>
      <w:pPr>
        <w:ind w:left="120" w:hanging="101"/>
        <w:spacing w:after="0"/>
        <w:tabs>
          <w:tab w:leader="none" w:pos="12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Credit Suisse AG, </w:t>
      </w:r>
      <w:r>
        <w:rPr>
          <w:rFonts w:ascii="Arial" w:cs="Arial" w:eastAsia="Arial" w:hAnsi="Arial"/>
          <w:sz w:val="16"/>
          <w:szCs w:val="16"/>
          <w:color w:val="auto"/>
        </w:rPr>
        <w:t>a global wealth manager, investment bank, and financial services firm founded and based in Switzerland</w:t>
      </w:r>
    </w:p>
    <w:p>
      <w:pPr>
        <w:spacing w:after="0" w:line="52" w:lineRule="exact"/>
        <w:rPr>
          <w:rFonts w:ascii="Arial" w:cs="Arial" w:eastAsia="Arial" w:hAnsi="Arial"/>
          <w:sz w:val="16"/>
          <w:szCs w:val="16"/>
          <w:color w:val="auto"/>
        </w:rPr>
      </w:pPr>
    </w:p>
    <w:p>
      <w:pPr>
        <w:ind w:left="340" w:hanging="95"/>
        <w:spacing w:after="0"/>
        <w:tabs>
          <w:tab w:leader="none" w:pos="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Director, Interest Rate Derivative Products (2005-2006)</w:t>
      </w:r>
    </w:p>
    <w:p>
      <w:pPr>
        <w:spacing w:after="0" w:line="32" w:lineRule="exact"/>
        <w:rPr>
          <w:rFonts w:ascii="Arial" w:cs="Arial" w:eastAsia="Arial" w:hAnsi="Arial"/>
          <w:sz w:val="16"/>
          <w:szCs w:val="16"/>
          <w:color w:val="auto"/>
        </w:rPr>
      </w:pPr>
    </w:p>
    <w:p>
      <w:pPr>
        <w:ind w:left="340" w:hanging="95"/>
        <w:spacing w:after="0"/>
        <w:tabs>
          <w:tab w:leader="none" w:pos="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Vice President (2002-2004)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10795</wp:posOffset>
            </wp:positionV>
            <wp:extent cx="714946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430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7149465" cy="420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20370"/>
                    </a:xfrm>
                    <a:prstGeom prst="rect">
                      <a:avLst/>
                    </a:prstGeom>
                    <a:noFill/>
                  </pic:spPr>
                </pic:pic>
              </a:graphicData>
            </a:graphic>
          </wp:anchor>
        </w:drawing>
      </w:r>
    </w:p>
    <w:p>
      <w:pPr>
        <w:spacing w:after="0" w:line="46" w:lineRule="exact"/>
        <w:rPr>
          <w:sz w:val="20"/>
          <w:szCs w:val="20"/>
          <w:color w:val="auto"/>
        </w:rPr>
      </w:pPr>
    </w:p>
    <w:p>
      <w:pPr>
        <w:ind w:left="20"/>
        <w:spacing w:after="0" w:line="242" w:lineRule="auto"/>
        <w:rPr>
          <w:sz w:val="20"/>
          <w:szCs w:val="20"/>
          <w:color w:val="auto"/>
        </w:rPr>
      </w:pPr>
      <w:r>
        <w:rPr>
          <w:rFonts w:ascii="Arial" w:cs="Arial" w:eastAsia="Arial" w:hAnsi="Arial"/>
          <w:sz w:val="16"/>
          <w:szCs w:val="16"/>
          <w:color w:val="auto"/>
        </w:rPr>
        <w:t>Through her roles at Fannie Mae, where she also serves on the management committee, Ms. Johnson brings to the board significant financial expertise and a strong background in technology, governance and strategy for global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252095</wp:posOffset>
            </wp:positionV>
            <wp:extent cx="702945" cy="702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60"/>
        <w:spacing w:after="0"/>
        <w:rPr>
          <w:sz w:val="20"/>
          <w:szCs w:val="20"/>
          <w:color w:val="auto"/>
        </w:rPr>
      </w:pPr>
      <w:r>
        <w:rPr>
          <w:rFonts w:ascii="Arial" w:cs="Arial" w:eastAsia="Arial" w:hAnsi="Arial"/>
          <w:sz w:val="27"/>
          <w:szCs w:val="27"/>
          <w:b w:val="1"/>
          <w:bCs w:val="1"/>
          <w:color w:val="EF3729"/>
        </w:rPr>
        <w:t>Juan R. Luciano</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Age: 59, Director since 2016, Lead Independent Director since 2019.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Directors and Corporate Governance</w:t>
      </w:r>
    </w:p>
    <w:p>
      <w:pPr>
        <w:spacing w:after="0" w:line="149" w:lineRule="exact"/>
        <w:rPr>
          <w:sz w:val="20"/>
          <w:szCs w:val="20"/>
          <w:color w:val="auto"/>
        </w:rPr>
      </w:pPr>
    </w:p>
    <w:tbl>
      <w:tblPr>
        <w:tblLayout w:type="fixed"/>
        <w:tblInd w:w="110" w:type="dxa"/>
        <w:tblCellMar>
          <w:top w:w="0" w:type="dxa"/>
          <w:left w:w="0" w:type="dxa"/>
          <w:bottom w:w="0" w:type="dxa"/>
          <w:right w:w="0" w:type="dxa"/>
        </w:tblCellMar>
      </w:tblPr>
      <w:tr>
        <w:trPr>
          <w:trHeight w:val="263"/>
        </w:trPr>
        <w:tc>
          <w:tcPr>
            <w:tcW w:w="2940" w:type="dxa"/>
            <w:vAlign w:val="bottom"/>
            <w:tcBorders>
              <w:left w:val="single" w:sz="8" w:color="F4F6F6"/>
              <w:bottom w:val="single" w:sz="8" w:color="F4F6F6"/>
            </w:tcBorders>
            <w:shd w:val="clear" w:color="auto" w:fill="F4F6F6"/>
          </w:tcPr>
          <w:p>
            <w:pPr>
              <w:ind w:left="60"/>
              <w:spacing w:after="0"/>
              <w:rPr>
                <w:sz w:val="20"/>
                <w:szCs w:val="20"/>
                <w:color w:val="auto"/>
              </w:rPr>
            </w:pPr>
            <w:r>
              <w:rPr>
                <w:rFonts w:ascii="Arial" w:cs="Arial" w:eastAsia="Arial" w:hAnsi="Arial"/>
                <w:sz w:val="16"/>
                <w:szCs w:val="16"/>
                <w:b w:val="1"/>
                <w:bCs w:val="1"/>
                <w:color w:val="00ABE8"/>
              </w:rPr>
              <w:t>PUBLIC BOARDS</w:t>
            </w:r>
          </w:p>
        </w:tc>
        <w:tc>
          <w:tcPr>
            <w:tcW w:w="3320" w:type="dxa"/>
            <w:vAlign w:val="bottom"/>
            <w:tcBorders>
              <w:bottom w:val="single" w:sz="8" w:color="F4F6F6"/>
            </w:tcBorders>
            <w:shd w:val="clear" w:color="auto" w:fill="F4F6F6"/>
          </w:tcPr>
          <w:p>
            <w:pPr>
              <w:ind w:left="400"/>
              <w:spacing w:after="0"/>
              <w:rPr>
                <w:sz w:val="20"/>
                <w:szCs w:val="20"/>
                <w:color w:val="auto"/>
              </w:rPr>
            </w:pPr>
            <w:r>
              <w:rPr>
                <w:rFonts w:ascii="Arial" w:cs="Arial" w:eastAsia="Arial" w:hAnsi="Arial"/>
                <w:sz w:val="16"/>
                <w:szCs w:val="16"/>
                <w:b w:val="1"/>
                <w:bCs w:val="1"/>
                <w:color w:val="00ABE8"/>
              </w:rPr>
              <w:t>NON-PROFIT BOARDS</w:t>
            </w:r>
          </w:p>
        </w:tc>
        <w:tc>
          <w:tcPr>
            <w:tcW w:w="4740" w:type="dxa"/>
            <w:vAlign w:val="bottom"/>
            <w:tcBorders>
              <w:bottom w:val="single" w:sz="8" w:color="F4F6F6"/>
              <w:right w:val="single" w:sz="8" w:color="F4F6F6"/>
            </w:tcBorders>
            <w:shd w:val="clear" w:color="auto" w:fill="F4F6F6"/>
          </w:tcPr>
          <w:p>
            <w:pPr>
              <w:ind w:left="64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191"/>
        </w:trPr>
        <w:tc>
          <w:tcPr>
            <w:tcW w:w="2940" w:type="dxa"/>
            <w:vAlign w:val="bottom"/>
            <w:tcBorders>
              <w:left w:val="single" w:sz="8" w:color="F4F6F6"/>
            </w:tcBorders>
          </w:tcPr>
          <w:p>
            <w:pPr>
              <w:ind w:left="60"/>
              <w:spacing w:after="0"/>
              <w:rPr>
                <w:sz w:val="20"/>
                <w:szCs w:val="20"/>
                <w:color w:val="auto"/>
              </w:rPr>
            </w:pPr>
            <w:r>
              <w:rPr>
                <w:rFonts w:ascii="Arial" w:cs="Arial" w:eastAsia="Arial" w:hAnsi="Arial"/>
                <w:sz w:val="16"/>
                <w:szCs w:val="16"/>
                <w:color w:val="auto"/>
              </w:rPr>
              <w:t>Archer-Daniels-Midland Company;</w:t>
            </w:r>
          </w:p>
        </w:tc>
        <w:tc>
          <w:tcPr>
            <w:tcW w:w="3320" w:type="dxa"/>
            <w:vAlign w:val="bottom"/>
          </w:tcPr>
          <w:p>
            <w:pPr>
              <w:ind w:left="400"/>
              <w:spacing w:after="0"/>
              <w:rPr>
                <w:sz w:val="20"/>
                <w:szCs w:val="20"/>
                <w:color w:val="auto"/>
              </w:rPr>
            </w:pPr>
            <w:r>
              <w:rPr>
                <w:rFonts w:ascii="Arial" w:cs="Arial" w:eastAsia="Arial" w:hAnsi="Arial"/>
                <w:sz w:val="16"/>
                <w:szCs w:val="16"/>
                <w:color w:val="auto"/>
              </w:rPr>
              <w:t>Intersect Illinois;</w:t>
            </w:r>
          </w:p>
        </w:tc>
        <w:tc>
          <w:tcPr>
            <w:tcW w:w="4740" w:type="dxa"/>
            <w:vAlign w:val="bottom"/>
            <w:tcBorders>
              <w:right w:val="single" w:sz="8" w:color="F4F6F6"/>
            </w:tcBorders>
          </w:tcPr>
          <w:p>
            <w:pPr>
              <w:ind w:left="640"/>
              <w:spacing w:after="0"/>
              <w:rPr>
                <w:sz w:val="20"/>
                <w:szCs w:val="20"/>
                <w:color w:val="auto"/>
              </w:rPr>
            </w:pPr>
            <w:r>
              <w:rPr>
                <w:rFonts w:ascii="Arial" w:cs="Arial" w:eastAsia="Arial" w:hAnsi="Arial"/>
                <w:sz w:val="16"/>
                <w:szCs w:val="16"/>
                <w:color w:val="auto"/>
              </w:rPr>
              <w:t>Economic Club of Chicago;</w:t>
            </w:r>
          </w:p>
        </w:tc>
      </w:tr>
      <w:tr>
        <w:trPr>
          <w:trHeight w:val="175"/>
        </w:trPr>
        <w:tc>
          <w:tcPr>
            <w:tcW w:w="2940" w:type="dxa"/>
            <w:vAlign w:val="bottom"/>
            <w:tcBorders>
              <w:left w:val="single" w:sz="8" w:color="F4F6F6"/>
            </w:tcBorders>
          </w:tcPr>
          <w:p>
            <w:pPr>
              <w:ind w:left="60"/>
              <w:spacing w:after="0" w:line="175" w:lineRule="exact"/>
              <w:rPr>
                <w:sz w:val="20"/>
                <w:szCs w:val="20"/>
                <w:color w:val="auto"/>
              </w:rPr>
            </w:pPr>
            <w:r>
              <w:rPr>
                <w:rFonts w:ascii="Arial" w:cs="Arial" w:eastAsia="Arial" w:hAnsi="Arial"/>
                <w:sz w:val="16"/>
                <w:szCs w:val="16"/>
                <w:color w:val="auto"/>
              </w:rPr>
              <w:t>Wilmar International</w:t>
            </w:r>
          </w:p>
        </w:tc>
        <w:tc>
          <w:tcPr>
            <w:tcW w:w="3320" w:type="dxa"/>
            <w:vAlign w:val="bottom"/>
          </w:tcPr>
          <w:p>
            <w:pPr>
              <w:ind w:left="400"/>
              <w:spacing w:after="0" w:line="175" w:lineRule="exact"/>
              <w:rPr>
                <w:sz w:val="20"/>
                <w:szCs w:val="20"/>
                <w:color w:val="auto"/>
              </w:rPr>
            </w:pPr>
            <w:r>
              <w:rPr>
                <w:rFonts w:ascii="Arial" w:cs="Arial" w:eastAsia="Arial" w:hAnsi="Arial"/>
                <w:sz w:val="16"/>
                <w:szCs w:val="16"/>
                <w:color w:val="auto"/>
              </w:rPr>
              <w:t>Kellogg School of Management,</w:t>
            </w:r>
          </w:p>
        </w:tc>
        <w:tc>
          <w:tcPr>
            <w:tcW w:w="4740" w:type="dxa"/>
            <w:vAlign w:val="bottom"/>
            <w:tcBorders>
              <w:right w:val="single" w:sz="8" w:color="F4F6F6"/>
            </w:tcBorders>
          </w:tcPr>
          <w:p>
            <w:pPr>
              <w:ind w:left="640"/>
              <w:spacing w:after="0" w:line="175" w:lineRule="exact"/>
              <w:rPr>
                <w:sz w:val="20"/>
                <w:szCs w:val="20"/>
                <w:color w:val="auto"/>
              </w:rPr>
            </w:pPr>
            <w:r>
              <w:rPr>
                <w:rFonts w:ascii="Arial" w:cs="Arial" w:eastAsia="Arial" w:hAnsi="Arial"/>
                <w:sz w:val="16"/>
                <w:szCs w:val="16"/>
                <w:color w:val="auto"/>
              </w:rPr>
              <w:t>Commercial Club of Chicago;</w:t>
            </w:r>
          </w:p>
        </w:tc>
      </w:tr>
      <w:tr>
        <w:trPr>
          <w:trHeight w:val="195"/>
        </w:trPr>
        <w:tc>
          <w:tcPr>
            <w:tcW w:w="2940" w:type="dxa"/>
            <w:vAlign w:val="bottom"/>
            <w:tcBorders>
              <w:left w:val="single" w:sz="8" w:color="F4F6F6"/>
            </w:tcBorders>
          </w:tcPr>
          <w:p>
            <w:pPr>
              <w:ind w:left="60"/>
              <w:spacing w:after="0"/>
              <w:rPr>
                <w:sz w:val="20"/>
                <w:szCs w:val="20"/>
                <w:color w:val="auto"/>
              </w:rPr>
            </w:pPr>
            <w:r>
              <w:rPr>
                <w:rFonts w:ascii="Arial" w:cs="Arial" w:eastAsia="Arial" w:hAnsi="Arial"/>
                <w:sz w:val="16"/>
                <w:szCs w:val="16"/>
                <w:color w:val="auto"/>
              </w:rPr>
              <w:t>(alternate director)</w:t>
            </w:r>
          </w:p>
        </w:tc>
        <w:tc>
          <w:tcPr>
            <w:tcW w:w="3320" w:type="dxa"/>
            <w:vAlign w:val="bottom"/>
          </w:tcPr>
          <w:p>
            <w:pPr>
              <w:ind w:left="400"/>
              <w:spacing w:after="0"/>
              <w:rPr>
                <w:sz w:val="20"/>
                <w:szCs w:val="20"/>
                <w:color w:val="auto"/>
              </w:rPr>
            </w:pPr>
            <w:r>
              <w:rPr>
                <w:rFonts w:ascii="Arial" w:cs="Arial" w:eastAsia="Arial" w:hAnsi="Arial"/>
                <w:sz w:val="16"/>
                <w:szCs w:val="16"/>
                <w:color w:val="auto"/>
              </w:rPr>
              <w:t>Northwestern University</w:t>
            </w:r>
          </w:p>
        </w:tc>
        <w:tc>
          <w:tcPr>
            <w:tcW w:w="4740" w:type="dxa"/>
            <w:vAlign w:val="bottom"/>
            <w:tcBorders>
              <w:right w:val="single" w:sz="8" w:color="F4F6F6"/>
            </w:tcBorders>
          </w:tcPr>
          <w:p>
            <w:pPr>
              <w:ind w:left="640"/>
              <w:spacing w:after="0"/>
              <w:rPr>
                <w:sz w:val="20"/>
                <w:szCs w:val="20"/>
                <w:color w:val="auto"/>
              </w:rPr>
            </w:pPr>
            <w:r>
              <w:rPr>
                <w:rFonts w:ascii="Arial" w:cs="Arial" w:eastAsia="Arial" w:hAnsi="Arial"/>
                <w:sz w:val="16"/>
                <w:szCs w:val="16"/>
                <w:color w:val="auto"/>
              </w:rPr>
              <w:t>The Business Roundtable</w:t>
            </w:r>
          </w:p>
        </w:tc>
      </w:tr>
      <w:tr>
        <w:trPr>
          <w:trHeight w:val="235"/>
        </w:trPr>
        <w:tc>
          <w:tcPr>
            <w:tcW w:w="2940" w:type="dxa"/>
            <w:vAlign w:val="bottom"/>
            <w:tcBorders>
              <w:left w:val="single" w:sz="8" w:color="F4F6F6"/>
            </w:tcBorders>
          </w:tcPr>
          <w:p>
            <w:pPr>
              <w:spacing w:after="0"/>
              <w:rPr>
                <w:sz w:val="20"/>
                <w:szCs w:val="20"/>
                <w:color w:val="auto"/>
              </w:rPr>
            </w:pPr>
          </w:p>
        </w:tc>
        <w:tc>
          <w:tcPr>
            <w:tcW w:w="3320" w:type="dxa"/>
            <w:vAlign w:val="bottom"/>
          </w:tcPr>
          <w:p>
            <w:pPr>
              <w:spacing w:after="0"/>
              <w:rPr>
                <w:sz w:val="20"/>
                <w:szCs w:val="20"/>
                <w:color w:val="auto"/>
              </w:rPr>
            </w:pPr>
          </w:p>
        </w:tc>
        <w:tc>
          <w:tcPr>
            <w:tcW w:w="4740" w:type="dxa"/>
            <w:vAlign w:val="bottom"/>
            <w:tcBorders>
              <w:right w:val="single" w:sz="8" w:color="F4F6F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0</wp:posOffset>
            </wp:positionV>
            <wp:extent cx="697801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78015" cy="1543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260" w:hanging="106"/>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Archer-Daniels-Midland Company, </w:t>
      </w:r>
      <w:r>
        <w:rPr>
          <w:rFonts w:ascii="Arial" w:cs="Arial" w:eastAsia="Arial" w:hAnsi="Arial"/>
          <w:sz w:val="16"/>
          <w:szCs w:val="16"/>
          <w:color w:val="auto"/>
        </w:rPr>
        <w:t>a global food-processing and commodities-trading company</w:t>
      </w:r>
    </w:p>
    <w:p>
      <w:pPr>
        <w:spacing w:after="0" w:line="52" w:lineRule="exact"/>
        <w:rPr>
          <w:rFonts w:ascii="Arial" w:cs="Arial" w:eastAsia="Arial" w:hAnsi="Arial"/>
          <w:sz w:val="16"/>
          <w:szCs w:val="16"/>
          <w:color w:val="auto"/>
        </w:rPr>
      </w:pPr>
    </w:p>
    <w:p>
      <w:pPr>
        <w:ind w:left="480" w:hanging="100"/>
        <w:spacing w:after="0"/>
        <w:tabs>
          <w:tab w:leader="none" w:pos="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Chairman (2016 - present)</w:t>
      </w:r>
    </w:p>
    <w:p>
      <w:pPr>
        <w:spacing w:after="0" w:line="32" w:lineRule="exact"/>
        <w:rPr>
          <w:rFonts w:ascii="Arial" w:cs="Arial" w:eastAsia="Arial" w:hAnsi="Arial"/>
          <w:sz w:val="16"/>
          <w:szCs w:val="16"/>
          <w:color w:val="auto"/>
        </w:rPr>
      </w:pPr>
    </w:p>
    <w:p>
      <w:pPr>
        <w:ind w:left="480" w:hanging="100"/>
        <w:spacing w:after="0"/>
        <w:tabs>
          <w:tab w:leader="none" w:pos="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Chief Executive Officer and President (2015 - present)</w:t>
      </w:r>
    </w:p>
    <w:p>
      <w:pPr>
        <w:spacing w:after="0" w:line="32" w:lineRule="exact"/>
        <w:rPr>
          <w:rFonts w:ascii="Arial" w:cs="Arial" w:eastAsia="Arial" w:hAnsi="Arial"/>
          <w:sz w:val="16"/>
          <w:szCs w:val="16"/>
          <w:color w:val="auto"/>
        </w:rPr>
      </w:pPr>
    </w:p>
    <w:p>
      <w:pPr>
        <w:ind w:left="480" w:hanging="100"/>
        <w:spacing w:after="0"/>
        <w:tabs>
          <w:tab w:leader="none" w:pos="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President (2014 - 2015)</w:t>
      </w:r>
    </w:p>
    <w:p>
      <w:pPr>
        <w:spacing w:after="0" w:line="32" w:lineRule="exact"/>
        <w:rPr>
          <w:rFonts w:ascii="Arial" w:cs="Arial" w:eastAsia="Arial" w:hAnsi="Arial"/>
          <w:sz w:val="16"/>
          <w:szCs w:val="16"/>
          <w:color w:val="auto"/>
        </w:rPr>
      </w:pPr>
    </w:p>
    <w:p>
      <w:pPr>
        <w:ind w:left="480" w:hanging="100"/>
        <w:spacing w:after="0"/>
        <w:tabs>
          <w:tab w:leader="none" w:pos="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Executive Vice President and Chief Operating Officer (2011 - 2014)</w:t>
      </w:r>
    </w:p>
    <w:p>
      <w:pPr>
        <w:spacing w:after="0" w:line="12" w:lineRule="exact"/>
        <w:rPr>
          <w:rFonts w:ascii="Arial" w:cs="Arial" w:eastAsia="Arial" w:hAnsi="Arial"/>
          <w:sz w:val="16"/>
          <w:szCs w:val="16"/>
          <w:color w:val="auto"/>
        </w:rPr>
      </w:pPr>
    </w:p>
    <w:p>
      <w:pPr>
        <w:ind w:left="260" w:hanging="106"/>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The Dow Chemical Company, </w:t>
      </w:r>
      <w:r>
        <w:rPr>
          <w:rFonts w:ascii="Arial" w:cs="Arial" w:eastAsia="Arial" w:hAnsi="Arial"/>
          <w:sz w:val="16"/>
          <w:szCs w:val="16"/>
          <w:color w:val="auto"/>
        </w:rPr>
        <w:t>a multinational chemical company</w:t>
      </w:r>
    </w:p>
    <w:p>
      <w:pPr>
        <w:spacing w:after="0" w:line="52" w:lineRule="exact"/>
        <w:rPr>
          <w:rFonts w:ascii="Arial" w:cs="Arial" w:eastAsia="Arial" w:hAnsi="Arial"/>
          <w:sz w:val="16"/>
          <w:szCs w:val="16"/>
          <w:color w:val="auto"/>
        </w:rPr>
      </w:pPr>
    </w:p>
    <w:p>
      <w:pPr>
        <w:ind w:left="480" w:hanging="100"/>
        <w:spacing w:after="0"/>
        <w:tabs>
          <w:tab w:leader="none" w:pos="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Executive Vice President and President, Performance Division (2010 - 2011)</w:t>
      </w:r>
    </w:p>
    <w:p>
      <w:pPr>
        <w:spacing w:after="0" w:line="25"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-1082040</wp:posOffset>
            </wp:positionV>
            <wp:extent cx="6978015" cy="1637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78015" cy="1637030"/>
                    </a:xfrm>
                    <a:prstGeom prst="rect">
                      <a:avLst/>
                    </a:prstGeom>
                    <a:noFill/>
                  </pic:spPr>
                </pic:pic>
              </a:graphicData>
            </a:graphic>
          </wp:anchor>
        </w:drawing>
      </w:r>
    </w:p>
    <w:p>
      <w:pPr>
        <w:spacing w:after="0" w:line="46" w:lineRule="exact"/>
        <w:rPr>
          <w:sz w:val="20"/>
          <w:szCs w:val="20"/>
          <w:color w:val="auto"/>
        </w:rPr>
      </w:pPr>
    </w:p>
    <w:p>
      <w:pPr>
        <w:ind w:left="160" w:right="160"/>
        <w:spacing w:after="0" w:line="237" w:lineRule="auto"/>
        <w:rPr>
          <w:sz w:val="20"/>
          <w:szCs w:val="20"/>
          <w:color w:val="auto"/>
        </w:rPr>
      </w:pPr>
      <w:r>
        <w:rPr>
          <w:rFonts w:ascii="Arial" w:cs="Arial" w:eastAsia="Arial" w:hAnsi="Arial"/>
          <w:sz w:val="16"/>
          <w:szCs w:val="16"/>
          <w:color w:val="auto"/>
        </w:rPr>
        <w:t>Mr. Luciano has chief executive officer and global business experience with Archer-Daniels-Midland Company, where he has established a reputation for strong results-oriented and strategic leadership, as well as many years of global leadership experience at The Dow Chemical Company. He brings to the board a strong technology and operations background, along with expertise in the highly regulated food and agriculture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P20</w:t>
      </w:r>
    </w:p>
    <w:p>
      <w:pPr>
        <w:sectPr>
          <w:pgSz w:w="11900" w:h="16838" w:orient="portrait"/>
          <w:cols w:equalWidth="0" w:num="1">
            <w:col w:w="11180"/>
          </w:cols>
          <w:pgMar w:left="340" w:top="1440"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988695</wp:posOffset>
            </wp:positionV>
            <wp:extent cx="720090" cy="720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395" w:lineRule="exact"/>
        <w:rPr>
          <w:sz w:val="20"/>
          <w:szCs w:val="20"/>
          <w:color w:val="auto"/>
        </w:rPr>
      </w:pPr>
    </w:p>
    <w:p>
      <w:pPr>
        <w:ind w:left="1680"/>
        <w:spacing w:after="0"/>
        <w:rPr>
          <w:sz w:val="20"/>
          <w:szCs w:val="20"/>
          <w:color w:val="auto"/>
        </w:rPr>
      </w:pPr>
      <w:r>
        <w:rPr>
          <w:rFonts w:ascii="Arial" w:cs="Arial" w:eastAsia="Arial" w:hAnsi="Arial"/>
          <w:sz w:val="27"/>
          <w:szCs w:val="27"/>
          <w:b w:val="1"/>
          <w:bCs w:val="1"/>
          <w:color w:val="EF3729"/>
        </w:rPr>
        <w:t>Kathi P. Seifert*</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Age: 71, Director since 1995,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49465" cy="1817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81737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tcBorders>
              <w:bottom w:val="single" w:sz="8" w:color="F4F6F6"/>
            </w:tcBorders>
          </w:tcPr>
          <w:p>
            <w:pPr>
              <w:ind w:left="40"/>
              <w:spacing w:after="0"/>
              <w:rPr>
                <w:sz w:val="20"/>
                <w:szCs w:val="20"/>
                <w:color w:val="auto"/>
              </w:rPr>
            </w:pPr>
            <w:r>
              <w:rPr>
                <w:rFonts w:ascii="Arial" w:cs="Arial" w:eastAsia="Arial" w:hAnsi="Arial"/>
                <w:sz w:val="16"/>
                <w:szCs w:val="16"/>
                <w:b w:val="1"/>
                <w:bCs w:val="1"/>
                <w:color w:val="00ABE8"/>
              </w:rPr>
              <w:t>PUBLIC BOARDS</w:t>
            </w:r>
          </w:p>
        </w:tc>
        <w:tc>
          <w:tcPr>
            <w:tcW w:w="3760" w:type="dxa"/>
            <w:vAlign w:val="bottom"/>
            <w:tcBorders>
              <w:bottom w:val="single" w:sz="8" w:color="F4F6F6"/>
            </w:tcBorders>
          </w:tcPr>
          <w:p>
            <w:pPr>
              <w:ind w:left="580"/>
              <w:spacing w:after="0"/>
              <w:rPr>
                <w:sz w:val="20"/>
                <w:szCs w:val="20"/>
                <w:color w:val="auto"/>
              </w:rPr>
            </w:pPr>
            <w:r>
              <w:rPr>
                <w:rFonts w:ascii="Arial" w:cs="Arial" w:eastAsia="Arial" w:hAnsi="Arial"/>
                <w:sz w:val="16"/>
                <w:szCs w:val="16"/>
                <w:b w:val="1"/>
                <w:bCs w:val="1"/>
                <w:color w:val="00ABE8"/>
              </w:rPr>
              <w:t>PRIOR PUBLIC BOARDS</w:t>
            </w:r>
          </w:p>
        </w:tc>
      </w:tr>
      <w:tr>
        <w:trPr>
          <w:trHeight w:val="191"/>
        </w:trPr>
        <w:tc>
          <w:tcPr>
            <w:tcW w:w="2140" w:type="dxa"/>
            <w:vAlign w:val="bottom"/>
          </w:tcPr>
          <w:p>
            <w:pPr>
              <w:ind w:left="40"/>
              <w:spacing w:after="0"/>
              <w:rPr>
                <w:sz w:val="20"/>
                <w:szCs w:val="20"/>
                <w:color w:val="auto"/>
              </w:rPr>
            </w:pPr>
            <w:r>
              <w:rPr>
                <w:rFonts w:ascii="Arial" w:cs="Arial" w:eastAsia="Arial" w:hAnsi="Arial"/>
                <w:sz w:val="16"/>
                <w:szCs w:val="16"/>
                <w:color w:val="auto"/>
              </w:rPr>
              <w:t>County Bancorp, Inc.</w:t>
            </w:r>
          </w:p>
        </w:tc>
        <w:tc>
          <w:tcPr>
            <w:tcW w:w="3760" w:type="dxa"/>
            <w:vAlign w:val="bottom"/>
          </w:tcPr>
          <w:p>
            <w:pPr>
              <w:ind w:left="580"/>
              <w:spacing w:after="0"/>
              <w:rPr>
                <w:sz w:val="20"/>
                <w:szCs w:val="20"/>
                <w:color w:val="auto"/>
              </w:rPr>
            </w:pPr>
            <w:r>
              <w:rPr>
                <w:rFonts w:ascii="Arial" w:cs="Arial" w:eastAsia="Arial" w:hAnsi="Arial"/>
                <w:sz w:val="16"/>
                <w:szCs w:val="16"/>
                <w:color w:val="auto"/>
              </w:rPr>
              <w:t>Albertsons Companies, Inc.</w:t>
            </w:r>
          </w:p>
        </w:tc>
      </w:tr>
      <w:tr>
        <w:trPr>
          <w:trHeight w:val="175"/>
        </w:trPr>
        <w:tc>
          <w:tcPr>
            <w:tcW w:w="2140" w:type="dxa"/>
            <w:vAlign w:val="bottom"/>
          </w:tcPr>
          <w:p>
            <w:pPr>
              <w:spacing w:after="0"/>
              <w:rPr>
                <w:sz w:val="15"/>
                <w:szCs w:val="15"/>
                <w:color w:val="auto"/>
              </w:rPr>
            </w:pPr>
          </w:p>
        </w:tc>
        <w:tc>
          <w:tcPr>
            <w:tcW w:w="3760" w:type="dxa"/>
            <w:vAlign w:val="bottom"/>
          </w:tcPr>
          <w:p>
            <w:pPr>
              <w:ind w:left="580"/>
              <w:spacing w:after="0" w:line="175" w:lineRule="exact"/>
              <w:rPr>
                <w:sz w:val="20"/>
                <w:szCs w:val="20"/>
                <w:color w:val="auto"/>
              </w:rPr>
            </w:pPr>
            <w:r>
              <w:rPr>
                <w:rFonts w:ascii="Arial" w:cs="Arial" w:eastAsia="Arial" w:hAnsi="Arial"/>
                <w:sz w:val="16"/>
                <w:szCs w:val="16"/>
                <w:color w:val="auto"/>
              </w:rPr>
              <w:t>(formerly Albertson’s, Inc.);</w:t>
            </w:r>
          </w:p>
        </w:tc>
      </w:tr>
      <w:tr>
        <w:trPr>
          <w:trHeight w:val="176"/>
        </w:trPr>
        <w:tc>
          <w:tcPr>
            <w:tcW w:w="2140" w:type="dxa"/>
            <w:vAlign w:val="bottom"/>
          </w:tcPr>
          <w:p>
            <w:pPr>
              <w:spacing w:after="0"/>
              <w:rPr>
                <w:sz w:val="15"/>
                <w:szCs w:val="15"/>
                <w:color w:val="auto"/>
              </w:rPr>
            </w:pPr>
          </w:p>
        </w:tc>
        <w:tc>
          <w:tcPr>
            <w:tcW w:w="3760" w:type="dxa"/>
            <w:vAlign w:val="bottom"/>
          </w:tcPr>
          <w:p>
            <w:pPr>
              <w:ind w:left="580"/>
              <w:spacing w:after="0" w:line="175" w:lineRule="exact"/>
              <w:rPr>
                <w:sz w:val="20"/>
                <w:szCs w:val="20"/>
                <w:color w:val="auto"/>
              </w:rPr>
            </w:pPr>
            <w:r>
              <w:rPr>
                <w:rFonts w:ascii="Arial" w:cs="Arial" w:eastAsia="Arial" w:hAnsi="Arial"/>
                <w:sz w:val="16"/>
                <w:szCs w:val="16"/>
                <w:color w:val="auto"/>
              </w:rPr>
              <w:t>Revlon Consumer Products Co.;</w:t>
            </w:r>
          </w:p>
        </w:tc>
      </w:tr>
      <w:tr>
        <w:trPr>
          <w:trHeight w:val="175"/>
        </w:trPr>
        <w:tc>
          <w:tcPr>
            <w:tcW w:w="2140" w:type="dxa"/>
            <w:vAlign w:val="bottom"/>
          </w:tcPr>
          <w:p>
            <w:pPr>
              <w:spacing w:after="0"/>
              <w:rPr>
                <w:sz w:val="15"/>
                <w:szCs w:val="15"/>
                <w:color w:val="auto"/>
              </w:rPr>
            </w:pPr>
          </w:p>
        </w:tc>
        <w:tc>
          <w:tcPr>
            <w:tcW w:w="3760" w:type="dxa"/>
            <w:vAlign w:val="bottom"/>
          </w:tcPr>
          <w:p>
            <w:pPr>
              <w:ind w:left="580"/>
              <w:spacing w:after="0" w:line="175" w:lineRule="exact"/>
              <w:rPr>
                <w:sz w:val="20"/>
                <w:szCs w:val="20"/>
                <w:color w:val="auto"/>
              </w:rPr>
            </w:pPr>
            <w:r>
              <w:rPr>
                <w:rFonts w:ascii="Arial" w:cs="Arial" w:eastAsia="Arial" w:hAnsi="Arial"/>
                <w:sz w:val="16"/>
                <w:szCs w:val="16"/>
                <w:color w:val="auto"/>
              </w:rPr>
              <w:t>Supervalu Inc.;</w:t>
            </w:r>
          </w:p>
        </w:tc>
      </w:tr>
      <w:tr>
        <w:trPr>
          <w:trHeight w:val="195"/>
        </w:trPr>
        <w:tc>
          <w:tcPr>
            <w:tcW w:w="2140" w:type="dxa"/>
            <w:vAlign w:val="bottom"/>
          </w:tcPr>
          <w:p>
            <w:pPr>
              <w:spacing w:after="0"/>
              <w:rPr>
                <w:sz w:val="16"/>
                <w:szCs w:val="16"/>
                <w:color w:val="auto"/>
              </w:rPr>
            </w:pPr>
          </w:p>
        </w:tc>
        <w:tc>
          <w:tcPr>
            <w:tcW w:w="3760" w:type="dxa"/>
            <w:vAlign w:val="bottom"/>
          </w:tcPr>
          <w:p>
            <w:pPr>
              <w:ind w:left="580"/>
              <w:spacing w:after="0"/>
              <w:rPr>
                <w:sz w:val="20"/>
                <w:szCs w:val="20"/>
                <w:color w:val="auto"/>
              </w:rPr>
            </w:pPr>
            <w:r>
              <w:rPr>
                <w:rFonts w:ascii="Arial" w:cs="Arial" w:eastAsia="Arial" w:hAnsi="Arial"/>
                <w:sz w:val="16"/>
                <w:szCs w:val="16"/>
                <w:color w:val="auto"/>
              </w:rPr>
              <w:t>Lexmark International, Inc.</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ABE8"/>
        </w:rPr>
        <w:t>NON-PROFIT BOARDS</w:t>
      </w:r>
    </w:p>
    <w:p>
      <w:pPr>
        <w:spacing w:after="0" w:line="66" w:lineRule="exact"/>
        <w:rPr>
          <w:sz w:val="20"/>
          <w:szCs w:val="20"/>
          <w:color w:val="auto"/>
        </w:rPr>
      </w:pPr>
    </w:p>
    <w:p>
      <w:pPr>
        <w:ind w:right="1760"/>
        <w:spacing w:after="0" w:line="228" w:lineRule="auto"/>
        <w:rPr>
          <w:sz w:val="20"/>
          <w:szCs w:val="20"/>
          <w:color w:val="auto"/>
        </w:rPr>
      </w:pPr>
      <w:r>
        <w:rPr>
          <w:rFonts w:ascii="Arial" w:cs="Arial" w:eastAsia="Arial" w:hAnsi="Arial"/>
          <w:sz w:val="16"/>
          <w:szCs w:val="16"/>
          <w:color w:val="auto"/>
        </w:rPr>
        <w:t>Community Foundation for the Fox Valley Region; New North Economic Development Corporation; Fox Cities Chamber of Commerce;</w:t>
      </w:r>
    </w:p>
    <w:p>
      <w:pPr>
        <w:spacing w:after="0" w:line="2" w:lineRule="exact"/>
        <w:rPr>
          <w:sz w:val="20"/>
          <w:szCs w:val="20"/>
          <w:color w:val="auto"/>
        </w:rPr>
      </w:pPr>
    </w:p>
    <w:p>
      <w:pPr>
        <w:ind w:right="1320"/>
        <w:spacing w:after="0" w:line="237" w:lineRule="auto"/>
        <w:rPr>
          <w:sz w:val="20"/>
          <w:szCs w:val="20"/>
          <w:color w:val="auto"/>
        </w:rPr>
      </w:pPr>
      <w:r>
        <w:rPr>
          <w:rFonts w:ascii="Arial" w:cs="Arial" w:eastAsia="Arial" w:hAnsi="Arial"/>
          <w:sz w:val="16"/>
          <w:szCs w:val="16"/>
          <w:color w:val="auto"/>
        </w:rPr>
        <w:t>Greater Fox Cities Area Habitat for Humanity; Riverview Gardens; Bubolz Nature Preserve; Fox Valley Humane Association</w:t>
      </w:r>
    </w:p>
    <w:p>
      <w:pPr>
        <w:spacing w:after="0" w:line="150" w:lineRule="exact"/>
        <w:rPr>
          <w:sz w:val="20"/>
          <w:szCs w:val="20"/>
          <w:color w:val="auto"/>
        </w:rPr>
      </w:pPr>
    </w:p>
    <w:p>
      <w:pPr>
        <w:sectPr>
          <w:pgSz w:w="11900" w:h="16838" w:orient="portrait"/>
          <w:cols w:equalWidth="0" w:num="2">
            <w:col w:w="5900" w:space="20"/>
            <w:col w:w="5340"/>
          </w:cols>
          <w:pgMar w:left="320" w:top="1440" w:right="31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140" w:hanging="101"/>
        <w:spacing w:after="0"/>
        <w:tabs>
          <w:tab w:leader="none" w:pos="14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Katapult, LLC, </w:t>
      </w:r>
      <w:r>
        <w:rPr>
          <w:rFonts w:ascii="Arial" w:cs="Arial" w:eastAsia="Arial" w:hAnsi="Arial"/>
          <w:sz w:val="16"/>
          <w:szCs w:val="16"/>
          <w:color w:val="auto"/>
        </w:rPr>
        <w:t>a provider of pro bono mentoring and consulting services to nonprofit organizations</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Chairman (2004 -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Kimberly-Clark Corporation, </w:t>
      </w:r>
      <w:r>
        <w:rPr>
          <w:rFonts w:ascii="Arial" w:cs="Arial" w:eastAsia="Arial" w:hAnsi="Arial"/>
          <w:sz w:val="16"/>
          <w:szCs w:val="16"/>
          <w:color w:val="auto"/>
        </w:rPr>
        <w:t>a global consumer products company</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Executive Vice President (1999 - 2004)</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745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745490"/>
                    </a:xfrm>
                    <a:prstGeom prst="rect">
                      <a:avLst/>
                    </a:prstGeom>
                    <a:noFill/>
                  </pic:spPr>
                </pic:pic>
              </a:graphicData>
            </a:graphic>
          </wp:anchor>
        </w:drawing>
      </w:r>
    </w:p>
    <w:p>
      <w:pPr>
        <w:spacing w:after="0" w:line="46" w:lineRule="exact"/>
        <w:rPr>
          <w:sz w:val="20"/>
          <w:szCs w:val="20"/>
          <w:color w:val="auto"/>
        </w:rPr>
      </w:pPr>
    </w:p>
    <w:p>
      <w:pPr>
        <w:ind w:left="40" w:right="140"/>
        <w:spacing w:after="0" w:line="237" w:lineRule="auto"/>
        <w:rPr>
          <w:sz w:val="20"/>
          <w:szCs w:val="20"/>
          <w:color w:val="auto"/>
        </w:rPr>
      </w:pPr>
      <w:r>
        <w:rPr>
          <w:rFonts w:ascii="Arial" w:cs="Arial" w:eastAsia="Arial" w:hAnsi="Arial"/>
          <w:sz w:val="16"/>
          <w:szCs w:val="16"/>
          <w:color w:val="auto"/>
        </w:rPr>
        <w:t>Ms. Seifert is a retired senior executive of Kimberly-Clark. She has strong expertise in consumer marketing and brand management, having led sales and marketing for several worldwide brands, with a special focus on consumer health. She has extensive corporate governance experience through her service on the boards of other companies.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*Ms. Seifert will retire from the board following the Annual Meeting.</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Class of 2023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five directors are serving terms that will expire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79375</wp:posOffset>
            </wp:positionV>
            <wp:extent cx="702945" cy="702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Michael L. Eskew</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71, Director since 2008,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Directors and Corporate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49465" cy="1457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45732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2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8620" w:type="dxa"/>
            <w:vAlign w:val="bottom"/>
            <w:tcBorders>
              <w:bottom w:val="single" w:sz="8" w:color="F4F6F6"/>
            </w:tcBorders>
            <w:shd w:val="clear" w:color="auto" w:fill="F4F6F6"/>
          </w:tcPr>
          <w:p>
            <w:pPr>
              <w:ind w:left="840"/>
              <w:spacing w:after="0"/>
              <w:rPr>
                <w:sz w:val="20"/>
                <w:szCs w:val="20"/>
                <w:color w:val="auto"/>
              </w:rPr>
            </w:pPr>
            <w:r>
              <w:rPr>
                <w:rFonts w:ascii="Arial" w:cs="Arial" w:eastAsia="Arial" w:hAnsi="Arial"/>
                <w:sz w:val="16"/>
                <w:szCs w:val="16"/>
                <w:b w:val="1"/>
                <w:bCs w:val="1"/>
                <w:color w:val="00ABE8"/>
              </w:rPr>
              <w:t>NON-PROFIT BOARDS</w:t>
            </w:r>
          </w:p>
        </w:tc>
        <w:tc>
          <w:tcPr>
            <w:tcW w:w="20" w:type="dxa"/>
            <w:vAlign w:val="bottom"/>
            <w:tcBorders>
              <w:bottom w:val="single" w:sz="8" w:color="F4F6F6"/>
            </w:tcBorders>
          </w:tcPr>
          <w:p>
            <w:pPr>
              <w:spacing w:after="0"/>
              <w:rPr>
                <w:sz w:val="21"/>
                <w:szCs w:val="21"/>
                <w:color w:val="auto"/>
              </w:rPr>
            </w:pPr>
          </w:p>
        </w:tc>
      </w:tr>
      <w:tr>
        <w:trPr>
          <w:trHeight w:val="191"/>
        </w:trPr>
        <w:tc>
          <w:tcPr>
            <w:tcW w:w="2620" w:type="dxa"/>
            <w:vAlign w:val="bottom"/>
          </w:tcPr>
          <w:p>
            <w:pPr>
              <w:ind w:left="40"/>
              <w:spacing w:after="0"/>
              <w:rPr>
                <w:sz w:val="20"/>
                <w:szCs w:val="20"/>
                <w:color w:val="auto"/>
              </w:rPr>
            </w:pPr>
            <w:r>
              <w:rPr>
                <w:rFonts w:ascii="Arial" w:cs="Arial" w:eastAsia="Arial" w:hAnsi="Arial"/>
                <w:sz w:val="16"/>
                <w:szCs w:val="16"/>
                <w:color w:val="auto"/>
              </w:rPr>
              <w:t>3M Corporation;</w:t>
            </w:r>
          </w:p>
        </w:tc>
        <w:tc>
          <w:tcPr>
            <w:tcW w:w="8620" w:type="dxa"/>
            <w:vAlign w:val="bottom"/>
          </w:tcPr>
          <w:p>
            <w:pPr>
              <w:ind w:left="840"/>
              <w:spacing w:after="0"/>
              <w:rPr>
                <w:sz w:val="20"/>
                <w:szCs w:val="20"/>
                <w:color w:val="auto"/>
              </w:rPr>
            </w:pPr>
            <w:r>
              <w:rPr>
                <w:rFonts w:ascii="Arial" w:cs="Arial" w:eastAsia="Arial" w:hAnsi="Arial"/>
                <w:sz w:val="16"/>
                <w:szCs w:val="16"/>
                <w:color w:val="auto"/>
              </w:rPr>
              <w:t>Chairman of the board of trustees of The Annie E. Casey Foundation</w:t>
            </w:r>
          </w:p>
        </w:tc>
        <w:tc>
          <w:tcPr>
            <w:tcW w:w="20" w:type="dxa"/>
            <w:vAlign w:val="bottom"/>
          </w:tcPr>
          <w:p>
            <w:pPr>
              <w:spacing w:after="0"/>
              <w:rPr>
                <w:sz w:val="16"/>
                <w:szCs w:val="16"/>
                <w:color w:val="auto"/>
              </w:rPr>
            </w:pPr>
          </w:p>
        </w:tc>
      </w:tr>
      <w:tr>
        <w:trPr>
          <w:trHeight w:val="175"/>
        </w:trPr>
        <w:tc>
          <w:tcPr>
            <w:tcW w:w="2620" w:type="dxa"/>
            <w:vAlign w:val="bottom"/>
          </w:tcPr>
          <w:p>
            <w:pPr>
              <w:ind w:left="40"/>
              <w:spacing w:after="0" w:line="175" w:lineRule="exact"/>
              <w:rPr>
                <w:sz w:val="20"/>
                <w:szCs w:val="20"/>
                <w:color w:val="auto"/>
              </w:rPr>
            </w:pPr>
            <w:r>
              <w:rPr>
                <w:rFonts w:ascii="Arial" w:cs="Arial" w:eastAsia="Arial" w:hAnsi="Arial"/>
                <w:sz w:val="16"/>
                <w:szCs w:val="16"/>
                <w:color w:val="auto"/>
              </w:rPr>
              <w:t>IBM Corporation;</w:t>
            </w:r>
          </w:p>
        </w:tc>
        <w:tc>
          <w:tcPr>
            <w:tcW w:w="8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2620" w:type="dxa"/>
            <w:vAlign w:val="bottom"/>
          </w:tcPr>
          <w:p>
            <w:pPr>
              <w:ind w:left="40"/>
              <w:spacing w:after="0"/>
              <w:rPr>
                <w:sz w:val="20"/>
                <w:szCs w:val="20"/>
                <w:color w:val="auto"/>
              </w:rPr>
            </w:pPr>
            <w:r>
              <w:rPr>
                <w:rFonts w:ascii="Arial" w:cs="Arial" w:eastAsia="Arial" w:hAnsi="Arial"/>
                <w:sz w:val="16"/>
                <w:szCs w:val="16"/>
                <w:color w:val="auto"/>
              </w:rPr>
              <w:t>The Allstate Corporation</w:t>
            </w:r>
          </w:p>
        </w:tc>
        <w:tc>
          <w:tcPr>
            <w:tcW w:w="86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140" w:hanging="101"/>
        <w:spacing w:after="0"/>
        <w:tabs>
          <w:tab w:leader="none" w:pos="1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United Parcel Service, Inc., </w:t>
      </w:r>
      <w:r>
        <w:rPr>
          <w:rFonts w:ascii="Arial" w:cs="Arial" w:eastAsia="Arial" w:hAnsi="Arial"/>
          <w:sz w:val="16"/>
          <w:szCs w:val="16"/>
          <w:color w:val="auto"/>
        </w:rPr>
        <w:t>a global shipping and logistics company</w:t>
      </w:r>
    </w:p>
    <w:p>
      <w:pPr>
        <w:spacing w:after="0" w:line="52" w:lineRule="exact"/>
        <w:rPr>
          <w:rFonts w:ascii="Arial" w:cs="Arial" w:eastAsia="Arial" w:hAnsi="Arial"/>
          <w:sz w:val="16"/>
          <w:szCs w:val="16"/>
          <w:color w:val="auto"/>
        </w:rPr>
      </w:pPr>
    </w:p>
    <w:p>
      <w:pPr>
        <w:ind w:left="360" w:hanging="95"/>
        <w:spacing w:after="0"/>
        <w:tabs>
          <w:tab w:leader="none" w:pos="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UPS Board of Directors (1998 - 2014)</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Chairman and Chief Executive Officer (2002 - 2007)</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Vice Chairman (2000 - 2002)</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625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625475"/>
                    </a:xfrm>
                    <a:prstGeom prst="rect">
                      <a:avLst/>
                    </a:prstGeom>
                    <a:noFill/>
                  </pic:spPr>
                </pic:pic>
              </a:graphicData>
            </a:graphic>
          </wp:anchor>
        </w:drawing>
      </w:r>
    </w:p>
    <w:p>
      <w:pPr>
        <w:spacing w:after="0" w:line="46" w:lineRule="exact"/>
        <w:rPr>
          <w:sz w:val="20"/>
          <w:szCs w:val="20"/>
          <w:color w:val="auto"/>
        </w:rPr>
      </w:pPr>
    </w:p>
    <w:p>
      <w:pPr>
        <w:ind w:left="40" w:right="100"/>
        <w:spacing w:after="0" w:line="235" w:lineRule="auto"/>
        <w:rPr>
          <w:sz w:val="20"/>
          <w:szCs w:val="20"/>
          <w:color w:val="auto"/>
        </w:rPr>
      </w:pPr>
      <w:r>
        <w:rPr>
          <w:rFonts w:ascii="Arial" w:cs="Arial" w:eastAsia="Arial" w:hAnsi="Arial"/>
          <w:sz w:val="16"/>
          <w:szCs w:val="16"/>
          <w:color w:val="auto"/>
        </w:rPr>
        <w:t>Mr. Eskew has chief executive officer experience with UPS, where he established a record of success in managing complex worldwide operations, strategic planning, and building a strong consumer-brand focus. He is an audit committee financial expert based on his chief executive officer experience and his service on other U.S. public company audit committees. He has extensive corporate governance experience through his service on the boards of other companies.</w:t>
      </w:r>
    </w:p>
    <w:p>
      <w:pPr>
        <w:sectPr>
          <w:pgSz w:w="11900" w:h="16838" w:orient="portrait"/>
          <w:cols w:equalWidth="0" w:num="1">
            <w:col w:w="1126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P21</w:t>
      </w:r>
    </w:p>
    <w:p>
      <w:pPr>
        <w:sectPr>
          <w:pgSz w:w="11900" w:h="16838" w:orient="portrait"/>
          <w:cols w:equalWidth="0" w:num="1">
            <w:col w:w="11260"/>
          </w:cols>
          <w:pgMar w:left="320" w:top="1440" w:right="31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988695</wp:posOffset>
            </wp:positionV>
            <wp:extent cx="728345" cy="728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8345" cy="7289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601"/>
        <w:spacing w:after="0"/>
        <w:rPr>
          <w:sz w:val="20"/>
          <w:szCs w:val="20"/>
          <w:color w:val="auto"/>
        </w:rPr>
      </w:pPr>
      <w:r>
        <w:rPr>
          <w:rFonts w:ascii="Arial" w:cs="Arial" w:eastAsia="Arial" w:hAnsi="Arial"/>
          <w:sz w:val="27"/>
          <w:szCs w:val="27"/>
          <w:b w:val="1"/>
          <w:bCs w:val="1"/>
          <w:color w:val="EF3729"/>
        </w:rPr>
        <w:t>William G. Kaelin, Jr., M.D.</w:t>
      </w:r>
    </w:p>
    <w:p>
      <w:pPr>
        <w:spacing w:after="0" w:line="252" w:lineRule="exact"/>
        <w:rPr>
          <w:sz w:val="20"/>
          <w:szCs w:val="20"/>
          <w:color w:val="auto"/>
        </w:rPr>
      </w:pPr>
    </w:p>
    <w:p>
      <w:pPr>
        <w:ind w:left="1601"/>
        <w:spacing w:after="0"/>
        <w:rPr>
          <w:sz w:val="20"/>
          <w:szCs w:val="20"/>
          <w:color w:val="auto"/>
        </w:rPr>
      </w:pPr>
      <w:r>
        <w:rPr>
          <w:rFonts w:ascii="Arial" w:cs="Arial" w:eastAsia="Arial" w:hAnsi="Arial"/>
          <w:sz w:val="14"/>
          <w:szCs w:val="14"/>
          <w:color w:val="auto"/>
        </w:rPr>
        <w:t xml:space="preserve">Age: 63, Director since 2012,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Directors and Corporate Governance; Science and Technology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86360</wp:posOffset>
            </wp:positionV>
            <wp:extent cx="7149465" cy="30003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3000375"/>
                    </a:xfrm>
                    <a:prstGeom prst="rect">
                      <a:avLst/>
                    </a:prstGeom>
                    <a:noFill/>
                  </pic:spPr>
                </pic:pic>
              </a:graphicData>
            </a:graphic>
          </wp:anchor>
        </w:drawing>
      </w:r>
    </w:p>
    <w:p>
      <w:pPr>
        <w:sectPr>
          <w:pgSz w:w="11900" w:h="16838" w:orient="portrait"/>
          <w:cols w:equalWidth="0" w:num="1">
            <w:col w:w="11121"/>
          </w:cols>
          <w:pgMar w:left="359" w:top="1440" w:right="419" w:bottom="1440" w:gutter="0" w:footer="0" w:header="0"/>
        </w:sectPr>
      </w:pP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ABE8"/>
        </w:rPr>
        <w:t>INDUSTRY MEMBERSHIPS</w:t>
      </w:r>
    </w:p>
    <w:p>
      <w:pPr>
        <w:spacing w:after="0" w:line="71" w:lineRule="exact"/>
        <w:rPr>
          <w:sz w:val="20"/>
          <w:szCs w:val="20"/>
          <w:color w:val="auto"/>
        </w:rPr>
      </w:pPr>
    </w:p>
    <w:p>
      <w:pPr>
        <w:ind w:left="1"/>
        <w:spacing w:after="0"/>
        <w:rPr>
          <w:sz w:val="20"/>
          <w:szCs w:val="20"/>
          <w:color w:val="auto"/>
        </w:rPr>
      </w:pPr>
      <w:r>
        <w:rPr>
          <w:rFonts w:ascii="Arial" w:cs="Arial" w:eastAsia="Arial" w:hAnsi="Arial"/>
          <w:sz w:val="16"/>
          <w:szCs w:val="16"/>
          <w:color w:val="auto"/>
        </w:rPr>
        <w:t>National Academy of Medicine;</w:t>
      </w:r>
    </w:p>
    <w:p>
      <w:pPr>
        <w:ind w:left="1"/>
        <w:spacing w:after="0" w:line="228" w:lineRule="auto"/>
        <w:rPr>
          <w:sz w:val="20"/>
          <w:szCs w:val="20"/>
          <w:color w:val="auto"/>
        </w:rPr>
      </w:pPr>
      <w:r>
        <w:rPr>
          <w:rFonts w:ascii="Arial" w:cs="Arial" w:eastAsia="Arial" w:hAnsi="Arial"/>
          <w:sz w:val="16"/>
          <w:szCs w:val="16"/>
          <w:color w:val="auto"/>
        </w:rPr>
        <w:t>National Academy of Sciences;</w:t>
      </w:r>
    </w:p>
    <w:p>
      <w:pPr>
        <w:ind w:left="1"/>
        <w:spacing w:after="0" w:line="229" w:lineRule="auto"/>
        <w:rPr>
          <w:sz w:val="20"/>
          <w:szCs w:val="20"/>
          <w:color w:val="auto"/>
        </w:rPr>
      </w:pPr>
      <w:r>
        <w:rPr>
          <w:rFonts w:ascii="Arial" w:cs="Arial" w:eastAsia="Arial" w:hAnsi="Arial"/>
          <w:sz w:val="16"/>
          <w:szCs w:val="16"/>
          <w:color w:val="auto"/>
        </w:rPr>
        <w:t>American College of Physicians;</w:t>
      </w:r>
    </w:p>
    <w:p>
      <w:pPr>
        <w:ind w:left="1"/>
        <w:spacing w:after="0" w:line="229" w:lineRule="auto"/>
        <w:rPr>
          <w:sz w:val="20"/>
          <w:szCs w:val="20"/>
          <w:color w:val="auto"/>
        </w:rPr>
      </w:pPr>
      <w:r>
        <w:rPr>
          <w:rFonts w:ascii="Arial" w:cs="Arial" w:eastAsia="Arial" w:hAnsi="Arial"/>
          <w:sz w:val="16"/>
          <w:szCs w:val="16"/>
          <w:color w:val="auto"/>
        </w:rPr>
        <w:t>Association of American Physicians;</w:t>
      </w:r>
    </w:p>
    <w:p>
      <w:pPr>
        <w:ind w:left="1"/>
        <w:spacing w:after="0" w:line="229" w:lineRule="auto"/>
        <w:rPr>
          <w:sz w:val="20"/>
          <w:szCs w:val="20"/>
          <w:color w:val="auto"/>
        </w:rPr>
      </w:pPr>
      <w:r>
        <w:rPr>
          <w:rFonts w:ascii="Arial" w:cs="Arial" w:eastAsia="Arial" w:hAnsi="Arial"/>
          <w:sz w:val="16"/>
          <w:szCs w:val="16"/>
          <w:color w:val="auto"/>
        </w:rPr>
        <w:t>American Society of Clinical Investigation (ASCI);</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American Academy of Arts and Sciences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ABE8"/>
        </w:rPr>
        <w:t>HONORS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Nobel Prize in Physiology or Medicine;</w:t>
      </w:r>
    </w:p>
    <w:p>
      <w:pPr>
        <w:spacing w:after="0" w:line="228" w:lineRule="auto"/>
        <w:rPr>
          <w:sz w:val="20"/>
          <w:szCs w:val="20"/>
          <w:color w:val="auto"/>
        </w:rPr>
      </w:pPr>
      <w:r>
        <w:rPr>
          <w:rFonts w:ascii="Arial" w:cs="Arial" w:eastAsia="Arial" w:hAnsi="Arial"/>
          <w:sz w:val="16"/>
          <w:szCs w:val="16"/>
          <w:color w:val="auto"/>
        </w:rPr>
        <w:t>Albert Lasker Basic Medical Research Award;</w:t>
      </w:r>
    </w:p>
    <w:p>
      <w:pPr>
        <w:spacing w:after="0" w:line="1" w:lineRule="exact"/>
        <w:rPr>
          <w:sz w:val="20"/>
          <w:szCs w:val="20"/>
          <w:color w:val="auto"/>
        </w:rPr>
      </w:pPr>
    </w:p>
    <w:p>
      <w:pPr>
        <w:ind w:right="1520"/>
        <w:spacing w:after="0" w:line="231" w:lineRule="auto"/>
        <w:rPr>
          <w:sz w:val="20"/>
          <w:szCs w:val="20"/>
          <w:color w:val="auto"/>
        </w:rPr>
      </w:pPr>
      <w:r>
        <w:rPr>
          <w:rFonts w:ascii="Arial" w:cs="Arial" w:eastAsia="Arial" w:hAnsi="Arial"/>
          <w:sz w:val="16"/>
          <w:szCs w:val="16"/>
          <w:color w:val="auto"/>
        </w:rPr>
        <w:t>Wiley Prize in Biomedical Sciences from the Rockefeller University; Steven C. Beering Award from the Indiana University School of Medicine; ASCI's Stanley J. Korsmeyer Award; Paul Marks Prize for Cancer Research from the Memorial Sloan Kettering Cancer Center; Richard and Hinda Rosenthal Prize from the American Association for Cancer Research; Scientific Grand Prix of the Foundation Lefoulon-Delalande; Canada Gairdner International Award; Doris Duke Distinguished Clinical Scientist Award; Helis Award from Baylor College of Medicine; Massry Prize from the Meira and Shaul G. Massry Foundation</w:t>
      </w:r>
    </w:p>
    <w:p>
      <w:pPr>
        <w:spacing w:after="0" w:line="200" w:lineRule="exact"/>
        <w:rPr>
          <w:sz w:val="20"/>
          <w:szCs w:val="20"/>
          <w:color w:val="auto"/>
        </w:rPr>
      </w:pPr>
    </w:p>
    <w:p>
      <w:pPr>
        <w:sectPr>
          <w:pgSz w:w="11900" w:h="16838" w:orient="portrait"/>
          <w:cols w:equalWidth="0" w:num="2">
            <w:col w:w="3861" w:space="720"/>
            <w:col w:w="6540"/>
          </w:cols>
          <w:pgMar w:left="359" w:top="1440" w:right="419" w:bottom="1440" w:gutter="0" w:footer="0" w:header="0"/>
          <w:type w:val="continuous"/>
        </w:sectPr>
      </w:pPr>
    </w:p>
    <w:p>
      <w:pPr>
        <w:spacing w:after="0" w:line="11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101" w:hanging="101"/>
        <w:spacing w:after="0"/>
        <w:tabs>
          <w:tab w:leader="none" w:pos="10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Harvard Medical School</w:t>
      </w:r>
    </w:p>
    <w:p>
      <w:pPr>
        <w:spacing w:after="0" w:line="52" w:lineRule="exact"/>
        <w:rPr>
          <w:rFonts w:ascii="Arial" w:cs="Arial" w:eastAsia="Arial" w:hAnsi="Arial"/>
          <w:sz w:val="16"/>
          <w:szCs w:val="16"/>
          <w:b w:val="1"/>
          <w:bCs w:val="1"/>
          <w:color w:val="auto"/>
        </w:rPr>
      </w:pPr>
    </w:p>
    <w:p>
      <w:pPr>
        <w:ind w:left="321" w:hanging="95"/>
        <w:spacing w:after="0"/>
        <w:tabs>
          <w:tab w:leader="none" w:pos="3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Sidney Farber Professor of Medicine (2002 - present)</w:t>
      </w:r>
    </w:p>
    <w:p>
      <w:pPr>
        <w:spacing w:after="0" w:line="12" w:lineRule="exact"/>
        <w:rPr>
          <w:rFonts w:ascii="Arial" w:cs="Arial" w:eastAsia="Arial" w:hAnsi="Arial"/>
          <w:sz w:val="16"/>
          <w:szCs w:val="16"/>
          <w:color w:val="auto"/>
        </w:rPr>
      </w:pPr>
    </w:p>
    <w:p>
      <w:pPr>
        <w:ind w:left="101" w:hanging="101"/>
        <w:spacing w:after="0"/>
        <w:tabs>
          <w:tab w:leader="none" w:pos="101"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Brigham and Women's Hospital</w:t>
      </w:r>
    </w:p>
    <w:p>
      <w:pPr>
        <w:spacing w:after="0" w:line="52" w:lineRule="exact"/>
        <w:rPr>
          <w:rFonts w:ascii="Arial" w:cs="Arial" w:eastAsia="Arial" w:hAnsi="Arial"/>
          <w:sz w:val="16"/>
          <w:szCs w:val="16"/>
          <w:color w:val="auto"/>
        </w:rPr>
      </w:pPr>
    </w:p>
    <w:p>
      <w:pPr>
        <w:ind w:left="321" w:hanging="95"/>
        <w:spacing w:after="0"/>
        <w:tabs>
          <w:tab w:leader="none" w:pos="3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Professor (2002 - present)</w:t>
      </w:r>
    </w:p>
    <w:p>
      <w:pPr>
        <w:spacing w:after="0" w:line="12" w:lineRule="exact"/>
        <w:rPr>
          <w:rFonts w:ascii="Arial" w:cs="Arial" w:eastAsia="Arial" w:hAnsi="Arial"/>
          <w:sz w:val="16"/>
          <w:szCs w:val="16"/>
          <w:color w:val="auto"/>
        </w:rPr>
      </w:pPr>
    </w:p>
    <w:p>
      <w:pPr>
        <w:ind w:left="101" w:hanging="101"/>
        <w:spacing w:after="0"/>
        <w:tabs>
          <w:tab w:leader="none" w:pos="10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Howard Hughes Medical Institute</w:t>
      </w:r>
    </w:p>
    <w:p>
      <w:pPr>
        <w:spacing w:after="0" w:line="52" w:lineRule="exact"/>
        <w:rPr>
          <w:rFonts w:ascii="Arial" w:cs="Arial" w:eastAsia="Arial" w:hAnsi="Arial"/>
          <w:sz w:val="16"/>
          <w:szCs w:val="16"/>
          <w:b w:val="1"/>
          <w:bCs w:val="1"/>
          <w:color w:val="auto"/>
        </w:rPr>
      </w:pPr>
    </w:p>
    <w:p>
      <w:pPr>
        <w:ind w:left="321" w:hanging="95"/>
        <w:spacing w:after="0"/>
        <w:tabs>
          <w:tab w:leader="none" w:pos="3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Investigator (2002 - present)</w:t>
      </w:r>
    </w:p>
    <w:p>
      <w:pPr>
        <w:spacing w:after="0" w:line="32" w:lineRule="exact"/>
        <w:rPr>
          <w:rFonts w:ascii="Arial" w:cs="Arial" w:eastAsia="Arial" w:hAnsi="Arial"/>
          <w:sz w:val="16"/>
          <w:szCs w:val="16"/>
          <w:color w:val="auto"/>
        </w:rPr>
      </w:pPr>
    </w:p>
    <w:p>
      <w:pPr>
        <w:ind w:left="321" w:hanging="95"/>
        <w:spacing w:after="0"/>
        <w:tabs>
          <w:tab w:leader="none" w:pos="3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Assistant Investigator (1998 - 2002)</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31750</wp:posOffset>
            </wp:positionV>
            <wp:extent cx="7149465" cy="523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523240"/>
                    </a:xfrm>
                    <a:prstGeom prst="rect">
                      <a:avLst/>
                    </a:prstGeom>
                    <a:noFill/>
                  </pic:spPr>
                </pic:pic>
              </a:graphicData>
            </a:graphic>
          </wp:anchor>
        </w:drawing>
      </w:r>
    </w:p>
    <w:p>
      <w:pPr>
        <w:spacing w:after="0" w:line="46" w:lineRule="exact"/>
        <w:rPr>
          <w:sz w:val="20"/>
          <w:szCs w:val="20"/>
          <w:color w:val="auto"/>
        </w:rPr>
      </w:pPr>
    </w:p>
    <w:p>
      <w:pPr>
        <w:ind w:left="1"/>
        <w:spacing w:after="0" w:line="237" w:lineRule="auto"/>
        <w:rPr>
          <w:sz w:val="20"/>
          <w:szCs w:val="20"/>
          <w:color w:val="auto"/>
        </w:rPr>
      </w:pPr>
      <w:r>
        <w:rPr>
          <w:rFonts w:ascii="Arial" w:cs="Arial" w:eastAsia="Arial" w:hAnsi="Arial"/>
          <w:sz w:val="16"/>
          <w:szCs w:val="16"/>
          <w:color w:val="auto"/>
        </w:rPr>
        <w:t>Dr. Kaelin is a prominent medical researcher and academician. He has extensive experience at Harvard Medical School, a major medical institution, as well as special expertise in oncology—a key component of Lilly's business. He also has deep expertise in basic science, including mechanisms of drug action, and experience with pharmaceutical discovery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P22</w:t>
      </w:r>
    </w:p>
    <w:p>
      <w:pPr>
        <w:sectPr>
          <w:pgSz w:w="11900" w:h="16838" w:orient="portrait"/>
          <w:cols w:equalWidth="0" w:num="1">
            <w:col w:w="11121"/>
          </w:cols>
          <w:pgMar w:left="359" w:top="1440" w:right="41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988695</wp:posOffset>
            </wp:positionV>
            <wp:extent cx="702945" cy="702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68"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David A. Ricks</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53, Director since 2017,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49465" cy="1706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0624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20" w:type="dxa"/>
            <w:vAlign w:val="bottom"/>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4520" w:type="dxa"/>
            <w:vAlign w:val="bottom"/>
            <w:shd w:val="clear" w:color="auto" w:fill="F4F6F6"/>
          </w:tcPr>
          <w:p>
            <w:pPr>
              <w:ind w:left="220"/>
              <w:spacing w:after="0"/>
              <w:rPr>
                <w:sz w:val="20"/>
                <w:szCs w:val="20"/>
                <w:color w:val="auto"/>
              </w:rPr>
            </w:pPr>
            <w:r>
              <w:rPr>
                <w:rFonts w:ascii="Arial" w:cs="Arial" w:eastAsia="Arial" w:hAnsi="Arial"/>
                <w:sz w:val="16"/>
                <w:szCs w:val="16"/>
                <w:b w:val="1"/>
                <w:bCs w:val="1"/>
                <w:color w:val="00ABE8"/>
              </w:rPr>
              <w:t>NON-PROFIT BOARDS</w:t>
            </w:r>
          </w:p>
        </w:tc>
        <w:tc>
          <w:tcPr>
            <w:tcW w:w="5100" w:type="dxa"/>
            <w:vAlign w:val="bottom"/>
            <w:shd w:val="clear" w:color="auto" w:fill="F4F6F6"/>
          </w:tcPr>
          <w:p>
            <w:pPr>
              <w:ind w:left="600"/>
              <w:spacing w:after="0"/>
              <w:rPr>
                <w:sz w:val="20"/>
                <w:szCs w:val="20"/>
                <w:color w:val="auto"/>
              </w:rPr>
            </w:pPr>
            <w:r>
              <w:rPr>
                <w:rFonts w:ascii="Arial" w:cs="Arial" w:eastAsia="Arial" w:hAnsi="Arial"/>
                <w:sz w:val="16"/>
                <w:szCs w:val="16"/>
                <w:b w:val="1"/>
                <w:bCs w:val="1"/>
                <w:color w:val="00ABE8"/>
              </w:rPr>
              <w:t>INDUSTRY MEMBERSHIPS</w:t>
            </w:r>
          </w:p>
        </w:tc>
      </w:tr>
      <w:tr>
        <w:trPr>
          <w:trHeight w:val="191"/>
        </w:trPr>
        <w:tc>
          <w:tcPr>
            <w:tcW w:w="1620" w:type="dxa"/>
            <w:vAlign w:val="bottom"/>
          </w:tcPr>
          <w:p>
            <w:pPr>
              <w:ind w:left="40"/>
              <w:spacing w:after="0"/>
              <w:rPr>
                <w:sz w:val="20"/>
                <w:szCs w:val="20"/>
                <w:color w:val="auto"/>
              </w:rPr>
            </w:pPr>
            <w:r>
              <w:rPr>
                <w:rFonts w:ascii="Arial" w:cs="Arial" w:eastAsia="Arial" w:hAnsi="Arial"/>
                <w:sz w:val="16"/>
                <w:szCs w:val="16"/>
                <w:color w:val="auto"/>
              </w:rPr>
              <w:t>Adobe Inc.</w:t>
            </w:r>
          </w:p>
        </w:tc>
        <w:tc>
          <w:tcPr>
            <w:tcW w:w="4520" w:type="dxa"/>
            <w:vAlign w:val="bottom"/>
          </w:tcPr>
          <w:p>
            <w:pPr>
              <w:ind w:left="220"/>
              <w:spacing w:after="0"/>
              <w:rPr>
                <w:sz w:val="20"/>
                <w:szCs w:val="20"/>
                <w:color w:val="auto"/>
              </w:rPr>
            </w:pPr>
            <w:r>
              <w:rPr>
                <w:rFonts w:ascii="Arial" w:cs="Arial" w:eastAsia="Arial" w:hAnsi="Arial"/>
                <w:sz w:val="16"/>
                <w:szCs w:val="16"/>
                <w:color w:val="auto"/>
              </w:rPr>
              <w:t>Board of Governors for Riley Children's Foundation;</w:t>
            </w:r>
          </w:p>
        </w:tc>
        <w:tc>
          <w:tcPr>
            <w:tcW w:w="5100" w:type="dxa"/>
            <w:vAlign w:val="bottom"/>
          </w:tcPr>
          <w:p>
            <w:pPr>
              <w:ind w:left="600"/>
              <w:spacing w:after="0"/>
              <w:rPr>
                <w:sz w:val="20"/>
                <w:szCs w:val="20"/>
                <w:color w:val="auto"/>
              </w:rPr>
            </w:pPr>
            <w:r>
              <w:rPr>
                <w:rFonts w:ascii="Arial" w:cs="Arial" w:eastAsia="Arial" w:hAnsi="Arial"/>
                <w:sz w:val="16"/>
                <w:szCs w:val="16"/>
                <w:color w:val="auto"/>
              </w:rPr>
              <w:t>International Federation of Pharmaceutical</w:t>
            </w:r>
          </w:p>
        </w:tc>
      </w:tr>
      <w:tr>
        <w:trPr>
          <w:trHeight w:val="176"/>
        </w:trPr>
        <w:tc>
          <w:tcPr>
            <w:tcW w:w="1620" w:type="dxa"/>
            <w:vAlign w:val="bottom"/>
          </w:tcPr>
          <w:p>
            <w:pPr>
              <w:spacing w:after="0"/>
              <w:rPr>
                <w:sz w:val="15"/>
                <w:szCs w:val="15"/>
                <w:color w:val="auto"/>
              </w:rPr>
            </w:pPr>
          </w:p>
        </w:tc>
        <w:tc>
          <w:tcPr>
            <w:tcW w:w="4520" w:type="dxa"/>
            <w:vAlign w:val="bottom"/>
          </w:tcPr>
          <w:p>
            <w:pPr>
              <w:ind w:left="220"/>
              <w:spacing w:after="0" w:line="175" w:lineRule="exact"/>
              <w:rPr>
                <w:sz w:val="20"/>
                <w:szCs w:val="20"/>
                <w:color w:val="auto"/>
              </w:rPr>
            </w:pPr>
            <w:r>
              <w:rPr>
                <w:rFonts w:ascii="Arial" w:cs="Arial" w:eastAsia="Arial" w:hAnsi="Arial"/>
                <w:sz w:val="16"/>
                <w:szCs w:val="16"/>
                <w:color w:val="auto"/>
              </w:rPr>
              <w:t>Central Indiana Corporate Partnership</w:t>
            </w: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Manufacturers &amp; Associations (IFPMA) CEO</w:t>
            </w:r>
          </w:p>
        </w:tc>
      </w:tr>
      <w:tr>
        <w:trPr>
          <w:trHeight w:val="175"/>
        </w:trPr>
        <w:tc>
          <w:tcPr>
            <w:tcW w:w="16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Steering Committee;</w:t>
            </w:r>
          </w:p>
        </w:tc>
      </w:tr>
      <w:tr>
        <w:trPr>
          <w:trHeight w:val="176"/>
        </w:trPr>
        <w:tc>
          <w:tcPr>
            <w:tcW w:w="16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Pharmaceutical Research and Manufacturers</w:t>
            </w:r>
          </w:p>
        </w:tc>
      </w:tr>
      <w:tr>
        <w:trPr>
          <w:trHeight w:val="175"/>
        </w:trPr>
        <w:tc>
          <w:tcPr>
            <w:tcW w:w="16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of America (PhRMA);</w:t>
            </w:r>
          </w:p>
        </w:tc>
      </w:tr>
      <w:tr>
        <w:trPr>
          <w:trHeight w:val="176"/>
        </w:trPr>
        <w:tc>
          <w:tcPr>
            <w:tcW w:w="16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The Business Roundtable;</w:t>
            </w:r>
          </w:p>
        </w:tc>
      </w:tr>
      <w:tr>
        <w:trPr>
          <w:trHeight w:val="176"/>
        </w:trPr>
        <w:tc>
          <w:tcPr>
            <w:tcW w:w="16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US-China Business Council;</w:t>
            </w:r>
          </w:p>
        </w:tc>
      </w:tr>
      <w:tr>
        <w:trPr>
          <w:trHeight w:val="175"/>
        </w:trPr>
        <w:tc>
          <w:tcPr>
            <w:tcW w:w="16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100" w:type="dxa"/>
            <w:vAlign w:val="bottom"/>
          </w:tcPr>
          <w:p>
            <w:pPr>
              <w:ind w:left="600"/>
              <w:spacing w:after="0" w:line="175" w:lineRule="exact"/>
              <w:rPr>
                <w:sz w:val="20"/>
                <w:szCs w:val="20"/>
                <w:color w:val="auto"/>
              </w:rPr>
            </w:pPr>
            <w:r>
              <w:rPr>
                <w:rFonts w:ascii="Arial" w:cs="Arial" w:eastAsia="Arial" w:hAnsi="Arial"/>
                <w:sz w:val="16"/>
                <w:szCs w:val="16"/>
                <w:color w:val="auto"/>
              </w:rPr>
              <w:t>National Council for Expanding American</w:t>
            </w:r>
          </w:p>
        </w:tc>
      </w:tr>
      <w:tr>
        <w:trPr>
          <w:trHeight w:val="195"/>
        </w:trPr>
        <w:tc>
          <w:tcPr>
            <w:tcW w:w="16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100" w:type="dxa"/>
            <w:vAlign w:val="bottom"/>
          </w:tcPr>
          <w:p>
            <w:pPr>
              <w:ind w:left="600"/>
              <w:spacing w:after="0"/>
              <w:rPr>
                <w:sz w:val="20"/>
                <w:szCs w:val="20"/>
                <w:color w:val="auto"/>
              </w:rPr>
            </w:pPr>
            <w:r>
              <w:rPr>
                <w:rFonts w:ascii="Arial" w:cs="Arial" w:eastAsia="Arial" w:hAnsi="Arial"/>
                <w:sz w:val="16"/>
                <w:szCs w:val="16"/>
                <w:color w:val="auto"/>
              </w:rPr>
              <w:t>Innovation (NCEAI)</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46" w:lineRule="exact"/>
        <w:rPr>
          <w:sz w:val="20"/>
          <w:szCs w:val="20"/>
          <w:color w:val="auto"/>
        </w:rPr>
      </w:pPr>
    </w:p>
    <w:p>
      <w:pPr>
        <w:ind w:left="140" w:hanging="101"/>
        <w:spacing w:after="0"/>
        <w:tabs>
          <w:tab w:leader="none" w:pos="1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Eli Lilly and Company</w:t>
      </w:r>
    </w:p>
    <w:p>
      <w:pPr>
        <w:spacing w:after="0" w:line="52" w:lineRule="exact"/>
        <w:rPr>
          <w:rFonts w:ascii="Arial" w:cs="Arial" w:eastAsia="Arial" w:hAnsi="Arial"/>
          <w:sz w:val="16"/>
          <w:szCs w:val="16"/>
          <w:b w:val="1"/>
          <w:bCs w:val="1"/>
          <w:color w:val="auto"/>
        </w:rPr>
      </w:pPr>
    </w:p>
    <w:p>
      <w:pPr>
        <w:ind w:left="360" w:hanging="95"/>
        <w:spacing w:after="0"/>
        <w:tabs>
          <w:tab w:leader="none" w:pos="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Chairman, President, and Chief Executive Officer (2017 - present)</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Senior Vice President and President, Lilly Bio-Medicines (2012 - 2016)</w:t>
      </w:r>
    </w:p>
    <w:p>
      <w:pPr>
        <w:spacing w:after="0" w:line="25"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149465" cy="796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796925"/>
                    </a:xfrm>
                    <a:prstGeom prst="rect">
                      <a:avLst/>
                    </a:prstGeom>
                    <a:noFill/>
                  </pic:spPr>
                </pic:pic>
              </a:graphicData>
            </a:graphic>
          </wp:anchor>
        </w:drawing>
      </w:r>
    </w:p>
    <w:p>
      <w:pPr>
        <w:spacing w:after="0" w:line="46" w:lineRule="exact"/>
        <w:rPr>
          <w:sz w:val="20"/>
          <w:szCs w:val="20"/>
          <w:color w:val="auto"/>
        </w:rPr>
      </w:pPr>
    </w:p>
    <w:p>
      <w:pPr>
        <w:ind w:left="40" w:right="160"/>
        <w:spacing w:after="0" w:line="237" w:lineRule="auto"/>
        <w:rPr>
          <w:sz w:val="20"/>
          <w:szCs w:val="20"/>
          <w:color w:val="auto"/>
        </w:rPr>
      </w:pPr>
      <w:r>
        <w:rPr>
          <w:rFonts w:ascii="Arial" w:cs="Arial" w:eastAsia="Arial" w:hAnsi="Arial"/>
          <w:sz w:val="16"/>
          <w:szCs w:val="16"/>
          <w:color w:val="auto"/>
        </w:rPr>
        <w:t>Mr. Ricks was named President and Chief Executive Officer on January 1, 2017, and Chairman on June 1, 2017. Mr. Ricks joined Lilly in 1996, and most recently served as president of Lilly Bio-Medicines. He has deep expertise in product development, global sales and marketing, as well as public policy. He has significant global expertise in the company's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227330</wp:posOffset>
            </wp:positionV>
            <wp:extent cx="702945" cy="702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Marschall S. Runge, M.D., Ph.D.</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66, Director since 2013,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Ethics and Compliance; Science and Technology</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8940" w:type="dxa"/>
            <w:vAlign w:val="bottom"/>
            <w:tcBorders>
              <w:right w:val="single" w:sz="8" w:color="F4F6F6"/>
            </w:tcBorders>
            <w:shd w:val="clear" w:color="auto" w:fill="F4F6F6"/>
          </w:tcPr>
          <w:p>
            <w:pPr>
              <w:ind w:left="52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213"/>
        </w:trPr>
        <w:tc>
          <w:tcPr>
            <w:tcW w:w="232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Michigan Medicine</w:t>
            </w:r>
          </w:p>
        </w:tc>
        <w:tc>
          <w:tcPr>
            <w:tcW w:w="8940" w:type="dxa"/>
            <w:vAlign w:val="bottom"/>
            <w:tcBorders>
              <w:right w:val="single" w:sz="8" w:color="F4F6F6"/>
            </w:tcBorders>
          </w:tcPr>
          <w:p>
            <w:pPr>
              <w:ind w:left="520"/>
              <w:spacing w:after="0"/>
              <w:rPr>
                <w:sz w:val="20"/>
                <w:szCs w:val="20"/>
                <w:color w:val="auto"/>
              </w:rPr>
            </w:pPr>
            <w:r>
              <w:rPr>
                <w:rFonts w:ascii="Arial" w:cs="Arial" w:eastAsia="Arial" w:hAnsi="Arial"/>
                <w:sz w:val="16"/>
                <w:szCs w:val="16"/>
                <w:color w:val="auto"/>
              </w:rPr>
              <w:t>Experimental Cardiovascular Sciences Study Section of the National Institutes of Health</w:t>
            </w:r>
          </w:p>
        </w:tc>
      </w:tr>
      <w:tr>
        <w:trPr>
          <w:trHeight w:val="246"/>
        </w:trPr>
        <w:tc>
          <w:tcPr>
            <w:tcW w:w="232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8940" w:type="dxa"/>
            <w:vAlign w:val="bottom"/>
            <w:tcBorders>
              <w:right w:val="single" w:sz="8" w:color="F4F6F6"/>
            </w:tcBorders>
            <w:shd w:val="clear" w:color="auto" w:fill="F4F6F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49465" cy="12604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260475"/>
                    </a:xfrm>
                    <a:prstGeom prst="rect">
                      <a:avLst/>
                    </a:prstGeom>
                    <a:noFill/>
                  </pic:spPr>
                </pic:pic>
              </a:graphicData>
            </a:graphic>
          </wp:anchor>
        </w:drawing>
      </w:r>
    </w:p>
    <w:p>
      <w:pPr>
        <w:ind w:left="140" w:hanging="101"/>
        <w:spacing w:after="0"/>
        <w:tabs>
          <w:tab w:leader="none" w:pos="14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University of Michigan</w:t>
      </w:r>
    </w:p>
    <w:p>
      <w:pPr>
        <w:spacing w:after="0" w:line="47" w:lineRule="exact"/>
        <w:rPr>
          <w:rFonts w:ascii="Arial" w:cs="Arial" w:eastAsia="Arial" w:hAnsi="Arial"/>
          <w:sz w:val="16"/>
          <w:szCs w:val="16"/>
          <w:b w:val="1"/>
          <w:bCs w:val="1"/>
          <w:color w:val="auto"/>
        </w:rPr>
      </w:pPr>
    </w:p>
    <w:p>
      <w:pPr>
        <w:ind w:left="360" w:hanging="95"/>
        <w:spacing w:after="0"/>
        <w:tabs>
          <w:tab w:leader="none" w:pos="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CEO, Michigan Medicine (2015 - present)</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Executive Vice President for Medical Affairs (2015 - present)</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Dean, Medical School (2015 - present)</w:t>
      </w:r>
    </w:p>
    <w:p>
      <w:pPr>
        <w:spacing w:after="0" w:line="12" w:lineRule="exact"/>
        <w:rPr>
          <w:rFonts w:ascii="Arial" w:cs="Arial" w:eastAsia="Arial" w:hAnsi="Arial"/>
          <w:sz w:val="16"/>
          <w:szCs w:val="16"/>
          <w:color w:val="auto"/>
        </w:rPr>
      </w:pPr>
    </w:p>
    <w:p>
      <w:pPr>
        <w:ind w:left="140" w:hanging="101"/>
        <w:spacing w:after="0"/>
        <w:tabs>
          <w:tab w:leader="none" w:pos="14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University of North Carolina, School of Medicine</w:t>
      </w:r>
    </w:p>
    <w:p>
      <w:pPr>
        <w:spacing w:after="0" w:line="52" w:lineRule="exact"/>
        <w:rPr>
          <w:rFonts w:ascii="Arial" w:cs="Arial" w:eastAsia="Arial" w:hAnsi="Arial"/>
          <w:sz w:val="16"/>
          <w:szCs w:val="16"/>
          <w:b w:val="1"/>
          <w:bCs w:val="1"/>
          <w:color w:val="auto"/>
        </w:rPr>
      </w:pPr>
    </w:p>
    <w:p>
      <w:pPr>
        <w:ind w:left="360" w:hanging="95"/>
        <w:spacing w:after="0"/>
        <w:tabs>
          <w:tab w:leader="none" w:pos="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Executive Dean (2010 - 2015)</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Chair of the Department of Medicine (2000 - 2015)</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Principal Investigator and Director of the North Carolina Translational and Clinical Sciences Institute (2010 - 2015)</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49465"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394335"/>
                    </a:xfrm>
                    <a:prstGeom prst="rect">
                      <a:avLst/>
                    </a:prstGeom>
                    <a:noFill/>
                  </pic:spPr>
                </pic:pic>
              </a:graphicData>
            </a:graphic>
          </wp:anchor>
        </w:drawing>
      </w:r>
    </w:p>
    <w:p>
      <w:pPr>
        <w:spacing w:after="0" w:line="46" w:lineRule="exact"/>
        <w:rPr>
          <w:sz w:val="20"/>
          <w:szCs w:val="20"/>
          <w:color w:val="auto"/>
        </w:rPr>
      </w:pPr>
    </w:p>
    <w:p>
      <w:pPr>
        <w:ind w:left="40" w:right="220"/>
        <w:spacing w:after="0" w:line="242" w:lineRule="auto"/>
        <w:rPr>
          <w:sz w:val="20"/>
          <w:szCs w:val="20"/>
          <w:color w:val="auto"/>
        </w:rPr>
      </w:pPr>
      <w:r>
        <w:rPr>
          <w:rFonts w:ascii="Arial" w:cs="Arial" w:eastAsia="Arial" w:hAnsi="Arial"/>
          <w:sz w:val="16"/>
          <w:szCs w:val="16"/>
          <w:color w:val="auto"/>
        </w:rPr>
        <w:t>Dr. Runge brings the unique perspective of a practicing physician who has a broad background in healthcare and academia. He has extensive experience as a practicing cardiologist, a strong understanding of healthcare facility systems, and deep expertise in biomedical research and clinical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P23</w:t>
      </w:r>
    </w:p>
    <w:p>
      <w:pPr>
        <w:sectPr>
          <w:pgSz w:w="11900" w:h="16838" w:orient="portrait"/>
          <w:cols w:equalWidth="0" w:num="1">
            <w:col w:w="11260"/>
          </w:cols>
          <w:pgMar w:left="320" w:top="1440"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988695</wp:posOffset>
            </wp:positionV>
            <wp:extent cx="702945" cy="7029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68"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Karen Walker</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59, Director since 2018,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Compensation</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3740" w:type="dxa"/>
            <w:vAlign w:val="bottom"/>
            <w:tcBorders>
              <w:bottom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NON-PROFIT BOARDS</w:t>
            </w:r>
          </w:p>
        </w:tc>
        <w:tc>
          <w:tcPr>
            <w:tcW w:w="3780" w:type="dxa"/>
            <w:vAlign w:val="bottom"/>
            <w:tcBorders>
              <w:right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157"/>
        </w:trPr>
        <w:tc>
          <w:tcPr>
            <w:tcW w:w="3740" w:type="dxa"/>
            <w:vAlign w:val="bottom"/>
            <w:tcBorders>
              <w:left w:val="single" w:sz="8" w:color="F4F6F6"/>
            </w:tcBorders>
          </w:tcPr>
          <w:p>
            <w:pPr>
              <w:ind w:left="40"/>
              <w:spacing w:after="0" w:line="158" w:lineRule="exact"/>
              <w:rPr>
                <w:sz w:val="20"/>
                <w:szCs w:val="20"/>
                <w:color w:val="auto"/>
              </w:rPr>
            </w:pPr>
            <w:r>
              <w:rPr>
                <w:rFonts w:ascii="Arial" w:cs="Arial" w:eastAsia="Arial" w:hAnsi="Arial"/>
                <w:sz w:val="16"/>
                <w:szCs w:val="16"/>
                <w:color w:val="auto"/>
              </w:rPr>
              <w:t>Sprout Social, Inc.</w:t>
            </w:r>
          </w:p>
        </w:tc>
        <w:tc>
          <w:tcPr>
            <w:tcW w:w="3740" w:type="dxa"/>
            <w:vAlign w:val="bottom"/>
          </w:tcPr>
          <w:p>
            <w:pPr>
              <w:ind w:left="20"/>
              <w:spacing w:after="0" w:line="158" w:lineRule="exact"/>
              <w:rPr>
                <w:sz w:val="20"/>
                <w:szCs w:val="20"/>
                <w:color w:val="auto"/>
              </w:rPr>
            </w:pPr>
            <w:r>
              <w:rPr>
                <w:rFonts w:ascii="Arial" w:cs="Arial" w:eastAsia="Arial" w:hAnsi="Arial"/>
                <w:sz w:val="16"/>
                <w:szCs w:val="16"/>
                <w:color w:val="auto"/>
              </w:rPr>
              <w:t>Salvation Army Advisory Board of Silicon Valley</w:t>
            </w:r>
          </w:p>
        </w:tc>
        <w:tc>
          <w:tcPr>
            <w:tcW w:w="3780" w:type="dxa"/>
            <w:vAlign w:val="bottom"/>
            <w:tcBorders>
              <w:right w:val="single" w:sz="8" w:color="F4F6F6"/>
            </w:tcBorders>
          </w:tcPr>
          <w:p>
            <w:pPr>
              <w:ind w:left="20"/>
              <w:spacing w:after="0" w:line="158" w:lineRule="exact"/>
              <w:rPr>
                <w:sz w:val="20"/>
                <w:szCs w:val="20"/>
                <w:color w:val="auto"/>
              </w:rPr>
            </w:pPr>
            <w:r>
              <w:rPr>
                <w:rFonts w:ascii="Arial" w:cs="Arial" w:eastAsia="Arial" w:hAnsi="Arial"/>
                <w:sz w:val="16"/>
                <w:szCs w:val="16"/>
                <w:color w:val="auto"/>
              </w:rPr>
              <w:t>Association of National Advertisers (board and</w:t>
            </w:r>
          </w:p>
        </w:tc>
      </w:tr>
      <w:tr>
        <w:trPr>
          <w:trHeight w:val="198"/>
        </w:trPr>
        <w:tc>
          <w:tcPr>
            <w:tcW w:w="3740" w:type="dxa"/>
            <w:vAlign w:val="bottom"/>
            <w:tcBorders>
              <w:left w:val="single" w:sz="8" w:color="F4F6F6"/>
            </w:tcBorders>
          </w:tcPr>
          <w:p>
            <w:pPr>
              <w:spacing w:after="0"/>
              <w:rPr>
                <w:sz w:val="17"/>
                <w:szCs w:val="17"/>
                <w:color w:val="auto"/>
              </w:rPr>
            </w:pPr>
          </w:p>
        </w:tc>
        <w:tc>
          <w:tcPr>
            <w:tcW w:w="3740" w:type="dxa"/>
            <w:vAlign w:val="bottom"/>
          </w:tcPr>
          <w:p>
            <w:pPr>
              <w:spacing w:after="0"/>
              <w:rPr>
                <w:sz w:val="17"/>
                <w:szCs w:val="17"/>
                <w:color w:val="auto"/>
              </w:rPr>
            </w:pPr>
          </w:p>
        </w:tc>
        <w:tc>
          <w:tcPr>
            <w:tcW w:w="378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executive committee)</w:t>
            </w:r>
          </w:p>
        </w:tc>
      </w:tr>
      <w:tr>
        <w:trPr>
          <w:trHeight w:val="246"/>
        </w:trPr>
        <w:tc>
          <w:tcPr>
            <w:tcW w:w="374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3740" w:type="dxa"/>
            <w:vAlign w:val="bottom"/>
            <w:shd w:val="clear" w:color="auto" w:fill="F4F6F6"/>
          </w:tcPr>
          <w:p>
            <w:pPr>
              <w:spacing w:after="0"/>
              <w:rPr>
                <w:sz w:val="21"/>
                <w:szCs w:val="21"/>
                <w:color w:val="auto"/>
              </w:rPr>
            </w:pPr>
          </w:p>
        </w:tc>
        <w:tc>
          <w:tcPr>
            <w:tcW w:w="3780" w:type="dxa"/>
            <w:vAlign w:val="bottom"/>
            <w:tcBorders>
              <w:right w:val="single" w:sz="8" w:color="F4F6F6"/>
            </w:tcBorders>
            <w:shd w:val="clear" w:color="auto" w:fill="F4F6F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17145" cy="960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96012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0</wp:posOffset>
            </wp:positionV>
            <wp:extent cx="17145" cy="960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960120"/>
                    </a:xfrm>
                    <a:prstGeom prst="rect">
                      <a:avLst/>
                    </a:prstGeom>
                    <a:noFill/>
                  </pic:spPr>
                </pic:pic>
              </a:graphicData>
            </a:graphic>
          </wp:anchor>
        </w:drawing>
      </w:r>
    </w:p>
    <w:p>
      <w:pPr>
        <w:ind w:left="140" w:hanging="101"/>
        <w:spacing w:after="0"/>
        <w:tabs>
          <w:tab w:leader="none" w:pos="14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Intel Corporation, </w:t>
      </w:r>
      <w:r>
        <w:rPr>
          <w:rFonts w:ascii="Arial" w:cs="Arial" w:eastAsia="Arial" w:hAnsi="Arial"/>
          <w:sz w:val="16"/>
          <w:szCs w:val="16"/>
          <w:color w:val="auto"/>
        </w:rPr>
        <w:t>a leader in the semiconductor industry</w:t>
      </w:r>
    </w:p>
    <w:p>
      <w:pPr>
        <w:spacing w:after="0" w:line="47" w:lineRule="exact"/>
        <w:rPr>
          <w:rFonts w:ascii="Arial" w:cs="Arial" w:eastAsia="Arial" w:hAnsi="Arial"/>
          <w:sz w:val="16"/>
          <w:szCs w:val="16"/>
          <w:color w:val="auto"/>
        </w:rPr>
      </w:pPr>
    </w:p>
    <w:p>
      <w:pPr>
        <w:ind w:left="360" w:hanging="95"/>
        <w:spacing w:after="0"/>
        <w:tabs>
          <w:tab w:leader="none" w:pos="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Senior Vice President and Chief Marketing Officer (2019 - present)</w:t>
      </w:r>
    </w:p>
    <w:p>
      <w:pPr>
        <w:spacing w:after="0" w:line="12" w:lineRule="exact"/>
        <w:rPr>
          <w:rFonts w:ascii="Arial" w:cs="Arial" w:eastAsia="Arial" w:hAnsi="Arial"/>
          <w:sz w:val="16"/>
          <w:szCs w:val="16"/>
          <w:color w:val="auto"/>
        </w:rPr>
      </w:pPr>
    </w:p>
    <w:p>
      <w:pPr>
        <w:ind w:left="260" w:right="4120" w:hanging="221"/>
        <w:spacing w:after="0" w:line="294" w:lineRule="auto"/>
        <w:tabs>
          <w:tab w:leader="none" w:pos="137"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Cisco Systems, Inc., </w:t>
      </w:r>
      <w:r>
        <w:rPr>
          <w:rFonts w:ascii="Arial" w:cs="Arial" w:eastAsia="Arial" w:hAnsi="Arial"/>
          <w:sz w:val="16"/>
          <w:szCs w:val="16"/>
          <w:color w:val="auto"/>
        </w:rPr>
        <w:t>a provider of communications technologies and services to commercial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customers</w:t>
      </w:r>
    </w:p>
    <w:p>
      <w:pPr>
        <w:spacing w:after="0" w:line="1" w:lineRule="exact"/>
        <w:rPr>
          <w:rFonts w:ascii="Arial" w:cs="Arial" w:eastAsia="Arial" w:hAnsi="Arial"/>
          <w:sz w:val="16"/>
          <w:szCs w:val="16"/>
          <w:color w:val="auto"/>
        </w:rPr>
      </w:pPr>
    </w:p>
    <w:p>
      <w:pPr>
        <w:ind w:left="360" w:hanging="95"/>
        <w:spacing w:after="0"/>
        <w:tabs>
          <w:tab w:leader="none" w:pos="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Senior Vice President and Chief Marketing Officer (2015 - 2019)</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Senior Vice President, Marketing (2013 - 2015)</w:t>
      </w:r>
    </w:p>
    <w:p>
      <w:pPr>
        <w:spacing w:after="0" w:line="32" w:lineRule="exact"/>
        <w:rPr>
          <w:rFonts w:ascii="Arial" w:cs="Arial" w:eastAsia="Arial" w:hAnsi="Arial"/>
          <w:sz w:val="16"/>
          <w:szCs w:val="16"/>
          <w:color w:val="auto"/>
        </w:rPr>
      </w:pPr>
    </w:p>
    <w:p>
      <w:pPr>
        <w:ind w:left="360" w:hanging="95"/>
        <w:spacing w:after="0"/>
        <w:tabs>
          <w:tab w:leader="none" w:pos="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Senior Vice President of Segment, Services and Partner Marketing (2012 - 2013)</w:t>
      </w:r>
    </w:p>
    <w:p>
      <w:pPr>
        <w:spacing w:after="0" w:line="25"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49465" cy="677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677545"/>
                    </a:xfrm>
                    <a:prstGeom prst="rect">
                      <a:avLst/>
                    </a:prstGeom>
                    <a:noFill/>
                  </pic:spPr>
                </pic:pic>
              </a:graphicData>
            </a:graphic>
          </wp:anchor>
        </w:drawing>
      </w:r>
    </w:p>
    <w:p>
      <w:pPr>
        <w:spacing w:after="0" w:line="46" w:lineRule="exact"/>
        <w:rPr>
          <w:sz w:val="20"/>
          <w:szCs w:val="20"/>
          <w:color w:val="auto"/>
        </w:rPr>
      </w:pPr>
    </w:p>
    <w:p>
      <w:pPr>
        <w:ind w:left="40" w:right="2820"/>
        <w:spacing w:after="0" w:line="235" w:lineRule="auto"/>
        <w:rPr>
          <w:sz w:val="20"/>
          <w:szCs w:val="20"/>
          <w:color w:val="auto"/>
        </w:rPr>
      </w:pPr>
      <w:r>
        <w:rPr>
          <w:rFonts w:ascii="Arial" w:cs="Arial" w:eastAsia="Arial" w:hAnsi="Arial"/>
          <w:sz w:val="16"/>
          <w:szCs w:val="16"/>
          <w:color w:val="auto"/>
        </w:rPr>
        <w:t>Ms. Walker brings extensive marketing and digital expertise. She has valuable business experience developed through her business and consumer leadership positions in the information technology industry and is a recognized industry authority on both technology and marketing. Her business expertise includes senior field and marketing roles in Europe, North America, and the Asia-Pacific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P24</w:t>
      </w:r>
    </w:p>
    <w:p>
      <w:pPr>
        <w:sectPr>
          <w:pgSz w:w="11900" w:h="16838" w:orient="portrait"/>
          <w:cols w:equalWidth="0" w:num="1">
            <w:col w:w="11260"/>
          </w:cols>
          <w:pgMar w:left="320" w:top="1440" w:right="319" w:bottom="1440" w:gutter="0" w:footer="0" w:header="0"/>
        </w:sectPr>
      </w:pPr>
    </w:p>
    <w:bookmarkStart w:id="29" w:name="page30"/>
    <w:bookmarkEnd w:id="29"/>
    <w:p>
      <w:pPr>
        <w:spacing w:after="0"/>
        <w:rPr>
          <w:sz w:val="20"/>
          <w:szCs w:val="20"/>
          <w:color w:val="auto"/>
        </w:rPr>
      </w:pPr>
      <w:r>
        <w:rPr>
          <w:rFonts w:ascii="Arial" w:cs="Arial" w:eastAsia="Arial" w:hAnsi="Arial"/>
          <w:sz w:val="27"/>
          <w:szCs w:val="27"/>
          <w:b w:val="1"/>
          <w:bCs w:val="1"/>
          <w:color w:val="EF3729"/>
        </w:rPr>
        <w:t>Director Qualifications and Nomination Process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Qualifications</w:t>
      </w:r>
    </w:p>
    <w:p>
      <w:pPr>
        <w:spacing w:after="0" w:line="16" w:lineRule="exact"/>
        <w:rPr>
          <w:sz w:val="20"/>
          <w:szCs w:val="20"/>
          <w:color w:val="auto"/>
        </w:rPr>
      </w:pPr>
    </w:p>
    <w:p>
      <w:pPr>
        <w:ind w:right="380"/>
        <w:spacing w:after="0" w:line="235" w:lineRule="auto"/>
        <w:rPr>
          <w:sz w:val="20"/>
          <w:szCs w:val="20"/>
          <w:color w:val="auto"/>
        </w:rPr>
      </w:pPr>
      <w:r>
        <w:rPr>
          <w:rFonts w:ascii="Arial" w:cs="Arial" w:eastAsia="Arial" w:hAnsi="Arial"/>
          <w:sz w:val="16"/>
          <w:szCs w:val="16"/>
          <w:b w:val="1"/>
          <w:bCs w:val="1"/>
          <w:color w:val="EE2724"/>
        </w:rPr>
        <w:t xml:space="preserve">Experience: </w:t>
      </w:r>
      <w:r>
        <w:rPr>
          <w:rFonts w:ascii="Arial" w:cs="Arial" w:eastAsia="Arial" w:hAnsi="Arial"/>
          <w:sz w:val="16"/>
          <w:szCs w:val="16"/>
          <w:color w:val="000000"/>
        </w:rPr>
        <w:t>Our directors are responsible for overseeing the company's business consistent with their fiduciary duties. This significant responsibility</w:t>
      </w:r>
      <w:r>
        <w:rPr>
          <w:rFonts w:ascii="Arial" w:cs="Arial" w:eastAsia="Arial" w:hAnsi="Arial"/>
          <w:sz w:val="16"/>
          <w:szCs w:val="16"/>
          <w:b w:val="1"/>
          <w:bCs w:val="1"/>
          <w:color w:val="EE2724"/>
        </w:rPr>
        <w:t xml:space="preserve"> </w:t>
      </w:r>
      <w:r>
        <w:rPr>
          <w:rFonts w:ascii="Arial" w:cs="Arial" w:eastAsia="Arial" w:hAnsi="Arial"/>
          <w:sz w:val="16"/>
          <w:szCs w:val="16"/>
          <w:color w:val="000000"/>
        </w:rPr>
        <w:t>requires highly skilled individuals with various qualities, attributes, and professional experience. We believe the board is well-rounded, with a balance of relevant perspectives and experience, as illustrated in the following chart. Categories referencing "expertise" indicate that the director is an expert in the field, while "experience" indicates direct experience, including management and oversight of significant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72390</wp:posOffset>
            </wp:positionV>
            <wp:extent cx="20828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4" w:lineRule="exact"/>
        <w:rPr>
          <w:sz w:val="20"/>
          <w:szCs w:val="20"/>
          <w:color w:val="auto"/>
        </w:rPr>
      </w:pPr>
    </w:p>
    <w:tbl>
      <w:tblPr>
        <w:tblLayout w:type="fixed"/>
        <w:tblInd w:w="2880" w:type="dxa"/>
        <w:tblCellMar>
          <w:top w:w="0" w:type="dxa"/>
          <w:left w:w="0" w:type="dxa"/>
          <w:bottom w:w="0" w:type="dxa"/>
          <w:right w:w="0" w:type="dxa"/>
        </w:tblCellMar>
      </w:tblPr>
      <w:tr>
        <w:trPr>
          <w:trHeight w:val="258"/>
        </w:trPr>
        <w:tc>
          <w:tcPr>
            <w:tcW w:w="2400" w:type="dxa"/>
            <w:vAlign w:val="bottom"/>
          </w:tcPr>
          <w:p>
            <w:pPr>
              <w:jc w:val="right"/>
              <w:spacing w:after="0"/>
              <w:rPr>
                <w:sz w:val="20"/>
                <w:szCs w:val="20"/>
                <w:color w:val="auto"/>
              </w:rPr>
            </w:pPr>
            <w:r>
              <w:rPr>
                <w:rFonts w:ascii="Arial" w:cs="Arial" w:eastAsia="Arial" w:hAnsi="Arial"/>
                <w:sz w:val="13"/>
                <w:szCs w:val="13"/>
                <w:b w:val="1"/>
                <w:bCs w:val="1"/>
                <w:color w:val="auto"/>
              </w:rPr>
              <w:t>CEO Experience:</w:t>
            </w:r>
          </w:p>
        </w:tc>
        <w:tc>
          <w:tcPr>
            <w:tcW w:w="860" w:type="dxa"/>
            <w:vAlign w:val="bottom"/>
            <w:shd w:val="clear" w:color="auto" w:fill="1CA8E1"/>
          </w:tcPr>
          <w:p>
            <w:pPr>
              <w:spacing w:after="0"/>
              <w:rPr>
                <w:sz w:val="22"/>
                <w:szCs w:val="22"/>
                <w:color w:val="auto"/>
              </w:rPr>
            </w:pPr>
          </w:p>
        </w:tc>
        <w:tc>
          <w:tcPr>
            <w:tcW w:w="300" w:type="dxa"/>
            <w:vAlign w:val="bottom"/>
            <w:shd w:val="clear" w:color="auto" w:fill="1CA8E1"/>
          </w:tcPr>
          <w:p>
            <w:pPr>
              <w:spacing w:after="0"/>
              <w:rPr>
                <w:sz w:val="22"/>
                <w:szCs w:val="22"/>
                <w:color w:val="auto"/>
              </w:rPr>
            </w:pPr>
          </w:p>
        </w:tc>
        <w:tc>
          <w:tcPr>
            <w:tcW w:w="300" w:type="dxa"/>
            <w:vAlign w:val="bottom"/>
            <w:shd w:val="clear" w:color="auto" w:fill="1CA8E1"/>
          </w:tcPr>
          <w:p>
            <w:pPr>
              <w:spacing w:after="0"/>
              <w:rPr>
                <w:sz w:val="22"/>
                <w:szCs w:val="22"/>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00ABE8"/>
              </w:rPr>
              <w:t>5</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Financial Expertise:</w:t>
            </w:r>
          </w:p>
        </w:tc>
        <w:tc>
          <w:tcPr>
            <w:tcW w:w="860" w:type="dxa"/>
            <w:vAlign w:val="bottom"/>
            <w:shd w:val="clear" w:color="auto" w:fill="1CA8E1"/>
          </w:tcPr>
          <w:p>
            <w:pPr>
              <w:spacing w:after="0"/>
              <w:rPr>
                <w:sz w:val="4"/>
                <w:szCs w:val="4"/>
                <w:color w:val="auto"/>
              </w:rPr>
            </w:pPr>
          </w:p>
        </w:tc>
        <w:tc>
          <w:tcPr>
            <w:tcW w:w="300" w:type="dxa"/>
            <w:vAlign w:val="bottom"/>
            <w:shd w:val="clear" w:color="auto" w:fill="1CA8E1"/>
          </w:tcPr>
          <w:p>
            <w:pPr>
              <w:spacing w:after="0"/>
              <w:rPr>
                <w:sz w:val="4"/>
                <w:szCs w:val="4"/>
                <w:color w:val="auto"/>
              </w:rPr>
            </w:pPr>
          </w:p>
        </w:tc>
        <w:tc>
          <w:tcPr>
            <w:tcW w:w="300" w:type="dxa"/>
            <w:vAlign w:val="bottom"/>
            <w:shd w:val="clear" w:color="auto" w:fill="1CA8E1"/>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0ABE8"/>
              </w:rPr>
              <w:t>9</w:t>
            </w: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400" w:type="dxa"/>
            <w:vAlign w:val="bottom"/>
            <w:vMerge w:val="continue"/>
          </w:tcPr>
          <w:p>
            <w:pPr>
              <w:spacing w:after="0"/>
              <w:rPr>
                <w:sz w:val="24"/>
                <w:szCs w:val="24"/>
                <w:color w:val="auto"/>
              </w:rPr>
            </w:pPr>
          </w:p>
        </w:tc>
        <w:tc>
          <w:tcPr>
            <w:tcW w:w="860" w:type="dxa"/>
            <w:vAlign w:val="bottom"/>
            <w:tcBorders>
              <w:bottom w:val="single" w:sz="8" w:color="1CA8E1"/>
            </w:tcBorders>
            <w:shd w:val="clear" w:color="auto" w:fill="1CA8E1"/>
          </w:tcPr>
          <w:p>
            <w:pPr>
              <w:spacing w:after="0"/>
              <w:rPr>
                <w:sz w:val="24"/>
                <w:szCs w:val="24"/>
                <w:color w:val="auto"/>
              </w:rPr>
            </w:pPr>
          </w:p>
        </w:tc>
        <w:tc>
          <w:tcPr>
            <w:tcW w:w="300" w:type="dxa"/>
            <w:vAlign w:val="bottom"/>
            <w:tcBorders>
              <w:bottom w:val="single" w:sz="8" w:color="1CA8E1"/>
            </w:tcBorders>
            <w:shd w:val="clear" w:color="auto" w:fill="1CA8E1"/>
          </w:tcPr>
          <w:p>
            <w:pPr>
              <w:spacing w:after="0"/>
              <w:rPr>
                <w:sz w:val="24"/>
                <w:szCs w:val="24"/>
                <w:color w:val="auto"/>
              </w:rPr>
            </w:pPr>
          </w:p>
        </w:tc>
        <w:tc>
          <w:tcPr>
            <w:tcW w:w="580" w:type="dxa"/>
            <w:vAlign w:val="bottom"/>
            <w:tcBorders>
              <w:bottom w:val="single" w:sz="8" w:color="1CA8E1"/>
            </w:tcBorders>
            <w:gridSpan w:val="2"/>
            <w:shd w:val="clear" w:color="auto" w:fill="1CA8E1"/>
          </w:tcPr>
          <w:p>
            <w:pPr>
              <w:spacing w:after="0"/>
              <w:rPr>
                <w:sz w:val="24"/>
                <w:szCs w:val="24"/>
                <w:color w:val="auto"/>
              </w:rPr>
            </w:pPr>
          </w:p>
        </w:tc>
        <w:tc>
          <w:tcPr>
            <w:tcW w:w="300" w:type="dxa"/>
            <w:vAlign w:val="bottom"/>
            <w:tcBorders>
              <w:bottom w:val="single" w:sz="8" w:color="1CA8E1"/>
            </w:tcBorders>
            <w:shd w:val="clear" w:color="auto" w:fill="1CA8E1"/>
          </w:tcPr>
          <w:p>
            <w:pPr>
              <w:spacing w:after="0"/>
              <w:rPr>
                <w:sz w:val="24"/>
                <w:szCs w:val="24"/>
                <w:color w:val="auto"/>
              </w:rPr>
            </w:pPr>
          </w:p>
        </w:tc>
        <w:tc>
          <w:tcPr>
            <w:tcW w:w="580" w:type="dxa"/>
            <w:vAlign w:val="bottom"/>
            <w:tcBorders>
              <w:bottom w:val="single" w:sz="8" w:color="1CA8E1"/>
            </w:tcBorders>
            <w:shd w:val="clear" w:color="auto" w:fill="1CA8E1"/>
          </w:tcPr>
          <w:p>
            <w:pPr>
              <w:spacing w:after="0"/>
              <w:rPr>
                <w:sz w:val="24"/>
                <w:szCs w:val="24"/>
                <w:color w:val="auto"/>
              </w:rPr>
            </w:pPr>
          </w:p>
        </w:tc>
        <w:tc>
          <w:tcPr>
            <w:tcW w:w="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jc w:val="right"/>
              <w:spacing w:after="0"/>
              <w:rPr>
                <w:sz w:val="20"/>
                <w:szCs w:val="20"/>
                <w:color w:val="auto"/>
              </w:rPr>
            </w:pPr>
            <w:r>
              <w:rPr>
                <w:rFonts w:ascii="Arial" w:cs="Arial" w:eastAsia="Arial" w:hAnsi="Arial"/>
                <w:sz w:val="13"/>
                <w:szCs w:val="13"/>
                <w:b w:val="1"/>
                <w:bCs w:val="1"/>
                <w:color w:val="auto"/>
                <w:w w:val="95"/>
              </w:rPr>
              <w:t>Relevant Scientific/Academic Expertise:</w:t>
            </w:r>
          </w:p>
        </w:tc>
        <w:tc>
          <w:tcPr>
            <w:tcW w:w="860" w:type="dxa"/>
            <w:vAlign w:val="bottom"/>
            <w:shd w:val="clear" w:color="auto" w:fill="1CA8E1"/>
          </w:tcPr>
          <w:p>
            <w:pPr>
              <w:spacing w:after="0"/>
              <w:rPr>
                <w:sz w:val="22"/>
                <w:szCs w:val="22"/>
                <w:color w:val="auto"/>
              </w:rPr>
            </w:pPr>
          </w:p>
        </w:tc>
        <w:tc>
          <w:tcPr>
            <w:tcW w:w="300" w:type="dxa"/>
            <w:vAlign w:val="bottom"/>
            <w:shd w:val="clear" w:color="auto" w:fill="1CA8E1"/>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b w:val="1"/>
                <w:bCs w:val="1"/>
                <w:color w:val="00ABE8"/>
              </w:rPr>
              <w:t>4</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Healthcare Experience:</w:t>
            </w:r>
          </w:p>
        </w:tc>
        <w:tc>
          <w:tcPr>
            <w:tcW w:w="860" w:type="dxa"/>
            <w:vAlign w:val="bottom"/>
            <w:shd w:val="clear" w:color="auto" w:fill="1CA8E1"/>
          </w:tcPr>
          <w:p>
            <w:pPr>
              <w:spacing w:after="0"/>
              <w:rPr>
                <w:sz w:val="4"/>
                <w:szCs w:val="4"/>
                <w:color w:val="auto"/>
              </w:rPr>
            </w:pPr>
          </w:p>
        </w:tc>
        <w:tc>
          <w:tcPr>
            <w:tcW w:w="300" w:type="dxa"/>
            <w:vAlign w:val="bottom"/>
            <w:shd w:val="clear" w:color="auto" w:fill="1CA8E1"/>
          </w:tcPr>
          <w:p>
            <w:pPr>
              <w:spacing w:after="0"/>
              <w:rPr>
                <w:sz w:val="4"/>
                <w:szCs w:val="4"/>
                <w:color w:val="auto"/>
              </w:rPr>
            </w:pPr>
          </w:p>
        </w:tc>
        <w:tc>
          <w:tcPr>
            <w:tcW w:w="58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00" w:type="dxa"/>
            <w:vAlign w:val="bottom"/>
            <w:vMerge w:val="continue"/>
          </w:tcPr>
          <w:p>
            <w:pPr>
              <w:spacing w:after="0"/>
              <w:rPr>
                <w:sz w:val="22"/>
                <w:szCs w:val="22"/>
                <w:color w:val="auto"/>
              </w:rPr>
            </w:pPr>
          </w:p>
        </w:tc>
        <w:tc>
          <w:tcPr>
            <w:tcW w:w="860" w:type="dxa"/>
            <w:vAlign w:val="bottom"/>
            <w:shd w:val="clear" w:color="auto" w:fill="1CA8E1"/>
          </w:tcPr>
          <w:p>
            <w:pPr>
              <w:spacing w:after="0"/>
              <w:rPr>
                <w:sz w:val="22"/>
                <w:szCs w:val="22"/>
                <w:color w:val="auto"/>
              </w:rPr>
            </w:pPr>
          </w:p>
        </w:tc>
        <w:tc>
          <w:tcPr>
            <w:tcW w:w="600" w:type="dxa"/>
            <w:vAlign w:val="bottom"/>
            <w:gridSpan w:val="2"/>
            <w:shd w:val="clear" w:color="auto" w:fill="1CA8E1"/>
          </w:tcPr>
          <w:p>
            <w:pPr>
              <w:spacing w:after="0"/>
              <w:rPr>
                <w:sz w:val="22"/>
                <w:szCs w:val="22"/>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00ABE8"/>
              </w:rPr>
              <w:t>5</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Operational/Strategic Expertise:</w:t>
            </w:r>
          </w:p>
        </w:tc>
        <w:tc>
          <w:tcPr>
            <w:tcW w:w="860" w:type="dxa"/>
            <w:vAlign w:val="bottom"/>
            <w:shd w:val="clear" w:color="auto" w:fill="1CA8E1"/>
          </w:tcPr>
          <w:p>
            <w:pPr>
              <w:spacing w:after="0"/>
              <w:rPr>
                <w:sz w:val="4"/>
                <w:szCs w:val="4"/>
                <w:color w:val="auto"/>
              </w:rPr>
            </w:pPr>
          </w:p>
        </w:tc>
        <w:tc>
          <w:tcPr>
            <w:tcW w:w="600" w:type="dxa"/>
            <w:vAlign w:val="bottom"/>
            <w:gridSpan w:val="2"/>
            <w:shd w:val="clear" w:color="auto" w:fill="1CA8E1"/>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00ABE8"/>
              </w:rPr>
              <w:t>10</w:t>
            </w:r>
          </w:p>
        </w:tc>
        <w:tc>
          <w:tcPr>
            <w:tcW w:w="0" w:type="dxa"/>
            <w:vAlign w:val="bottom"/>
          </w:tcPr>
          <w:p>
            <w:pPr>
              <w:spacing w:after="0"/>
              <w:rPr>
                <w:sz w:val="1"/>
                <w:szCs w:val="1"/>
                <w:color w:val="auto"/>
              </w:rPr>
            </w:pPr>
          </w:p>
        </w:tc>
      </w:tr>
      <w:tr>
        <w:trPr>
          <w:trHeight w:val="291"/>
        </w:trPr>
        <w:tc>
          <w:tcPr>
            <w:tcW w:w="2400" w:type="dxa"/>
            <w:vAlign w:val="bottom"/>
            <w:vMerge w:val="continue"/>
          </w:tcPr>
          <w:p>
            <w:pPr>
              <w:spacing w:after="0"/>
              <w:rPr>
                <w:sz w:val="24"/>
                <w:szCs w:val="24"/>
                <w:color w:val="auto"/>
              </w:rPr>
            </w:pPr>
          </w:p>
        </w:tc>
        <w:tc>
          <w:tcPr>
            <w:tcW w:w="860" w:type="dxa"/>
            <w:vAlign w:val="bottom"/>
            <w:tcBorders>
              <w:bottom w:val="single" w:sz="8" w:color="1CA8E1"/>
            </w:tcBorders>
            <w:shd w:val="clear" w:color="auto" w:fill="1CA8E1"/>
          </w:tcPr>
          <w:p>
            <w:pPr>
              <w:spacing w:after="0"/>
              <w:rPr>
                <w:sz w:val="24"/>
                <w:szCs w:val="24"/>
                <w:color w:val="auto"/>
              </w:rPr>
            </w:pPr>
          </w:p>
        </w:tc>
        <w:tc>
          <w:tcPr>
            <w:tcW w:w="880" w:type="dxa"/>
            <w:vAlign w:val="bottom"/>
            <w:tcBorders>
              <w:bottom w:val="single" w:sz="8" w:color="1CA8E1"/>
            </w:tcBorders>
            <w:gridSpan w:val="3"/>
            <w:shd w:val="clear" w:color="auto" w:fill="1CA8E1"/>
          </w:tcPr>
          <w:p>
            <w:pPr>
              <w:spacing w:after="0"/>
              <w:rPr>
                <w:sz w:val="24"/>
                <w:szCs w:val="24"/>
                <w:color w:val="auto"/>
              </w:rPr>
            </w:pPr>
          </w:p>
        </w:tc>
        <w:tc>
          <w:tcPr>
            <w:tcW w:w="300" w:type="dxa"/>
            <w:vAlign w:val="bottom"/>
            <w:tcBorders>
              <w:bottom w:val="single" w:sz="8" w:color="1CA8E1"/>
            </w:tcBorders>
            <w:shd w:val="clear" w:color="auto" w:fill="1CA8E1"/>
          </w:tcPr>
          <w:p>
            <w:pPr>
              <w:spacing w:after="0"/>
              <w:rPr>
                <w:sz w:val="24"/>
                <w:szCs w:val="24"/>
                <w:color w:val="auto"/>
              </w:rPr>
            </w:pPr>
          </w:p>
        </w:tc>
        <w:tc>
          <w:tcPr>
            <w:tcW w:w="880" w:type="dxa"/>
            <w:vAlign w:val="bottom"/>
            <w:tcBorders>
              <w:bottom w:val="single" w:sz="8" w:color="1CA8E1"/>
            </w:tcBorders>
            <w:gridSpan w:val="2"/>
            <w:shd w:val="clear" w:color="auto" w:fill="1CA8E1"/>
          </w:tcPr>
          <w:p>
            <w:pPr>
              <w:spacing w:after="0"/>
              <w:rPr>
                <w:sz w:val="24"/>
                <w:szCs w:val="24"/>
                <w:color w:val="auto"/>
              </w:rPr>
            </w:pP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00" w:type="dxa"/>
            <w:vAlign w:val="bottom"/>
          </w:tcPr>
          <w:p>
            <w:pPr>
              <w:jc w:val="right"/>
              <w:spacing w:after="0"/>
              <w:rPr>
                <w:sz w:val="20"/>
                <w:szCs w:val="20"/>
                <w:color w:val="auto"/>
              </w:rPr>
            </w:pPr>
            <w:r>
              <w:rPr>
                <w:rFonts w:ascii="Arial" w:cs="Arial" w:eastAsia="Arial" w:hAnsi="Arial"/>
                <w:sz w:val="13"/>
                <w:szCs w:val="13"/>
                <w:b w:val="1"/>
                <w:bCs w:val="1"/>
                <w:color w:val="auto"/>
              </w:rPr>
              <w:t>International Experience:</w:t>
            </w:r>
          </w:p>
        </w:tc>
        <w:tc>
          <w:tcPr>
            <w:tcW w:w="860" w:type="dxa"/>
            <w:vAlign w:val="bottom"/>
            <w:tcBorders>
              <w:bottom w:val="single" w:sz="8" w:color="1CA8E1"/>
            </w:tcBorders>
            <w:shd w:val="clear" w:color="auto" w:fill="1CA8E1"/>
          </w:tcPr>
          <w:p>
            <w:pPr>
              <w:spacing w:after="0"/>
              <w:rPr>
                <w:sz w:val="24"/>
                <w:szCs w:val="24"/>
                <w:color w:val="auto"/>
              </w:rPr>
            </w:pPr>
          </w:p>
        </w:tc>
        <w:tc>
          <w:tcPr>
            <w:tcW w:w="880" w:type="dxa"/>
            <w:vAlign w:val="bottom"/>
            <w:tcBorders>
              <w:bottom w:val="single" w:sz="8" w:color="1CA8E1"/>
            </w:tcBorders>
            <w:gridSpan w:val="3"/>
            <w:shd w:val="clear" w:color="auto" w:fill="1CA8E1"/>
          </w:tcPr>
          <w:p>
            <w:pPr>
              <w:spacing w:after="0"/>
              <w:rPr>
                <w:sz w:val="24"/>
                <w:szCs w:val="24"/>
                <w:color w:val="auto"/>
              </w:rPr>
            </w:pPr>
          </w:p>
        </w:tc>
        <w:tc>
          <w:tcPr>
            <w:tcW w:w="300" w:type="dxa"/>
            <w:vAlign w:val="bottom"/>
            <w:tcBorders>
              <w:bottom w:val="single" w:sz="8" w:color="1CA8E1"/>
            </w:tcBorders>
            <w:shd w:val="clear" w:color="auto" w:fill="1CA8E1"/>
          </w:tcPr>
          <w:p>
            <w:pPr>
              <w:spacing w:after="0"/>
              <w:rPr>
                <w:sz w:val="24"/>
                <w:szCs w:val="24"/>
                <w:color w:val="auto"/>
              </w:rPr>
            </w:pPr>
          </w:p>
        </w:tc>
        <w:tc>
          <w:tcPr>
            <w:tcW w:w="580" w:type="dxa"/>
            <w:vAlign w:val="bottom"/>
          </w:tcPr>
          <w:p>
            <w:pPr>
              <w:jc w:val="right"/>
              <w:ind w:right="308"/>
              <w:spacing w:after="0"/>
              <w:rPr>
                <w:sz w:val="20"/>
                <w:szCs w:val="20"/>
                <w:color w:val="auto"/>
              </w:rPr>
            </w:pPr>
            <w:r>
              <w:rPr>
                <w:rFonts w:ascii="Arial" w:cs="Arial" w:eastAsia="Arial" w:hAnsi="Arial"/>
                <w:sz w:val="14"/>
                <w:szCs w:val="14"/>
                <w:b w:val="1"/>
                <w:bCs w:val="1"/>
                <w:color w:val="00ABE8"/>
              </w:rPr>
              <w:t>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400" w:type="dxa"/>
            <w:vAlign w:val="bottom"/>
          </w:tcPr>
          <w:p>
            <w:pPr>
              <w:jc w:val="right"/>
              <w:spacing w:after="0"/>
              <w:rPr>
                <w:sz w:val="20"/>
                <w:szCs w:val="20"/>
                <w:color w:val="auto"/>
              </w:rPr>
            </w:pPr>
            <w:r>
              <w:rPr>
                <w:rFonts w:ascii="Arial" w:cs="Arial" w:eastAsia="Arial" w:hAnsi="Arial"/>
                <w:sz w:val="13"/>
                <w:szCs w:val="13"/>
                <w:b w:val="1"/>
                <w:bCs w:val="1"/>
                <w:color w:val="auto"/>
              </w:rPr>
              <w:t>Marketing and Sales Expertise:</w:t>
            </w:r>
          </w:p>
        </w:tc>
        <w:tc>
          <w:tcPr>
            <w:tcW w:w="860" w:type="dxa"/>
            <w:vAlign w:val="bottom"/>
            <w:tcBorders>
              <w:bottom w:val="single" w:sz="8" w:color="1CA8E1"/>
            </w:tcBorders>
            <w:shd w:val="clear" w:color="auto" w:fill="1CA8E1"/>
          </w:tcPr>
          <w:p>
            <w:pPr>
              <w:spacing w:after="0"/>
              <w:rPr>
                <w:sz w:val="24"/>
                <w:szCs w:val="24"/>
                <w:color w:val="auto"/>
              </w:rPr>
            </w:pPr>
          </w:p>
        </w:tc>
        <w:tc>
          <w:tcPr>
            <w:tcW w:w="880" w:type="dxa"/>
            <w:vAlign w:val="bottom"/>
            <w:tcBorders>
              <w:bottom w:val="single" w:sz="8" w:color="1CA8E1"/>
            </w:tcBorders>
            <w:gridSpan w:val="3"/>
            <w:shd w:val="clear" w:color="auto" w:fill="1CA8E1"/>
          </w:tcPr>
          <w:p>
            <w:pPr>
              <w:spacing w:after="0"/>
              <w:rPr>
                <w:sz w:val="24"/>
                <w:szCs w:val="24"/>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00ABE8"/>
              </w:rPr>
              <w:t>6</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jc w:val="right"/>
              <w:spacing w:after="0"/>
              <w:rPr>
                <w:sz w:val="20"/>
                <w:szCs w:val="20"/>
                <w:color w:val="auto"/>
              </w:rPr>
            </w:pPr>
            <w:r>
              <w:rPr>
                <w:rFonts w:ascii="Arial" w:cs="Arial" w:eastAsia="Arial" w:hAnsi="Arial"/>
                <w:sz w:val="13"/>
                <w:szCs w:val="13"/>
                <w:b w:val="1"/>
                <w:bCs w:val="1"/>
                <w:color w:val="auto"/>
              </w:rPr>
              <w:t>Digital/Technology Expertise:</w:t>
            </w:r>
          </w:p>
        </w:tc>
        <w:tc>
          <w:tcPr>
            <w:tcW w:w="860" w:type="dxa"/>
            <w:vAlign w:val="bottom"/>
            <w:shd w:val="clear" w:color="auto" w:fill="1CA8E1"/>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b w:val="1"/>
                <w:bCs w:val="1"/>
                <w:color w:val="00ABE8"/>
              </w:rPr>
              <w:t>3</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860" w:type="dxa"/>
            <w:vAlign w:val="bottom"/>
            <w:shd w:val="clear" w:color="auto" w:fill="1CA8E1"/>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-196850</wp:posOffset>
            </wp:positionV>
            <wp:extent cx="2082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-393700</wp:posOffset>
            </wp:positionV>
            <wp:extent cx="20828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-591185</wp:posOffset>
            </wp:positionV>
            <wp:extent cx="20828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-788035</wp:posOffset>
            </wp:positionV>
            <wp:extent cx="20828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-985520</wp:posOffset>
            </wp:positionV>
            <wp:extent cx="20828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-1182370</wp:posOffset>
            </wp:positionV>
            <wp:extent cx="20828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-1379220</wp:posOffset>
            </wp:positionV>
            <wp:extent cx="20828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8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b w:val="1"/>
          <w:bCs w:val="1"/>
          <w:color w:val="EE2724"/>
        </w:rPr>
        <w:t xml:space="preserve">Board Tenure: </w:t>
      </w:r>
      <w:r>
        <w:rPr>
          <w:rFonts w:ascii="Arial" w:cs="Arial" w:eastAsia="Arial" w:hAnsi="Arial"/>
          <w:sz w:val="16"/>
          <w:szCs w:val="16"/>
          <w:color w:val="000000"/>
        </w:rPr>
        <w:t>As the following chart demonstrates, our director composition reflects a mix of tenure on the board, which provides an effective balance of</w:t>
      </w:r>
      <w:r>
        <w:rPr>
          <w:rFonts w:ascii="Arial" w:cs="Arial" w:eastAsia="Arial" w:hAnsi="Arial"/>
          <w:sz w:val="16"/>
          <w:szCs w:val="16"/>
          <w:b w:val="1"/>
          <w:bCs w:val="1"/>
          <w:color w:val="EE2724"/>
        </w:rPr>
        <w:t xml:space="preserve"> </w:t>
      </w:r>
      <w:r>
        <w:rPr>
          <w:rFonts w:ascii="Arial" w:cs="Arial" w:eastAsia="Arial" w:hAnsi="Arial"/>
          <w:sz w:val="16"/>
          <w:szCs w:val="16"/>
          <w:color w:val="000000"/>
        </w:rPr>
        <w:t>historical perspective and an understanding of the evolution of our business with fresh perspectives and insights. Kathi Seifert, who joined the board in 1995, will retire from the board following the Annual Meeting. Effective January 25, 2021, Gabrielle Sulzberger was elected to the board as a member of the director class of 2021. Ms. Sulzberger was appointed to the Audit Committee and the Ethics and Compliance Committee. Effective February 16, 2021, Kimberly H. Johnson was elected to the board as a member of the director class of 2022. Ms. Johnson was appointed to the Compensation Committee and the Ethics and Compliance Committee. The following graphic highlights the tenure of our current board members:</w:t>
      </w:r>
    </w:p>
    <w:p>
      <w:pPr>
        <w:spacing w:after="0" w:line="264" w:lineRule="exact"/>
        <w:rPr>
          <w:sz w:val="20"/>
          <w:szCs w:val="20"/>
          <w:color w:val="auto"/>
        </w:rPr>
      </w:pPr>
    </w:p>
    <w:tbl>
      <w:tblPr>
        <w:tblLayout w:type="fixed"/>
        <w:tblInd w:w="4340" w:type="dxa"/>
        <w:tblCellMar>
          <w:top w:w="0" w:type="dxa"/>
          <w:left w:w="0" w:type="dxa"/>
          <w:bottom w:w="0" w:type="dxa"/>
          <w:right w:w="0" w:type="dxa"/>
        </w:tblCellMar>
      </w:tblPr>
      <w:tr>
        <w:trPr>
          <w:trHeight w:val="245"/>
        </w:trPr>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Less than 3</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w w:val="95"/>
              </w:rPr>
              <w:t>Years:</w:t>
            </w:r>
          </w:p>
        </w:tc>
        <w:tc>
          <w:tcPr>
            <w:tcW w:w="920" w:type="dxa"/>
            <w:vAlign w:val="bottom"/>
            <w:shd w:val="clear" w:color="auto" w:fill="1CA8E1"/>
          </w:tcPr>
          <w:p>
            <w:pPr>
              <w:spacing w:after="0"/>
              <w:rPr>
                <w:sz w:val="21"/>
                <w:szCs w:val="21"/>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b w:val="1"/>
                <w:bCs w:val="1"/>
                <w:color w:val="00ABE8"/>
              </w:rPr>
              <w:t>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3-5</w:t>
            </w:r>
          </w:p>
        </w:tc>
        <w:tc>
          <w:tcPr>
            <w:tcW w:w="4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5"/>
              </w:rPr>
              <w:t>Years:</w:t>
            </w:r>
          </w:p>
        </w:tc>
        <w:tc>
          <w:tcPr>
            <w:tcW w:w="920" w:type="dxa"/>
            <w:vAlign w:val="bottom"/>
            <w:shd w:val="clear" w:color="auto" w:fill="1CA8E1"/>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00ABE8"/>
              </w:rPr>
              <w:t>4</w:t>
            </w:r>
          </w:p>
        </w:tc>
        <w:tc>
          <w:tcPr>
            <w:tcW w:w="0" w:type="dxa"/>
            <w:vAlign w:val="bottom"/>
          </w:tcPr>
          <w:p>
            <w:pPr>
              <w:spacing w:after="0"/>
              <w:rPr>
                <w:sz w:val="1"/>
                <w:szCs w:val="1"/>
                <w:color w:val="auto"/>
              </w:rPr>
            </w:pPr>
          </w:p>
        </w:tc>
      </w:tr>
      <w:tr>
        <w:trPr>
          <w:trHeight w:val="245"/>
        </w:trPr>
        <w:tc>
          <w:tcPr>
            <w:tcW w:w="78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240" w:type="dxa"/>
            <w:vAlign w:val="bottom"/>
            <w:gridSpan w:val="2"/>
            <w:shd w:val="clear" w:color="auto" w:fill="1CA8E1"/>
          </w:tcPr>
          <w:p>
            <w:pPr>
              <w:spacing w:after="0"/>
              <w:rPr>
                <w:sz w:val="21"/>
                <w:szCs w:val="21"/>
                <w:color w:val="auto"/>
              </w:rPr>
            </w:pP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6-10</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w w:val="95"/>
              </w:rPr>
              <w:t>Years:</w:t>
            </w:r>
          </w:p>
        </w:tc>
        <w:tc>
          <w:tcPr>
            <w:tcW w:w="1240" w:type="dxa"/>
            <w:vAlign w:val="bottom"/>
            <w:gridSpan w:val="2"/>
            <w:shd w:val="clear" w:color="auto" w:fill="1CA8E1"/>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00ABE8"/>
              </w:rPr>
              <w:t>4</w:t>
            </w:r>
          </w:p>
        </w:tc>
        <w:tc>
          <w:tcPr>
            <w:tcW w:w="0" w:type="dxa"/>
            <w:vAlign w:val="bottom"/>
          </w:tcPr>
          <w:p>
            <w:pPr>
              <w:spacing w:after="0"/>
              <w:rPr>
                <w:sz w:val="1"/>
                <w:szCs w:val="1"/>
                <w:color w:val="auto"/>
              </w:rPr>
            </w:pPr>
          </w:p>
        </w:tc>
      </w:tr>
      <w:tr>
        <w:trPr>
          <w:trHeight w:val="310"/>
        </w:trPr>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4"/>
              </w:rPr>
              <w:t>More than 10</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w w:val="95"/>
              </w:rPr>
              <w:t>Years:</w:t>
            </w:r>
          </w:p>
        </w:tc>
        <w:tc>
          <w:tcPr>
            <w:tcW w:w="1240" w:type="dxa"/>
            <w:vAlign w:val="bottom"/>
            <w:gridSpan w:val="2"/>
            <w:shd w:val="clear" w:color="auto" w:fill="1CA8E1"/>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00ABE8"/>
              </w:rPr>
              <w:t>4</w:t>
            </w:r>
          </w:p>
        </w:tc>
        <w:tc>
          <w:tcPr>
            <w:tcW w:w="0" w:type="dxa"/>
            <w:vAlign w:val="bottom"/>
          </w:tcPr>
          <w:p>
            <w:pPr>
              <w:spacing w:after="0"/>
              <w:rPr>
                <w:sz w:val="1"/>
                <w:szCs w:val="1"/>
                <w:color w:val="auto"/>
              </w:rPr>
            </w:pPr>
          </w:p>
        </w:tc>
      </w:tr>
      <w:tr>
        <w:trPr>
          <w:trHeight w:val="66"/>
        </w:trPr>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shd w:val="clear" w:color="auto" w:fill="1CA8E1"/>
          </w:tcPr>
          <w:p>
            <w:pPr>
              <w:spacing w:after="0"/>
              <w:rPr>
                <w:sz w:val="5"/>
                <w:szCs w:val="5"/>
                <w:color w:val="auto"/>
              </w:rPr>
            </w:pPr>
          </w:p>
        </w:tc>
        <w:tc>
          <w:tcPr>
            <w:tcW w:w="320" w:type="dxa"/>
            <w:vAlign w:val="bottom"/>
            <w:shd w:val="clear" w:color="auto" w:fill="1CA8E1"/>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-196215</wp:posOffset>
            </wp:positionV>
            <wp:extent cx="7797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-393700</wp:posOffset>
            </wp:positionV>
            <wp:extent cx="7797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-590550</wp:posOffset>
            </wp:positionV>
            <wp:extent cx="7797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b w:val="1"/>
          <w:bCs w:val="1"/>
          <w:color w:val="EE2724"/>
        </w:rPr>
        <w:t>Diversity</w:t>
      </w:r>
      <w:r>
        <w:rPr>
          <w:rFonts w:ascii="Arial" w:cs="Arial" w:eastAsia="Arial" w:hAnsi="Arial"/>
          <w:sz w:val="16"/>
          <w:szCs w:val="16"/>
          <w:color w:val="000000"/>
        </w:rPr>
        <w:t>: The board strives to achieve diversity in the broadest sense, including persons diverse in geography, gender, ethnicity, age, and experiences.</w:t>
      </w:r>
      <w:r>
        <w:rPr>
          <w:rFonts w:ascii="Arial" w:cs="Arial" w:eastAsia="Arial" w:hAnsi="Arial"/>
          <w:sz w:val="16"/>
          <w:szCs w:val="16"/>
          <w:b w:val="1"/>
          <w:bCs w:val="1"/>
          <w:color w:val="EE2724"/>
        </w:rPr>
        <w:t xml:space="preserve"> </w:t>
      </w:r>
      <w:r>
        <w:rPr>
          <w:rFonts w:ascii="Arial" w:cs="Arial" w:eastAsia="Arial" w:hAnsi="Arial"/>
          <w:sz w:val="16"/>
          <w:szCs w:val="16"/>
          <w:color w:val="000000"/>
        </w:rPr>
        <w:t>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15 directors range in age from 48 to 71 and include six women and seven members of underrepresented groups (including minority group members (MGM) as well as lesbian, gay, bisexual, transgender, or queer (LGBTQ) individuals).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EE2724"/>
        </w:rPr>
        <w:t xml:space="preserve">Character: </w:t>
      </w:r>
      <w:r>
        <w:rPr>
          <w:rFonts w:ascii="Arial" w:cs="Arial" w:eastAsia="Arial" w:hAnsi="Arial"/>
          <w:sz w:val="16"/>
          <w:szCs w:val="16"/>
          <w:color w:val="000000"/>
        </w:rPr>
        <w:t>Board members should possess the personal attributes necessary to be an effective director, including unquestioned integrity, sound judgment, a</w:t>
      </w:r>
      <w:r>
        <w:rPr>
          <w:rFonts w:ascii="Arial" w:cs="Arial" w:eastAsia="Arial" w:hAnsi="Arial"/>
          <w:sz w:val="16"/>
          <w:szCs w:val="16"/>
          <w:b w:val="1"/>
          <w:bCs w:val="1"/>
          <w:color w:val="EE2724"/>
        </w:rPr>
        <w:t xml:space="preserve"> </w:t>
      </w:r>
      <w:r>
        <w:rPr>
          <w:rFonts w:ascii="Arial" w:cs="Arial" w:eastAsia="Arial" w:hAnsi="Arial"/>
          <w:sz w:val="16"/>
          <w:szCs w:val="16"/>
          <w:color w:val="000000"/>
        </w:rPr>
        <w:t>collaborative spirit, and commitment to the company, our shareholders, and other constituencies.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Refreshment</w:t>
      </w:r>
    </w:p>
    <w:p>
      <w:pPr>
        <w:spacing w:after="0" w:line="1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viewpoints, diversity, and expertise necessary to support our complex and evolving business. The Directors and Corporate Governance Committee, with input from all board members, also considers the contributions of the individual directors.</w:t>
      </w:r>
    </w:p>
    <w:p>
      <w:pPr>
        <w:spacing w:after="0" w:line="229"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Based on this assessment, the Directors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P25</w:t>
      </w:r>
    </w:p>
    <w:p>
      <w:pPr>
        <w:sectPr>
          <w:pgSz w:w="11900" w:h="16838" w:orient="portrait"/>
          <w:cols w:equalWidth="0" w:num="1">
            <w:col w:w="11240"/>
          </w:cols>
          <w:pgMar w:left="320" w:top="141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Corporate Governance Committee has recommended that the directors in the class of 2021 be elected at the Annual Meeting.</w:t>
      </w:r>
    </w:p>
    <w:p>
      <w:pPr>
        <w:spacing w:after="0" w:line="24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board delegates the director screening process to the Directors and Corporate Governance Committee, which receives input from other board members. Director candidates are identified from several sources, including executive search firms retained by the committee, incumbent directors, management, and shareholders. The Directors and Corporate Governance Committee has retained Russell Reynolds Associates, an executive search and leadership consulting firm, to assist with identifying potential director candidates.</w:t>
      </w:r>
    </w:p>
    <w:p>
      <w:pPr>
        <w:spacing w:after="0" w:line="22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Directors and Corporate Governance committee employs the same process to evaluate all candidates, including those submitted by shareholders. The committee initially evaluates a candidate based on publicly available information and any additional information supplied by the party recommending the candidate. If the candidate appears to satisfy the selection criteria and the committee’s initial evaluation is favorable, the committee, assisted by management or a search firm, gathers additional data on the candidate’s qualifications, availability, probable level of interest, and any potential conflicts of interest. If the committee’s subsequent evaluation continues to be favorable, the candidate is contacted by the chairman of the board and one or more of the independent directors, including the lead independent director, for direct discussions to determine the mutual level of interest in pursuing the candidacy. If these discussions are favorable, the committee recommends that the board nominate the candidate for election by the shareholders (or elects the candidate to fill a vacancy, as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Director Compensation</w:t>
      </w:r>
    </w:p>
    <w:p>
      <w:pPr>
        <w:spacing w:after="0" w:line="28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Directors who are employees receive no additional compensation for serving on the board. Non-employee director compensation is reviewed and approved by the board, on the recommendation of the Directors and Corporate Governance Committee.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retainers and meeting fees in effect in 2020 for all non-employee directors:</w:t>
      </w:r>
    </w:p>
    <w:p>
      <w:pPr>
        <w:spacing w:after="0" w:line="105"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3420" w:type="dxa"/>
            <w:vAlign w:val="bottom"/>
            <w:tcBorders>
              <w:top w:val="single" w:sz="8" w:color="auto"/>
            </w:tcBorders>
            <w:shd w:val="clear" w:color="auto" w:fill="DBDBDB"/>
          </w:tcPr>
          <w:p>
            <w:pPr>
              <w:jc w:val="center"/>
              <w:spacing w:after="0" w:line="175" w:lineRule="exact"/>
              <w:rPr>
                <w:sz w:val="20"/>
                <w:szCs w:val="20"/>
                <w:color w:val="auto"/>
              </w:rPr>
            </w:pPr>
            <w:r>
              <w:rPr>
                <w:rFonts w:ascii="Arial" w:cs="Arial" w:eastAsia="Arial" w:hAnsi="Arial"/>
                <w:sz w:val="16"/>
                <w:szCs w:val="16"/>
                <w:b w:val="1"/>
                <w:bCs w:val="1"/>
                <w:color w:val="EE2724"/>
              </w:rPr>
              <w:t>Board and Committee Membership</w:t>
            </w:r>
          </w:p>
        </w:tc>
        <w:tc>
          <w:tcPr>
            <w:tcW w:w="920" w:type="dxa"/>
            <w:vAlign w:val="bottom"/>
            <w:tcBorders>
              <w:top w:val="single" w:sz="8" w:color="auto"/>
            </w:tcBorders>
            <w:shd w:val="clear" w:color="auto" w:fill="DBDBDB"/>
          </w:tcPr>
          <w:p>
            <w:pPr>
              <w:spacing w:after="0"/>
              <w:rPr>
                <w:sz w:val="15"/>
                <w:szCs w:val="15"/>
                <w:color w:val="auto"/>
              </w:rPr>
            </w:pPr>
          </w:p>
        </w:tc>
        <w:tc>
          <w:tcPr>
            <w:tcW w:w="3760" w:type="dxa"/>
            <w:vAlign w:val="bottom"/>
            <w:tcBorders>
              <w:top w:val="single" w:sz="8" w:color="auto"/>
            </w:tcBorders>
            <w:vMerge w:val="restart"/>
            <w:shd w:val="clear" w:color="auto" w:fill="DBDBDB"/>
          </w:tcPr>
          <w:p>
            <w:pPr>
              <w:ind w:left="1460"/>
              <w:spacing w:after="0"/>
              <w:rPr>
                <w:sz w:val="20"/>
                <w:szCs w:val="20"/>
                <w:color w:val="auto"/>
              </w:rPr>
            </w:pPr>
            <w:r>
              <w:rPr>
                <w:rFonts w:ascii="Arial" w:cs="Arial" w:eastAsia="Arial" w:hAnsi="Arial"/>
                <w:sz w:val="16"/>
                <w:szCs w:val="16"/>
                <w:b w:val="1"/>
                <w:bCs w:val="1"/>
                <w:color w:val="EE2724"/>
              </w:rPr>
              <w:t>Leadership Retainers</w:t>
            </w:r>
          </w:p>
        </w:tc>
        <w:tc>
          <w:tcPr>
            <w:tcW w:w="66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b w:val="1"/>
                <w:bCs w:val="1"/>
                <w:color w:val="EE2724"/>
              </w:rPr>
              <w:t>Retainers</w:t>
            </w:r>
          </w:p>
        </w:tc>
        <w:tc>
          <w:tcPr>
            <w:tcW w:w="920" w:type="dxa"/>
            <w:vAlign w:val="bottom"/>
            <w:shd w:val="clear" w:color="auto" w:fill="DBDBDB"/>
          </w:tcPr>
          <w:p>
            <w:pPr>
              <w:spacing w:after="0"/>
              <w:rPr>
                <w:sz w:val="15"/>
                <w:szCs w:val="15"/>
                <w:color w:val="auto"/>
              </w:rPr>
            </w:pPr>
          </w:p>
        </w:tc>
        <w:tc>
          <w:tcPr>
            <w:tcW w:w="3760" w:type="dxa"/>
            <w:vAlign w:val="bottom"/>
            <w:vMerge w:val="continue"/>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(annual, paid in monthly installments)</w:t>
            </w:r>
          </w:p>
        </w:tc>
        <w:tc>
          <w:tcPr>
            <w:tcW w:w="920" w:type="dxa"/>
            <w:vAlign w:val="bottom"/>
            <w:shd w:val="clear" w:color="auto" w:fill="DBDBDB"/>
          </w:tcPr>
          <w:p>
            <w:pPr>
              <w:spacing w:after="0"/>
              <w:rPr>
                <w:sz w:val="17"/>
                <w:szCs w:val="17"/>
                <w:color w:val="auto"/>
              </w:rPr>
            </w:pPr>
          </w:p>
        </w:tc>
        <w:tc>
          <w:tcPr>
            <w:tcW w:w="3760" w:type="dxa"/>
            <w:vAlign w:val="bottom"/>
            <w:shd w:val="clear" w:color="auto" w:fill="DBDBDB"/>
          </w:tcPr>
          <w:p>
            <w:pPr>
              <w:ind w:left="960"/>
              <w:spacing w:after="0"/>
              <w:rPr>
                <w:sz w:val="20"/>
                <w:szCs w:val="20"/>
                <w:color w:val="auto"/>
              </w:rPr>
            </w:pPr>
            <w:r>
              <w:rPr>
                <w:rFonts w:ascii="Arial" w:cs="Arial" w:eastAsia="Arial" w:hAnsi="Arial"/>
                <w:sz w:val="16"/>
                <w:szCs w:val="16"/>
                <w:color w:val="auto"/>
              </w:rPr>
              <w:t>(annual, paid in monthly installments)</w:t>
            </w:r>
          </w:p>
        </w:tc>
        <w:tc>
          <w:tcPr>
            <w:tcW w:w="6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420" w:type="dxa"/>
            <w:vAlign w:val="bottom"/>
          </w:tcPr>
          <w:p>
            <w:pPr>
              <w:ind w:left="20"/>
              <w:spacing w:after="0"/>
              <w:rPr>
                <w:sz w:val="20"/>
                <w:szCs w:val="20"/>
                <w:color w:val="auto"/>
              </w:rPr>
            </w:pPr>
            <w:r>
              <w:rPr>
                <w:rFonts w:ascii="Arial" w:cs="Arial" w:eastAsia="Arial" w:hAnsi="Arial"/>
                <w:sz w:val="14"/>
                <w:szCs w:val="14"/>
                <w:color w:val="auto"/>
              </w:rPr>
              <w:t>Annual board retainer</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$110,000</w:t>
            </w:r>
          </w:p>
        </w:tc>
        <w:tc>
          <w:tcPr>
            <w:tcW w:w="3760" w:type="dxa"/>
            <w:vAlign w:val="bottom"/>
          </w:tcPr>
          <w:p>
            <w:pPr>
              <w:ind w:left="180"/>
              <w:spacing w:after="0"/>
              <w:rPr>
                <w:sz w:val="20"/>
                <w:szCs w:val="20"/>
                <w:color w:val="auto"/>
              </w:rPr>
            </w:pPr>
            <w:r>
              <w:rPr>
                <w:rFonts w:ascii="Arial" w:cs="Arial" w:eastAsia="Arial" w:hAnsi="Arial"/>
                <w:sz w:val="14"/>
                <w:szCs w:val="14"/>
                <w:color w:val="auto"/>
              </w:rPr>
              <w:t>Lead independent director</w:t>
            </w:r>
          </w:p>
        </w:tc>
        <w:tc>
          <w:tcPr>
            <w:tcW w:w="660" w:type="dxa"/>
            <w:vAlign w:val="bottom"/>
          </w:tcPr>
          <w:p>
            <w:pPr>
              <w:jc w:val="right"/>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80"/>
        </w:trPr>
        <w:tc>
          <w:tcPr>
            <w:tcW w:w="34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420" w:type="dxa"/>
            <w:vAlign w:val="bottom"/>
          </w:tcPr>
          <w:p>
            <w:pPr>
              <w:ind w:left="20"/>
              <w:spacing w:after="0"/>
              <w:rPr>
                <w:sz w:val="20"/>
                <w:szCs w:val="20"/>
                <w:color w:val="auto"/>
              </w:rPr>
            </w:pPr>
            <w:r>
              <w:rPr>
                <w:rFonts w:ascii="Arial" w:cs="Arial" w:eastAsia="Arial" w:hAnsi="Arial"/>
                <w:sz w:val="14"/>
                <w:szCs w:val="14"/>
                <w:color w:val="auto"/>
              </w:rPr>
              <w:t>Audit Committee and Science and Technology</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$6,000</w:t>
            </w:r>
          </w:p>
        </w:tc>
        <w:tc>
          <w:tcPr>
            <w:tcW w:w="3760" w:type="dxa"/>
            <w:vAlign w:val="bottom"/>
          </w:tcPr>
          <w:p>
            <w:pPr>
              <w:ind w:left="180"/>
              <w:spacing w:after="0"/>
              <w:rPr>
                <w:sz w:val="20"/>
                <w:szCs w:val="20"/>
                <w:color w:val="auto"/>
              </w:rPr>
            </w:pPr>
            <w:r>
              <w:rPr>
                <w:rFonts w:ascii="Arial" w:cs="Arial" w:eastAsia="Arial" w:hAnsi="Arial"/>
                <w:sz w:val="14"/>
                <w:szCs w:val="14"/>
                <w:color w:val="auto"/>
              </w:rPr>
              <w:t>Audit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172"/>
        </w:trPr>
        <w:tc>
          <w:tcPr>
            <w:tcW w:w="3420" w:type="dxa"/>
            <w:vAlign w:val="bottom"/>
          </w:tcPr>
          <w:p>
            <w:pPr>
              <w:ind w:left="20"/>
              <w:spacing w:after="0"/>
              <w:rPr>
                <w:sz w:val="20"/>
                <w:szCs w:val="20"/>
                <w:color w:val="auto"/>
              </w:rPr>
            </w:pPr>
            <w:r>
              <w:rPr>
                <w:rFonts w:ascii="Arial" w:cs="Arial" w:eastAsia="Arial" w:hAnsi="Arial"/>
                <w:sz w:val="14"/>
                <w:szCs w:val="14"/>
                <w:color w:val="auto"/>
              </w:rPr>
              <w:t>Committee members (including the chairs)</w:t>
            </w:r>
          </w:p>
        </w:tc>
        <w:tc>
          <w:tcPr>
            <w:tcW w:w="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3420" w:type="dxa"/>
            <w:vAlign w:val="bottom"/>
          </w:tcPr>
          <w:p>
            <w:pPr>
              <w:ind w:left="20"/>
              <w:spacing w:after="0"/>
              <w:rPr>
                <w:sz w:val="20"/>
                <w:szCs w:val="20"/>
                <w:color w:val="auto"/>
              </w:rPr>
            </w:pPr>
            <w:r>
              <w:rPr>
                <w:rFonts w:ascii="Arial" w:cs="Arial" w:eastAsia="Arial" w:hAnsi="Arial"/>
                <w:sz w:val="14"/>
                <w:szCs w:val="14"/>
                <w:color w:val="auto"/>
              </w:rPr>
              <w:t>Compensation Committee, Directors and Corporate</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$3,000</w:t>
            </w:r>
          </w:p>
        </w:tc>
        <w:tc>
          <w:tcPr>
            <w:tcW w:w="3760" w:type="dxa"/>
            <w:vAlign w:val="bottom"/>
          </w:tcPr>
          <w:p>
            <w:pPr>
              <w:ind w:left="180"/>
              <w:spacing w:after="0"/>
              <w:rPr>
                <w:sz w:val="20"/>
                <w:szCs w:val="20"/>
                <w:color w:val="auto"/>
              </w:rPr>
            </w:pPr>
            <w:r>
              <w:rPr>
                <w:rFonts w:ascii="Arial" w:cs="Arial" w:eastAsia="Arial" w:hAnsi="Arial"/>
                <w:sz w:val="14"/>
                <w:szCs w:val="14"/>
                <w:color w:val="auto"/>
              </w:rPr>
              <w:t>Science and Technology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Governance Committee, Finance Committee, and</w:t>
            </w:r>
          </w:p>
        </w:tc>
        <w:tc>
          <w:tcPr>
            <w:tcW w:w="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Public Policy and Compliance Committee (renamed</w:t>
            </w:r>
          </w:p>
        </w:tc>
        <w:tc>
          <w:tcPr>
            <w:tcW w:w="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the Ethics and Compliance Committee effective</w:t>
            </w:r>
          </w:p>
        </w:tc>
        <w:tc>
          <w:tcPr>
            <w:tcW w:w="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20" w:type="dxa"/>
            <w:vAlign w:val="bottom"/>
          </w:tcPr>
          <w:p>
            <w:pPr>
              <w:ind w:left="20"/>
              <w:spacing w:after="0"/>
              <w:rPr>
                <w:sz w:val="20"/>
                <w:szCs w:val="20"/>
                <w:color w:val="auto"/>
              </w:rPr>
            </w:pPr>
            <w:r>
              <w:rPr>
                <w:rFonts w:ascii="Arial" w:cs="Arial" w:eastAsia="Arial" w:hAnsi="Arial"/>
                <w:sz w:val="14"/>
                <w:szCs w:val="14"/>
                <w:color w:val="auto"/>
              </w:rPr>
              <w:t>January 1, 2021) members (including the chairs)</w:t>
            </w:r>
          </w:p>
        </w:tc>
        <w:tc>
          <w:tcPr>
            <w:tcW w:w="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60" w:type="dxa"/>
            <w:vAlign w:val="bottom"/>
          </w:tcPr>
          <w:p>
            <w:pPr>
              <w:ind w:left="180"/>
              <w:spacing w:after="0"/>
              <w:rPr>
                <w:sz w:val="20"/>
                <w:szCs w:val="20"/>
                <w:color w:val="auto"/>
              </w:rPr>
            </w:pPr>
            <w:r>
              <w:rPr>
                <w:rFonts w:ascii="Arial" w:cs="Arial" w:eastAsia="Arial" w:hAnsi="Arial"/>
                <w:sz w:val="14"/>
                <w:szCs w:val="14"/>
                <w:color w:val="auto"/>
              </w:rPr>
              <w:t>All other committee chairs</w:t>
            </w:r>
          </w:p>
        </w:tc>
        <w:tc>
          <w:tcPr>
            <w:tcW w:w="660" w:type="dxa"/>
            <w:vAlign w:val="bottom"/>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Directors are reimbursed for customary and usual travel expenses in connection with their travel to and from board meetings and other company events. Non-employee directors may also receive additional cash compensation for serving on ad hoc committees that may be formed by the board from time to time.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Compensation</w:t>
      </w:r>
    </w:p>
    <w:p>
      <w:pPr>
        <w:spacing w:after="0" w:line="2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significant portion of non-employee director compensation is linked to the long-term performance of Lilly stock. In 2020, non-employee directors received an annual equity-based award valued at $175,000. The award was credited to each non-employee director’s deferred stock account established under the Lilly Directors’ Deferral Plan as a number of units calculated by dividing $175,000 by the closing stock price on a pre-set annual date (approximately 1,245 units). The units track the economic value of shares of company stock with stock dividends being deemed "reinvested" in additional units based on the market price of the stock on the date dividends are paid. The units become converted into and issuable to the non-employee directors as shares of company stock commencing on the second January following a director's departure from board service (either in lump sum or installments as described below). When applicable, the annual equity-based award is prorated for time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P26</w:t>
      </w:r>
    </w:p>
    <w:p>
      <w:pPr>
        <w:sectPr>
          <w:pgSz w:w="11900" w:h="16838" w:orient="portrait"/>
          <w:cols w:equalWidth="0" w:num="1">
            <w:col w:w="11200"/>
          </w:cols>
          <w:pgMar w:left="320" w:top="1437" w:right="37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Share Ownership Guidelines</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Directors are required to hold meaningful equity ownership positions in the company. 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this ownership level. All non-employee directors serving at least five years have satisfied these guidelines. All other non-employee directors are, or in the case of newly elected directors, are expected to begin, making progress toward these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Compensation Cap for Directors</w:t>
      </w:r>
    </w:p>
    <w:p>
      <w:pPr>
        <w:spacing w:after="0" w:line="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2018, the board approved an annual cap to the total annual compensation (cash and equity 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Lilly Directors’ Deferral Plan</w:t>
      </w:r>
    </w:p>
    <w:p>
      <w:pPr>
        <w:spacing w:after="0" w:line="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to the annual equity-based grants credited to each non-employee director’s deferred stock account as described above, the Lilly Directors' Deferral Plan allows non-employee directors to defer receipt of all or part of their cash compensation until after their service on the board has ended. Each director can choose to invest any amounts deferred in one or both of the following two accounts:</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color w:val="EE2724"/>
        </w:rPr>
        <w:t xml:space="preserve">Deferred Stock Account. </w:t>
      </w:r>
      <w:r>
        <w:rPr>
          <w:rFonts w:ascii="Arial" w:cs="Arial" w:eastAsia="Arial" w:hAnsi="Arial"/>
          <w:sz w:val="16"/>
          <w:szCs w:val="16"/>
          <w:color w:val="000000"/>
        </w:rPr>
        <w:t>This account allows the non-employee director, in effect, to invest his or her deferred cash compensation in company stock.</w:t>
      </w:r>
      <w:r>
        <w:rPr>
          <w:rFonts w:ascii="Arial" w:cs="Arial" w:eastAsia="Arial" w:hAnsi="Arial"/>
          <w:sz w:val="16"/>
          <w:szCs w:val="16"/>
          <w:b w:val="1"/>
          <w:bCs w:val="1"/>
          <w:color w:val="EE2724"/>
        </w:rPr>
        <w:t xml:space="preserve"> </w:t>
      </w:r>
      <w:r>
        <w:rPr>
          <w:rFonts w:ascii="Arial" w:cs="Arial" w:eastAsia="Arial" w:hAnsi="Arial"/>
          <w:sz w:val="16"/>
          <w:szCs w:val="16"/>
          <w:color w:val="000000"/>
        </w:rPr>
        <w:t>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units become converted into and issuable to the non-employee director as shares of company stock commencing on the second January following the director's departure from board service (either in a lump sum or installments as described below). The deferral stock account is the same account where the annual equity-based awards are credited with the same conversion timing and procedure applicable to the annual equity-based awards.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EE2724"/>
        </w:rPr>
        <w:t xml:space="preserve">Deferred Compensation Account. </w:t>
      </w:r>
      <w:r>
        <w:rPr>
          <w:rFonts w:ascii="Arial" w:cs="Arial" w:eastAsia="Arial" w:hAnsi="Arial"/>
          <w:sz w:val="16"/>
          <w:szCs w:val="16"/>
          <w:color w:val="000000"/>
        </w:rPr>
        <w:t>Deferred cash compensation in this account earns interest each year at a rate of 120 percent of the applicable federal</w:t>
      </w:r>
      <w:r>
        <w:rPr>
          <w:rFonts w:ascii="Arial" w:cs="Arial" w:eastAsia="Arial" w:hAnsi="Arial"/>
          <w:sz w:val="16"/>
          <w:szCs w:val="16"/>
          <w:b w:val="1"/>
          <w:bCs w:val="1"/>
          <w:color w:val="EE2724"/>
        </w:rPr>
        <w:t xml:space="preserve"> </w:t>
      </w:r>
      <w:r>
        <w:rPr>
          <w:rFonts w:ascii="Arial" w:cs="Arial" w:eastAsia="Arial" w:hAnsi="Arial"/>
          <w:sz w:val="16"/>
          <w:szCs w:val="16"/>
          <w:color w:val="000000"/>
        </w:rPr>
        <w:t>long-term rate, compounded monthly, as established the preceding December by the U.S. Treasury Department under Section 1274(d) of the Internal Revenue Code of 1986 (the Internal Revenue Code). The aggregate amount of interest that accrued in 2020 for the participating directors was $109,753, at a rate of 2.5 percent. The rate for 2021 is 1.6 percent.</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Both accounts may be paid out in a lump sum or in annual installments for up to 10 years based on individual director annual elections. All payments begin the second January following the director’s departure from board service. Amounts in the deferred stock account are paid in shares of company stock.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Compensation for Non-Employee Directors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shd w:val="clear" w:color="auto" w:fill="BFBFBF"/>
          </w:tcPr>
          <w:p>
            <w:pPr>
              <w:spacing w:after="0"/>
              <w:rPr>
                <w:sz w:val="17"/>
                <w:szCs w:val="17"/>
                <w:color w:val="auto"/>
              </w:rPr>
            </w:pPr>
          </w:p>
        </w:tc>
        <w:tc>
          <w:tcPr>
            <w:tcW w:w="1800" w:type="dxa"/>
            <w:vAlign w:val="bottom"/>
            <w:shd w:val="clear" w:color="auto" w:fill="BFBFBF"/>
          </w:tcPr>
          <w:p>
            <w:pPr>
              <w:jc w:val="center"/>
              <w:ind w:left="93"/>
              <w:spacing w:after="0"/>
              <w:rPr>
                <w:sz w:val="20"/>
                <w:szCs w:val="20"/>
                <w:color w:val="auto"/>
              </w:rPr>
            </w:pPr>
            <w:r>
              <w:rPr>
                <w:rFonts w:ascii="Arial" w:cs="Arial" w:eastAsia="Arial" w:hAnsi="Arial"/>
                <w:sz w:val="16"/>
                <w:szCs w:val="16"/>
                <w:b w:val="1"/>
                <w:bCs w:val="1"/>
                <w:color w:val="00ABE8"/>
              </w:rPr>
              <w:t>Fees Earned</w:t>
            </w:r>
          </w:p>
        </w:tc>
        <w:tc>
          <w:tcPr>
            <w:tcW w:w="1560" w:type="dxa"/>
            <w:vAlign w:val="bottom"/>
            <w:shd w:val="clear" w:color="auto" w:fill="BFBFBF"/>
          </w:tcPr>
          <w:p>
            <w:pPr>
              <w:spacing w:after="0"/>
              <w:rPr>
                <w:sz w:val="17"/>
                <w:szCs w:val="17"/>
                <w:color w:val="auto"/>
              </w:rPr>
            </w:pPr>
          </w:p>
        </w:tc>
        <w:tc>
          <w:tcPr>
            <w:tcW w:w="2100" w:type="dxa"/>
            <w:vAlign w:val="bottom"/>
            <w:vMerge w:val="restart"/>
            <w:shd w:val="clear" w:color="auto" w:fill="BFBFBF"/>
          </w:tcPr>
          <w:p>
            <w:pPr>
              <w:jc w:val="right"/>
              <w:ind w:right="853"/>
              <w:spacing w:after="0"/>
              <w:rPr>
                <w:sz w:val="20"/>
                <w:szCs w:val="20"/>
                <w:color w:val="auto"/>
              </w:rPr>
            </w:pPr>
            <w:r>
              <w:rPr>
                <w:rFonts w:ascii="Arial" w:cs="Arial" w:eastAsia="Arial" w:hAnsi="Arial"/>
                <w:sz w:val="16"/>
                <w:szCs w:val="16"/>
                <w:b w:val="1"/>
                <w:bCs w:val="1"/>
                <w:color w:val="00ABE8"/>
              </w:rPr>
              <w:t>All Other</w:t>
            </w:r>
          </w:p>
        </w:tc>
        <w:tc>
          <w:tcPr>
            <w:tcW w:w="14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200" w:type="dxa"/>
            <w:vAlign w:val="bottom"/>
            <w:shd w:val="clear" w:color="auto" w:fill="BFBFBF"/>
          </w:tcPr>
          <w:p>
            <w:pPr>
              <w:spacing w:after="0"/>
              <w:rPr>
                <w:sz w:val="3"/>
                <w:szCs w:val="3"/>
                <w:color w:val="auto"/>
              </w:rPr>
            </w:pPr>
          </w:p>
        </w:tc>
        <w:tc>
          <w:tcPr>
            <w:tcW w:w="1800" w:type="dxa"/>
            <w:vAlign w:val="bottom"/>
            <w:vMerge w:val="restart"/>
            <w:shd w:val="clear" w:color="auto" w:fill="BFBFBF"/>
          </w:tcPr>
          <w:p>
            <w:pPr>
              <w:jc w:val="center"/>
              <w:ind w:left="113"/>
              <w:spacing w:after="0"/>
              <w:rPr>
                <w:sz w:val="20"/>
                <w:szCs w:val="20"/>
                <w:color w:val="auto"/>
              </w:rPr>
            </w:pPr>
            <w:r>
              <w:rPr>
                <w:rFonts w:ascii="Arial" w:cs="Arial" w:eastAsia="Arial" w:hAnsi="Arial"/>
                <w:sz w:val="16"/>
                <w:szCs w:val="16"/>
                <w:b w:val="1"/>
                <w:bCs w:val="1"/>
                <w:color w:val="00ABE8"/>
              </w:rPr>
              <w:t>or Paid in Cash</w:t>
            </w:r>
          </w:p>
        </w:tc>
        <w:tc>
          <w:tcPr>
            <w:tcW w:w="1560" w:type="dxa"/>
            <w:vAlign w:val="bottom"/>
            <w:shd w:val="clear" w:color="auto" w:fill="BFBFBF"/>
          </w:tcPr>
          <w:p>
            <w:pPr>
              <w:spacing w:after="0"/>
              <w:rPr>
                <w:sz w:val="3"/>
                <w:szCs w:val="3"/>
                <w:color w:val="auto"/>
              </w:rPr>
            </w:pPr>
          </w:p>
        </w:tc>
        <w:tc>
          <w:tcPr>
            <w:tcW w:w="2100" w:type="dxa"/>
            <w:vAlign w:val="bottom"/>
            <w:vMerge w:val="continue"/>
            <w:shd w:val="clear" w:color="auto" w:fill="BFBFBF"/>
          </w:tcPr>
          <w:p>
            <w:pPr>
              <w:spacing w:after="0"/>
              <w:rPr>
                <w:sz w:val="3"/>
                <w:szCs w:val="3"/>
                <w:color w:val="auto"/>
              </w:rPr>
            </w:pPr>
          </w:p>
        </w:tc>
        <w:tc>
          <w:tcPr>
            <w:tcW w:w="1440" w:type="dxa"/>
            <w:vAlign w:val="bottom"/>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BFBFBF"/>
          </w:tcPr>
          <w:p>
            <w:pPr>
              <w:spacing w:after="0"/>
              <w:rPr>
                <w:sz w:val="14"/>
                <w:szCs w:val="14"/>
                <w:color w:val="auto"/>
              </w:rPr>
            </w:pPr>
          </w:p>
        </w:tc>
        <w:tc>
          <w:tcPr>
            <w:tcW w:w="1800" w:type="dxa"/>
            <w:vAlign w:val="bottom"/>
            <w:vMerge w:val="continue"/>
            <w:shd w:val="clear" w:color="auto" w:fill="BFBFBF"/>
          </w:tcPr>
          <w:p>
            <w:pPr>
              <w:spacing w:after="0"/>
              <w:rPr>
                <w:sz w:val="14"/>
                <w:szCs w:val="14"/>
                <w:color w:val="auto"/>
              </w:rPr>
            </w:pPr>
          </w:p>
        </w:tc>
        <w:tc>
          <w:tcPr>
            <w:tcW w:w="1560" w:type="dxa"/>
            <w:vAlign w:val="bottom"/>
            <w:shd w:val="clear" w:color="auto" w:fill="BFBFBF"/>
          </w:tcPr>
          <w:p>
            <w:pPr>
              <w:spacing w:after="0"/>
              <w:rPr>
                <w:sz w:val="14"/>
                <w:szCs w:val="14"/>
                <w:color w:val="auto"/>
              </w:rPr>
            </w:pPr>
          </w:p>
        </w:tc>
        <w:tc>
          <w:tcPr>
            <w:tcW w:w="2100" w:type="dxa"/>
            <w:vAlign w:val="bottom"/>
            <w:shd w:val="clear" w:color="auto" w:fill="BFBFBF"/>
          </w:tcPr>
          <w:p>
            <w:pPr>
              <w:jc w:val="right"/>
              <w:ind w:right="633"/>
              <w:spacing w:after="0" w:line="162" w:lineRule="exact"/>
              <w:rPr>
                <w:sz w:val="20"/>
                <w:szCs w:val="20"/>
                <w:color w:val="auto"/>
              </w:rPr>
            </w:pPr>
            <w:r>
              <w:rPr>
                <w:rFonts w:ascii="Arial" w:cs="Arial" w:eastAsia="Arial" w:hAnsi="Arial"/>
                <w:sz w:val="16"/>
                <w:szCs w:val="16"/>
                <w:b w:val="1"/>
                <w:bCs w:val="1"/>
                <w:color w:val="00ABE8"/>
              </w:rPr>
              <w:t>Compensation</w:t>
            </w:r>
          </w:p>
        </w:tc>
        <w:tc>
          <w:tcPr>
            <w:tcW w:w="144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BFBFBF"/>
          </w:tcPr>
          <w:p>
            <w:pPr>
              <w:ind w:left="20"/>
              <w:spacing w:after="0"/>
              <w:rPr>
                <w:sz w:val="20"/>
                <w:szCs w:val="20"/>
                <w:color w:val="auto"/>
              </w:rPr>
            </w:pPr>
            <w:r>
              <w:rPr>
                <w:rFonts w:ascii="Arial" w:cs="Arial" w:eastAsia="Arial" w:hAnsi="Arial"/>
                <w:sz w:val="16"/>
                <w:szCs w:val="16"/>
                <w:b w:val="1"/>
                <w:bCs w:val="1"/>
                <w:color w:val="00ABE8"/>
              </w:rPr>
              <w:t>Name</w:t>
            </w:r>
          </w:p>
        </w:tc>
        <w:tc>
          <w:tcPr>
            <w:tcW w:w="1800" w:type="dxa"/>
            <w:vAlign w:val="bottom"/>
            <w:shd w:val="clear" w:color="auto" w:fill="BFBFBF"/>
          </w:tcPr>
          <w:p>
            <w:pPr>
              <w:jc w:val="center"/>
              <w:ind w:left="93"/>
              <w:spacing w:after="0"/>
              <w:rPr>
                <w:sz w:val="20"/>
                <w:szCs w:val="20"/>
                <w:color w:val="auto"/>
              </w:rPr>
            </w:pPr>
            <w:r>
              <w:rPr>
                <w:rFonts w:ascii="Arial" w:cs="Arial" w:eastAsia="Arial" w:hAnsi="Arial"/>
                <w:sz w:val="16"/>
                <w:szCs w:val="16"/>
                <w:b w:val="1"/>
                <w:bCs w:val="1"/>
                <w:color w:val="00ABE8"/>
              </w:rPr>
              <w:t>($)</w:t>
            </w:r>
          </w:p>
        </w:tc>
        <w:tc>
          <w:tcPr>
            <w:tcW w:w="1560" w:type="dxa"/>
            <w:vAlign w:val="bottom"/>
            <w:shd w:val="clear" w:color="auto" w:fill="BFBFBF"/>
          </w:tcPr>
          <w:p>
            <w:pPr>
              <w:jc w:val="right"/>
              <w:ind w:right="136"/>
              <w:spacing w:after="0"/>
              <w:rPr>
                <w:sz w:val="20"/>
                <w:szCs w:val="20"/>
                <w:color w:val="auto"/>
              </w:rPr>
            </w:pPr>
            <w:r>
              <w:rPr>
                <w:rFonts w:ascii="Arial" w:cs="Arial" w:eastAsia="Arial" w:hAnsi="Arial"/>
                <w:sz w:val="14"/>
                <w:szCs w:val="14"/>
                <w:b w:val="1"/>
                <w:bCs w:val="1"/>
                <w:color w:val="00ABE8"/>
              </w:rPr>
              <w:t>Stock Awards ($)</w:t>
            </w:r>
            <w:r>
              <w:rPr>
                <w:rFonts w:ascii="Arial" w:cs="Arial" w:eastAsia="Arial" w:hAnsi="Arial"/>
                <w:sz w:val="18"/>
                <w:szCs w:val="18"/>
                <w:b w:val="1"/>
                <w:bCs w:val="1"/>
                <w:color w:val="00ABE8"/>
                <w:vertAlign w:val="superscript"/>
              </w:rPr>
              <w:t>1</w:t>
            </w:r>
          </w:p>
        </w:tc>
        <w:tc>
          <w:tcPr>
            <w:tcW w:w="2100" w:type="dxa"/>
            <w:vAlign w:val="bottom"/>
            <w:shd w:val="clear" w:color="auto" w:fill="BFBFBF"/>
          </w:tcPr>
          <w:p>
            <w:pPr>
              <w:jc w:val="right"/>
              <w:ind w:right="473"/>
              <w:spacing w:after="0" w:line="216" w:lineRule="exact"/>
              <w:rPr>
                <w:sz w:val="20"/>
                <w:szCs w:val="20"/>
                <w:color w:val="auto"/>
              </w:rPr>
            </w:pPr>
            <w:r>
              <w:rPr>
                <w:rFonts w:ascii="Arial" w:cs="Arial" w:eastAsia="Arial" w:hAnsi="Arial"/>
                <w:sz w:val="16"/>
                <w:szCs w:val="16"/>
                <w:b w:val="1"/>
                <w:bCs w:val="1"/>
                <w:color w:val="00ABE8"/>
              </w:rPr>
              <w:t>and Payments ($)</w:t>
            </w:r>
            <w:r>
              <w:rPr>
                <w:rFonts w:ascii="Arial" w:cs="Arial" w:eastAsia="Arial" w:hAnsi="Arial"/>
                <w:sz w:val="21"/>
                <w:szCs w:val="21"/>
                <w:b w:val="1"/>
                <w:bCs w:val="1"/>
                <w:color w:val="00ABE8"/>
                <w:vertAlign w:val="superscript"/>
              </w:rPr>
              <w:t>2</w:t>
            </w:r>
          </w:p>
        </w:tc>
        <w:tc>
          <w:tcPr>
            <w:tcW w:w="1440" w:type="dxa"/>
            <w:vAlign w:val="bottom"/>
            <w:shd w:val="clear" w:color="auto" w:fill="BFBFBF"/>
          </w:tcPr>
          <w:p>
            <w:pPr>
              <w:jc w:val="right"/>
              <w:ind w:right="356"/>
              <w:spacing w:after="0"/>
              <w:rPr>
                <w:sz w:val="20"/>
                <w:szCs w:val="20"/>
                <w:color w:val="auto"/>
              </w:rPr>
            </w:pPr>
            <w:r>
              <w:rPr>
                <w:rFonts w:ascii="Arial" w:cs="Arial" w:eastAsia="Arial" w:hAnsi="Arial"/>
                <w:sz w:val="14"/>
                <w:szCs w:val="14"/>
                <w:b w:val="1"/>
                <w:bCs w:val="1"/>
                <w:color w:val="00ABE8"/>
              </w:rPr>
              <w:t>Total ($)</w:t>
            </w:r>
            <w:r>
              <w:rPr>
                <w:rFonts w:ascii="Arial" w:cs="Arial" w:eastAsia="Arial" w:hAnsi="Arial"/>
                <w:sz w:val="18"/>
                <w:szCs w:val="18"/>
                <w:b w:val="1"/>
                <w:bCs w:val="1"/>
                <w:color w:val="00ABE8"/>
                <w:vertAlign w:val="superscript"/>
              </w:rPr>
              <w:t>3</w:t>
            </w:r>
          </w:p>
        </w:tc>
        <w:tc>
          <w:tcPr>
            <w:tcW w:w="0" w:type="dxa"/>
            <w:vAlign w:val="bottom"/>
          </w:tcPr>
          <w:p>
            <w:pPr>
              <w:spacing w:after="0"/>
              <w:rPr>
                <w:sz w:val="1"/>
                <w:szCs w:val="1"/>
                <w:color w:val="auto"/>
              </w:rPr>
            </w:pPr>
          </w:p>
        </w:tc>
      </w:tr>
      <w:tr>
        <w:trPr>
          <w:trHeight w:val="218"/>
        </w:trPr>
        <w:tc>
          <w:tcPr>
            <w:tcW w:w="1200" w:type="dxa"/>
            <w:vAlign w:val="bottom"/>
          </w:tcPr>
          <w:p>
            <w:pPr>
              <w:ind w:left="20"/>
              <w:spacing w:after="0"/>
              <w:rPr>
                <w:sz w:val="20"/>
                <w:szCs w:val="20"/>
                <w:color w:val="auto"/>
              </w:rPr>
            </w:pPr>
            <w:r>
              <w:rPr>
                <w:rFonts w:ascii="Arial" w:cs="Arial" w:eastAsia="Arial" w:hAnsi="Arial"/>
                <w:sz w:val="14"/>
                <w:szCs w:val="14"/>
                <w:color w:val="auto"/>
              </w:rPr>
              <w:t>Mr. Alvarez</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$131,000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$306,000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Dr. Baicker</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$131,000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$306,000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Dr. Bertozzi</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$119,000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$294,000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Mr. Eskew</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$134,000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$309,000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Mr. Fyrwald</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$119,000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$55,600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$349,600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Mr. Jackson</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$137,000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$312,000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Dr. Kaelin</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$134,000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$5,000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$314,000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Mr. Luciano</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$163,000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$338,000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Dr. Runge</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$119,000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$294,000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Ms. Seifert</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$116,000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$20,841</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$311,841</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Mr. Tai</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$122,000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$60,000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$357,000</w:t>
            </w: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4"/>
                <w:szCs w:val="14"/>
                <w:color w:val="auto"/>
              </w:rPr>
              <w:t>Ms. Walker</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$119,000</w:t>
            </w: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$175,000</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$20,000</w:t>
            </w:r>
          </w:p>
        </w:tc>
        <w:tc>
          <w:tcPr>
            <w:tcW w:w="1440" w:type="dxa"/>
            <w:vAlign w:val="bottom"/>
          </w:tcPr>
          <w:p>
            <w:pPr>
              <w:jc w:val="right"/>
              <w:ind w:right="356"/>
              <w:spacing w:after="0"/>
              <w:rPr>
                <w:sz w:val="20"/>
                <w:szCs w:val="20"/>
                <w:color w:val="auto"/>
              </w:rPr>
            </w:pPr>
            <w:r>
              <w:rPr>
                <w:rFonts w:ascii="Arial" w:cs="Arial" w:eastAsia="Arial" w:hAnsi="Arial"/>
                <w:sz w:val="13"/>
                <w:szCs w:val="13"/>
                <w:color w:val="auto"/>
              </w:rPr>
              <w:t>$314,000</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*Ms. Sulzberger and Ms. Johnson were elected to the board of directors in 2021 and are not included in the table above.</w:t>
      </w:r>
    </w:p>
    <w:p>
      <w:pPr>
        <w:spacing w:after="0" w:line="39" w:lineRule="exact"/>
        <w:rPr>
          <w:sz w:val="20"/>
          <w:szCs w:val="20"/>
          <w:color w:val="auto"/>
        </w:rPr>
      </w:pPr>
    </w:p>
    <w:p>
      <w:pPr>
        <w:jc w:val="both"/>
        <w:ind w:left="120" w:right="20" w:hanging="72"/>
        <w:spacing w:after="0" w:line="214" w:lineRule="auto"/>
        <w:tabs>
          <w:tab w:leader="none" w:pos="127"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Each non-employee director received an equity-based award of units valued at $175,000 (approximately 1,245 units). These units, and all prior awards of such units, are fully vested; however, the shares subject to such awards of units are not issued until the second January following the director's departure from board service when, as described above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P27</w:t>
      </w:r>
    </w:p>
    <w:p>
      <w:pPr>
        <w:sectPr>
          <w:pgSz w:w="11900" w:h="16838" w:orient="portrait"/>
          <w:cols w:equalWidth="0" w:num="1">
            <w:col w:w="11120"/>
          </w:cols>
          <w:pgMar w:left="320" w:top="1408" w:right="459" w:bottom="1440" w:gutter="0" w:footer="0" w:header="0"/>
        </w:sectPr>
      </w:pPr>
    </w:p>
    <w:bookmarkStart w:id="32" w:name="page33"/>
    <w:bookmarkEnd w:id="32"/>
    <w:p>
      <w:pPr>
        <w:ind w:left="120" w:right="280"/>
        <w:spacing w:after="0" w:line="233" w:lineRule="auto"/>
        <w:rPr>
          <w:sz w:val="20"/>
          <w:szCs w:val="20"/>
          <w:color w:val="auto"/>
        </w:rPr>
      </w:pPr>
      <w:r>
        <w:rPr>
          <w:rFonts w:ascii="Arial" w:cs="Arial" w:eastAsia="Arial" w:hAnsi="Arial"/>
          <w:sz w:val="16"/>
          <w:szCs w:val="16"/>
          <w:color w:val="auto"/>
        </w:rPr>
        <w:t xml:space="preserve">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w:t>
      </w:r>
      <w:r>
        <w:rPr>
          <w:rFonts w:ascii="Arial" w:cs="Arial" w:eastAsia="Arial" w:hAnsi="Arial"/>
          <w:sz w:val="16"/>
          <w:szCs w:val="16"/>
          <w:u w:val="single" w:color="auto"/>
          <w:color w:val="auto"/>
        </w:rPr>
        <w:t>Note 12</w:t>
      </w:r>
      <w:r>
        <w:rPr>
          <w:rFonts w:ascii="Arial" w:cs="Arial" w:eastAsia="Arial" w:hAnsi="Arial"/>
          <w:sz w:val="16"/>
          <w:szCs w:val="16"/>
          <w:color w:val="auto"/>
        </w:rPr>
        <w:t xml:space="preserve"> of the consolidated financial statements in the company’s Annual Report on Form 10-K for the fiscal year ended December 31, 2020,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41" w:lineRule="exact"/>
        <w:rPr>
          <w:sz w:val="20"/>
          <w:szCs w:val="20"/>
          <w:color w:val="auto"/>
        </w:rPr>
      </w:pPr>
    </w:p>
    <w:p>
      <w:pPr>
        <w:ind w:left="120" w:right="40" w:hanging="72"/>
        <w:spacing w:after="0" w:line="233" w:lineRule="auto"/>
        <w:tabs>
          <w:tab w:leader="none" w:pos="127"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This column consists of amounts donated by the Eli Lilly and Company Foundation, Inc. (Foundation) under its matching gift program, which is 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amounts for Mr. Fyrwald, Ms. Seifert, and Mr. Tai include matching contributions for donations made at the end of 2019 (Mr. Fyrwald - $28,000; Ms. Seifert - $4,000; and Mr. Tai - $30,000) for which the matching contribution was not paid until 2020.</w:t>
      </w:r>
    </w:p>
    <w:p>
      <w:pPr>
        <w:spacing w:after="0" w:line="192" w:lineRule="exact"/>
        <w:rPr>
          <w:sz w:val="20"/>
          <w:szCs w:val="20"/>
          <w:color w:val="auto"/>
        </w:rPr>
      </w:pPr>
    </w:p>
    <w:p>
      <w:pPr>
        <w:ind w:left="140" w:hanging="92"/>
        <w:spacing w:after="0"/>
        <w:tabs>
          <w:tab w:leader="none" w:pos="14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Directors do not participate in a company pension plan or non-equity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Director Compensation</w:t>
      </w:r>
    </w:p>
    <w:p>
      <w:pPr>
        <w:spacing w:after="0" w:line="29"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The Directors and Corporate Governance Committee performs regular reviews of non-employee director compensation. In 2019, the Directors and Corporate Governance Committee performed an in depth review of non-employee director compensation, including a pharmaceutical company peer group analysis and general industry peer group analysis conducted with the assistance of an outside compensation consultant, discussions regarding the effectiveness of the non-employee directors in their various duties, and other considerations, including the desire to have non-employee director compensation positioned near the market median when compared against the general industry peer group. Although no formal changes or review of the non-employee director compensation were made or conducted in 2020, the Directors and Corporate Governance Committee intends to perform a non-employee director compensation review as part of its 2021 agenda.</w:t>
      </w:r>
    </w:p>
    <w:p>
      <w:pPr>
        <w:spacing w:after="0" w:line="211"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Director Independence</w:t>
      </w:r>
    </w:p>
    <w:p>
      <w:pPr>
        <w:spacing w:after="0" w:line="28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board annually determines the 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significant shareholder, or officer of an organization that has a material relationship with the company.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 except that the "look-back period" for determining whether a director’s prior relationships with the company impairs independence is extended from three to four years.</w:t>
      </w:r>
    </w:p>
    <w:p>
      <w:pPr>
        <w:spacing w:after="0" w:line="200" w:lineRule="exact"/>
        <w:rPr>
          <w:sz w:val="20"/>
          <w:szCs w:val="20"/>
          <w:color w:val="auto"/>
        </w:rPr>
      </w:pPr>
    </w:p>
    <w:p>
      <w:pPr>
        <w:spacing w:after="0" w:line="22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The company's process for determining director independence is set forth in our Standards for Director Independence, which can be found on our website at </w:t>
      </w:r>
      <w:r>
        <w:rPr>
          <w:rFonts w:ascii="Arial" w:cs="Arial" w:eastAsia="Arial" w:hAnsi="Arial"/>
          <w:sz w:val="16"/>
          <w:szCs w:val="16"/>
          <w:color w:val="EE2724"/>
        </w:rPr>
        <w:t>lilly.com/leadership/governance</w:t>
      </w:r>
      <w:r>
        <w:rPr>
          <w:rFonts w:ascii="Arial" w:cs="Arial" w:eastAsia="Arial" w:hAnsi="Arial"/>
          <w:sz w:val="16"/>
          <w:szCs w:val="16"/>
          <w:color w:val="000000"/>
        </w:rPr>
        <w:t>, along with our Corporate Governance Guidelines.</w:t>
      </w:r>
    </w:p>
    <w:p>
      <w:pPr>
        <w:spacing w:after="0" w:line="22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the recommendation of the Directors and Corporate Governance Committee, the board determined that each current non-employee director is independent. The board also determined that the members of our Audit and Compensation Committees also meet the heightened independence standards applicable to those committees. The board determined that none of the non-employee directors has had during the last four years (i) any of the relationships identified in the company’s categorical independence standards or (ii) any other material relationship with the company that would compromise his or her independence.</w:t>
      </w:r>
    </w:p>
    <w:p>
      <w:pPr>
        <w:spacing w:after="0" w:line="23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making its independence determinations, the board considered that some of the non-employee directors are affiliated with companies or entities to which the company sold products or made payments, or from which the company purchased products or services during the year. Drs. Baicker, Bertozzi, Kaelin, and Runge are employed at medical or academic institutions with which the company engages in clinical research, provides research grants, and/or engages in commercial transactions in the ordinary course of business. Mr. Luciano is employed by Archer-Daniels-Midland Company and Mr. Fyrwald is employed by Syngenta AG. The company engages in routine business transactions with these companies. Aggregate payments to or from each of the organizations, in each of the last four fiscal years, did not exceed the greater of $1 million or 2 percent of that organization's consolidated gross revenues in a single fiscal year for the relevant four-year period. In reviewing these relationships, the board considers all relevant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P28</w:t>
      </w:r>
    </w:p>
    <w:p>
      <w:pPr>
        <w:sectPr>
          <w:pgSz w:w="11900" w:h="16838" w:orient="portrait"/>
          <w:cols w:equalWidth="0" w:num="1">
            <w:col w:w="11240"/>
          </w:cols>
          <w:pgMar w:left="320" w:top="1424" w:right="339" w:bottom="1440" w:gutter="0" w:footer="0" w:header="0"/>
        </w:sectPr>
      </w:pPr>
    </w:p>
    <w:bookmarkStart w:id="33" w:name="page34"/>
    <w:bookmarkEnd w:id="33"/>
    <w:p>
      <w:pPr>
        <w:ind w:left="660" w:right="160" w:hanging="328"/>
        <w:spacing w:after="0" w:line="246" w:lineRule="auto"/>
        <w:tabs>
          <w:tab w:leader="none" w:pos="6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any transactions were entered into at arm's length in the normal course of business and, to the extent they are commercial relationships, have standard commercial terms; and</w:t>
      </w:r>
    </w:p>
    <w:p>
      <w:pPr>
        <w:ind w:left="660" w:right="20" w:hanging="328"/>
        <w:spacing w:after="0" w:line="260" w:lineRule="auto"/>
        <w:tabs>
          <w:tab w:leader="none" w:pos="6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any director had any direct business relationships with the company or received any direct personal benefit from any of these transactions, relationships, or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Committees of the Board of Directors</w:t>
      </w:r>
    </w:p>
    <w:p>
      <w:pPr>
        <w:spacing w:after="0" w:line="2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duties and membership of our board-appointed committees are described below. Effective January 1, 2021, our board disbanded the Finance Committee and reallocated its duties to the full board, the Audit Committee, and the Compensation Committee. This restructuring reduced the number of board committees to allow more time for meetings of the remaining committees, encouraging longer, more in-depth committee discussions, and allowing the board to have more in-depth discussions on capital allocation matters.</w:t>
      </w:r>
    </w:p>
    <w:p>
      <w:pPr>
        <w:spacing w:after="0" w:line="22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All committee members are independent as defined in the NYSE listing requirements and Lilly's independence standards. The members of the Audit and Compensation Committees each meet the additional independence requirements applicable to them as members of those committees.</w:t>
      </w:r>
    </w:p>
    <w:p>
      <w:pPr>
        <w:spacing w:after="0" w:line="222"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Directors and Corporate Governance Committee makes recommendations to the board regarding director committee membership and selection of committee chairs. The board has no set policy for rotation of committee members or chairs but annually reviews committee memberships and chair positions, seeking the best blend of continuity and fresh perspectives on the committees.</w:t>
      </w:r>
    </w:p>
    <w:p>
      <w:pPr>
        <w:spacing w:after="0" w:line="22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chair of each committee determines the frequency and agenda of committee meetings, subject to any minimums specified in the relevant committee charter, and the committees meet alone in executive session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P29</w:t>
      </w:r>
    </w:p>
    <w:p>
      <w:pPr>
        <w:sectPr>
          <w:pgSz w:w="11900" w:h="16838" w:orient="portrait"/>
          <w:cols w:equalWidth="0" w:num="1">
            <w:col w:w="11160"/>
          </w:cols>
          <w:pgMar w:left="320" w:top="1437" w:right="419" w:bottom="1440" w:gutter="0" w:footer="0" w:header="0"/>
        </w:sectPr>
      </w:pPr>
    </w:p>
    <w:bookmarkStart w:id="34" w:name="page35"/>
    <w:bookmarkEnd w:id="34"/>
    <w:p>
      <w:pPr>
        <w:spacing w:after="0"/>
        <w:rPr>
          <w:sz w:val="20"/>
          <w:szCs w:val="20"/>
          <w:color w:val="auto"/>
        </w:rPr>
      </w:pPr>
      <w:r>
        <w:rPr>
          <w:rFonts w:ascii="Arial" w:cs="Arial" w:eastAsia="Arial" w:hAnsi="Arial"/>
          <w:sz w:val="27"/>
          <w:szCs w:val="27"/>
          <w:b w:val="1"/>
          <w:bCs w:val="1"/>
          <w:color w:val="EF3729"/>
        </w:rPr>
        <w:t>Membership and Meetings of the Board and Its Committees</w:t>
      </w:r>
    </w:p>
    <w:p>
      <w:pPr>
        <w:spacing w:after="0" w:line="2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2020, each director attended at least 75 percent of the total number of meetings of the board and the committees on which he or she served during his or her tenure as a board or committee member. In addition, all board members are expected to attend the Annual Meeting, and all directors then serving attended the 2020 annual meeting of shareholders. Current committee membership and the number of meetings of the board and each committee* held in 2020 are shown in the table below.</w:t>
      </w:r>
    </w:p>
    <w:p>
      <w:pPr>
        <w:spacing w:after="0" w:line="86" w:lineRule="exact"/>
        <w:rPr>
          <w:sz w:val="20"/>
          <w:szCs w:val="20"/>
          <w:color w:val="auto"/>
        </w:rPr>
      </w:pPr>
    </w:p>
    <w:tbl>
      <w:tblPr>
        <w:tblLayout w:type="fixed"/>
        <w:tblInd w:w="1250" w:type="dxa"/>
        <w:tblCellMar>
          <w:top w:w="0" w:type="dxa"/>
          <w:left w:w="0" w:type="dxa"/>
          <w:bottom w:w="0" w:type="dxa"/>
          <w:right w:w="0" w:type="dxa"/>
        </w:tblCellMar>
      </w:tblPr>
      <w:tr>
        <w:trPr>
          <w:trHeight w:val="189"/>
        </w:trPr>
        <w:tc>
          <w:tcPr>
            <w:tcW w:w="1580" w:type="dxa"/>
            <w:vAlign w:val="bottom"/>
            <w:tcBorders>
              <w:top w:val="single" w:sz="8" w:color="auto"/>
              <w:left w:val="single" w:sz="8" w:color="auto"/>
              <w:right w:val="single" w:sz="8" w:color="auto"/>
            </w:tcBorders>
            <w:shd w:val="clear" w:color="auto" w:fill="DBDBDB"/>
          </w:tcPr>
          <w:p>
            <w:pPr>
              <w:spacing w:after="0"/>
              <w:rPr>
                <w:sz w:val="16"/>
                <w:szCs w:val="16"/>
                <w:color w:val="auto"/>
              </w:rPr>
            </w:pPr>
          </w:p>
        </w:tc>
        <w:tc>
          <w:tcPr>
            <w:tcW w:w="980" w:type="dxa"/>
            <w:vAlign w:val="bottom"/>
            <w:tcBorders>
              <w:top w:val="single" w:sz="8" w:color="auto"/>
              <w:right w:val="single" w:sz="8" w:color="auto"/>
            </w:tcBorders>
            <w:shd w:val="clear" w:color="auto" w:fill="DBDBDB"/>
          </w:tcPr>
          <w:p>
            <w:pPr>
              <w:spacing w:after="0"/>
              <w:rPr>
                <w:sz w:val="16"/>
                <w:szCs w:val="16"/>
                <w:color w:val="auto"/>
              </w:rPr>
            </w:pPr>
          </w:p>
        </w:tc>
        <w:tc>
          <w:tcPr>
            <w:tcW w:w="1160" w:type="dxa"/>
            <w:vAlign w:val="bottom"/>
            <w:tcBorders>
              <w:top w:val="single" w:sz="8" w:color="auto"/>
              <w:right w:val="single" w:sz="8" w:color="auto"/>
            </w:tcBorders>
            <w:shd w:val="clear" w:color="auto" w:fill="DBDBDB"/>
          </w:tcPr>
          <w:p>
            <w:pPr>
              <w:spacing w:after="0"/>
              <w:rPr>
                <w:sz w:val="16"/>
                <w:szCs w:val="16"/>
                <w:color w:val="auto"/>
              </w:rPr>
            </w:pPr>
          </w:p>
        </w:tc>
        <w:tc>
          <w:tcPr>
            <w:tcW w:w="1340" w:type="dxa"/>
            <w:vAlign w:val="bottom"/>
            <w:tcBorders>
              <w:top w:val="single" w:sz="8" w:color="auto"/>
              <w:right w:val="single" w:sz="8" w:color="auto"/>
            </w:tcBorders>
            <w:shd w:val="clear" w:color="auto" w:fill="DBDBDB"/>
          </w:tcPr>
          <w:p>
            <w:pPr>
              <w:spacing w:after="0"/>
              <w:rPr>
                <w:sz w:val="16"/>
                <w:szCs w:val="16"/>
                <w:color w:val="auto"/>
              </w:rPr>
            </w:pPr>
          </w:p>
        </w:tc>
        <w:tc>
          <w:tcPr>
            <w:tcW w:w="1280" w:type="dxa"/>
            <w:vAlign w:val="bottom"/>
            <w:tcBorders>
              <w:top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00ABE8"/>
              </w:rPr>
              <w:t>Directors and</w:t>
            </w:r>
          </w:p>
        </w:tc>
        <w:tc>
          <w:tcPr>
            <w:tcW w:w="1300" w:type="dxa"/>
            <w:vAlign w:val="bottom"/>
            <w:tcBorders>
              <w:top w:val="single" w:sz="8" w:color="auto"/>
              <w:right w:val="single" w:sz="8" w:color="auto"/>
            </w:tcBorders>
            <w:shd w:val="clear" w:color="auto" w:fill="DBDBDB"/>
          </w:tcPr>
          <w:p>
            <w:pPr>
              <w:spacing w:after="0"/>
              <w:rPr>
                <w:sz w:val="16"/>
                <w:szCs w:val="16"/>
                <w:color w:val="auto"/>
              </w:rPr>
            </w:pPr>
          </w:p>
        </w:tc>
        <w:tc>
          <w:tcPr>
            <w:tcW w:w="1140" w:type="dxa"/>
            <w:vAlign w:val="bottom"/>
            <w:tcBorders>
              <w:top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BDBDB"/>
          </w:tcPr>
          <w:p>
            <w:pPr>
              <w:spacing w:after="0"/>
              <w:rPr>
                <w:sz w:val="14"/>
                <w:szCs w:val="14"/>
                <w:color w:val="auto"/>
              </w:rPr>
            </w:pPr>
          </w:p>
        </w:tc>
        <w:tc>
          <w:tcPr>
            <w:tcW w:w="980" w:type="dxa"/>
            <w:vAlign w:val="bottom"/>
            <w:tcBorders>
              <w:right w:val="single" w:sz="8" w:color="auto"/>
            </w:tcBorders>
            <w:shd w:val="clear" w:color="auto" w:fill="DBDBDB"/>
          </w:tcPr>
          <w:p>
            <w:pPr>
              <w:spacing w:after="0"/>
              <w:rPr>
                <w:sz w:val="14"/>
                <w:szCs w:val="14"/>
                <w:color w:val="auto"/>
              </w:rPr>
            </w:pPr>
          </w:p>
        </w:tc>
        <w:tc>
          <w:tcPr>
            <w:tcW w:w="1160" w:type="dxa"/>
            <w:vAlign w:val="bottom"/>
            <w:tcBorders>
              <w:right w:val="single" w:sz="8" w:color="auto"/>
            </w:tcBorders>
            <w:shd w:val="clear" w:color="auto" w:fill="DBDBDB"/>
          </w:tcPr>
          <w:p>
            <w:pPr>
              <w:spacing w:after="0"/>
              <w:rPr>
                <w:sz w:val="14"/>
                <w:szCs w:val="14"/>
                <w:color w:val="auto"/>
              </w:rPr>
            </w:pPr>
          </w:p>
        </w:tc>
        <w:tc>
          <w:tcPr>
            <w:tcW w:w="1340" w:type="dxa"/>
            <w:vAlign w:val="bottom"/>
            <w:tcBorders>
              <w:right w:val="single" w:sz="8" w:color="auto"/>
            </w:tcBorders>
            <w:shd w:val="clear" w:color="auto" w:fill="DBDBDB"/>
          </w:tcPr>
          <w:p>
            <w:pPr>
              <w:spacing w:after="0"/>
              <w:rPr>
                <w:sz w:val="14"/>
                <w:szCs w:val="14"/>
                <w:color w:val="auto"/>
              </w:rPr>
            </w:pPr>
          </w:p>
        </w:tc>
        <w:tc>
          <w:tcPr>
            <w:tcW w:w="128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00ABE8"/>
              </w:rPr>
              <w:t>Corporate</w:t>
            </w:r>
          </w:p>
        </w:tc>
        <w:tc>
          <w:tcPr>
            <w:tcW w:w="13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00ABE8"/>
              </w:rPr>
              <w:t>Ethics and</w:t>
            </w:r>
          </w:p>
        </w:tc>
        <w:tc>
          <w:tcPr>
            <w:tcW w:w="114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00ABE8"/>
              </w:rPr>
              <w:t>Science and</w:t>
            </w: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00ABE8"/>
              </w:rPr>
              <w:t>Name</w:t>
            </w:r>
          </w:p>
        </w:tc>
        <w:tc>
          <w:tcPr>
            <w:tcW w:w="9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00ABE8"/>
              </w:rPr>
              <w:t>Board</w:t>
            </w:r>
          </w:p>
        </w:tc>
        <w:tc>
          <w:tcPr>
            <w:tcW w:w="116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00ABE8"/>
              </w:rPr>
              <w:t>Audit</w:t>
            </w:r>
          </w:p>
        </w:tc>
        <w:tc>
          <w:tcPr>
            <w:tcW w:w="1340" w:type="dxa"/>
            <w:vAlign w:val="bottom"/>
            <w:tcBorders>
              <w:bottom w:val="single" w:sz="8" w:color="auto"/>
              <w:right w:val="single" w:sz="8" w:color="auto"/>
            </w:tcBorders>
            <w:shd w:val="clear" w:color="auto" w:fill="DBDBDB"/>
          </w:tcPr>
          <w:p>
            <w:pPr>
              <w:jc w:val="right"/>
              <w:ind w:right="251"/>
              <w:spacing w:after="0"/>
              <w:rPr>
                <w:sz w:val="20"/>
                <w:szCs w:val="20"/>
                <w:color w:val="auto"/>
              </w:rPr>
            </w:pPr>
            <w:r>
              <w:rPr>
                <w:rFonts w:ascii="Arial" w:cs="Arial" w:eastAsia="Arial" w:hAnsi="Arial"/>
                <w:sz w:val="14"/>
                <w:szCs w:val="14"/>
                <w:b w:val="1"/>
                <w:bCs w:val="1"/>
                <w:color w:val="00ABE8"/>
              </w:rPr>
              <w:t>Compensation</w:t>
            </w:r>
          </w:p>
        </w:tc>
        <w:tc>
          <w:tcPr>
            <w:tcW w:w="128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00ABE8"/>
              </w:rPr>
              <w:t>Governance</w:t>
            </w:r>
          </w:p>
        </w:tc>
        <w:tc>
          <w:tcPr>
            <w:tcW w:w="13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00ABE8"/>
              </w:rPr>
              <w:t>Compliance</w:t>
            </w:r>
          </w:p>
        </w:tc>
        <w:tc>
          <w:tcPr>
            <w:tcW w:w="114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00ABE8"/>
              </w:rPr>
              <w:t>Technology</w:t>
            </w:r>
          </w:p>
        </w:tc>
        <w:tc>
          <w:tcPr>
            <w:tcW w:w="0" w:type="dxa"/>
            <w:vAlign w:val="bottom"/>
          </w:tcPr>
          <w:p>
            <w:pPr>
              <w:spacing w:after="0"/>
              <w:rPr>
                <w:sz w:val="1"/>
                <w:szCs w:val="1"/>
                <w:color w:val="auto"/>
              </w:rPr>
            </w:pPr>
          </w:p>
        </w:tc>
      </w:tr>
      <w:tr>
        <w:trPr>
          <w:trHeight w:val="256"/>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Alvarez</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340" w:type="dxa"/>
            <w:vAlign w:val="bottom"/>
            <w:tcBorders>
              <w:bottom w:val="single" w:sz="8" w:color="auto"/>
              <w:right w:val="single" w:sz="8" w:color="auto"/>
            </w:tcBorders>
          </w:tcPr>
          <w:p>
            <w:pPr>
              <w:jc w:val="right"/>
              <w:ind w:right="551"/>
              <w:spacing w:after="0"/>
              <w:rPr>
                <w:sz w:val="20"/>
                <w:szCs w:val="20"/>
                <w:color w:val="auto"/>
              </w:rPr>
            </w:pPr>
            <w:r>
              <w:rPr>
                <w:rFonts w:ascii="Arial" w:cs="Arial" w:eastAsia="Arial" w:hAnsi="Arial"/>
                <w:sz w:val="16"/>
                <w:szCs w:val="16"/>
                <w:b w:val="1"/>
                <w:bCs w:val="1"/>
                <w:color w:val="EE2724"/>
              </w:rPr>
              <w:t>C</w:t>
            </w:r>
          </w:p>
        </w:tc>
        <w:tc>
          <w:tcPr>
            <w:tcW w:w="128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Baicker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6"/>
                <w:szCs w:val="16"/>
                <w:b w:val="1"/>
                <w:bCs w:val="1"/>
                <w:color w:val="EE2724"/>
              </w:rPr>
              <w:t>C</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Bertozzi</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Eskew</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b w:val="1"/>
                <w:bCs w:val="1"/>
                <w:color w:val="EE2724"/>
              </w:rPr>
              <w:t>C</w:t>
            </w: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Fyrwald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Jackson</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EE2724"/>
              </w:rPr>
              <w:t>C</w:t>
            </w: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Johnson**</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Kaelin</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ü</w:t>
            </w: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b w:val="1"/>
                <w:bCs w:val="1"/>
                <w:color w:val="EE2724"/>
              </w:rPr>
              <w:t>C</w:t>
            </w: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Luciano</w:t>
            </w:r>
          </w:p>
        </w:tc>
        <w:tc>
          <w:tcPr>
            <w:tcW w:w="9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b w:val="1"/>
                <w:bCs w:val="1"/>
                <w:color w:val="EE2724"/>
              </w:rPr>
              <w:t>LD</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ü</w:t>
            </w: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Runge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Seifert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ind w:right="551"/>
              <w:spacing w:after="0"/>
              <w:rPr>
                <w:sz w:val="20"/>
                <w:szCs w:val="20"/>
                <w:color w:val="auto"/>
              </w:rPr>
            </w:pPr>
            <w:r>
              <w:rPr>
                <w:rFonts w:ascii="Arial" w:cs="Arial" w:eastAsia="Arial" w:hAnsi="Arial"/>
                <w:sz w:val="13"/>
                <w:szCs w:val="13"/>
                <w:color w:val="auto"/>
              </w:rPr>
              <w:t>ü</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ü</w:t>
            </w: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Sulzberger**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Tai</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3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ü</w:t>
            </w: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Walker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ü</w:t>
            </w: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00ABE8"/>
              </w:rPr>
              <w:t>Number of 2020</w:t>
            </w:r>
          </w:p>
        </w:tc>
        <w:tc>
          <w:tcPr>
            <w:tcW w:w="9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0ABE8"/>
                <w:w w:val="95"/>
              </w:rPr>
              <w:t>10</w:t>
            </w:r>
          </w:p>
        </w:tc>
        <w:tc>
          <w:tcPr>
            <w:tcW w:w="11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0ABE8"/>
                <w:w w:val="95"/>
              </w:rPr>
              <w:t>9</w:t>
            </w:r>
          </w:p>
        </w:tc>
        <w:tc>
          <w:tcPr>
            <w:tcW w:w="13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0ABE8"/>
                <w:w w:val="95"/>
              </w:rPr>
              <w:t>6</w:t>
            </w:r>
          </w:p>
        </w:tc>
        <w:tc>
          <w:tcPr>
            <w:tcW w:w="12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0ABE8"/>
                <w:w w:val="95"/>
              </w:rPr>
              <w:t>4</w:t>
            </w:r>
          </w:p>
        </w:tc>
        <w:tc>
          <w:tcPr>
            <w:tcW w:w="130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0ABE8"/>
                <w:w w:val="95"/>
              </w:rPr>
              <w:t>6</w:t>
            </w:r>
          </w:p>
        </w:tc>
        <w:tc>
          <w:tcPr>
            <w:tcW w:w="11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0ABE8"/>
                <w:w w:val="95"/>
              </w:rPr>
              <w:t>9</w:t>
            </w: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00ABE8"/>
              </w:rPr>
              <w:t>Meetings</w:t>
            </w:r>
          </w:p>
        </w:tc>
        <w:tc>
          <w:tcPr>
            <w:tcW w:w="98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116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134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128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130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114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5300" w:firstLine="8"/>
        <w:spacing w:after="0"/>
        <w:tabs>
          <w:tab w:leader="none" w:pos="84"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Effective January 1, 2021, the board disbanded the Finance Committee, which met eight times in 2020. ** Ms. Sulzberger and Ms. Johnson were elected in 2021.</w:t>
      </w:r>
    </w:p>
    <w:p>
      <w:pPr>
        <w:spacing w:after="0" w:line="215"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3"/>
          <w:szCs w:val="13"/>
          <w:b w:val="1"/>
          <w:bCs w:val="1"/>
          <w:color w:val="EE2724"/>
        </w:rPr>
      </w:pPr>
      <w:r>
        <w:rPr>
          <w:rFonts w:ascii="Arial" w:cs="Arial" w:eastAsia="Arial" w:hAnsi="Arial"/>
          <w:sz w:val="13"/>
          <w:szCs w:val="13"/>
          <w:b w:val="1"/>
          <w:bCs w:val="1"/>
          <w:color w:val="EE2724"/>
        </w:rPr>
        <w:t>Committee Chair</w:t>
      </w:r>
    </w:p>
    <w:p>
      <w:pPr>
        <w:spacing w:after="0" w:line="29"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EE2724"/>
        </w:rPr>
        <w:t>LD</w:t>
        <w:tab/>
        <w:t>Lead Independent Director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committee charters are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 Key responsibilities of each committee are set forth below.</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Audit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assists the board in fulfilling its oversight responsibilities by monitoring:</w:t>
      </w:r>
    </w:p>
    <w:p>
      <w:pPr>
        <w:spacing w:after="0" w:line="5"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integrity of financial information provided to our shareholders and others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management's systems of internal controls and disclosure controls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performance of internal and independent audit functions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processes and procedures related to identifying and mitigating enterprise level risks.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sole authority to appoint or replace the independent auditor, subject to shareholder ratification.</w:t>
      </w:r>
    </w:p>
    <w:p>
      <w:pPr>
        <w:spacing w:after="0" w:line="24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board has determined that Mr. Alvarez, Mr. Eskew, Mr. Jackson, Ms. Sulzberger, and Mr. Tai are audit committee financial experts, as defined in the rules of the U.S. Securities and Exchange Commission (SEC).</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Compensation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w:t>
      </w:r>
    </w:p>
    <w:p>
      <w:pPr>
        <w:spacing w:after="0" w:line="5" w:lineRule="exact"/>
        <w:rPr>
          <w:sz w:val="20"/>
          <w:szCs w:val="20"/>
          <w:color w:val="auto"/>
        </w:rPr>
      </w:pPr>
    </w:p>
    <w:p>
      <w:pPr>
        <w:ind w:left="620" w:hanging="288"/>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oversees the company’s global compensation philosophy and policies</w:t>
      </w:r>
    </w:p>
    <w:p>
      <w:pPr>
        <w:spacing w:after="0" w:line="5" w:lineRule="exact"/>
        <w:rPr>
          <w:rFonts w:ascii="Arial" w:cs="Arial" w:eastAsia="Arial" w:hAnsi="Arial"/>
          <w:sz w:val="16"/>
          <w:szCs w:val="16"/>
          <w:color w:val="auto"/>
        </w:rPr>
      </w:pPr>
    </w:p>
    <w:p>
      <w:pPr>
        <w:ind w:left="660" w:right="220" w:hanging="328"/>
        <w:spacing w:after="0" w:line="260" w:lineRule="auto"/>
        <w:tabs>
          <w:tab w:leader="none" w:pos="6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establishes the compensation of our CEO, in consultation with other independent directors and our external compensation consultant, and other executive officers</w:t>
      </w:r>
    </w:p>
    <w:p>
      <w:pPr>
        <w:sectPr>
          <w:pgSz w:w="11900" w:h="16838" w:orient="portrait"/>
          <w:cols w:equalWidth="0" w:num="1">
            <w:col w:w="11140"/>
          </w:cols>
          <w:pgMar w:left="320" w:top="1414" w:right="4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P30</w:t>
      </w:r>
    </w:p>
    <w:p>
      <w:pPr>
        <w:sectPr>
          <w:pgSz w:w="11900" w:h="16838" w:orient="portrait"/>
          <w:cols w:equalWidth="0" w:num="1">
            <w:col w:w="11140"/>
          </w:cols>
          <w:pgMar w:left="320" w:top="1414" w:right="439" w:bottom="1440" w:gutter="0" w:footer="0" w:header="0"/>
          <w:type w:val="continuous"/>
        </w:sectPr>
      </w:pPr>
    </w:p>
    <w:bookmarkStart w:id="35" w:name="page36"/>
    <w:bookmarkEnd w:id="35"/>
    <w:p>
      <w:pPr>
        <w:ind w:left="660" w:right="200" w:hanging="328"/>
        <w:spacing w:after="0" w:line="246" w:lineRule="auto"/>
        <w:tabs>
          <w:tab w:leader="none" w:pos="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acts as the oversight committee with respect to the company’s deferred compensation plans, management stock plans, and other management incentive compensation programs</w:t>
      </w:r>
    </w:p>
    <w:p>
      <w:pPr>
        <w:ind w:left="660" w:right="280" w:hanging="328"/>
        <w:spacing w:after="0" w:line="246" w:lineRule="auto"/>
        <w:tabs>
          <w:tab w:leader="none" w:pos="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reviews succession plans for the CEO and other key senior leadership positions, including a broad review of our succession management and diversity efforts</w:t>
      </w:r>
    </w:p>
    <w:p>
      <w:pPr>
        <w:ind w:left="620" w:hanging="288"/>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advises our management and the board regarding other human capital management and employee compensation and benefits matters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reviews, monitors, and oversees stock ownership guidelines for executive officers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oversees the company’s executive compensation recovery policy</w:t>
      </w:r>
    </w:p>
    <w:p>
      <w:pPr>
        <w:spacing w:after="0" w:line="5" w:lineRule="exact"/>
        <w:rPr>
          <w:rFonts w:ascii="Arial" w:cs="Arial" w:eastAsia="Arial" w:hAnsi="Arial"/>
          <w:sz w:val="16"/>
          <w:szCs w:val="16"/>
          <w:color w:val="auto"/>
        </w:rPr>
      </w:pPr>
    </w:p>
    <w:p>
      <w:pPr>
        <w:ind w:left="660" w:hanging="328"/>
        <w:spacing w:after="0" w:line="260" w:lineRule="auto"/>
        <w:tabs>
          <w:tab w:leader="none" w:pos="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oversees the company’s engagement with shareholders regarding executive compensation matters, including reviewing and evaluating the results of advisory votes on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2020, Mr. Alvarez, Mr. Eskew, Mr. Fyrwald, and Ms. Seifert served on the Compensation Committee.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 of the Compensation Committee members:</w:t>
      </w:r>
    </w:p>
    <w:p>
      <w:pPr>
        <w:spacing w:after="0" w:line="5" w:lineRule="exact"/>
        <w:rPr>
          <w:sz w:val="20"/>
          <w:szCs w:val="20"/>
          <w:color w:val="auto"/>
        </w:rPr>
      </w:pPr>
    </w:p>
    <w:p>
      <w:pPr>
        <w:ind w:left="620" w:hanging="288"/>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has ever been an officer or employee of the company</w:t>
      </w:r>
    </w:p>
    <w:p>
      <w:pPr>
        <w:spacing w:after="0" w:line="5" w:lineRule="exact"/>
        <w:rPr>
          <w:rFonts w:ascii="Arial" w:cs="Arial" w:eastAsia="Arial" w:hAnsi="Arial"/>
          <w:sz w:val="16"/>
          <w:szCs w:val="16"/>
          <w:color w:val="auto"/>
        </w:rPr>
      </w:pPr>
    </w:p>
    <w:p>
      <w:pPr>
        <w:ind w:left="660" w:right="280" w:hanging="328"/>
        <w:spacing w:after="0" w:line="246" w:lineRule="auto"/>
        <w:tabs>
          <w:tab w:leader="none" w:pos="6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is or has been a participant in a related person transaction with the company (see "Governance—Highlights of the Company's Corporate Governance—Conflicts of Interest and Transactions with Related Persons—Review and Approval of Transactions with Related Persons" for a description of our policy on related person transactions)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has any other interlocking relationships requiring disclosure under applicable SEC rules.</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Directors and Corporate Governance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Directors and Corporate Governance Committee:</w:t>
      </w:r>
    </w:p>
    <w:p>
      <w:pPr>
        <w:spacing w:after="0" w:line="5" w:lineRule="exact"/>
        <w:rPr>
          <w:sz w:val="20"/>
          <w:szCs w:val="20"/>
          <w:color w:val="auto"/>
        </w:rPr>
      </w:pPr>
    </w:p>
    <w:p>
      <w:pPr>
        <w:ind w:left="620" w:hanging="288"/>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leads the process for director recruitment, together with the lead independent director</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reviews recommendations for nominees for the board of directors</w:t>
      </w:r>
    </w:p>
    <w:p>
      <w:pPr>
        <w:spacing w:after="0" w:line="5" w:lineRule="exact"/>
        <w:rPr>
          <w:rFonts w:ascii="Arial" w:cs="Arial" w:eastAsia="Arial" w:hAnsi="Arial"/>
          <w:sz w:val="16"/>
          <w:szCs w:val="16"/>
          <w:color w:val="auto"/>
        </w:rPr>
      </w:pPr>
    </w:p>
    <w:p>
      <w:pPr>
        <w:ind w:left="660" w:right="340" w:hanging="328"/>
        <w:spacing w:after="0" w:line="246" w:lineRule="auto"/>
        <w:tabs>
          <w:tab w:leader="none" w:pos="6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oversees matters of corporate governance, including board performance, non-employee director independence and compensation, corporate governance guidelines, and shareholder engagement on governance matters</w:t>
      </w:r>
    </w:p>
    <w:p>
      <w:pPr>
        <w:ind w:left="660" w:right="60" w:hanging="328"/>
        <w:spacing w:after="0" w:line="246" w:lineRule="auto"/>
        <w:tabs>
          <w:tab w:leader="none" w:pos="6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identifies and brings to the attention of the board as appropriate current and emerging environmental, social, political, and governance trends and public policy issues that may affect the business operations</w:t>
      </w:r>
    </w:p>
    <w:p>
      <w:pPr>
        <w:ind w:left="620" w:hanging="288"/>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annually assesses the performance of the board, board committees and board processes, and reviews such findings with the board.</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Ethics and Compliance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2021, the board reorganized the Public Policy and Compliance Committee into the Ethics and Compliance Committee.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Ethics and Compliance Committee:</w:t>
      </w:r>
    </w:p>
    <w:p>
      <w:pPr>
        <w:spacing w:after="0" w:line="5" w:lineRule="exact"/>
        <w:rPr>
          <w:sz w:val="20"/>
          <w:szCs w:val="20"/>
          <w:color w:val="auto"/>
        </w:rPr>
      </w:pPr>
    </w:p>
    <w:p>
      <w:pPr>
        <w:ind w:left="660" w:right="120" w:hanging="328"/>
        <w:spacing w:after="0" w:line="246"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ind w:left="660" w:right="40" w:hanging="328"/>
        <w:spacing w:after="0" w:line="260"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reviews, monitors, and makes recommendations to the board on corporate policies and practices related to compliance, including those related to employee health and safety.</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Science and Technology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Science and Technology Committee:</w:t>
      </w:r>
    </w:p>
    <w:p>
      <w:pPr>
        <w:spacing w:after="0" w:line="5" w:lineRule="exact"/>
        <w:rPr>
          <w:sz w:val="20"/>
          <w:szCs w:val="20"/>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reviews and advises the board regarding the company’s strategic research and development goals and objectives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monitors and evaluates developments, technologies, and trends in pharmaceutical research and development</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regularly reviews the company's product pipeline</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advises the board on the scientific aspects of significant business development opportunities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assists the board with its oversight responsibility for enterprise risk management in areas affecting the company's research and development.</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Finance Committee</w:t>
      </w:r>
    </w:p>
    <w:p>
      <w:pPr>
        <w:spacing w:after="0" w:line="3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Prior to its dissolution effective January 1, 2021, the Finance Committee reviewed and made recommendations to the board regarding financial matters, including:</w:t>
      </w:r>
    </w:p>
    <w:p>
      <w:pPr>
        <w:spacing w:after="0" w:line="1" w:lineRule="exact"/>
        <w:rPr>
          <w:sz w:val="20"/>
          <w:szCs w:val="20"/>
          <w:color w:val="auto"/>
        </w:rPr>
      </w:pPr>
    </w:p>
    <w:p>
      <w:pPr>
        <w:ind w:left="620" w:hanging="28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capital structure and strategies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dividends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 repurchases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P31</w:t>
      </w:r>
    </w:p>
    <w:p>
      <w:pPr>
        <w:sectPr>
          <w:pgSz w:w="11900" w:h="16838" w:orient="portrait"/>
          <w:cols w:equalWidth="0" w:num="1">
            <w:col w:w="11060"/>
          </w:cols>
          <w:pgMar w:left="320" w:top="1437" w:right="519" w:bottom="1440" w:gutter="0" w:footer="0" w:header="0"/>
        </w:sectPr>
      </w:pPr>
    </w:p>
    <w:bookmarkStart w:id="36" w:name="page37"/>
    <w:bookmarkEnd w:id="36"/>
    <w:p>
      <w:pPr>
        <w:ind w:left="620" w:hanging="288"/>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investments, financing, and borrowings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benefit plan funding and investments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financial risk management</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significant business development opportunities.</w:t>
      </w:r>
    </w:p>
    <w:p>
      <w:pPr>
        <w:spacing w:after="0" w:line="24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Effective January 1, 2021, the board disbanded the Finance Committee and reallocated its responsibilities to the full board, the Audit Committee, and the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Oversight of Strategy, Compliance, and Risk Management</w:t>
      </w:r>
    </w:p>
    <w:p>
      <w:pPr>
        <w:spacing w:after="0" w:line="2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takes an active approach to its role in overseeing the development and execution of the company’s business strategies. On an annual basis, the board and executive management conduct an extended review and discussion of the company’s strategy, reviewing goals, the external environment, key questions, and key risks. Board meetings include discussions of company performance relative to the strategy. The board also reviews strategic focus areas for the company, such as innovation, information security, cybersecurity, and human capital management. See also "Governance—Highlights of the Company’s Corporate Governance—Human Capital Management."</w:t>
      </w:r>
    </w:p>
    <w:p>
      <w:pPr>
        <w:spacing w:after="0" w:line="23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board, together with its committees, oversees the processes by which the company conducts its business to ensure the company operates in a manner that complies with laws and regulations and reflects the highest standards of integrity. Effective January 1, 2021, the Public Policy and Compliance Committee was reorganized to become the Ethics and Compliance Committee, with a refined focus on legal and regulatory trends and issues, and compliance and quality matters that may have an impact on the business operations, financial performance, or reputation of the company. The Ethics and Compliance Committee continues to meet at least four times per year, including semi-annual private sessions to discuss compliance with the company’s chief ethics and compliance officer, the general auditor, and the senior vice president, global quality. On an annual basis, the full board reviews the company's overall state of compliance and the Ethics and Compliance Committee receives an update on compliance at each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chief ethics and compliance officer and the senior vice president, global quality report directly to the CEO.</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also has an enterprise risk management program directed by its chief ethics and compliance officer. Enterprise risks are identified and prioritized by management through both top-down and bottom-up processes. Key enterprise level risks are overseen by the full board and our enterprise risk management process is overseen by the Audit Committee. Company management is charged with managing risk through robust internal processes and controls. The enterprise level risks are reviewed annually at a full board meeting, and relevant enterprise risks are also addressed in periodic business function reviews and at the annual board and senior management strategy session.</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Code of Ethics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board approves the company's code of ethics, which is set out in:</w:t>
      </w:r>
    </w:p>
    <w:p>
      <w:pPr>
        <w:spacing w:after="0" w:line="22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b w:val="1"/>
          <w:bCs w:val="1"/>
          <w:color w:val="EE2724"/>
        </w:rPr>
        <w:t xml:space="preserve">The Red Book: </w:t>
      </w:r>
      <w:r>
        <w:rPr>
          <w:rFonts w:ascii="Arial" w:cs="Arial" w:eastAsia="Arial" w:hAnsi="Arial"/>
          <w:sz w:val="16"/>
          <w:szCs w:val="16"/>
          <w:color w:val="000000"/>
        </w:rPr>
        <w:t>A comprehensive code of ethical and legal business conduct applicable to all employees worldwide and to our board. The Red Book is</w:t>
      </w:r>
      <w:r>
        <w:rPr>
          <w:rFonts w:ascii="Arial" w:cs="Arial" w:eastAsia="Arial" w:hAnsi="Arial"/>
          <w:sz w:val="16"/>
          <w:szCs w:val="16"/>
          <w:b w:val="1"/>
          <w:bCs w:val="1"/>
          <w:color w:val="EE2724"/>
        </w:rPr>
        <w:t xml:space="preserve"> </w:t>
      </w:r>
      <w:r>
        <w:rPr>
          <w:rFonts w:ascii="Arial" w:cs="Arial" w:eastAsia="Arial" w:hAnsi="Arial"/>
          <w:sz w:val="16"/>
          <w:szCs w:val="16"/>
          <w:color w:val="000000"/>
        </w:rPr>
        <w:t>reviewed and approved annually by the board.</w:t>
      </w:r>
    </w:p>
    <w:p>
      <w:pPr>
        <w:spacing w:after="0" w:line="18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EE2724"/>
        </w:rPr>
        <w:t xml:space="preserve">Code of Ethical Conduct for Lilly Financial Management: </w:t>
      </w:r>
      <w:r>
        <w:rPr>
          <w:rFonts w:ascii="Arial" w:cs="Arial" w:eastAsia="Arial" w:hAnsi="Arial"/>
          <w:sz w:val="16"/>
          <w:szCs w:val="16"/>
          <w:color w:val="000000"/>
        </w:rPr>
        <w:t>A supplemental code for our CEO and all members of financial management, in recognition of</w:t>
      </w:r>
      <w:r>
        <w:rPr>
          <w:rFonts w:ascii="Arial" w:cs="Arial" w:eastAsia="Arial" w:hAnsi="Arial"/>
          <w:sz w:val="16"/>
          <w:szCs w:val="16"/>
          <w:b w:val="1"/>
          <w:bCs w:val="1"/>
          <w:color w:val="EE2724"/>
        </w:rPr>
        <w:t xml:space="preserve"> </w:t>
      </w:r>
      <w:r>
        <w:rPr>
          <w:rFonts w:ascii="Arial" w:cs="Arial" w:eastAsia="Arial" w:hAnsi="Arial"/>
          <w:sz w:val="16"/>
          <w:szCs w:val="16"/>
          <w:color w:val="000000"/>
        </w:rPr>
        <w:t>their unique responsibilities to ensure proper accounting, financial reporting, internal controls, and financial stewardship.</w:t>
      </w:r>
    </w:p>
    <w:p>
      <w:pPr>
        <w:spacing w:after="0" w:line="20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These documents are available online at </w:t>
      </w:r>
      <w:r>
        <w:rPr>
          <w:rFonts w:ascii="Arial" w:cs="Arial" w:eastAsia="Arial" w:hAnsi="Arial"/>
          <w:sz w:val="16"/>
          <w:szCs w:val="16"/>
          <w:color w:val="EE2724"/>
        </w:rPr>
        <w:t>lilly.com/operating-responsibly/ethics-compliance</w:t>
      </w:r>
      <w:r>
        <w:rPr>
          <w:rFonts w:ascii="Arial" w:cs="Arial" w:eastAsia="Arial" w:hAnsi="Arial"/>
          <w:sz w:val="16"/>
          <w:szCs w:val="16"/>
          <w:color w:val="auto"/>
        </w:rPr>
        <w:t xml:space="preserve"> and </w:t>
      </w:r>
      <w:r>
        <w:rPr>
          <w:rFonts w:ascii="Arial" w:cs="Arial" w:eastAsia="Arial" w:hAnsi="Arial"/>
          <w:sz w:val="16"/>
          <w:szCs w:val="16"/>
          <w:color w:val="EE2724"/>
        </w:rPr>
        <w:t xml:space="preserve">lilly.com/operating-responsibly/ethics-compliance/financial-management-ethical-conduct </w:t>
      </w:r>
      <w:r>
        <w:rPr>
          <w:rFonts w:ascii="Arial" w:cs="Arial" w:eastAsia="Arial" w:hAnsi="Arial"/>
          <w:sz w:val="16"/>
          <w:szCs w:val="16"/>
          <w:color w:val="000000"/>
        </w:rPr>
        <w:t>. In the event of any amendments to, or waivers from, a provision of the code affecting the CEO, chief financial officer, chief</w:t>
      </w:r>
      <w:r>
        <w:rPr>
          <w:rFonts w:ascii="Arial" w:cs="Arial" w:eastAsia="Arial" w:hAnsi="Arial"/>
          <w:sz w:val="16"/>
          <w:szCs w:val="16"/>
          <w:color w:val="EE2724"/>
        </w:rPr>
        <w:t xml:space="preserve"> </w:t>
      </w:r>
      <w:r>
        <w:rPr>
          <w:rFonts w:ascii="Arial" w:cs="Arial" w:eastAsia="Arial" w:hAnsi="Arial"/>
          <w:sz w:val="16"/>
          <w:szCs w:val="16"/>
          <w:color w:val="000000"/>
        </w:rPr>
        <w:t>accounting officer, controller, or persons performing similar functions, we intend to post on the above website, within four business days after the event, a description of the amendment or waiver as required under applicable SEC rules, and we will maintain that information on our website for at least 12 months.</w:t>
      </w:r>
    </w:p>
    <w:p>
      <w:pPr>
        <w:spacing w:after="0" w:line="206"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Highlights of the Company’s Corporate Governance</w:t>
      </w:r>
    </w:p>
    <w:p>
      <w:pPr>
        <w:spacing w:after="0" w:line="28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 xml:space="preserve">We are committed to good corporate governance, which promotes the long-term interests of shareholders and other company stakeholders, builds confidence in our leadership, and strengthens accountability by the board and management. The board has adopted corporate governance guidelines that set forth the company's basic principles of corporate governance. The section that follows outlines key elements of the guidelines and other important governance matters. Investors can learn more by reviewing the corporate governance guidelines, which are available online at </w:t>
      </w:r>
      <w:r>
        <w:rPr>
          <w:rFonts w:ascii="Arial" w:cs="Arial" w:eastAsia="Arial" w:hAnsi="Arial"/>
          <w:sz w:val="16"/>
          <w:szCs w:val="16"/>
          <w:color w:val="EE2724"/>
        </w:rPr>
        <w:t>lilly.com/leadership/governance</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P32</w:t>
      </w:r>
    </w:p>
    <w:p>
      <w:pPr>
        <w:sectPr>
          <w:pgSz w:w="11900" w:h="16838" w:orient="portrait"/>
          <w:cols w:equalWidth="0" w:num="1">
            <w:col w:w="11200"/>
          </w:cols>
          <w:pgMar w:left="320" w:top="1437" w:right="379" w:bottom="1440" w:gutter="0" w:footer="0" w:header="0"/>
        </w:sectPr>
      </w:pPr>
    </w:p>
    <w:bookmarkStart w:id="37" w:name="page38"/>
    <w:bookmarkEnd w:id="37"/>
    <w:p>
      <w:pPr>
        <w:spacing w:after="0" w:line="21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Role of the Board</w:t>
      </w:r>
    </w:p>
    <w:p>
      <w:pPr>
        <w:spacing w:after="0" w:line="31"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Directors are elected by the shareholders to oversee the actions and results of the company’s management. The board exercises oversight over a broad range of areas, but the board's key responsibilities include the following (certain of which are carried out through the board's committees):</w:t>
      </w:r>
    </w:p>
    <w:p>
      <w:pPr>
        <w:spacing w:after="0" w:line="1" w:lineRule="exact"/>
        <w:rPr>
          <w:sz w:val="20"/>
          <w:szCs w:val="20"/>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providing general oversight of the business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approving corporate strategy</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approving major management initiatives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selecting, compensating, evaluating, and, when necessary, replacing the CEO, and compensating other senior executives</w:t>
      </w:r>
    </w:p>
    <w:p>
      <w:pPr>
        <w:spacing w:after="0" w:line="5" w:lineRule="exact"/>
        <w:rPr>
          <w:rFonts w:ascii="Arial" w:cs="Arial" w:eastAsia="Arial" w:hAnsi="Arial"/>
          <w:sz w:val="16"/>
          <w:szCs w:val="16"/>
          <w:color w:val="auto"/>
        </w:rPr>
      </w:pPr>
    </w:p>
    <w:p>
      <w:pPr>
        <w:ind w:left="660" w:right="80" w:hanging="328"/>
        <w:spacing w:after="0" w:line="246" w:lineRule="auto"/>
        <w:tabs>
          <w:tab w:leader="none" w:pos="6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ensuring that an effective succession plan is in place for all key senior leadership positions and reviewing our broader talent management process, including human capital management strategies, overall corporate culture, and D&amp;I programs</w:t>
      </w: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the company’s ethics and compliance program and management of significant business risks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selecting, compensating, and evaluating directors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the company's enterprise risk management program</w:t>
      </w:r>
    </w:p>
    <w:p>
      <w:pPr>
        <w:spacing w:after="0" w:line="5" w:lineRule="exact"/>
        <w:rPr>
          <w:rFonts w:ascii="Arial" w:cs="Arial" w:eastAsia="Arial" w:hAnsi="Arial"/>
          <w:sz w:val="16"/>
          <w:szCs w:val="16"/>
          <w:color w:val="auto"/>
        </w:rPr>
      </w:pPr>
    </w:p>
    <w:p>
      <w:pPr>
        <w:ind w:left="660" w:right="200" w:hanging="328"/>
        <w:spacing w:after="0" w:line="260" w:lineRule="auto"/>
        <w:tabs>
          <w:tab w:leader="none" w:pos="6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the company’s approach to current and emerging political, social, environmental, and governance trends and public policy issues that may affect the company.</w:t>
      </w:r>
    </w:p>
    <w:p>
      <w:pPr>
        <w:spacing w:after="0" w:line="222"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board takes an active role in its oversight of our corporate strategy. Each year, the board and executive management closely examine the company's strategy, including key risks and decisions facing the company. Decisions reached in this session are updated throughout the year, including as the board discusses the company's financial performance, the performance of our business units, and progress in our product pipeline.</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Composition and Requirements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Mix of Independent Directors and Officer-Directors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believe there should always be a substantial majority (75 percent or more) of independent directors. The CEO should be a member of the board.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for Directors</w:t>
      </w:r>
    </w:p>
    <w:p>
      <w:pPr>
        <w:spacing w:after="0" w:line="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an uncontested election, directors are elected by a majority of votes cast. An 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Tenure and Retirement Policy</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Non-employee directors must retire from the board no later than the 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Board Service</w:t>
      </w:r>
    </w:p>
    <w:p>
      <w:pPr>
        <w:spacing w:after="0" w:line="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To ensure proper engagement from our directors and effective functioning of our board, we have instituted certain limitations on service on the boards of other companies. In general, no director may serve on more than three other public company boards. The Directors and Corporate Governance Committee may approve exceptions if it determines that the additional service will not impair the director's effectiveness on the Lilly board.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Confidentiality Policy</w:t>
      </w:r>
    </w:p>
    <w:p>
      <w:pPr>
        <w:spacing w:after="0" w:line="2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 xml:space="preserve">The board has adopted a Confidentiality Policy, applicable to all current and future members of the board. The policy prohibits a director from sharing confidential information obtained in his or her role as a director with any third party except under limited circumstances where the director is seeking legal advice or is required by law to disclose information. The Confidentiality Policy can be viewed on the company's website: </w:t>
      </w:r>
      <w:r>
        <w:rPr>
          <w:rFonts w:ascii="Arial" w:cs="Arial" w:eastAsia="Arial" w:hAnsi="Arial"/>
          <w:sz w:val="16"/>
          <w:szCs w:val="16"/>
          <w:color w:val="EE2724"/>
        </w:rPr>
        <w:t>lilly.com/leadership/governance.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P33</w:t>
      </w:r>
    </w:p>
    <w:p>
      <w:pPr>
        <w:sectPr>
          <w:pgSz w:w="11900" w:h="16838" w:orient="portrait"/>
          <w:cols w:equalWidth="0" w:num="1">
            <w:col w:w="11180"/>
          </w:cols>
          <w:pgMar w:left="320" w:top="1440" w:right="39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1CA8E1"/>
        </w:rPr>
        <w:t>Leadership Structure; Oversight of Chairman, CEO, and Senior Management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Structure</w:t>
      </w:r>
    </w:p>
    <w:p>
      <w:pPr>
        <w:spacing w:after="0" w:line="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board believes that there is no "one-size-fits-all" approach to board leadership and recognizes that one of its key responsibilities is to evaluate its optimal leadership structure to ensure both independent oversight of management and an engaged board with complementary qualities, perspectives, and experiences. The board regularly reviews its leadership structure and developments in the area of corporate governance to ensure that our chosen leadership structure continues to strike the appropriate balance for the company and our stakeholders and enables us to promote the long-term interests of our shareholders. Throughout 2020, the board continued its proactive assessment of board succession and refreshment and, after thoughtful consideration of our business, long-term strategy, and related risks, and the strong role of our lead independent director, the independent directors believe that combining the chairman and CEO roles, coupled with a strong lead independent director position, continues to be in the best interest of the company and our shareholders. The board believes that Mr. Ricks’ extensive knowledge of, and experience in, the pharmaceutical industry enables him to effectively set the long-term strategic direction of the company and provide diligent, long-term leadership and direction for management and our board.</w:t>
      </w:r>
    </w:p>
    <w:p>
      <w:pPr>
        <w:spacing w:after="0" w:line="23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Mr. Luciano serves as the current lead independent director. Mr. Luciano is a strong lead independent director who fulfilled each of the duties below during the past year. As the CEO and president of Archer-Daniels-Midland Company, he brings valuable and diverse experience and outside perspective to his lead independent director role, which permits him to serve as a trusted adviser to Mr. Ricks and ensure effective board management.</w:t>
      </w:r>
    </w:p>
    <w:p>
      <w:pPr>
        <w:spacing w:after="0" w:line="22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In 2020,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the independent directors. Mr. Luciano advises Mr. Ricks on the independent directors’ discussions, including performance feedback.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Independence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board has put in place a number of governance practices to ensure effective independent oversight, including:</w:t>
      </w:r>
    </w:p>
    <w:p>
      <w:pPr>
        <w:spacing w:after="0" w:line="233" w:lineRule="exact"/>
        <w:rPr>
          <w:sz w:val="20"/>
          <w:szCs w:val="20"/>
          <w:color w:val="auto"/>
        </w:rPr>
      </w:pPr>
    </w:p>
    <w:p>
      <w:pPr>
        <w:ind w:left="620" w:hanging="288"/>
        <w:spacing w:after="0"/>
        <w:tabs>
          <w:tab w:leader="none" w:pos="620" w:val="left"/>
        </w:tabs>
        <w:numPr>
          <w:ilvl w:val="0"/>
          <w:numId w:val="52"/>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Executive sessions of the independent directors: </w:t>
      </w:r>
      <w:r>
        <w:rPr>
          <w:rFonts w:ascii="Arial" w:cs="Arial" w:eastAsia="Arial" w:hAnsi="Arial"/>
          <w:sz w:val="16"/>
          <w:szCs w:val="16"/>
          <w:color w:val="000000"/>
        </w:rPr>
        <w:t>Held after every regular board meeting and presided over by the lead independent director.</w:t>
      </w:r>
    </w:p>
    <w:p>
      <w:pPr>
        <w:spacing w:after="0" w:line="252" w:lineRule="exact"/>
        <w:rPr>
          <w:rFonts w:ascii="Arial" w:cs="Arial" w:eastAsia="Arial" w:hAnsi="Arial"/>
          <w:sz w:val="18"/>
          <w:szCs w:val="18"/>
          <w:b w:val="1"/>
          <w:bCs w:val="1"/>
          <w:color w:val="00ABE8"/>
        </w:rPr>
      </w:pPr>
    </w:p>
    <w:p>
      <w:pPr>
        <w:ind w:left="660" w:right="220" w:hanging="328"/>
        <w:spacing w:after="0" w:line="267" w:lineRule="auto"/>
        <w:tabs>
          <w:tab w:leader="none" w:pos="628" w:val="left"/>
        </w:tabs>
        <w:numPr>
          <w:ilvl w:val="0"/>
          <w:numId w:val="52"/>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Annual performance evaluation of the chairman and CEO: </w:t>
      </w:r>
      <w:r>
        <w:rPr>
          <w:rFonts w:ascii="Arial" w:cs="Arial" w:eastAsia="Arial" w:hAnsi="Arial"/>
          <w:sz w:val="16"/>
          <w:szCs w:val="16"/>
          <w:color w:val="000000"/>
        </w:rPr>
        <w:t>Conducted by the independent directors, the results of which are reviewed with</w:t>
      </w:r>
      <w:r>
        <w:rPr>
          <w:rFonts w:ascii="Arial" w:cs="Arial" w:eastAsia="Arial" w:hAnsi="Arial"/>
          <w:sz w:val="17"/>
          <w:szCs w:val="17"/>
          <w:b w:val="1"/>
          <w:bCs w:val="1"/>
          <w:color w:val="00ABE8"/>
        </w:rPr>
        <w:t xml:space="preserve"> </w:t>
      </w:r>
      <w:r>
        <w:rPr>
          <w:rFonts w:ascii="Arial" w:cs="Arial" w:eastAsia="Arial" w:hAnsi="Arial"/>
          <w:sz w:val="16"/>
          <w:szCs w:val="16"/>
          <w:color w:val="000000"/>
        </w:rPr>
        <w:t>the CEO and considered by the Compensation Committee and independent directors in establishing the CEO’s compensation for the next year.</w:t>
      </w:r>
    </w:p>
    <w:p>
      <w:pPr>
        <w:spacing w:after="0" w:line="200" w:lineRule="exact"/>
        <w:rPr>
          <w:rFonts w:ascii="Arial" w:cs="Arial" w:eastAsia="Arial" w:hAnsi="Arial"/>
          <w:sz w:val="18"/>
          <w:szCs w:val="18"/>
          <w:b w:val="1"/>
          <w:bCs w:val="1"/>
          <w:color w:val="00ABE8"/>
        </w:rPr>
      </w:pPr>
    </w:p>
    <w:p>
      <w:pPr>
        <w:ind w:left="620" w:hanging="288"/>
        <w:spacing w:after="0"/>
        <w:tabs>
          <w:tab w:leader="none" w:pos="620" w:val="left"/>
        </w:tabs>
        <w:numPr>
          <w:ilvl w:val="0"/>
          <w:numId w:val="52"/>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A strong, independent, clearly defined lead independent director role: </w:t>
      </w:r>
      <w:r>
        <w:rPr>
          <w:rFonts w:ascii="Arial" w:cs="Arial" w:eastAsia="Arial" w:hAnsi="Arial"/>
          <w:sz w:val="16"/>
          <w:szCs w:val="16"/>
          <w:color w:val="000000"/>
        </w:rPr>
        <w:t>The lead independent director's responsibilities include:</w:t>
      </w:r>
    </w:p>
    <w:p>
      <w:pPr>
        <w:spacing w:after="0" w:line="23" w:lineRule="exact"/>
        <w:rPr>
          <w:rFonts w:ascii="Arial" w:cs="Arial" w:eastAsia="Arial" w:hAnsi="Arial"/>
          <w:sz w:val="18"/>
          <w:szCs w:val="18"/>
          <w:b w:val="1"/>
          <w:bCs w:val="1"/>
          <w:color w:val="00ABE8"/>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leading the board’s processes for selecting the CEO</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overseeing the independent directors’ annual performance evaluation of the chairman and CEO</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serving as a liaison between the chairman and the independent directors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presiding at all meetings of the board at which the chairman is not present</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presiding at executive sessions of the independent directors</w:t>
      </w:r>
    </w:p>
    <w:p>
      <w:pPr>
        <w:spacing w:after="0" w:line="5" w:lineRule="exact"/>
        <w:rPr>
          <w:rFonts w:ascii="Arial" w:cs="Arial" w:eastAsia="Arial" w:hAnsi="Arial"/>
          <w:sz w:val="16"/>
          <w:szCs w:val="16"/>
          <w:color w:val="auto"/>
        </w:rPr>
      </w:pPr>
    </w:p>
    <w:p>
      <w:pPr>
        <w:ind w:left="1300" w:hanging="644"/>
        <w:spacing w:after="0" w:line="228"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calling meetings of the independent directors, as appropriate</w:t>
      </w: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approving meeting agendas and schedules and reviewing information to be provided to the board</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being available for consultation and direct communication with shareholders, as appropriate</w:t>
      </w:r>
    </w:p>
    <w:p>
      <w:pPr>
        <w:spacing w:after="0" w:line="5" w:lineRule="exact"/>
        <w:rPr>
          <w:rFonts w:ascii="Arial" w:cs="Arial" w:eastAsia="Arial" w:hAnsi="Arial"/>
          <w:sz w:val="16"/>
          <w:szCs w:val="16"/>
          <w:color w:val="auto"/>
        </w:rPr>
      </w:pPr>
    </w:p>
    <w:p>
      <w:pPr>
        <w:ind w:left="1300" w:right="40" w:hanging="644"/>
        <w:spacing w:after="0" w:line="246" w:lineRule="auto"/>
        <w:tabs>
          <w:tab w:leader="none" w:pos="129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together with the chairman and the chair of the Directors and Corporate Governance Committee, conducting the annual board assessment process</w:t>
      </w: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together with the Directors and Corporate Governance Committee, leading the director succession planning process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retaining advisors for the independent directors, as appropriate.</w:t>
      </w:r>
    </w:p>
    <w:p>
      <w:pPr>
        <w:spacing w:after="0" w:line="248" w:lineRule="exact"/>
        <w:rPr>
          <w:rFonts w:ascii="Arial" w:cs="Arial" w:eastAsia="Arial" w:hAnsi="Arial"/>
          <w:sz w:val="16"/>
          <w:szCs w:val="16"/>
          <w:color w:val="auto"/>
        </w:rPr>
      </w:pPr>
    </w:p>
    <w:p>
      <w:pPr>
        <w:ind w:left="660" w:right="180" w:hanging="328"/>
        <w:spacing w:after="0" w:line="260" w:lineRule="auto"/>
        <w:tabs>
          <w:tab w:leader="none" w:pos="6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independent directors and all committees have the ability to retain their own independent advisors, at the company’s expense, whenever they deem it desirable to do so.</w:t>
      </w:r>
    </w:p>
    <w:p>
      <w:pPr>
        <w:spacing w:after="0" w:line="222" w:lineRule="exact"/>
        <w:rPr>
          <w:rFonts w:ascii="Arial" w:cs="Arial" w:eastAsia="Arial" w:hAnsi="Arial"/>
          <w:sz w:val="16"/>
          <w:szCs w:val="16"/>
          <w:color w:val="auto"/>
        </w:rPr>
      </w:pPr>
    </w:p>
    <w:p>
      <w:pPr>
        <w:ind w:left="660" w:right="240" w:hanging="328"/>
        <w:spacing w:after="0" w:line="260" w:lineRule="auto"/>
        <w:tabs>
          <w:tab w:leader="none" w:pos="6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lead independent director is appointed annually by the board, which conducts an assessment of his or her performance as part of the annual board assessment process. Currently, Mr. Luciano is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P34</w:t>
      </w:r>
    </w:p>
    <w:p>
      <w:pPr>
        <w:sectPr>
          <w:pgSz w:w="11900" w:h="16838" w:orient="portrait"/>
          <w:cols w:equalWidth="0" w:num="1">
            <w:col w:w="11240"/>
          </w:cols>
          <w:pgMar w:left="320" w:top="1412" w:right="339" w:bottom="1440" w:gutter="0" w:footer="0" w:header="0"/>
        </w:sectPr>
      </w:pPr>
    </w:p>
    <w:bookmarkStart w:id="39" w:name="page40"/>
    <w:bookmarkEnd w:id="39"/>
    <w:p>
      <w:pPr>
        <w:ind w:left="660" w:right="740" w:hanging="328"/>
        <w:spacing w:after="0" w:line="267" w:lineRule="auto"/>
        <w:tabs>
          <w:tab w:leader="none" w:pos="628" w:val="left"/>
        </w:tabs>
        <w:numPr>
          <w:ilvl w:val="0"/>
          <w:numId w:val="53"/>
        </w:numPr>
        <w:rPr>
          <w:rFonts w:ascii="Arial" w:cs="Arial" w:eastAsia="Arial" w:hAnsi="Arial"/>
          <w:sz w:val="18"/>
          <w:szCs w:val="18"/>
          <w:b w:val="1"/>
          <w:bCs w:val="1"/>
          <w:i w:val="1"/>
          <w:iCs w:val="1"/>
          <w:color w:val="00ABE8"/>
        </w:rPr>
      </w:pPr>
      <w:r>
        <w:rPr>
          <w:rFonts w:ascii="Arial" w:cs="Arial" w:eastAsia="Arial" w:hAnsi="Arial"/>
          <w:sz w:val="17"/>
          <w:szCs w:val="17"/>
          <w:b w:val="1"/>
          <w:bCs w:val="1"/>
          <w:color w:val="00ABE8"/>
        </w:rPr>
        <w:t xml:space="preserve">Director access to management and independent advisors: </w:t>
      </w:r>
      <w:r>
        <w:rPr>
          <w:rFonts w:ascii="Arial" w:cs="Arial" w:eastAsia="Arial" w:hAnsi="Arial"/>
          <w:sz w:val="16"/>
          <w:szCs w:val="16"/>
          <w:color w:val="000000"/>
        </w:rPr>
        <w:t>Independent directors have direct access to members of management</w:t>
      </w:r>
      <w:r>
        <w:rPr>
          <w:rFonts w:ascii="Arial" w:cs="Arial" w:eastAsia="Arial" w:hAnsi="Arial"/>
          <w:sz w:val="17"/>
          <w:szCs w:val="17"/>
          <w:b w:val="1"/>
          <w:bCs w:val="1"/>
          <w:color w:val="00ABE8"/>
        </w:rPr>
        <w:t xml:space="preserve"> </w:t>
      </w:r>
      <w:r>
        <w:rPr>
          <w:rFonts w:ascii="Arial" w:cs="Arial" w:eastAsia="Arial" w:hAnsi="Arial"/>
          <w:sz w:val="16"/>
          <w:szCs w:val="16"/>
          <w:color w:val="000000"/>
        </w:rPr>
        <w:t>whenever they deem it necessary, and the company's executive officers attend part of each regularly scheduled board meeting.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Succession Planning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board, and CEO annually review the company's succession plans for the CEO and other key senior leadership positions.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independent directors also meet without the CEO to discuss CEO succession planning.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During these reviews, the CEO and directors discuss:</w:t>
      </w:r>
    </w:p>
    <w:p>
      <w:pPr>
        <w:spacing w:after="0" w:line="5" w:lineRule="exact"/>
        <w:rPr>
          <w:sz w:val="20"/>
          <w:szCs w:val="20"/>
          <w:color w:val="auto"/>
        </w:rPr>
      </w:pPr>
    </w:p>
    <w:p>
      <w:pPr>
        <w:ind w:left="620" w:hanging="288"/>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future candidates for the CEO and other senior leadership positions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succession timing</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development plans for the strongest candidates.</w:t>
      </w:r>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independent directors and the CEO maintain a confidential plan for the timely and efficient transfer of the CEO's responsibilities in the event of an emergency or his sudden departure, incapacitation, or death.</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ensures that the directors have multiple opportunities to interact with the company's top leadership talent in both formal and informal settings to allow them to most effectively assess the candidates' qualifications and capabilities.</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Human Capital Management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and Oversight</w:t>
      </w:r>
    </w:p>
    <w:p>
      <w:pPr>
        <w:spacing w:after="0" w:line="5"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At Lilly,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board exercises active oversight over our overall talent management process, including human capital management strategies, corporate culture, and D&amp;I programs. The board also oversees the work of its committees in developing corporate policies and frameworks designed to attract, retain, engage, and develop a workforce that aligns with our values and mission. The Compensation Committee advises the board on human capital management and employee compensation and benefit matters, and annually reviews our leadership development, succession planning practices, and diversity efforts. The Directors and Corporate Governance Committee in turn identifies and brings to the attention of the board, as appropriate, current and emerging social, environmental, political, and governance trends and public policy issues that may affect our business operations, performance, or reputation.</w:t>
      </w:r>
    </w:p>
    <w:p>
      <w:pPr>
        <w:spacing w:after="0" w:line="23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board also oversees human capital management by regularly engaging with management and facilitating a system of reporting that highlights the importance of D&amp;I to Lilly. For example, as part of our commitment to D&amp;I, our board considers the contributions related to D&amp;I of our CEO and other executive committee members when determining their compensation. Our board also oversees the activities of our CEO and executive committee in setting expectations for inclusive leadership and holding leaders accountable for building diverse and inclusive teams. Our CEO receives regular reports from Lilly’s senior vice president for human resources and diversity. In addition, our chief D&amp;I officer is a vice president who reports to the senior vice president for human resources and diversity, who is a member of our executive committee. We believe this system of oversight and reporting by the board and our key executives is critical to our success in fostering an inclusive, supportive, and rewarding workplace.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Measuring Progress on Diversity and Inclusion</w:t>
      </w:r>
    </w:p>
    <w:p>
      <w:pPr>
        <w:spacing w:after="0" w:line="2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our differences make a difference—to patients and to our business.</w:t>
      </w:r>
    </w:p>
    <w:p>
      <w:pPr>
        <w:spacing w:after="0" w:line="215"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 xml:space="preserve">We believe that fostering D&amp;I begins with understanding, and we have approached D&amp;I with the same rigor as our other business-critical priorities. Our </w:t>
      </w:r>
      <w:r>
        <w:rPr>
          <w:rFonts w:ascii="Arial" w:cs="Arial" w:eastAsia="Arial" w:hAnsi="Arial"/>
          <w:sz w:val="16"/>
          <w:szCs w:val="16"/>
          <w:i w:val="1"/>
          <w:iCs w:val="1"/>
          <w:color w:val="auto"/>
        </w:rPr>
        <w:t xml:space="preserve">Employee Journeys </w:t>
      </w:r>
      <w:r>
        <w:rPr>
          <w:rFonts w:ascii="Arial" w:cs="Arial" w:eastAsia="Arial" w:hAnsi="Arial"/>
          <w:sz w:val="16"/>
          <w:szCs w:val="16"/>
          <w:color w:val="auto"/>
        </w:rPr>
        <w:t>research has yielded important insights about the experiences of women, Black/African American, Latinx, Asian, and LGBTQ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Lilly. In response to insights from our </w:t>
      </w:r>
      <w:r>
        <w:rPr>
          <w:rFonts w:ascii="Arial" w:cs="Arial" w:eastAsia="Arial" w:hAnsi="Arial"/>
          <w:sz w:val="16"/>
          <w:szCs w:val="16"/>
          <w:i w:val="1"/>
          <w:iCs w:val="1"/>
          <w:color w:val="auto"/>
        </w:rPr>
        <w:t>Employee Journeys</w:t>
      </w:r>
      <w:r>
        <w:rPr>
          <w:rFonts w:ascii="Arial" w:cs="Arial" w:eastAsia="Arial" w:hAnsi="Arial"/>
          <w:sz w:val="16"/>
          <w:szCs w:val="16"/>
          <w:color w:val="auto"/>
        </w:rPr>
        <w:t xml:space="preserve"> research, we developed, among others, an education and awareness program to help build cultural literacy and understanding about conditions needed for employees to feel psychologically safe at work. More than 3,000 leaders and 13,000 employees have participated in required training to gain greater awareness of how unconscious bias and microaggressions can harm team cohesiveness and hurt employee engagement. Our </w:t>
      </w:r>
      <w:r>
        <w:rPr>
          <w:rFonts w:ascii="Arial" w:cs="Arial" w:eastAsia="Arial" w:hAnsi="Arial"/>
          <w:sz w:val="16"/>
          <w:szCs w:val="16"/>
          <w:i w:val="1"/>
          <w:iCs w:val="1"/>
          <w:color w:val="auto"/>
        </w:rPr>
        <w:t>Employee Journeys</w:t>
      </w:r>
      <w:r>
        <w:rPr>
          <w:rFonts w:ascii="Arial" w:cs="Arial" w:eastAsia="Arial" w:hAnsi="Arial"/>
          <w:sz w:val="16"/>
          <w:szCs w:val="16"/>
          <w:color w:val="auto"/>
        </w:rPr>
        <w:t xml:space="preserve"> research has also resulted in growing energy around D&amp;I, with a company-wide network of D&amp;I champions, initiatives, and teams across business areas—and an expanding appreciation of the value of different perspectives. The results of this research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P35</w:t>
      </w:r>
    </w:p>
    <w:p>
      <w:pPr>
        <w:sectPr>
          <w:pgSz w:w="11900" w:h="16838" w:orient="portrait"/>
          <w:cols w:equalWidth="0" w:num="1">
            <w:col w:w="11240"/>
          </w:cols>
          <w:pgMar w:left="320" w:top="142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are reviewed by our senior leadership, and we deploy actions and activities in response to these insights to improve our workplace and corporate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554980" cy="31203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Since 2017, we have committed to increasing the number of women, Black/African American, Latinx, and Asian populations in leadership roles, and we actively monitor our progress. From the end of 2017 through the end of 2020, we increased the number of women in management globally from 41 percent to 46 percent. For MGM in the U.S. over the same period, we increased management representation from 16 percent to 22 percent. Across all levels of our workforce, from the end of 2017 through the end of 2020, we have seen increased representation for MGMs in the U.S. and women globally.</w:t>
      </w:r>
    </w:p>
    <w:p>
      <w:pPr>
        <w:spacing w:after="0" w:line="216"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Our focus on D&amp;I is also a critical component of our broader corporate governance. Seven of 15 members (approximately 47 percent) of our executive committee (which includes our CEO) are women and two are MGM, including one MGM woman. In addition, the company's 15 directors range in age from 48 to 71 and include six women and seven members of underrepresented groups (including MGM as well as LGBTQ individuals).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P36</w:t>
      </w:r>
    </w:p>
    <w:p>
      <w:pPr>
        <w:sectPr>
          <w:pgSz w:w="11900" w:h="16838" w:orient="portrait"/>
          <w:cols w:equalWidth="0" w:num="1">
            <w:col w:w="11100"/>
          </w:cols>
          <w:pgMar w:left="320" w:top="1424" w:right="479" w:bottom="1440" w:gutter="0" w:footer="0" w:header="0"/>
        </w:sectPr>
      </w:pPr>
    </w:p>
    <w:bookmarkStart w:id="41" w:name="page42"/>
    <w:bookmarkEnd w:id="41"/>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w:t>
      </w:r>
    </w:p>
    <w:p>
      <w:pPr>
        <w:spacing w:after="0" w:line="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At Lilly, we strive to be leaders in D&amp;I and workplace benefits, and we are honored when we receive recognition for our dedicated efforts to improve the lives of our employees. Below are some of our accolades for 2020 and early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554980" cy="2065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498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Development</w:t>
      </w:r>
    </w:p>
    <w:p>
      <w:pPr>
        <w:spacing w:after="0" w:line="29"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believe talent begins with the hiring process. We therefore require hiring managers to consider a diverse pool of candidates and we strive to provide a diverse panel of interviewers for open positions. We believe that hiring in this way helps ensure that people from all backgrounds have equal opportunity to advance their careers.</w:t>
      </w:r>
    </w:p>
    <w:p>
      <w:pPr>
        <w:spacing w:after="0" w:line="22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introduced online programming to facilitate access to our learning and development offerings. Many training courses are designed to improve accessibility for people with disabilities and other unique needs. Across Lilly, we are working to design learning experiences to be more inclusive and effective.</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To further improve our talent programs and processes, in 2019, we introduced </w:t>
      </w:r>
      <w:r>
        <w:rPr>
          <w:rFonts w:ascii="Arial" w:cs="Arial" w:eastAsia="Arial" w:hAnsi="Arial"/>
          <w:sz w:val="16"/>
          <w:szCs w:val="16"/>
          <w:i w:val="1"/>
          <w:iCs w:val="1"/>
          <w:color w:val="auto"/>
        </w:rPr>
        <w:t>Explore Your Career</w:t>
      </w:r>
      <w:r>
        <w:rPr>
          <w:rFonts w:ascii="Arial" w:cs="Arial" w:eastAsia="Arial" w:hAnsi="Arial"/>
          <w:sz w:val="16"/>
          <w:szCs w:val="16"/>
          <w:color w:val="auto"/>
        </w:rPr>
        <w:t xml:space="preserve">, a global framework of tools and resources for our employees. We believe </w:t>
      </w:r>
      <w:r>
        <w:rPr>
          <w:rFonts w:ascii="Arial" w:cs="Arial" w:eastAsia="Arial" w:hAnsi="Arial"/>
          <w:sz w:val="16"/>
          <w:szCs w:val="16"/>
          <w:i w:val="1"/>
          <w:iCs w:val="1"/>
          <w:color w:val="auto"/>
        </w:rPr>
        <w:t>Explore Your Career</w:t>
      </w:r>
      <w:r>
        <w:rPr>
          <w:rFonts w:ascii="Arial" w:cs="Arial" w:eastAsia="Arial" w:hAnsi="Arial"/>
          <w:sz w:val="16"/>
          <w:szCs w:val="16"/>
          <w:color w:val="auto"/>
        </w:rPr>
        <w:t xml:space="preserve"> provides broader access and transparency about career development and advancement at Lilly. In 2018, we introduced </w:t>
      </w:r>
      <w:r>
        <w:rPr>
          <w:rFonts w:ascii="Arial" w:cs="Arial" w:eastAsia="Arial" w:hAnsi="Arial"/>
          <w:sz w:val="16"/>
          <w:szCs w:val="16"/>
          <w:i w:val="1"/>
          <w:iCs w:val="1"/>
          <w:color w:val="auto"/>
        </w:rPr>
        <w:t>Emerge</w:t>
      </w:r>
      <w:r>
        <w:rPr>
          <w:rFonts w:ascii="Arial" w:cs="Arial" w:eastAsia="Arial" w:hAnsi="Arial"/>
          <w:sz w:val="16"/>
          <w:szCs w:val="16"/>
          <w:color w:val="auto"/>
        </w:rPr>
        <w:t>, a three-day program led by our CEO that is designed to develop MGM talent at Lilly, and three cohorts comprising Black/African American women, Latinx and Asian women, and MGM men have participated in this enterprise-level program since its inception. Lilly also offers established leadership development programs for women and earlier career multi-cultural talent, as well as leaders at all levels.</w:t>
      </w:r>
    </w:p>
    <w:p>
      <w:pPr>
        <w:spacing w:after="0" w:line="22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Employee resource groups (ERGs) are another important component of developing talent at Lilly. We currently have 10 ERGs representing groups including women, MGMs, LGBTQ individuals, and people with disabilities. ERGs offer our diverse workforce opportunities to build relationships, engage with senior leaders, advance our caring community, and offer unique insights and perspectives to improve our business. Membership in our ERGs continues to grow, with an estimated 11,430 people participating worldwide at the end of 2020.</w:t>
      </w:r>
    </w:p>
    <w:p>
      <w:pPr>
        <w:spacing w:after="0" w:line="213"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 xml:space="preserve">In furtherance of our efforts to create an inclusive workplace, in 2020 we expanded </w:t>
      </w:r>
      <w:r>
        <w:rPr>
          <w:rFonts w:ascii="Arial" w:cs="Arial" w:eastAsia="Arial" w:hAnsi="Arial"/>
          <w:sz w:val="16"/>
          <w:szCs w:val="16"/>
          <w:i w:val="1"/>
          <w:iCs w:val="1"/>
          <w:color w:val="auto"/>
        </w:rPr>
        <w:t>Make it Safe to Thrive</w:t>
      </w:r>
      <w:r>
        <w:rPr>
          <w:rFonts w:ascii="Arial" w:cs="Arial" w:eastAsia="Arial" w:hAnsi="Arial"/>
          <w:sz w:val="16"/>
          <w:szCs w:val="16"/>
          <w:color w:val="auto"/>
        </w:rPr>
        <w:t>, an education and awareness program to help employees and leaders understand how individual psychological safety can be created and enhanced, with the goal of ensuring that all employees feel safe to speak up and to share their ideas at work. The program includes live and online training and a monthly video series.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Benefits, and Pay Equity</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While our rewards programs vary around the world, we take a holistic approach to employee benefits. These may include flexible work arrangements, on-site conveniences, such as cafes, fitness centers, child development centers, competitive time-off programs, retirement benefits, and health and disability programs that are available to eligible employees when they need support. We are committed to rewarding, supporting, and developing our employees who make it possible to fulfill our mission to unite caring with discovery to create medicines that make life better for people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P37</w:t>
      </w:r>
    </w:p>
    <w:p>
      <w:pPr>
        <w:sectPr>
          <w:pgSz w:w="11900" w:h="16838" w:orient="portrait"/>
          <w:cols w:equalWidth="0" w:num="1">
            <w:col w:w="11240"/>
          </w:cols>
          <w:pgMar w:left="320" w:top="1440" w:right="339" w:bottom="1440" w:gutter="0" w:footer="0" w:header="0"/>
        </w:sectPr>
      </w:pPr>
    </w:p>
    <w:bookmarkStart w:id="42" w:name="page43"/>
    <w:bookmarkEnd w:id="42"/>
    <w:p>
      <w:pPr>
        <w:ind w:right="80"/>
        <w:spacing w:after="0" w:line="235" w:lineRule="auto"/>
        <w:rPr>
          <w:sz w:val="20"/>
          <w:szCs w:val="20"/>
          <w:color w:val="auto"/>
        </w:rPr>
      </w:pPr>
      <w:r>
        <w:rPr>
          <w:rFonts w:ascii="Arial" w:cs="Arial" w:eastAsia="Arial" w:hAnsi="Arial"/>
          <w:sz w:val="16"/>
          <w:szCs w:val="16"/>
          <w:color w:val="auto"/>
        </w:rPr>
        <w:t>We are also committed to ensuring pay is administered equitably across our workforce. For more than 20 years, we have regularly conducted pay equity studies of our workforce in the U.S. and have more recently started conducting studies of our workforce outside of the U.S. While infrequent, we have made pay adjustments as warranted based on these analyses. We believe that pay equity is critical to our success in supporting a global, diverse, and inclusive workforce.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Health and Safety</w:t>
      </w:r>
    </w:p>
    <w:p>
      <w:pPr>
        <w:spacing w:after="0" w:line="1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Due to concerns regarding the ongoing COVID-19 pandemic, we have taken various measures to protect the health and safety of our employees, including instituting travel restrictions and work-from-home arrangements. For further information on the measures we have taken in response to COVID-19, see "Proxy Statement Summary—Our Response to COVID-19—Keeping Our Employees Safe and Healthy."</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Education and Annual Performance Assessment</w:t>
      </w:r>
    </w:p>
    <w:p>
      <w:pPr>
        <w:spacing w:after="0" w:line="3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company engages in a comprehensive orientation process for incoming new directors. Directors also attend ongoing continuing education sessions on areas of particular relevance or importance to our company, and we hold periodic mandatory training sessions for the Audit Committee.</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Every year, the Directors and Corporate Governance Committee, together with the chair and the lead independent director, conducts a robust assessment of the board's performance, board committee performance, and all board processes, based on input from all directors. We also conduct an annual assessment of each individual director's performance, and every three years we conduct a detailed review of individual director performance when considering whether to nominate the director to a new three-year term.</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Conflicts of Interest and Transactions with Related Persons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of Interest</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23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the company is relevant. In addition, directors must follow the internal conflict of interest policies and procedures of each such organization.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 and Approval of Transactions with Related Persons</w:t>
      </w:r>
    </w:p>
    <w:p>
      <w:pPr>
        <w:spacing w:after="0" w:line="2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board has adopted a policy and procedures for review, approval, and monitoring of transactions involving the company and related persons (directors and executive officers, their immediate family members, or shareholders of more than five percent of the company’s outstanding stock).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Policy:</w:t>
      </w:r>
    </w:p>
    <w:p>
      <w:pPr>
        <w:spacing w:after="0" w:line="2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Related person transactions must be approved by the board or by a committee of the board consisting solely of independent directors, who will approve the transaction only if the board or committee determines that it is in the best interests of the company. In considering the transaction, the board or committee will consider all relevant factors, including:</w:t>
      </w:r>
    </w:p>
    <w:p>
      <w:pPr>
        <w:spacing w:after="0" w:line="1" w:lineRule="exact"/>
        <w:rPr>
          <w:sz w:val="20"/>
          <w:szCs w:val="20"/>
          <w:color w:val="auto"/>
        </w:rPr>
      </w:pPr>
    </w:p>
    <w:p>
      <w:pPr>
        <w:ind w:left="620" w:hanging="288"/>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company’s business rationale for entering into the transaction</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alternatives to entering into a related person transaction</w:t>
      </w:r>
    </w:p>
    <w:p>
      <w:pPr>
        <w:spacing w:after="0" w:line="5" w:lineRule="exact"/>
        <w:rPr>
          <w:rFonts w:ascii="Arial" w:cs="Arial" w:eastAsia="Arial" w:hAnsi="Arial"/>
          <w:sz w:val="16"/>
          <w:szCs w:val="16"/>
          <w:color w:val="auto"/>
        </w:rPr>
      </w:pPr>
    </w:p>
    <w:p>
      <w:pPr>
        <w:ind w:left="660" w:right="640" w:hanging="328"/>
        <w:spacing w:after="0" w:line="246" w:lineRule="auto"/>
        <w:tabs>
          <w:tab w:leader="none" w:pos="6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whether the transaction is on terms comparable to those available to third parties, or in the case of employment relationships, to employees generally</w:t>
      </w:r>
    </w:p>
    <w:p>
      <w:pPr>
        <w:ind w:left="660" w:right="160" w:hanging="328"/>
        <w:spacing w:after="0" w:line="246" w:lineRule="auto"/>
        <w:tabs>
          <w:tab w:leader="none" w:pos="6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potential for the transaction to lead to an actual or apparent conflict of interest and any safeguards imposed to prevent such actual or apparent conflicts</w:t>
      </w:r>
    </w:p>
    <w:p>
      <w:pPr>
        <w:ind w:left="620" w:hanging="288"/>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overall fairness of the transaction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P38</w:t>
      </w:r>
    </w:p>
    <w:p>
      <w:pPr>
        <w:sectPr>
          <w:pgSz w:w="11900" w:h="16838" w:orient="portrait"/>
          <w:cols w:equalWidth="0" w:num="1">
            <w:col w:w="11220"/>
          </w:cols>
          <w:pgMar w:left="320" w:top="1424"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EE2724"/>
        </w:rPr>
        <w:t>Procedures:</w:t>
      </w:r>
    </w:p>
    <w:p>
      <w:pPr>
        <w:spacing w:after="0" w:line="25" w:lineRule="exact"/>
        <w:rPr>
          <w:sz w:val="20"/>
          <w:szCs w:val="20"/>
          <w:color w:val="auto"/>
        </w:rPr>
      </w:pPr>
    </w:p>
    <w:p>
      <w:pPr>
        <w:ind w:left="660" w:right="360" w:hanging="328"/>
        <w:spacing w:after="0" w:line="246" w:lineRule="auto"/>
        <w:tabs>
          <w:tab w:leader="none" w:pos="622"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Management or the affected director or executive officer will bring the matter to the attention of the chairman, the lead independent director, the chair of the Directors and Corporate Governance Committee, or the General Counsel and Secretary.</w:t>
      </w:r>
    </w:p>
    <w:p>
      <w:pPr>
        <w:ind w:left="660" w:right="60" w:hanging="328"/>
        <w:spacing w:after="0" w:line="246" w:lineRule="auto"/>
        <w:tabs>
          <w:tab w:leader="none" w:pos="62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chairman and the lead independent director shall jointly determine (or, if either is involved in the transaction, the other shall determine in consultation with the chair of the Directors and the Corporate Governance Committee) whether the matter should be considered by the board or by one of its existing committees consisting only of independent directors.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 director is involved in the transaction, he or she will be recused from all discussions and decisions about the transaction.</w:t>
      </w:r>
    </w:p>
    <w:p>
      <w:pPr>
        <w:spacing w:after="0" w:line="5" w:lineRule="exact"/>
        <w:rPr>
          <w:rFonts w:ascii="Arial" w:cs="Arial" w:eastAsia="Arial" w:hAnsi="Arial"/>
          <w:sz w:val="16"/>
          <w:szCs w:val="16"/>
          <w:color w:val="auto"/>
        </w:rPr>
      </w:pPr>
    </w:p>
    <w:p>
      <w:pPr>
        <w:ind w:left="660" w:right="780" w:hanging="328"/>
        <w:spacing w:after="0" w:line="246" w:lineRule="auto"/>
        <w:tabs>
          <w:tab w:leader="none" w:pos="62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transaction must be approved in advance whenever practicable, and if not practicable, must be ratified, if appropriate, as promptly as practicable.</w:t>
      </w:r>
    </w:p>
    <w:p>
      <w:pPr>
        <w:ind w:left="620" w:hanging="288"/>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board or relevant committee will review the transaction annually to determine whether it continues to be in the company’s best interests.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2020, there were no related party transactions required to be reported pursuant to relevant SEC rules in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Communication with the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You may send written communications to members of the board, including independent directors, addressed to:</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Board of Directors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Eli Lilly and Company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General Counsel and Secretary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Lilly Corporate Center</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Indianapolis, IN 46285</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Shareholder Engagement on Governance Issues</w:t>
      </w:r>
    </w:p>
    <w:p>
      <w:pPr>
        <w:spacing w:after="0" w:line="29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To ensure that a diversity of perspectives is thoughtfully considered on a number of issues, each year the company engages large shareholders and other key constituents to discuss areas of interest or concern related to corporate governance, as well as any specific issues for the coming proxy season. Since our 2020 annual meeting of shareholders, we have spoken with a number of investors on an array of subjects, including board leadership; environmental, social, and governance topics; drug pricing transparency and global access to our products, including our COVID-19 therapies; product quality and safety; key enterprise risks; executive compensation; and human capital management. Given the significant challenges the world faced in 2020, we appreciate now more than ever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chairman and CEO, the lead independent director, our Compensation Committee, Ethics and Compliance Committee, and our Directors and Corporate Governance Committee, and it was a key input into board discussions on corporate governance topics. As a result of these discussions and its own deliberations, the board decided to recommend in favor of the two management proposals described below. We are committed to continuing to engage with our investors to ensure their diverse perspectives on corporate governance and other issues are thoughtfully considered.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Proposals to Eliminate Classified Board and Supermajority Voting Requirements</w:t>
      </w:r>
    </w:p>
    <w:p>
      <w:pPr>
        <w:spacing w:after="0" w:line="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Each year between 2007 and 2012, and again in 2018, 2019, and 2020, our management put forward proposals to eliminate the company's classified board structure. The proposals did not pass because they failed to receive a "supermajority vote" of 80 percent of the outstanding shares of our common stock, as required in the company's articles of incorporation. In addition, in 2010, 2011, 2012, 2018, 2019, and 2020, we submitted management proposals to eliminate the supermajority voting requirements themselves. Those proposals also did not receive the required 80 percent vote.</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Prior to 2012, these proposals received support ranging from 72 to 77 percent of our outstanding shares. In 2012, the vote in support of these proposals was approximately 63 percent of our outstanding shares, driven in part by a 2012 NYSE rule revision prohibiting brokers from voting their clients' shares on corporate governance matters absent specific instructions from such clients. In 2018, 2019, and 2020, the vote in support was approximately 62, 66, and 69 percent of our outstanding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P39</w:t>
      </w:r>
    </w:p>
    <w:p>
      <w:pPr>
        <w:sectPr>
          <w:pgSz w:w="11900" w:h="16838" w:orient="portrait"/>
          <w:cols w:equalWidth="0" w:num="1">
            <w:col w:w="11220"/>
          </w:cols>
          <w:pgMar w:left="320" w:top="1417" w:right="359" w:bottom="1440" w:gutter="0" w:footer="0" w:header="0"/>
        </w:sectPr>
      </w:pPr>
    </w:p>
    <w:bookmarkStart w:id="44" w:name="page45"/>
    <w:bookmarkEnd w:id="44"/>
    <w:p>
      <w:pPr>
        <w:ind w:right="120"/>
        <w:spacing w:after="0" w:line="253" w:lineRule="auto"/>
        <w:rPr>
          <w:sz w:val="20"/>
          <w:szCs w:val="20"/>
          <w:color w:val="auto"/>
        </w:rPr>
      </w:pPr>
      <w:r>
        <w:rPr>
          <w:rFonts w:ascii="Arial" w:cs="Arial" w:eastAsia="Arial" w:hAnsi="Arial"/>
          <w:sz w:val="16"/>
          <w:szCs w:val="16"/>
          <w:color w:val="auto"/>
        </w:rPr>
        <w:t>After considering the interests of the company and our shareholders, we have resubmitted management proposals to eliminate the classified board and supermajority voting requirements for consideration at the Annual Meeting (see Items 4 and 5). We will continue to engage with our shareholders on these and other topics to ensure that we continue to demonstrate strong corporate governance and accountability to shareholders.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w:t>
      </w:r>
    </w:p>
    <w:p>
      <w:pPr>
        <w:spacing w:after="0" w:line="16"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 xml:space="preserve">If a shareholder wishes to have a proposal considered for inclusion in next year’s proxy statement, he or she must submit the proposal in writing so that we receive it by November 19, 2021. Proposals should be addressed to the General Counsel and Secretary and mailed to Lilly Corporate Center, Indianapolis, IN 46285. For convenience, emailed copies may also be sent to </w:t>
      </w:r>
      <w:r>
        <w:rPr>
          <w:rFonts w:ascii="Arial" w:cs="Arial" w:eastAsia="Arial" w:hAnsi="Arial"/>
          <w:sz w:val="16"/>
          <w:szCs w:val="16"/>
          <w:color w:val="EE2724"/>
        </w:rPr>
        <w:t>shareholderproposals@lilly.com</w:t>
      </w:r>
      <w:r>
        <w:rPr>
          <w:rFonts w:ascii="Arial" w:cs="Arial" w:eastAsia="Arial" w:hAnsi="Arial"/>
          <w:sz w:val="16"/>
          <w:szCs w:val="16"/>
          <w:color w:val="auto"/>
        </w:rPr>
        <w:t>. In addition, the company’s bylaws provide that any shareholder wishing to propose any other business at the 2022 annual meeting of shareholders must give the company written notice by November</w:t>
      </w:r>
    </w:p>
    <w:p>
      <w:pPr>
        <w:spacing w:after="0" w:line="3"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 xml:space="preserve">19, 2021, and no earlier than September 20, 2021. That notice must provide certain other information as described in the bylaws. A copy of the bylaws is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Recommendations and Nominations for Director Candidates</w:t>
      </w:r>
    </w:p>
    <w:p>
      <w:pPr>
        <w:spacing w:after="0" w:line="2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 shareholder who wishes to recommend a director candidate for evaluation should forward the candidate's name and information about the candidate's qualifications to:</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Chair of the Directors and Corporate Governance Committee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 General Counsel and Secretary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Lilly Corporate Center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Indianapolis, IN 46285</w:t>
      </w:r>
    </w:p>
    <w:p>
      <w:pPr>
        <w:spacing w:after="0" w:line="248" w:lineRule="exact"/>
        <w:rPr>
          <w:sz w:val="20"/>
          <w:szCs w:val="20"/>
          <w:color w:val="auto"/>
        </w:rPr>
      </w:pPr>
    </w:p>
    <w:p>
      <w:pPr>
        <w:ind w:right="880"/>
        <w:spacing w:after="0" w:line="260" w:lineRule="auto"/>
        <w:rPr>
          <w:sz w:val="20"/>
          <w:szCs w:val="20"/>
          <w:color w:val="auto"/>
        </w:rPr>
      </w:pPr>
      <w:r>
        <w:rPr>
          <w:rFonts w:ascii="Arial" w:cs="Arial" w:eastAsia="Arial" w:hAnsi="Arial"/>
          <w:sz w:val="16"/>
          <w:szCs w:val="16"/>
          <w:color w:val="auto"/>
        </w:rPr>
        <w:t>The candidate must meet the selection criteria described above under "Governance—Director Qualifications and Nomination Process—Director Qualifications" and must be willing and expressly interested in serving on the board.</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Under Section 1.9 of the company’s bylaws, a shareholder who wishes to directly nominate a director candidate at the 2022 annual meeting of shareholders (i.e., to propose a candidate for election who is not otherwise nominated by the board through the recommendation process described above) must give the company written notice by November 19, 2021, and no earlier than September 20, 2021. The notice should be addressed to the General Counsel and Secretary at the address provided above. The notice must contain prescribed information about the candidate and about the shareholder proposing the candidate as described in more detail in Section 1.9 of the bylaws. A copy of the bylaws is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We know of no other matters to be submitted to shareholders at the Annual Meeting other than the proposals referred to in this proxy statement.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P40</w:t>
      </w:r>
    </w:p>
    <w:p>
      <w:pPr>
        <w:sectPr>
          <w:pgSz w:w="11900" w:h="16838" w:orient="portrait"/>
          <w:cols w:equalWidth="0" w:num="1">
            <w:col w:w="11160"/>
          </w:cols>
          <w:pgMar w:left="320" w:top="1437" w:right="419" w:bottom="1440" w:gutter="0" w:footer="0" w:header="0"/>
        </w:sectPr>
      </w:pPr>
    </w:p>
    <w:bookmarkStart w:id="45" w:name="page46"/>
    <w:bookmarkEnd w:id="45"/>
    <w:p>
      <w:pPr>
        <w:spacing w:after="0"/>
        <w:rPr>
          <w:sz w:val="20"/>
          <w:szCs w:val="20"/>
          <w:color w:val="auto"/>
        </w:rPr>
      </w:pPr>
      <w:r>
        <w:rPr>
          <w:rFonts w:ascii="Arial" w:cs="Arial" w:eastAsia="Arial" w:hAnsi="Arial"/>
          <w:sz w:val="32"/>
          <w:szCs w:val="32"/>
          <w:b w:val="1"/>
          <w:bCs w:val="1"/>
          <w:color w:val="EF3729"/>
        </w:rPr>
        <w:t>Ownership of Company Stock</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Ownership by Directors and Executive Officers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table sets forth the number of shares of company common stock beneficially owned by the directors, the named executive officers, and all directors and executive officers as a group, as of February 12, 2021. On February 12, 2021, there were 958,425,693 shares of the company’s common stock outstanding. None of the stock or stock units owned by any of the listed individuals has been pledged as collateral for a loan or other obligation.</w:t>
      </w:r>
    </w:p>
    <w:p>
      <w:pPr>
        <w:spacing w:after="0" w:line="105" w:lineRule="exact"/>
        <w:rPr>
          <w:sz w:val="20"/>
          <w:szCs w:val="20"/>
          <w:color w:val="auto"/>
        </w:rPr>
      </w:pPr>
    </w:p>
    <w:tbl>
      <w:tblPr>
        <w:tblLayout w:type="fixed"/>
        <w:tblInd w:w="1500" w:type="dxa"/>
        <w:tblCellMar>
          <w:top w:w="0" w:type="dxa"/>
          <w:left w:w="0" w:type="dxa"/>
          <w:bottom w:w="0" w:type="dxa"/>
          <w:right w:w="0" w:type="dxa"/>
        </w:tblCellMar>
      </w:tblPr>
      <w:tr>
        <w:trPr>
          <w:trHeight w:val="277"/>
        </w:trPr>
        <w:tc>
          <w:tcPr>
            <w:tcW w:w="1780" w:type="dxa"/>
            <w:vAlign w:val="bottom"/>
            <w:shd w:val="clear" w:color="auto" w:fill="BFBFBF"/>
          </w:tcPr>
          <w:p>
            <w:pPr>
              <w:spacing w:after="0"/>
              <w:rPr>
                <w:sz w:val="24"/>
                <w:szCs w:val="24"/>
                <w:color w:val="auto"/>
              </w:rPr>
            </w:pPr>
          </w:p>
        </w:tc>
        <w:tc>
          <w:tcPr>
            <w:tcW w:w="3900" w:type="dxa"/>
            <w:vAlign w:val="bottom"/>
            <w:gridSpan w:val="2"/>
            <w:shd w:val="clear" w:color="auto" w:fill="BFBFBF"/>
          </w:tcPr>
          <w:p>
            <w:pPr>
              <w:ind w:left="1520"/>
              <w:spacing w:after="0"/>
              <w:rPr>
                <w:sz w:val="20"/>
                <w:szCs w:val="20"/>
                <w:color w:val="auto"/>
              </w:rPr>
            </w:pPr>
            <w:r>
              <w:rPr>
                <w:rFonts w:ascii="Arial" w:cs="Arial" w:eastAsia="Arial" w:hAnsi="Arial"/>
                <w:sz w:val="14"/>
                <w:szCs w:val="14"/>
                <w:b w:val="1"/>
                <w:bCs w:val="1"/>
                <w:color w:val="00ABE8"/>
              </w:rPr>
              <w:t xml:space="preserve">Common Stock </w:t>
            </w:r>
            <w:r>
              <w:rPr>
                <w:rFonts w:ascii="Arial" w:cs="Arial" w:eastAsia="Arial" w:hAnsi="Arial"/>
                <w:sz w:val="18"/>
                <w:szCs w:val="18"/>
                <w:b w:val="1"/>
                <w:bCs w:val="1"/>
                <w:color w:val="00ABE8"/>
                <w:vertAlign w:val="superscript"/>
              </w:rPr>
              <w:t>1</w:t>
            </w:r>
          </w:p>
        </w:tc>
        <w:tc>
          <w:tcPr>
            <w:tcW w:w="1240" w:type="dxa"/>
            <w:vAlign w:val="bottom"/>
            <w:shd w:val="clear" w:color="auto" w:fill="BFBFBF"/>
          </w:tcPr>
          <w:p>
            <w:pPr>
              <w:spacing w:after="0"/>
              <w:rPr>
                <w:sz w:val="24"/>
                <w:szCs w:val="24"/>
                <w:color w:val="auto"/>
              </w:rPr>
            </w:pPr>
          </w:p>
        </w:tc>
        <w:tc>
          <w:tcPr>
            <w:tcW w:w="1340" w:type="dxa"/>
            <w:vAlign w:val="bottom"/>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80" w:type="dxa"/>
            <w:vAlign w:val="bottom"/>
            <w:shd w:val="clear" w:color="auto" w:fill="BFBFBF"/>
          </w:tcPr>
          <w:p>
            <w:pPr>
              <w:spacing w:after="0"/>
              <w:rPr>
                <w:sz w:val="13"/>
                <w:szCs w:val="13"/>
                <w:color w:val="auto"/>
              </w:rPr>
            </w:pPr>
          </w:p>
        </w:tc>
        <w:tc>
          <w:tcPr>
            <w:tcW w:w="1880" w:type="dxa"/>
            <w:vAlign w:val="bottom"/>
            <w:shd w:val="clear" w:color="auto" w:fill="BFBFBF"/>
          </w:tcPr>
          <w:p>
            <w:pPr>
              <w:spacing w:after="0"/>
              <w:rPr>
                <w:sz w:val="13"/>
                <w:szCs w:val="13"/>
                <w:color w:val="auto"/>
              </w:rPr>
            </w:pPr>
          </w:p>
        </w:tc>
        <w:tc>
          <w:tcPr>
            <w:tcW w:w="2020" w:type="dxa"/>
            <w:vAlign w:val="bottom"/>
            <w:vMerge w:val="restart"/>
            <w:shd w:val="clear" w:color="auto" w:fill="BFBFBF"/>
          </w:tcPr>
          <w:p>
            <w:pPr>
              <w:jc w:val="center"/>
              <w:ind w:left="148"/>
              <w:spacing w:after="0"/>
              <w:rPr>
                <w:sz w:val="20"/>
                <w:szCs w:val="20"/>
                <w:color w:val="auto"/>
              </w:rPr>
            </w:pPr>
            <w:r>
              <w:rPr>
                <w:rFonts w:ascii="Arial" w:cs="Arial" w:eastAsia="Arial" w:hAnsi="Arial"/>
                <w:sz w:val="14"/>
                <w:szCs w:val="14"/>
                <w:b w:val="1"/>
                <w:bCs w:val="1"/>
                <w:color w:val="00ABE8"/>
              </w:rPr>
              <w:t>Stock Units Distributable</w:t>
            </w:r>
          </w:p>
        </w:tc>
        <w:tc>
          <w:tcPr>
            <w:tcW w:w="1240" w:type="dxa"/>
            <w:vAlign w:val="bottom"/>
            <w:shd w:val="clear" w:color="auto" w:fill="BFBFBF"/>
          </w:tcPr>
          <w:p>
            <w:pPr>
              <w:spacing w:after="0"/>
              <w:rPr>
                <w:sz w:val="13"/>
                <w:szCs w:val="13"/>
                <w:color w:val="auto"/>
              </w:rPr>
            </w:pPr>
          </w:p>
        </w:tc>
        <w:tc>
          <w:tcPr>
            <w:tcW w:w="1340" w:type="dxa"/>
            <w:vAlign w:val="bottom"/>
            <w:shd w:val="clear" w:color="auto" w:fill="BFBFBF"/>
          </w:tcPr>
          <w:p>
            <w:pPr>
              <w:jc w:val="center"/>
              <w:ind w:right="8"/>
              <w:spacing w:after="0" w:line="155" w:lineRule="exact"/>
              <w:rPr>
                <w:sz w:val="20"/>
                <w:szCs w:val="20"/>
                <w:color w:val="auto"/>
              </w:rPr>
            </w:pPr>
            <w:r>
              <w:rPr>
                <w:rFonts w:ascii="Arial" w:cs="Arial" w:eastAsia="Arial" w:hAnsi="Arial"/>
                <w:sz w:val="14"/>
                <w:szCs w:val="14"/>
                <w:b w:val="1"/>
                <w:bCs w:val="1"/>
                <w:color w:val="00ABE8"/>
              </w:rPr>
              <w:t>Stock Units Not</w:t>
            </w:r>
          </w:p>
        </w:tc>
        <w:tc>
          <w:tcPr>
            <w:tcW w:w="0" w:type="dxa"/>
            <w:vAlign w:val="bottom"/>
          </w:tcPr>
          <w:p>
            <w:pPr>
              <w:spacing w:after="0"/>
              <w:rPr>
                <w:sz w:val="1"/>
                <w:szCs w:val="1"/>
                <w:color w:val="auto"/>
              </w:rPr>
            </w:pPr>
          </w:p>
        </w:tc>
      </w:tr>
      <w:tr>
        <w:trPr>
          <w:trHeight w:val="135"/>
        </w:trPr>
        <w:tc>
          <w:tcPr>
            <w:tcW w:w="1780" w:type="dxa"/>
            <w:vAlign w:val="bottom"/>
            <w:vMerge w:val="restart"/>
            <w:shd w:val="clear" w:color="auto" w:fill="BFBFBF"/>
          </w:tcPr>
          <w:p>
            <w:pPr>
              <w:ind w:left="20"/>
              <w:spacing w:after="0"/>
              <w:rPr>
                <w:sz w:val="20"/>
                <w:szCs w:val="20"/>
                <w:color w:val="auto"/>
              </w:rPr>
            </w:pPr>
            <w:r>
              <w:rPr>
                <w:rFonts w:ascii="Arial" w:cs="Arial" w:eastAsia="Arial" w:hAnsi="Arial"/>
                <w:sz w:val="14"/>
                <w:szCs w:val="14"/>
                <w:b w:val="1"/>
                <w:bCs w:val="1"/>
                <w:color w:val="00ABE8"/>
              </w:rPr>
              <w:t>Beneficial Owners</w:t>
            </w:r>
          </w:p>
        </w:tc>
        <w:tc>
          <w:tcPr>
            <w:tcW w:w="1880" w:type="dxa"/>
            <w:vAlign w:val="bottom"/>
            <w:vMerge w:val="restart"/>
            <w:shd w:val="clear" w:color="auto" w:fill="BFBFBF"/>
          </w:tcPr>
          <w:p>
            <w:pPr>
              <w:ind w:left="520"/>
              <w:spacing w:after="0"/>
              <w:rPr>
                <w:sz w:val="20"/>
                <w:szCs w:val="20"/>
                <w:color w:val="auto"/>
              </w:rPr>
            </w:pPr>
            <w:r>
              <w:rPr>
                <w:rFonts w:ascii="Arial" w:cs="Arial" w:eastAsia="Arial" w:hAnsi="Arial"/>
                <w:sz w:val="14"/>
                <w:szCs w:val="14"/>
                <w:b w:val="1"/>
                <w:bCs w:val="1"/>
                <w:color w:val="00ABE8"/>
              </w:rPr>
              <w:t xml:space="preserve">Shares Owned </w:t>
            </w:r>
            <w:r>
              <w:rPr>
                <w:rFonts w:ascii="Arial" w:cs="Arial" w:eastAsia="Arial" w:hAnsi="Arial"/>
                <w:sz w:val="18"/>
                <w:szCs w:val="18"/>
                <w:b w:val="1"/>
                <w:bCs w:val="1"/>
                <w:color w:val="00ABE8"/>
                <w:vertAlign w:val="superscript"/>
              </w:rPr>
              <w:t>2</w:t>
            </w:r>
          </w:p>
        </w:tc>
        <w:tc>
          <w:tcPr>
            <w:tcW w:w="2020" w:type="dxa"/>
            <w:vAlign w:val="bottom"/>
            <w:vMerge w:val="continue"/>
            <w:shd w:val="clear" w:color="auto" w:fill="BFBFBF"/>
          </w:tcPr>
          <w:p>
            <w:pPr>
              <w:spacing w:after="0"/>
              <w:rPr>
                <w:sz w:val="11"/>
                <w:szCs w:val="11"/>
                <w:color w:val="auto"/>
              </w:rPr>
            </w:pPr>
          </w:p>
        </w:tc>
        <w:tc>
          <w:tcPr>
            <w:tcW w:w="1240" w:type="dxa"/>
            <w:vAlign w:val="bottom"/>
            <w:vMerge w:val="restart"/>
            <w:shd w:val="clear" w:color="auto" w:fill="BFBFBF"/>
          </w:tcPr>
          <w:p>
            <w:pPr>
              <w:ind w:left="20"/>
              <w:spacing w:after="0"/>
              <w:rPr>
                <w:sz w:val="20"/>
                <w:szCs w:val="20"/>
                <w:color w:val="auto"/>
              </w:rPr>
            </w:pPr>
            <w:r>
              <w:rPr>
                <w:rFonts w:ascii="Arial" w:cs="Arial" w:eastAsia="Arial" w:hAnsi="Arial"/>
                <w:sz w:val="14"/>
                <w:szCs w:val="14"/>
                <w:b w:val="1"/>
                <w:bCs w:val="1"/>
                <w:color w:val="00ABE8"/>
              </w:rPr>
              <w:t>Percent of Class</w:t>
            </w:r>
          </w:p>
        </w:tc>
        <w:tc>
          <w:tcPr>
            <w:tcW w:w="13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00ABE8"/>
              </w:rPr>
              <w:t>Distributable</w:t>
            </w:r>
          </w:p>
        </w:tc>
        <w:tc>
          <w:tcPr>
            <w:tcW w:w="0" w:type="dxa"/>
            <w:vAlign w:val="bottom"/>
          </w:tcPr>
          <w:p>
            <w:pPr>
              <w:spacing w:after="0"/>
              <w:rPr>
                <w:sz w:val="1"/>
                <w:szCs w:val="1"/>
                <w:color w:val="auto"/>
              </w:rPr>
            </w:pPr>
          </w:p>
        </w:tc>
      </w:tr>
      <w:tr>
        <w:trPr>
          <w:trHeight w:val="176"/>
        </w:trPr>
        <w:tc>
          <w:tcPr>
            <w:tcW w:w="1780" w:type="dxa"/>
            <w:vAlign w:val="bottom"/>
            <w:vMerge w:val="continue"/>
            <w:shd w:val="clear" w:color="auto" w:fill="BFBFBF"/>
          </w:tcPr>
          <w:p>
            <w:pPr>
              <w:spacing w:after="0"/>
              <w:rPr>
                <w:sz w:val="15"/>
                <w:szCs w:val="15"/>
                <w:color w:val="auto"/>
              </w:rPr>
            </w:pPr>
          </w:p>
        </w:tc>
        <w:tc>
          <w:tcPr>
            <w:tcW w:w="1880" w:type="dxa"/>
            <w:vAlign w:val="bottom"/>
            <w:vMerge w:val="continue"/>
            <w:shd w:val="clear" w:color="auto" w:fill="BFBFBF"/>
          </w:tcPr>
          <w:p>
            <w:pPr>
              <w:spacing w:after="0"/>
              <w:rPr>
                <w:sz w:val="15"/>
                <w:szCs w:val="15"/>
                <w:color w:val="auto"/>
              </w:rPr>
            </w:pPr>
          </w:p>
        </w:tc>
        <w:tc>
          <w:tcPr>
            <w:tcW w:w="2020" w:type="dxa"/>
            <w:vAlign w:val="bottom"/>
            <w:shd w:val="clear" w:color="auto" w:fill="BFBFBF"/>
          </w:tcPr>
          <w:p>
            <w:pPr>
              <w:jc w:val="center"/>
              <w:ind w:left="148"/>
              <w:spacing w:after="0" w:line="176" w:lineRule="exact"/>
              <w:rPr>
                <w:sz w:val="20"/>
                <w:szCs w:val="20"/>
                <w:color w:val="auto"/>
              </w:rPr>
            </w:pPr>
            <w:r>
              <w:rPr>
                <w:rFonts w:ascii="Arial" w:cs="Arial" w:eastAsia="Arial" w:hAnsi="Arial"/>
                <w:sz w:val="14"/>
                <w:szCs w:val="14"/>
                <w:b w:val="1"/>
                <w:bCs w:val="1"/>
                <w:color w:val="00ABE8"/>
              </w:rPr>
              <w:t xml:space="preserve">Within 60 Days </w:t>
            </w:r>
            <w:r>
              <w:rPr>
                <w:rFonts w:ascii="Arial" w:cs="Arial" w:eastAsia="Arial" w:hAnsi="Arial"/>
                <w:sz w:val="18"/>
                <w:szCs w:val="18"/>
                <w:b w:val="1"/>
                <w:bCs w:val="1"/>
                <w:color w:val="00ABE8"/>
                <w:vertAlign w:val="superscript"/>
              </w:rPr>
              <w:t>3</w:t>
            </w:r>
          </w:p>
        </w:tc>
        <w:tc>
          <w:tcPr>
            <w:tcW w:w="1240" w:type="dxa"/>
            <w:vAlign w:val="bottom"/>
            <w:vMerge w:val="continue"/>
            <w:shd w:val="clear" w:color="auto" w:fill="BFBFBF"/>
          </w:tcPr>
          <w:p>
            <w:pPr>
              <w:spacing w:after="0"/>
              <w:rPr>
                <w:sz w:val="15"/>
                <w:szCs w:val="15"/>
                <w:color w:val="auto"/>
              </w:rPr>
            </w:pPr>
          </w:p>
        </w:tc>
        <w:tc>
          <w:tcPr>
            <w:tcW w:w="1340" w:type="dxa"/>
            <w:vAlign w:val="bottom"/>
            <w:shd w:val="clear" w:color="auto" w:fill="BFBFBF"/>
          </w:tcPr>
          <w:p>
            <w:pPr>
              <w:jc w:val="center"/>
              <w:spacing w:after="0" w:line="176" w:lineRule="exact"/>
              <w:rPr>
                <w:sz w:val="20"/>
                <w:szCs w:val="20"/>
                <w:color w:val="auto"/>
              </w:rPr>
            </w:pPr>
            <w:r>
              <w:rPr>
                <w:rFonts w:ascii="Arial" w:cs="Arial" w:eastAsia="Arial" w:hAnsi="Arial"/>
                <w:sz w:val="14"/>
                <w:szCs w:val="14"/>
                <w:b w:val="1"/>
                <w:bCs w:val="1"/>
                <w:color w:val="00ABE8"/>
              </w:rPr>
              <w:t xml:space="preserve">Within 60 Days </w:t>
            </w:r>
            <w:r>
              <w:rPr>
                <w:rFonts w:ascii="Arial" w:cs="Arial" w:eastAsia="Arial" w:hAnsi="Arial"/>
                <w:sz w:val="18"/>
                <w:szCs w:val="18"/>
                <w:b w:val="1"/>
                <w:bCs w:val="1"/>
                <w:color w:val="00ABE8"/>
                <w:vertAlign w:val="superscript"/>
              </w:rPr>
              <w:t>4</w:t>
            </w: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220"/>
          </w:cols>
          <w:pgMar w:left="320" w:top="1399" w:right="359" w:bottom="1440" w:gutter="0" w:footer="0" w:header="0"/>
        </w:sectPr>
      </w:pPr>
    </w:p>
    <w:tbl>
      <w:tblPr>
        <w:tblLayout w:type="fixed"/>
        <w:tblInd w:w="1520" w:type="dxa"/>
        <w:tblCellMar>
          <w:top w:w="0" w:type="dxa"/>
          <w:left w:w="0" w:type="dxa"/>
          <w:bottom w:w="0" w:type="dxa"/>
          <w:right w:w="0" w:type="dxa"/>
        </w:tblCellMar>
      </w:tblPr>
      <w:tr>
        <w:trPr>
          <w:trHeight w:val="152"/>
        </w:trPr>
        <w:tc>
          <w:tcPr>
            <w:tcW w:w="2440" w:type="dxa"/>
            <w:vAlign w:val="bottom"/>
          </w:tcPr>
          <w:p>
            <w:pPr>
              <w:spacing w:after="0"/>
              <w:rPr>
                <w:sz w:val="20"/>
                <w:szCs w:val="20"/>
                <w:color w:val="auto"/>
              </w:rPr>
            </w:pPr>
            <w:r>
              <w:rPr>
                <w:rFonts w:ascii="Arial" w:cs="Arial" w:eastAsia="Arial" w:hAnsi="Arial"/>
                <w:sz w:val="13"/>
                <w:szCs w:val="13"/>
                <w:color w:val="auto"/>
              </w:rPr>
              <w:t>Ralph Alvarez</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Katherine Baicker, Ph.D.</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Carolyn R Bertozzi, Ph.D.</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6"/>
        </w:trPr>
        <w:tc>
          <w:tcPr>
            <w:tcW w:w="2440" w:type="dxa"/>
            <w:vAlign w:val="bottom"/>
          </w:tcPr>
          <w:p>
            <w:pPr>
              <w:spacing w:after="0"/>
              <w:rPr>
                <w:sz w:val="20"/>
                <w:szCs w:val="20"/>
                <w:color w:val="auto"/>
              </w:rPr>
            </w:pPr>
            <w:r>
              <w:rPr>
                <w:rFonts w:ascii="Arial" w:cs="Arial" w:eastAsia="Arial" w:hAnsi="Arial"/>
                <w:sz w:val="13"/>
                <w:szCs w:val="13"/>
                <w:color w:val="auto"/>
              </w:rPr>
              <w:t>Michael L. Eskew</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J. Erik Fyrwald</w:t>
            </w:r>
          </w:p>
        </w:tc>
        <w:tc>
          <w:tcPr>
            <w:tcW w:w="106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Anat Hakim</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Jamere Jackson</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6"/>
        </w:trPr>
        <w:tc>
          <w:tcPr>
            <w:tcW w:w="2440" w:type="dxa"/>
            <w:vAlign w:val="bottom"/>
          </w:tcPr>
          <w:p>
            <w:pPr>
              <w:spacing w:after="0"/>
              <w:rPr>
                <w:sz w:val="20"/>
                <w:szCs w:val="20"/>
                <w:color w:val="auto"/>
              </w:rPr>
            </w:pPr>
            <w:r>
              <w:rPr>
                <w:rFonts w:ascii="Arial" w:cs="Arial" w:eastAsia="Arial" w:hAnsi="Arial"/>
                <w:sz w:val="13"/>
                <w:szCs w:val="13"/>
                <w:color w:val="auto"/>
              </w:rPr>
              <w:t>Kimberly H. Johnson</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William G. Kaelin, Jr., M.D.</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Juan R. Luciano</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David A. Ricks</w:t>
            </w:r>
          </w:p>
        </w:tc>
        <w:tc>
          <w:tcPr>
            <w:tcW w:w="1060" w:type="dxa"/>
            <w:vAlign w:val="bottom"/>
          </w:tcPr>
          <w:p>
            <w:pPr>
              <w:jc w:val="right"/>
              <w:spacing w:after="0"/>
              <w:rPr>
                <w:sz w:val="20"/>
                <w:szCs w:val="20"/>
                <w:color w:val="auto"/>
              </w:rPr>
            </w:pPr>
            <w:r>
              <w:rPr>
                <w:rFonts w:ascii="Arial" w:cs="Arial" w:eastAsia="Arial" w:hAnsi="Arial"/>
                <w:sz w:val="13"/>
                <w:szCs w:val="13"/>
                <w:color w:val="auto"/>
              </w:rPr>
              <w:t>462,924</w:t>
            </w:r>
          </w:p>
        </w:tc>
      </w:tr>
      <w:tr>
        <w:trPr>
          <w:trHeight w:val="256"/>
        </w:trPr>
        <w:tc>
          <w:tcPr>
            <w:tcW w:w="2440" w:type="dxa"/>
            <w:vAlign w:val="bottom"/>
          </w:tcPr>
          <w:p>
            <w:pPr>
              <w:spacing w:after="0"/>
              <w:rPr>
                <w:sz w:val="20"/>
                <w:szCs w:val="20"/>
                <w:color w:val="auto"/>
              </w:rPr>
            </w:pPr>
            <w:r>
              <w:rPr>
                <w:rFonts w:ascii="Arial" w:cs="Arial" w:eastAsia="Arial" w:hAnsi="Arial"/>
                <w:sz w:val="13"/>
                <w:szCs w:val="13"/>
                <w:color w:val="auto"/>
              </w:rPr>
              <w:t>Marschall S. Runge, M.D., Ph.D.</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Kathi P. Seifert</w:t>
            </w:r>
          </w:p>
        </w:tc>
        <w:tc>
          <w:tcPr>
            <w:tcW w:w="1060" w:type="dxa"/>
            <w:vAlign w:val="bottom"/>
          </w:tcPr>
          <w:p>
            <w:pPr>
              <w:jc w:val="right"/>
              <w:spacing w:after="0"/>
              <w:rPr>
                <w:sz w:val="20"/>
                <w:szCs w:val="20"/>
                <w:color w:val="auto"/>
              </w:rPr>
            </w:pPr>
            <w:r>
              <w:rPr>
                <w:rFonts w:ascii="Arial" w:cs="Arial" w:eastAsia="Arial" w:hAnsi="Arial"/>
                <w:sz w:val="13"/>
                <w:szCs w:val="13"/>
                <w:color w:val="auto"/>
              </w:rPr>
              <w:t>3,533</w:t>
            </w:r>
          </w:p>
        </w:tc>
      </w:tr>
      <w:tr>
        <w:trPr>
          <w:trHeight w:val="256"/>
        </w:trPr>
        <w:tc>
          <w:tcPr>
            <w:tcW w:w="2440" w:type="dxa"/>
            <w:vAlign w:val="bottom"/>
          </w:tcPr>
          <w:p>
            <w:pPr>
              <w:spacing w:after="0"/>
              <w:rPr>
                <w:sz w:val="20"/>
                <w:szCs w:val="20"/>
                <w:color w:val="auto"/>
              </w:rPr>
            </w:pPr>
            <w:r>
              <w:rPr>
                <w:rFonts w:ascii="Arial" w:cs="Arial" w:eastAsia="Arial" w:hAnsi="Arial"/>
                <w:sz w:val="13"/>
                <w:szCs w:val="13"/>
                <w:color w:val="auto"/>
              </w:rPr>
              <w:t>Daniel Skovronsky, M.D., Ph.D.</w:t>
            </w:r>
          </w:p>
        </w:tc>
        <w:tc>
          <w:tcPr>
            <w:tcW w:w="1060" w:type="dxa"/>
            <w:vAlign w:val="bottom"/>
          </w:tcPr>
          <w:p>
            <w:pPr>
              <w:jc w:val="right"/>
              <w:spacing w:after="0"/>
              <w:rPr>
                <w:sz w:val="20"/>
                <w:szCs w:val="20"/>
                <w:color w:val="auto"/>
              </w:rPr>
            </w:pPr>
            <w:r>
              <w:rPr>
                <w:rFonts w:ascii="Arial" w:cs="Arial" w:eastAsia="Arial" w:hAnsi="Arial"/>
                <w:sz w:val="13"/>
                <w:szCs w:val="13"/>
                <w:color w:val="auto"/>
              </w:rPr>
              <w:t>115,680</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Joshua L. Smiley</w:t>
            </w:r>
          </w:p>
        </w:tc>
        <w:tc>
          <w:tcPr>
            <w:tcW w:w="1060" w:type="dxa"/>
            <w:vAlign w:val="bottom"/>
          </w:tcPr>
          <w:p>
            <w:pPr>
              <w:jc w:val="right"/>
              <w:spacing w:after="0"/>
              <w:rPr>
                <w:sz w:val="20"/>
                <w:szCs w:val="20"/>
                <w:color w:val="auto"/>
              </w:rPr>
            </w:pPr>
            <w:r>
              <w:rPr>
                <w:rFonts w:ascii="Arial" w:cs="Arial" w:eastAsia="Arial" w:hAnsi="Arial"/>
                <w:sz w:val="13"/>
                <w:szCs w:val="13"/>
                <w:color w:val="auto"/>
              </w:rPr>
              <w:t>79,819</w:t>
            </w:r>
          </w:p>
        </w:tc>
      </w:tr>
      <w:tr>
        <w:trPr>
          <w:trHeight w:val="256"/>
        </w:trPr>
        <w:tc>
          <w:tcPr>
            <w:tcW w:w="2440" w:type="dxa"/>
            <w:vAlign w:val="bottom"/>
          </w:tcPr>
          <w:p>
            <w:pPr>
              <w:spacing w:after="0"/>
              <w:rPr>
                <w:sz w:val="20"/>
                <w:szCs w:val="20"/>
                <w:color w:val="auto"/>
              </w:rPr>
            </w:pPr>
            <w:r>
              <w:rPr>
                <w:rFonts w:ascii="Arial" w:cs="Arial" w:eastAsia="Arial" w:hAnsi="Arial"/>
                <w:sz w:val="13"/>
                <w:szCs w:val="13"/>
                <w:color w:val="auto"/>
              </w:rPr>
              <w:t>Gabrielle Sulzberger</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Jackson P. Tai</w:t>
            </w:r>
          </w:p>
        </w:tc>
        <w:tc>
          <w:tcPr>
            <w:tcW w:w="1060" w:type="dxa"/>
            <w:vAlign w:val="bottom"/>
          </w:tcPr>
          <w:p>
            <w:pPr>
              <w:jc w:val="right"/>
              <w:spacing w:after="0"/>
              <w:rPr>
                <w:sz w:val="20"/>
                <w:szCs w:val="20"/>
                <w:color w:val="auto"/>
              </w:rPr>
            </w:pPr>
            <w:r>
              <w:rPr>
                <w:rFonts w:ascii="Arial" w:cs="Arial" w:eastAsia="Arial" w:hAnsi="Arial"/>
                <w:sz w:val="13"/>
                <w:szCs w:val="13"/>
                <w:color w:val="auto"/>
              </w:rPr>
              <w:t>45,570</w:t>
            </w:r>
          </w:p>
        </w:tc>
      </w:tr>
      <w:tr>
        <w:trPr>
          <w:trHeight w:val="256"/>
        </w:trPr>
        <w:tc>
          <w:tcPr>
            <w:tcW w:w="2440" w:type="dxa"/>
            <w:vAlign w:val="bottom"/>
          </w:tcPr>
          <w:p>
            <w:pPr>
              <w:spacing w:after="0"/>
              <w:rPr>
                <w:sz w:val="20"/>
                <w:szCs w:val="20"/>
                <w:color w:val="auto"/>
              </w:rPr>
            </w:pPr>
            <w:r>
              <w:rPr>
                <w:rFonts w:ascii="Arial" w:cs="Arial" w:eastAsia="Arial" w:hAnsi="Arial"/>
                <w:sz w:val="13"/>
                <w:szCs w:val="13"/>
                <w:color w:val="auto"/>
              </w:rPr>
              <w:t>Karen Walker</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440" w:type="dxa"/>
            <w:vAlign w:val="bottom"/>
          </w:tcPr>
          <w:p>
            <w:pPr>
              <w:spacing w:after="0"/>
              <w:rPr>
                <w:sz w:val="20"/>
                <w:szCs w:val="20"/>
                <w:color w:val="auto"/>
              </w:rPr>
            </w:pPr>
            <w:r>
              <w:rPr>
                <w:rFonts w:ascii="Arial" w:cs="Arial" w:eastAsia="Arial" w:hAnsi="Arial"/>
                <w:sz w:val="13"/>
                <w:szCs w:val="13"/>
                <w:color w:val="auto"/>
              </w:rPr>
              <w:t>Alfonso G. Zulueta</w:t>
            </w:r>
          </w:p>
        </w:tc>
        <w:tc>
          <w:tcPr>
            <w:tcW w:w="1060" w:type="dxa"/>
            <w:vAlign w:val="bottom"/>
          </w:tcPr>
          <w:p>
            <w:pPr>
              <w:jc w:val="right"/>
              <w:spacing w:after="0"/>
              <w:rPr>
                <w:sz w:val="20"/>
                <w:szCs w:val="20"/>
                <w:color w:val="auto"/>
              </w:rPr>
            </w:pPr>
            <w:r>
              <w:rPr>
                <w:rFonts w:ascii="Arial" w:cs="Arial" w:eastAsia="Arial" w:hAnsi="Arial"/>
                <w:sz w:val="13"/>
                <w:szCs w:val="13"/>
                <w:color w:val="auto"/>
              </w:rPr>
              <w:t>61,634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49,145</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20,398</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6,267</w:t>
            </w:r>
          </w:p>
        </w:tc>
      </w:tr>
      <w:tr>
        <w:trPr>
          <w:trHeight w:val="25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43,904</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67,025</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15,857</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7,009</w:t>
            </w:r>
          </w:p>
        </w:tc>
      </w:tr>
      <w:tr>
        <w:trPr>
          <w:trHeight w:val="25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18,813</w:t>
            </w:r>
          </w:p>
        </w:tc>
      </w:tr>
      <w:tr>
        <w:trPr>
          <w:trHeight w:val="239"/>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12,619</w:t>
            </w:r>
          </w:p>
        </w:tc>
      </w:tr>
      <w:tr>
        <w:trPr>
          <w:trHeight w:val="98"/>
        </w:trPr>
        <w:tc>
          <w:tcPr>
            <w:tcW w:w="2580" w:type="dxa"/>
            <w:vAlign w:val="bottom"/>
          </w:tcPr>
          <w:p>
            <w:pPr>
              <w:spacing w:after="0"/>
              <w:rPr>
                <w:sz w:val="20"/>
                <w:szCs w:val="20"/>
                <w:color w:val="auto"/>
              </w:rPr>
            </w:pPr>
            <w:r>
              <w:rPr>
                <w:rFonts w:ascii="Arial" w:cs="Arial" w:eastAsia="Arial" w:hAnsi="Arial"/>
                <w:sz w:val="8"/>
                <w:szCs w:val="8"/>
                <w:color w:val="auto"/>
              </w:rPr>
              <w:t>5</w:t>
            </w: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7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56,205</w:t>
            </w:r>
          </w:p>
        </w:tc>
      </w:tr>
      <w:tr>
        <w:trPr>
          <w:trHeight w:val="25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14,341</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73,838</w:t>
            </w:r>
          </w:p>
        </w:tc>
      </w:tr>
      <w:tr>
        <w:trPr>
          <w:trHeight w:val="239"/>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18,735</w:t>
            </w:r>
          </w:p>
        </w:tc>
      </w:tr>
      <w:tr>
        <w:trPr>
          <w:trHeight w:val="98"/>
        </w:trPr>
        <w:tc>
          <w:tcPr>
            <w:tcW w:w="2580" w:type="dxa"/>
            <w:vAlign w:val="bottom"/>
          </w:tcPr>
          <w:p>
            <w:pPr>
              <w:spacing w:after="0"/>
              <w:rPr>
                <w:sz w:val="20"/>
                <w:szCs w:val="20"/>
                <w:color w:val="auto"/>
              </w:rPr>
            </w:pPr>
            <w:r>
              <w:rPr>
                <w:rFonts w:ascii="Arial" w:cs="Arial" w:eastAsia="Arial" w:hAnsi="Arial"/>
                <w:sz w:val="8"/>
                <w:szCs w:val="8"/>
                <w:color w:val="auto"/>
              </w:rPr>
              <w:t>6</w:t>
            </w: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7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14,170</w:t>
            </w:r>
          </w:p>
        </w:tc>
      </w:tr>
      <w:tr>
        <w:trPr>
          <w:trHeight w:val="256"/>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4,224</w:t>
            </w:r>
          </w:p>
        </w:tc>
      </w:tr>
      <w:tr>
        <w:trPr>
          <w:trHeight w:val="257"/>
        </w:trPr>
        <w:tc>
          <w:tcPr>
            <w:tcW w:w="2580" w:type="dxa"/>
            <w:vAlign w:val="bottom"/>
          </w:tcPr>
          <w:p>
            <w:pPr>
              <w:ind w:left="18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10160</wp:posOffset>
            </wp:positionV>
            <wp:extent cx="5237480"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37480" cy="3429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020" w:space="100"/>
            <w:col w:w="6100"/>
          </w:cols>
          <w:pgMar w:left="320" w:top="1399" w:right="359" w:bottom="1440" w:gutter="0" w:footer="0" w:header="0"/>
          <w:type w:val="continuous"/>
        </w:sectPr>
      </w:pPr>
    </w:p>
    <w:tbl>
      <w:tblPr>
        <w:tblLayout w:type="fixed"/>
        <w:tblInd w:w="152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Arial" w:cs="Arial" w:eastAsia="Arial" w:hAnsi="Arial"/>
                <w:sz w:val="14"/>
                <w:szCs w:val="14"/>
                <w:b w:val="1"/>
                <w:bCs w:val="1"/>
                <w:color w:val="00ABE8"/>
              </w:rPr>
              <w:t>All directors and executive</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b w:val="1"/>
                <w:bCs w:val="1"/>
                <w:color w:val="00ABE8"/>
              </w:rPr>
              <w:t>officers as a group</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2340" w:type="dxa"/>
            <w:vAlign w:val="bottom"/>
          </w:tcPr>
          <w:p>
            <w:pPr>
              <w:spacing w:after="0"/>
              <w:rPr>
                <w:sz w:val="20"/>
                <w:szCs w:val="20"/>
                <w:color w:val="auto"/>
              </w:rPr>
            </w:pPr>
            <w:r>
              <w:rPr>
                <w:rFonts w:ascii="Arial" w:cs="Arial" w:eastAsia="Arial" w:hAnsi="Arial"/>
                <w:sz w:val="14"/>
                <w:szCs w:val="14"/>
                <w:b w:val="1"/>
                <w:bCs w:val="1"/>
                <w:color w:val="00ABE8"/>
              </w:rPr>
              <w:t>(30 people):</w:t>
            </w:r>
          </w:p>
        </w:tc>
        <w:tc>
          <w:tcPr>
            <w:tcW w:w="2140" w:type="dxa"/>
            <w:vAlign w:val="bottom"/>
          </w:tcPr>
          <w:p>
            <w:pPr>
              <w:jc w:val="right"/>
              <w:ind w:right="908"/>
              <w:spacing w:after="0"/>
              <w:rPr>
                <w:sz w:val="20"/>
                <w:szCs w:val="20"/>
                <w:color w:val="auto"/>
              </w:rPr>
            </w:pPr>
            <w:r>
              <w:rPr>
                <w:rFonts w:ascii="Arial" w:cs="Arial" w:eastAsia="Arial" w:hAnsi="Arial"/>
                <w:sz w:val="14"/>
                <w:szCs w:val="14"/>
                <w:b w:val="1"/>
                <w:bCs w:val="1"/>
                <w:color w:val="00ABE8"/>
              </w:rPr>
              <w:t>1,229,181</w:t>
            </w:r>
          </w:p>
        </w:tc>
        <w:tc>
          <w:tcPr>
            <w:tcW w:w="1700" w:type="dxa"/>
            <w:vAlign w:val="bottom"/>
          </w:tcPr>
          <w:p>
            <w:pPr>
              <w:ind w:left="960"/>
              <w:spacing w:after="0"/>
              <w:rPr>
                <w:sz w:val="20"/>
                <w:szCs w:val="20"/>
                <w:color w:val="auto"/>
              </w:rPr>
            </w:pPr>
            <w:r>
              <w:rPr>
                <w:rFonts w:ascii="Arial" w:cs="Arial" w:eastAsia="Arial" w:hAnsi="Arial"/>
                <w:sz w:val="14"/>
                <w:szCs w:val="14"/>
                <w:b w:val="1"/>
                <w:bCs w:val="1"/>
                <w:color w:val="00ABE8"/>
              </w:rPr>
              <w:t>—</w:t>
            </w: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00ABE8"/>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ABE8"/>
              </w:rPr>
              <w:t>488,514</w:t>
            </w:r>
          </w:p>
        </w:tc>
      </w:tr>
    </w:tbl>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Less than 1.0 percent of the outstanding common stock of the company.</w:t>
      </w:r>
    </w:p>
    <w:p>
      <w:pPr>
        <w:spacing w:after="0" w:line="5" w:lineRule="exact"/>
        <w:rPr>
          <w:sz w:val="20"/>
          <w:szCs w:val="20"/>
          <w:color w:val="auto"/>
        </w:rPr>
      </w:pPr>
    </w:p>
    <w:p>
      <w:pPr>
        <w:ind w:left="120" w:right="320" w:hanging="72"/>
        <w:spacing w:after="0" w:line="222" w:lineRule="auto"/>
        <w:tabs>
          <w:tab w:leader="none" w:pos="215"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spacing w:after="0" w:line="3" w:lineRule="exact"/>
        <w:rPr>
          <w:sz w:val="20"/>
          <w:szCs w:val="20"/>
          <w:color w:val="auto"/>
        </w:rPr>
      </w:pPr>
    </w:p>
    <w:p>
      <w:pPr>
        <w:ind w:left="120" w:right="200" w:hanging="72"/>
        <w:spacing w:after="0" w:line="211" w:lineRule="auto"/>
        <w:tabs>
          <w:tab w:leader="none" w:pos="127"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This column includes the number of shares of common stock held individually as well as the number of 401(k) Plan shares held by the beneficial owners indirectly through the 401(k) Plan.</w:t>
      </w:r>
    </w:p>
    <w:p>
      <w:pPr>
        <w:ind w:left="140" w:hanging="92"/>
        <w:spacing w:after="0" w:line="189" w:lineRule="auto"/>
        <w:tabs>
          <w:tab w:leader="none" w:pos="14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This column sets forth restricted stock units that vest within 60 days of February 12, 2021.</w:t>
      </w:r>
    </w:p>
    <w:p>
      <w:pPr>
        <w:ind w:left="160" w:hanging="112"/>
        <w:spacing w:after="0" w:line="190" w:lineRule="auto"/>
        <w:tabs>
          <w:tab w:leader="none" w:pos="16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For the executive officers, this column reflects restricted stock units that will not vest within 60 days of February 12, 2021. For the non-employee directors,</w:t>
      </w:r>
    </w:p>
    <w:p>
      <w:pPr>
        <w:spacing w:after="0" w:line="1" w:lineRule="exact"/>
        <w:rPr>
          <w:sz w:val="20"/>
          <w:szCs w:val="20"/>
          <w:color w:val="auto"/>
        </w:rPr>
      </w:pPr>
    </w:p>
    <w:p>
      <w:pPr>
        <w:ind w:left="120" w:right="160"/>
        <w:spacing w:after="0" w:line="244" w:lineRule="auto"/>
        <w:rPr>
          <w:sz w:val="20"/>
          <w:szCs w:val="20"/>
          <w:color w:val="auto"/>
        </w:rPr>
      </w:pPr>
      <w:r>
        <w:rPr>
          <w:rFonts w:ascii="Arial" w:cs="Arial" w:eastAsia="Arial" w:hAnsi="Arial"/>
          <w:sz w:val="16"/>
          <w:szCs w:val="16"/>
          <w:color w:val="auto"/>
        </w:rPr>
        <w:t>this column reflects the number of units representing the right to receive shares of company stock credited to the directors' accounts in the Lilly Directors' Deferral Plan.</w:t>
      </w:r>
    </w:p>
    <w:p>
      <w:pPr>
        <w:spacing w:after="0" w:line="4" w:lineRule="exact"/>
        <w:rPr>
          <w:sz w:val="20"/>
          <w:szCs w:val="20"/>
          <w:color w:val="auto"/>
        </w:rPr>
      </w:pPr>
    </w:p>
    <w:p>
      <w:pPr>
        <w:ind w:left="120" w:right="80" w:hanging="72"/>
        <w:spacing w:after="0" w:line="211" w:lineRule="auto"/>
        <w:tabs>
          <w:tab w:leader="none" w:pos="127"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The shares shown for Mr. Ricks include 15,720 shares that are owned by a family foundation for which he is a director. Mr. Ricks has shared voting power and shared investment power with respect to the shares held by the foundation.</w:t>
      </w:r>
    </w:p>
    <w:p>
      <w:pPr>
        <w:spacing w:after="0" w:line="4" w:lineRule="exact"/>
        <w:rPr>
          <w:sz w:val="20"/>
          <w:szCs w:val="20"/>
          <w:color w:val="auto"/>
        </w:rPr>
      </w:pPr>
    </w:p>
    <w:p>
      <w:pPr>
        <w:ind w:left="120" w:right="100" w:hanging="72"/>
        <w:spacing w:after="0" w:line="216" w:lineRule="auto"/>
        <w:tabs>
          <w:tab w:leader="none" w:pos="127"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Mr. Smiley resigned from his officer position on February 9, 2021. His shares are included in the total for all directors and officers as a group based on Mr. Smiley’s Form 4 filed on February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P41</w:t>
      </w:r>
    </w:p>
    <w:p>
      <w:pPr>
        <w:sectPr>
          <w:pgSz w:w="11900" w:h="16838" w:orient="portrait"/>
          <w:cols w:equalWidth="0" w:num="1">
            <w:col w:w="11220"/>
          </w:cols>
          <w:pgMar w:left="320" w:top="1399"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Common Stock Ownership of Certain Beneficial Holders</w:t>
      </w:r>
    </w:p>
    <w:p>
      <w:pPr>
        <w:spacing w:after="0" w:line="2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sets forth the number of shares of company common stock beneficially owned as of December 31, 2020, unless otherwise indicated, by each person known to the company to beneficially own more than 5 percent of the outstanding shares of the company’s common stock:</w:t>
      </w:r>
    </w:p>
    <w:p>
      <w:pPr>
        <w:spacing w:after="0" w:line="99" w:lineRule="exact"/>
        <w:rPr>
          <w:sz w:val="20"/>
          <w:szCs w:val="20"/>
          <w:color w:val="auto"/>
        </w:rPr>
      </w:pPr>
    </w:p>
    <w:tbl>
      <w:tblPr>
        <w:tblLayout w:type="fixed"/>
        <w:tblInd w:w="2240" w:type="dxa"/>
        <w:tblCellMar>
          <w:top w:w="0" w:type="dxa"/>
          <w:left w:w="0" w:type="dxa"/>
          <w:bottom w:w="0" w:type="dxa"/>
          <w:right w:w="0" w:type="dxa"/>
        </w:tblCellMar>
      </w:tblPr>
      <w:tr>
        <w:trPr>
          <w:trHeight w:val="198"/>
        </w:trPr>
        <w:tc>
          <w:tcPr>
            <w:tcW w:w="2880" w:type="dxa"/>
            <w:vAlign w:val="bottom"/>
            <w:shd w:val="clear" w:color="auto" w:fill="BFBFBF"/>
          </w:tcPr>
          <w:p>
            <w:pPr>
              <w:spacing w:after="0"/>
              <w:rPr>
                <w:sz w:val="17"/>
                <w:szCs w:val="17"/>
                <w:color w:val="auto"/>
              </w:rPr>
            </w:pPr>
          </w:p>
        </w:tc>
        <w:tc>
          <w:tcPr>
            <w:tcW w:w="1980" w:type="dxa"/>
            <w:vAlign w:val="bottom"/>
            <w:shd w:val="clear" w:color="auto" w:fill="BFBFBF"/>
          </w:tcPr>
          <w:p>
            <w:pPr>
              <w:ind w:left="300"/>
              <w:spacing w:after="0"/>
              <w:rPr>
                <w:sz w:val="20"/>
                <w:szCs w:val="20"/>
                <w:color w:val="auto"/>
              </w:rPr>
            </w:pPr>
            <w:r>
              <w:rPr>
                <w:rFonts w:ascii="Arial" w:cs="Arial" w:eastAsia="Arial" w:hAnsi="Arial"/>
                <w:sz w:val="16"/>
                <w:szCs w:val="16"/>
                <w:b w:val="1"/>
                <w:bCs w:val="1"/>
                <w:color w:val="00ABE8"/>
              </w:rPr>
              <w:t>Number of Shares</w:t>
            </w:r>
          </w:p>
        </w:tc>
        <w:tc>
          <w:tcPr>
            <w:tcW w:w="1920" w:type="dxa"/>
            <w:vAlign w:val="bottom"/>
            <w:vMerge w:val="restart"/>
            <w:shd w:val="clear" w:color="auto" w:fill="BFBFBF"/>
          </w:tcPr>
          <w:p>
            <w:pPr>
              <w:ind w:left="220"/>
              <w:spacing w:after="0"/>
              <w:rPr>
                <w:sz w:val="20"/>
                <w:szCs w:val="20"/>
                <w:color w:val="auto"/>
              </w:rPr>
            </w:pPr>
            <w:r>
              <w:rPr>
                <w:rFonts w:ascii="Arial" w:cs="Arial" w:eastAsia="Arial" w:hAnsi="Arial"/>
                <w:sz w:val="16"/>
                <w:szCs w:val="16"/>
                <w:b w:val="1"/>
                <w:bCs w:val="1"/>
                <w:color w:val="00ABE8"/>
              </w:rPr>
              <w:t>Percent of Class</w:t>
            </w:r>
            <w:r>
              <w:rPr>
                <w:rFonts w:ascii="Arial" w:cs="Arial" w:eastAsia="Arial" w:hAnsi="Arial"/>
                <w:sz w:val="21"/>
                <w:szCs w:val="21"/>
                <w:b w:val="1"/>
                <w:bCs w:val="1"/>
                <w:color w:val="00ABE8"/>
                <w:vertAlign w:val="superscript"/>
              </w:rPr>
              <w:t>*</w:t>
            </w:r>
          </w:p>
        </w:tc>
        <w:tc>
          <w:tcPr>
            <w:tcW w:w="0" w:type="dxa"/>
            <w:vAlign w:val="bottom"/>
          </w:tcPr>
          <w:p>
            <w:pPr>
              <w:spacing w:after="0"/>
              <w:rPr>
                <w:sz w:val="1"/>
                <w:szCs w:val="1"/>
                <w:color w:val="auto"/>
              </w:rPr>
            </w:pPr>
          </w:p>
        </w:tc>
      </w:tr>
      <w:tr>
        <w:trPr>
          <w:trHeight w:val="234"/>
        </w:trPr>
        <w:tc>
          <w:tcPr>
            <w:tcW w:w="2880" w:type="dxa"/>
            <w:vAlign w:val="bottom"/>
            <w:shd w:val="clear" w:color="auto" w:fill="BFBFBF"/>
          </w:tcPr>
          <w:p>
            <w:pPr>
              <w:ind w:left="20"/>
              <w:spacing w:after="0"/>
              <w:rPr>
                <w:sz w:val="20"/>
                <w:szCs w:val="20"/>
                <w:color w:val="auto"/>
              </w:rPr>
            </w:pPr>
            <w:r>
              <w:rPr>
                <w:rFonts w:ascii="Arial" w:cs="Arial" w:eastAsia="Arial" w:hAnsi="Arial"/>
                <w:sz w:val="16"/>
                <w:szCs w:val="16"/>
                <w:b w:val="1"/>
                <w:bCs w:val="1"/>
                <w:color w:val="00ABE8"/>
              </w:rPr>
              <w:t>Name and Address</w:t>
            </w:r>
          </w:p>
        </w:tc>
        <w:tc>
          <w:tcPr>
            <w:tcW w:w="1980" w:type="dxa"/>
            <w:vAlign w:val="bottom"/>
            <w:shd w:val="clear" w:color="auto" w:fill="BFBFBF"/>
          </w:tcPr>
          <w:p>
            <w:pPr>
              <w:ind w:left="260"/>
              <w:spacing w:after="0"/>
              <w:rPr>
                <w:sz w:val="20"/>
                <w:szCs w:val="20"/>
                <w:color w:val="auto"/>
              </w:rPr>
            </w:pPr>
            <w:r>
              <w:rPr>
                <w:rFonts w:ascii="Arial" w:cs="Arial" w:eastAsia="Arial" w:hAnsi="Arial"/>
                <w:sz w:val="16"/>
                <w:szCs w:val="16"/>
                <w:b w:val="1"/>
                <w:bCs w:val="1"/>
                <w:color w:val="00ABE8"/>
              </w:rPr>
              <w:t>Beneficially Owned</w:t>
            </w:r>
          </w:p>
        </w:tc>
        <w:tc>
          <w:tcPr>
            <w:tcW w:w="1920" w:type="dxa"/>
            <w:vAlign w:val="bottom"/>
            <w:vMerge w:val="continue"/>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4" w:lineRule="exact"/>
              <w:rPr>
                <w:sz w:val="20"/>
                <w:szCs w:val="20"/>
                <w:color w:val="auto"/>
              </w:rPr>
            </w:pPr>
            <w:r>
              <w:rPr>
                <w:rFonts w:ascii="Arial" w:cs="Arial" w:eastAsia="Arial" w:hAnsi="Arial"/>
                <w:sz w:val="14"/>
                <w:szCs w:val="14"/>
                <w:color w:val="auto"/>
              </w:rPr>
              <w:t>Lilly Endowment Inc. (the Endowment)</w:t>
            </w:r>
            <w:r>
              <w:rPr>
                <w:rFonts w:ascii="Arial" w:cs="Arial" w:eastAsia="Arial" w:hAnsi="Arial"/>
                <w:sz w:val="17"/>
                <w:szCs w:val="17"/>
                <w:color w:val="auto"/>
                <w:vertAlign w:val="superscript"/>
              </w:rPr>
              <w:t>1</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111,132,343</w:t>
            </w:r>
          </w:p>
        </w:tc>
        <w:tc>
          <w:tcPr>
            <w:tcW w:w="1920" w:type="dxa"/>
            <w:vAlign w:val="bottom"/>
          </w:tcPr>
          <w:p>
            <w:pPr>
              <w:jc w:val="center"/>
              <w:ind w:right="93"/>
              <w:spacing w:after="0"/>
              <w:rPr>
                <w:sz w:val="20"/>
                <w:szCs w:val="20"/>
                <w:color w:val="auto"/>
              </w:rPr>
            </w:pPr>
            <w:r>
              <w:rPr>
                <w:rFonts w:ascii="Arial" w:cs="Arial" w:eastAsia="Arial" w:hAnsi="Arial"/>
                <w:sz w:val="13"/>
                <w:szCs w:val="13"/>
                <w:color w:val="auto"/>
                <w:w w:val="97"/>
              </w:rPr>
              <w:t>11.6%</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Arial" w:cs="Arial" w:eastAsia="Arial" w:hAnsi="Arial"/>
                <w:sz w:val="14"/>
                <w:szCs w:val="14"/>
                <w:color w:val="auto"/>
              </w:rPr>
              <w:t>2801 North Meridian Street</w:t>
            </w:r>
          </w:p>
        </w:tc>
        <w:tc>
          <w:tcPr>
            <w:tcW w:w="1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0"/>
              <w:spacing w:after="0"/>
              <w:rPr>
                <w:sz w:val="20"/>
                <w:szCs w:val="20"/>
                <w:color w:val="auto"/>
              </w:rPr>
            </w:pPr>
            <w:r>
              <w:rPr>
                <w:rFonts w:ascii="Arial" w:cs="Arial" w:eastAsia="Arial" w:hAnsi="Arial"/>
                <w:sz w:val="14"/>
                <w:szCs w:val="14"/>
                <w:color w:val="auto"/>
              </w:rPr>
              <w:t>Indianapolis, IN 46208</w:t>
            </w: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880" w:type="dxa"/>
            <w:vAlign w:val="bottom"/>
          </w:tcPr>
          <w:p>
            <w:pPr>
              <w:ind w:left="2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8"/>
                <w:szCs w:val="18"/>
                <w:color w:val="auto"/>
                <w:vertAlign w:val="superscript"/>
              </w:rPr>
              <w:t>2</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68,661,494</w:t>
            </w:r>
          </w:p>
        </w:tc>
        <w:tc>
          <w:tcPr>
            <w:tcW w:w="1920" w:type="dxa"/>
            <w:vAlign w:val="bottom"/>
          </w:tcPr>
          <w:p>
            <w:pPr>
              <w:jc w:val="center"/>
              <w:ind w:right="93"/>
              <w:spacing w:after="0"/>
              <w:rPr>
                <w:sz w:val="20"/>
                <w:szCs w:val="20"/>
                <w:color w:val="auto"/>
              </w:rPr>
            </w:pPr>
            <w:r>
              <w:rPr>
                <w:rFonts w:ascii="Arial" w:cs="Arial" w:eastAsia="Arial" w:hAnsi="Arial"/>
                <w:sz w:val="13"/>
                <w:szCs w:val="13"/>
                <w:color w:val="auto"/>
                <w:w w:val="94"/>
              </w:rPr>
              <w:t>7.2%</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Arial" w:cs="Arial" w:eastAsia="Arial" w:hAnsi="Arial"/>
                <w:sz w:val="14"/>
                <w:szCs w:val="14"/>
                <w:color w:val="auto"/>
              </w:rPr>
              <w:t>100 Vanguard Blvd.</w:t>
            </w:r>
          </w:p>
        </w:tc>
        <w:tc>
          <w:tcPr>
            <w:tcW w:w="1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880" w:type="dxa"/>
            <w:vAlign w:val="bottom"/>
          </w:tcPr>
          <w:p>
            <w:pPr>
              <w:ind w:left="2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3</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58,811,768</w:t>
            </w:r>
          </w:p>
        </w:tc>
        <w:tc>
          <w:tcPr>
            <w:tcW w:w="1920" w:type="dxa"/>
            <w:vAlign w:val="bottom"/>
          </w:tcPr>
          <w:p>
            <w:pPr>
              <w:jc w:val="center"/>
              <w:ind w:right="93"/>
              <w:spacing w:after="0"/>
              <w:rPr>
                <w:sz w:val="20"/>
                <w:szCs w:val="20"/>
                <w:color w:val="auto"/>
              </w:rPr>
            </w:pPr>
            <w:r>
              <w:rPr>
                <w:rFonts w:ascii="Arial" w:cs="Arial" w:eastAsia="Arial" w:hAnsi="Arial"/>
                <w:sz w:val="13"/>
                <w:szCs w:val="13"/>
                <w:color w:val="auto"/>
                <w:w w:val="94"/>
              </w:rPr>
              <w:t>6.1%</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Arial" w:cs="Arial" w:eastAsia="Arial" w:hAnsi="Arial"/>
                <w:sz w:val="14"/>
                <w:szCs w:val="14"/>
                <w:color w:val="auto"/>
              </w:rPr>
              <w:t>55 East 52nd Street</w:t>
            </w:r>
          </w:p>
        </w:tc>
        <w:tc>
          <w:tcPr>
            <w:tcW w:w="1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0"/>
              <w:spacing w:after="0"/>
              <w:rPr>
                <w:sz w:val="20"/>
                <w:szCs w:val="20"/>
                <w:color w:val="auto"/>
              </w:rPr>
            </w:pPr>
            <w:r>
              <w:rPr>
                <w:rFonts w:ascii="Arial" w:cs="Arial" w:eastAsia="Arial" w:hAnsi="Arial"/>
                <w:sz w:val="14"/>
                <w:szCs w:val="14"/>
                <w:color w:val="auto"/>
              </w:rPr>
              <w:t>New York, NY 10055</w:t>
            </w: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880" w:type="dxa"/>
            <w:vAlign w:val="bottom"/>
          </w:tcPr>
          <w:p>
            <w:pPr>
              <w:ind w:left="20"/>
              <w:spacing w:after="0"/>
              <w:rPr>
                <w:sz w:val="20"/>
                <w:szCs w:val="20"/>
                <w:color w:val="auto"/>
              </w:rPr>
            </w:pPr>
            <w:r>
              <w:rPr>
                <w:rFonts w:ascii="Arial" w:cs="Arial" w:eastAsia="Arial" w:hAnsi="Arial"/>
                <w:sz w:val="14"/>
                <w:szCs w:val="14"/>
                <w:color w:val="auto"/>
              </w:rPr>
              <w:t>The PNC Financial Services Group, Inc.</w:t>
            </w:r>
            <w:r>
              <w:rPr>
                <w:rFonts w:ascii="Arial" w:cs="Arial" w:eastAsia="Arial" w:hAnsi="Arial"/>
                <w:sz w:val="18"/>
                <w:szCs w:val="18"/>
                <w:color w:val="auto"/>
                <w:vertAlign w:val="superscript"/>
              </w:rPr>
              <w:t>4</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52,012,151</w:t>
            </w:r>
          </w:p>
        </w:tc>
        <w:tc>
          <w:tcPr>
            <w:tcW w:w="1920" w:type="dxa"/>
            <w:vAlign w:val="bottom"/>
          </w:tcPr>
          <w:p>
            <w:pPr>
              <w:jc w:val="center"/>
              <w:ind w:right="93"/>
              <w:spacing w:after="0"/>
              <w:rPr>
                <w:sz w:val="20"/>
                <w:szCs w:val="20"/>
                <w:color w:val="auto"/>
              </w:rPr>
            </w:pPr>
            <w:r>
              <w:rPr>
                <w:rFonts w:ascii="Arial" w:cs="Arial" w:eastAsia="Arial" w:hAnsi="Arial"/>
                <w:sz w:val="13"/>
                <w:szCs w:val="13"/>
                <w:color w:val="auto"/>
                <w:w w:val="94"/>
              </w:rPr>
              <w:t>5.4%</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Arial" w:cs="Arial" w:eastAsia="Arial" w:hAnsi="Arial"/>
                <w:sz w:val="14"/>
                <w:szCs w:val="14"/>
                <w:color w:val="auto"/>
              </w:rPr>
              <w:t>101 W Washington St.</w:t>
            </w:r>
          </w:p>
        </w:tc>
        <w:tc>
          <w:tcPr>
            <w:tcW w:w="1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0"/>
              <w:spacing w:after="0"/>
              <w:rPr>
                <w:sz w:val="20"/>
                <w:szCs w:val="20"/>
                <w:color w:val="auto"/>
              </w:rPr>
            </w:pPr>
            <w:r>
              <w:rPr>
                <w:rFonts w:ascii="Arial" w:cs="Arial" w:eastAsia="Arial" w:hAnsi="Arial"/>
                <w:sz w:val="14"/>
                <w:szCs w:val="14"/>
                <w:color w:val="auto"/>
              </w:rPr>
              <w:t>Indianapolis, IN 46255</w:t>
            </w: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*Percent of class is calculated based on the shares of our common stock outstanding as of February 12, 2021.</w:t>
      </w:r>
    </w:p>
    <w:p>
      <w:pPr>
        <w:spacing w:after="0" w:line="235" w:lineRule="exact"/>
        <w:rPr>
          <w:sz w:val="20"/>
          <w:szCs w:val="20"/>
          <w:color w:val="auto"/>
        </w:rPr>
      </w:pPr>
    </w:p>
    <w:p>
      <w:pPr>
        <w:ind w:left="80" w:right="20" w:hanging="72"/>
        <w:spacing w:after="0" w:line="214" w:lineRule="auto"/>
        <w:tabs>
          <w:tab w:leader="none" w:pos="87"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Based on information provided to Lilly by the Endowment as of January 12, 2021 and a Schedule 13G/A filed by the Endowment with the SEC on January 21, 2021, the Endowment has sole voting and sole dispositive power with respect to all of its shares. The board of directors of the Endowment is composed of N. Clay Robbins, chairman, president &amp; CEO; Mary K. Lisher; William G. Enright; Daniel P. Carmichael; Charles E. Golden; Eli Lilly II; David N. Shane;</w:t>
      </w:r>
    </w:p>
    <w:p>
      <w:pPr>
        <w:spacing w:after="0" w:line="93" w:lineRule="exact"/>
        <w:rPr>
          <w:sz w:val="20"/>
          <w:szCs w:val="20"/>
          <w:color w:val="auto"/>
        </w:rPr>
      </w:pPr>
    </w:p>
    <w:p>
      <w:pPr>
        <w:ind w:left="100" w:hanging="92"/>
        <w:spacing w:after="0"/>
        <w:tabs>
          <w:tab w:leader="none" w:pos="100"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Based solely on the Schedule 13G/A filed with the SEC on February 10, 2021 by The Vanguard Group, it beneficially owns 68,661,494 shares altogether. It</w:t>
      </w:r>
    </w:p>
    <w:p>
      <w:pPr>
        <w:ind w:left="80" w:right="640"/>
        <w:spacing w:after="0" w:line="227" w:lineRule="auto"/>
        <w:rPr>
          <w:sz w:val="20"/>
          <w:szCs w:val="20"/>
          <w:color w:val="auto"/>
        </w:rPr>
      </w:pPr>
      <w:r>
        <w:rPr>
          <w:rFonts w:ascii="Arial" w:cs="Arial" w:eastAsia="Arial" w:hAnsi="Arial"/>
          <w:sz w:val="16"/>
          <w:szCs w:val="16"/>
          <w:color w:val="auto"/>
        </w:rPr>
        <w:t>does not have sole voting power with respect to any of its shares and it has shared voting power with respect to 1,463,329 of its shares. It has sole dispositive power with respect to 64,975,145 of its shares and shared dispositive power with respect to 3,686,349 of its shares.</w:t>
      </w:r>
    </w:p>
    <w:p>
      <w:pPr>
        <w:spacing w:after="0" w:line="3" w:lineRule="exact"/>
        <w:rPr>
          <w:sz w:val="20"/>
          <w:szCs w:val="20"/>
          <w:color w:val="auto"/>
        </w:rPr>
      </w:pPr>
    </w:p>
    <w:p>
      <w:pPr>
        <w:ind w:left="80" w:right="140" w:hanging="72"/>
        <w:spacing w:after="0" w:line="204" w:lineRule="auto"/>
        <w:tabs>
          <w:tab w:leader="none" w:pos="87"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Based solely on the Schedule 13G/A filed with the SEC on January 29, 2021 by BlackRock, Inc., it has sole voting power with respect to 51,122,422 of its shares and sole dispositive power with respect to 58,811,768 shares.</w:t>
      </w:r>
    </w:p>
    <w:p>
      <w:pPr>
        <w:spacing w:after="0" w:line="3" w:lineRule="exact"/>
        <w:rPr>
          <w:sz w:val="20"/>
          <w:szCs w:val="20"/>
          <w:color w:val="auto"/>
        </w:rPr>
      </w:pPr>
    </w:p>
    <w:p>
      <w:pPr>
        <w:ind w:left="80" w:hanging="72"/>
        <w:spacing w:after="0" w:line="237" w:lineRule="auto"/>
        <w:tabs>
          <w:tab w:leader="none" w:pos="87" w:val="left"/>
        </w:tabs>
        <w:numPr>
          <w:ilvl w:val="0"/>
          <w:numId w:val="66"/>
        </w:numPr>
        <w:rPr>
          <w:rFonts w:ascii="Arial" w:cs="Arial" w:eastAsia="Arial" w:hAnsi="Arial"/>
          <w:sz w:val="21"/>
          <w:szCs w:val="21"/>
          <w:color w:val="auto"/>
          <w:vertAlign w:val="superscript"/>
        </w:rPr>
      </w:pPr>
      <w:r>
        <w:rPr>
          <w:rFonts w:ascii="Arial" w:cs="Arial" w:eastAsia="Arial" w:hAnsi="Arial"/>
          <w:sz w:val="16"/>
          <w:szCs w:val="16"/>
          <w:color w:val="auto"/>
        </w:rPr>
        <w:t>Based solely on the Schedule 13G/A filed with the SEC on February 12, 2021 by The PNC Financial Services Group, Inc.; PNC Bancorp, Inc.; PNC Bank, National Association (PNC Bank); PNC Capital Advisors, LLC; PNC Delaware Trust Company; and PNC Investments LLC (collectively, PNC), PNC beneficially owns 52,012,151 shares altogether. PNC has sole voting power with respect to 1,948,954 of its shares and shared voting power with respect to 50,001,182 of its shares. PNC has sole dispositive power with respect to 1,596,522 of its shares and shared dispositive power with respect to 50,374,248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Compensation</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2. Advisory Vote on Compensation Paid to Named Executive Officers</w:t>
      </w:r>
    </w:p>
    <w:p>
      <w:pPr>
        <w:spacing w:after="0" w:line="28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Section 14A of the Securities Exchange Act of 1934 provides the company's shareholders with the opportunity to approve, on an advisory basis, the compensation of the company's named executive officers as disclosed in the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21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request shareholder approval, on an advisory basis, of the compensation of the company’s named executive officers as disclosed in this proxy statement. As an advisory vote, this proposal is not binding on the company. However, the Compensation Committee values input from shareholders and will consider the outcome of the vote when making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P42</w:t>
      </w:r>
    </w:p>
    <w:p>
      <w:pPr>
        <w:sectPr>
          <w:pgSz w:w="11900" w:h="16838" w:orient="portrait"/>
          <w:cols w:equalWidth="0" w:num="1">
            <w:col w:w="11220"/>
          </w:cols>
          <w:pgMar w:left="320" w:top="1408" w:right="359" w:bottom="1440" w:gutter="0" w:footer="0" w:header="0"/>
        </w:sectPr>
      </w:pPr>
    </w:p>
    <w:bookmarkStart w:id="47" w:name="page48"/>
    <w:bookmarkEnd w:id="47"/>
    <w:p>
      <w:pPr>
        <w:spacing w:after="0" w:line="235" w:lineRule="auto"/>
        <w:rPr>
          <w:sz w:val="20"/>
          <w:szCs w:val="20"/>
          <w:color w:val="auto"/>
        </w:rPr>
      </w:pPr>
      <w:r>
        <w:rPr>
          <w:rFonts w:ascii="Arial" w:cs="Arial" w:eastAsia="Arial" w:hAnsi="Arial"/>
          <w:sz w:val="16"/>
          <w:szCs w:val="16"/>
          <w:color w:val="auto"/>
        </w:rPr>
        <w:t>executive compensation decisions. At our 2017 annual meeting of shareholders, our shareholders expressed a preference that advisory votes on executive compensation occur every year, as recommended by our board. Consistent with this preference, the board determined that the company would hold advisory votes on executive compensation on an annual basis until the next advisory vote on the frequency of advisory votes on executive compensation, which will occur no later than our 2023 annual meeting of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2</w:t>
      </w:r>
    </w:p>
    <w:p>
      <w:pPr>
        <w:spacing w:after="0" w:line="260"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b w:val="1"/>
          <w:bCs w:val="1"/>
          <w:color w:val="auto"/>
        </w:rPr>
        <w:t>The board recommends that you vote FOR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 Committee Matters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Role of the Independent Consultant in Assessing Executive Compensation</w:t>
      </w:r>
    </w:p>
    <w:p>
      <w:pPr>
        <w:spacing w:after="0" w:line="1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Compensation Committee has retained Frederic W. Cook &amp; Co., Inc. (FW Cook) as its independent compensation consultant. FW Cook reports directly to the Compensation Committee, and it is not permitted to have any business or personal relationship with management or members of the Compensation Committee. The consultant’s responsibilities are to:</w:t>
      </w:r>
    </w:p>
    <w:p>
      <w:pPr>
        <w:spacing w:after="0" w:line="1" w:lineRule="exact"/>
        <w:rPr>
          <w:sz w:val="20"/>
          <w:szCs w:val="20"/>
          <w:color w:val="auto"/>
        </w:rPr>
      </w:pPr>
    </w:p>
    <w:p>
      <w:pPr>
        <w:ind w:left="460" w:hanging="290"/>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 the company’s total compensation philosophy, peer group, and target competitive positioning for reasonableness and appropriateness</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 the company’s executive compensation program and advise the Compensation Committee of evolving best practices</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independent analyses and recommendations to the Compensation Committee on the CEO’s pay</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 the draft CD&amp;A and related tables for the proxy statement</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proactively advise the Compensation Committee on best practices for board governance of executive compensation</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undertake special projects at the request of the Compensation Committee chair.</w:t>
      </w:r>
    </w:p>
    <w:p>
      <w:pPr>
        <w:spacing w:after="0" w:line="2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FW Cook interacts directly with members of company management only on matters under the Compensation Committee’s oversight and with the knowledge and permission of the Compensation Committee chair.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Role of Executive Officers and Management in Assessing Executive Compensation</w:t>
      </w:r>
    </w:p>
    <w:p>
      <w:pPr>
        <w:spacing w:after="0" w:line="3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With the oversight of the CEO and the senior vice president of human resources and diversity, the company’s global compensation group formulates recommendations on compensation philosophy, plan design, and compensation for executive officers (other than the CEO, as noted below). The CEO provides the Compensation Committee with a performance assessment and compensation recommendation for each of the other executive officers. The Compensation Committee considers those recommendations with the assistance of its compensation consultant. The CEO and the senior vice president of human resources and diversity attend Compensation Committee meetings; they are not present for executive sessions or any discussion of their own compensation. Only non-employee directors and the Compensation Committee’s consultant attend executive sessions.</w:t>
      </w:r>
    </w:p>
    <w:p>
      <w:pPr>
        <w:spacing w:after="0" w:line="232"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CEO does not participate in the formulation or discussion of his pay recommendations. He has no prior knowledge of the recommendations that the consultant makes to the 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Risk Assessment Process</w:t>
      </w:r>
    </w:p>
    <w:p>
      <w:pPr>
        <w:spacing w:after="0" w:line="35"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As part of the company's overall enterprise risk management program, in 2020 (consistent with prior years), the Compensation Committee reviewed the company’s compensation policies and practices and concluded that the programs and practices are not reasonably likely to have a material adverse effect on the company. The Compensation Committee noted numerous policy and design features of the company’s compensation programs and governance structure that reduce the likelihood of inappropriate risk-taking, including, but not limited to:</w:t>
      </w:r>
    </w:p>
    <w:p>
      <w:pPr>
        <w:spacing w:after="0" w:line="2" w:lineRule="exact"/>
        <w:rPr>
          <w:sz w:val="20"/>
          <w:szCs w:val="20"/>
          <w:color w:val="auto"/>
        </w:rPr>
      </w:pPr>
    </w:p>
    <w:p>
      <w:pPr>
        <w:ind w:left="460" w:hanging="290"/>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Only independent directors serve on the Compensation Committee</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Compensation Committee engages its own independent compensation consultant</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Compensation Committee has downward discretion to lower compensation plan payouts</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Compensation Committee approves all adjustments to financial results that affect compensation calculations</w:t>
      </w:r>
    </w:p>
    <w:p>
      <w:pPr>
        <w:spacing w:after="0" w:line="5" w:lineRule="exact"/>
        <w:rPr>
          <w:rFonts w:ascii="Arial" w:cs="Arial" w:eastAsia="Arial" w:hAnsi="Arial"/>
          <w:sz w:val="16"/>
          <w:szCs w:val="16"/>
          <w:color w:val="auto"/>
        </w:rPr>
      </w:pPr>
    </w:p>
    <w:p>
      <w:pPr>
        <w:ind w:left="500" w:right="20" w:hanging="330"/>
        <w:spacing w:after="0" w:line="246" w:lineRule="auto"/>
        <w:tabs>
          <w:tab w:leader="none" w:pos="4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Different measures and metrics are used across multiple incentive plans that appropriately balance cash/stock, fixed/variable pay, and short-term/long-term incentives</w:t>
      </w:r>
    </w:p>
    <w:p>
      <w:pPr>
        <w:ind w:left="460" w:hanging="290"/>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Incentive plans have predetermined maximum payouts</w:t>
      </w:r>
    </w:p>
    <w:p>
      <w:pPr>
        <w:spacing w:after="0" w:line="5" w:lineRule="exact"/>
        <w:rPr>
          <w:rFonts w:ascii="Arial" w:cs="Arial" w:eastAsia="Arial" w:hAnsi="Arial"/>
          <w:sz w:val="16"/>
          <w:szCs w:val="16"/>
          <w:color w:val="auto"/>
        </w:rPr>
      </w:pPr>
    </w:p>
    <w:p>
      <w:pPr>
        <w:ind w:left="460" w:hanging="290"/>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Performance objectives are challenging but achievable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P43</w:t>
      </w:r>
    </w:p>
    <w:p>
      <w:pPr>
        <w:sectPr>
          <w:pgSz w:w="11900" w:h="16838" w:orient="portrait"/>
          <w:cols w:equalWidth="0" w:num="1">
            <w:col w:w="11240"/>
          </w:cols>
          <w:pgMar w:left="320" w:top="1424" w:right="339" w:bottom="1440" w:gutter="0" w:footer="0" w:header="0"/>
        </w:sectPr>
      </w:pPr>
    </w:p>
    <w:bookmarkStart w:id="48" w:name="page49"/>
    <w:bookmarkEnd w:id="48"/>
    <w:p>
      <w:pPr>
        <w:ind w:left="500" w:right="40" w:hanging="330"/>
        <w:spacing w:after="0" w:line="246" w:lineRule="auto"/>
        <w:tabs>
          <w:tab w:leader="none" w:pos="4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Programs with operational metrics have a continuum of payout multiples based upon achievement of performance milestones, rather than "cliffs" that might encourage suboptimal or improper behavior</w:t>
      </w:r>
    </w:p>
    <w:p>
      <w:pPr>
        <w:ind w:left="500" w:right="580" w:hanging="330"/>
        <w:spacing w:after="0" w:line="246" w:lineRule="auto"/>
        <w:tabs>
          <w:tab w:leader="none" w:pos="4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compensation recovery policy is in place for all members of senior management; negative compensation consequences can result in cases involving serious compliance violations</w:t>
      </w:r>
    </w:p>
    <w:p>
      <w:pPr>
        <w:ind w:left="460" w:hanging="290"/>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Meaningful share ownership and retention requirements are in place for all members of senior management and the board.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Compensation Committee has reviewed and discussed the CD&amp;A with management. Based on this discussion, the Compensation Committee recommended to the board that the CD&amp;A be included in this proxy statement and the company's Annual Report on Form 10-K for the fiscal year ended December 31, 2020, for filing with the SEC.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Ralph Alvarez,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 Erik Fyrwald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Juan R. Luciano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Kathi P. Seifert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Karen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P44</w:t>
      </w:r>
    </w:p>
    <w:p>
      <w:pPr>
        <w:sectPr>
          <w:pgSz w:w="11900" w:h="16838" w:orient="portrait"/>
          <w:cols w:equalWidth="0" w:num="1">
            <w:col w:w="11140"/>
          </w:cols>
          <w:pgMar w:left="320" w:top="1437" w:right="439" w:bottom="1440" w:gutter="0" w:footer="0" w:header="0"/>
        </w:sectPr>
      </w:pPr>
    </w:p>
    <w:bookmarkStart w:id="49" w:name="page50"/>
    <w:bookmarkEnd w:id="49"/>
    <w:p>
      <w:pPr>
        <w:spacing w:after="0"/>
        <w:rPr>
          <w:sz w:val="20"/>
          <w:szCs w:val="20"/>
          <w:color w:val="auto"/>
        </w:rPr>
      </w:pPr>
      <w:r>
        <w:rPr>
          <w:rFonts w:ascii="Arial" w:cs="Arial" w:eastAsia="Arial" w:hAnsi="Arial"/>
          <w:sz w:val="27"/>
          <w:szCs w:val="27"/>
          <w:b w:val="1"/>
          <w:bCs w:val="1"/>
          <w:color w:val="EF3729"/>
        </w:rPr>
        <w:t>Compensation Discussion and Analysis</w:t>
      </w:r>
    </w:p>
    <w:p>
      <w:pPr>
        <w:spacing w:after="0" w:line="3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CD&amp;A describes our executive compensation philosophy, the Compensation Committee’s process for setting executive compensation, the elements of our compensation program, the factors the Compensation Committee considered when setting executive compensation for 2020, and how the company’s results affected incentive payouts. This CD&amp;A provides compensation information for our CEO, David Ricks, our former chief financial officer, Joshua Smiley, who resigned from his officer position on February 9, 2021, and the three other most highly compensated executive officers who were serving as executive officers on December 31, 2020, Daniel Skovronsky, Anat Hakim, and Alfonso Zulueta.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65455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54550" cy="1460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Name, age* and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48895</wp:posOffset>
            </wp:positionV>
            <wp:extent cx="702945" cy="702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76"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David A. Ricks, 53</w:t>
      </w:r>
    </w:p>
    <w:p>
      <w:pPr>
        <w:spacing w:after="0" w:line="299"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4654550" cy="831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5455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Joshua L. Smiley, 51</w:t>
      </w:r>
    </w:p>
    <w:p>
      <w:pPr>
        <w:spacing w:after="0" w:line="285"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Former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Daniel Skovronsky, M.D., Ph.D.,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-71755</wp:posOffset>
            </wp:positionV>
            <wp:extent cx="711200" cy="7118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200" cy="711835"/>
                    </a:xfrm>
                    <a:prstGeom prst="rect">
                      <a:avLst/>
                    </a:prstGeom>
                    <a:noFill/>
                  </pic:spPr>
                </pic:pic>
              </a:graphicData>
            </a:graphic>
          </wp:anchor>
        </w:drawing>
      </w:r>
    </w:p>
    <w:p>
      <w:pPr>
        <w:spacing w:after="0" w:line="238"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Senior Vice President, Chief Scientific Officer, and President, Lilly Research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4654550" cy="917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5455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Anat Hakim, 52</w:t>
      </w:r>
    </w:p>
    <w:p>
      <w:pPr>
        <w:spacing w:after="0" w:line="272"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Alfonso G. Zulueta,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-71755</wp:posOffset>
            </wp:positionV>
            <wp:extent cx="711200" cy="711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200" cy="711200"/>
                    </a:xfrm>
                    <a:prstGeom prst="rect">
                      <a:avLst/>
                    </a:prstGeom>
                    <a:noFill/>
                  </pic:spPr>
                </pic:pic>
              </a:graphicData>
            </a:graphic>
          </wp:anchor>
        </w:drawing>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Senior Vice President and President, Lilly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*Age is as of the date of this proxy statement.</w:t>
      </w:r>
    </w:p>
    <w:p>
      <w:pPr>
        <w:spacing w:after="0" w:line="34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Our Philosophy on Compensation</w:t>
      </w:r>
    </w:p>
    <w:p>
      <w:pPr>
        <w:spacing w:after="0" w:line="3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At Lilly, our purpose is to unite caring with discovery to create medicines that make life better for people around the world. To do this, we must attract, engage, and retain highly talented individuals from a variety of backgrounds and motivate them to create long-term shareholder value by achieving top-tier corporate performance while embracing the company's core values of integrity, excellence, and respect for people. Our compensation programs are designed to help us achieve these goals while balancing the long-term interests of our shareholders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P45</w:t>
      </w:r>
    </w:p>
    <w:p>
      <w:pPr>
        <w:sectPr>
          <w:pgSz w:w="11900" w:h="16838" w:orient="portrait"/>
          <w:cols w:equalWidth="0" w:num="1">
            <w:col w:w="11220"/>
          </w:cols>
          <w:pgMar w:left="320" w:top="1414" w:right="35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Objectives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and benefits programs are based on the following objectives:</w:t>
      </w:r>
    </w:p>
    <w:p>
      <w:pPr>
        <w:spacing w:after="0" w:line="2" w:lineRule="exact"/>
        <w:rPr>
          <w:sz w:val="20"/>
          <w:szCs w:val="20"/>
          <w:color w:val="auto"/>
        </w:rPr>
      </w:pPr>
    </w:p>
    <w:p>
      <w:pPr>
        <w:ind w:left="660" w:right="440" w:hanging="328"/>
        <w:spacing w:after="0" w:line="248" w:lineRule="auto"/>
        <w:tabs>
          <w:tab w:leader="none" w:pos="628" w:val="left"/>
        </w:tabs>
        <w:numPr>
          <w:ilvl w:val="0"/>
          <w:numId w:val="7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Reflect individual and company performance: </w:t>
      </w:r>
      <w:r>
        <w:rPr>
          <w:rFonts w:ascii="Arial" w:cs="Arial" w:eastAsia="Arial" w:hAnsi="Arial"/>
          <w:sz w:val="16"/>
          <w:szCs w:val="16"/>
          <w:color w:val="000000"/>
        </w:rPr>
        <w:t>We reinforce a high-performance culture by linking pay with individual and company</w:t>
      </w:r>
      <w:r>
        <w:rPr>
          <w:rFonts w:ascii="Arial" w:cs="Arial" w:eastAsia="Arial" w:hAnsi="Arial"/>
          <w:sz w:val="17"/>
          <w:szCs w:val="17"/>
          <w:b w:val="1"/>
          <w:bCs w:val="1"/>
          <w:color w:val="00ABE8"/>
        </w:rPr>
        <w:t xml:space="preserve"> </w:t>
      </w:r>
      <w:r>
        <w:rPr>
          <w:rFonts w:ascii="Arial" w:cs="Arial" w:eastAsia="Arial" w:hAnsi="Arial"/>
          <w:sz w:val="16"/>
          <w:szCs w:val="16"/>
          <w:color w:val="000000"/>
        </w:rPr>
        <w:t>performance. As employees assume greater responsibilities, the proportion of total compensation based on absolute company performance, relative company performance and shareholder returns increases. We perform annual reviews to ensure our programs provide an incentive to deliver long-term, sustainable business results while discouraging excessive risk-taking or other adverse behaviors.</w:t>
      </w:r>
    </w:p>
    <w:p>
      <w:pPr>
        <w:spacing w:after="0" w:line="218" w:lineRule="exact"/>
        <w:rPr>
          <w:rFonts w:ascii="Arial" w:cs="Arial" w:eastAsia="Arial" w:hAnsi="Arial"/>
          <w:sz w:val="18"/>
          <w:szCs w:val="18"/>
          <w:b w:val="1"/>
          <w:bCs w:val="1"/>
          <w:color w:val="00ABE8"/>
        </w:rPr>
      </w:pPr>
    </w:p>
    <w:p>
      <w:pPr>
        <w:ind w:left="660" w:right="40" w:hanging="328"/>
        <w:spacing w:after="0" w:line="267" w:lineRule="auto"/>
        <w:tabs>
          <w:tab w:leader="none" w:pos="628" w:val="left"/>
        </w:tabs>
        <w:numPr>
          <w:ilvl w:val="0"/>
          <w:numId w:val="70"/>
        </w:numPr>
        <w:rPr>
          <w:rFonts w:ascii="Arial" w:cs="Arial" w:eastAsia="Arial" w:hAnsi="Arial"/>
          <w:sz w:val="18"/>
          <w:szCs w:val="18"/>
          <w:b w:val="1"/>
          <w:bCs w:val="1"/>
          <w:i w:val="1"/>
          <w:iCs w:val="1"/>
          <w:color w:val="00ABE8"/>
        </w:rPr>
      </w:pPr>
      <w:r>
        <w:rPr>
          <w:rFonts w:ascii="Arial" w:cs="Arial" w:eastAsia="Arial" w:hAnsi="Arial"/>
          <w:sz w:val="17"/>
          <w:szCs w:val="17"/>
          <w:b w:val="1"/>
          <w:bCs w:val="1"/>
          <w:color w:val="00ABE8"/>
        </w:rPr>
        <w:t xml:space="preserve">Attract and retain talented employees: </w:t>
      </w:r>
      <w:r>
        <w:rPr>
          <w:rFonts w:ascii="Arial" w:cs="Arial" w:eastAsia="Arial" w:hAnsi="Arial"/>
          <w:sz w:val="16"/>
          <w:szCs w:val="16"/>
          <w:color w:val="000000"/>
        </w:rPr>
        <w:t>Compensation opportunity is market competitive and reflects the level of job impact and responsibilities.</w:t>
      </w:r>
      <w:r>
        <w:rPr>
          <w:rFonts w:ascii="Arial" w:cs="Arial" w:eastAsia="Arial" w:hAnsi="Arial"/>
          <w:sz w:val="17"/>
          <w:szCs w:val="17"/>
          <w:b w:val="1"/>
          <w:bCs w:val="1"/>
          <w:color w:val="00ABE8"/>
        </w:rPr>
        <w:t xml:space="preserve"> </w:t>
      </w:r>
      <w:r>
        <w:rPr>
          <w:rFonts w:ascii="Arial" w:cs="Arial" w:eastAsia="Arial" w:hAnsi="Arial"/>
          <w:sz w:val="16"/>
          <w:szCs w:val="16"/>
          <w:color w:val="000000"/>
        </w:rPr>
        <w:t>Retention of talent is an important factor in the design of our compensation and benefit programs.</w:t>
      </w:r>
    </w:p>
    <w:p>
      <w:pPr>
        <w:spacing w:after="0" w:line="200" w:lineRule="exact"/>
        <w:rPr>
          <w:rFonts w:ascii="Arial" w:cs="Arial" w:eastAsia="Arial" w:hAnsi="Arial"/>
          <w:sz w:val="18"/>
          <w:szCs w:val="18"/>
          <w:b w:val="1"/>
          <w:bCs w:val="1"/>
          <w:i w:val="1"/>
          <w:iCs w:val="1"/>
          <w:color w:val="00ABE8"/>
        </w:rPr>
      </w:pPr>
    </w:p>
    <w:p>
      <w:pPr>
        <w:ind w:left="660" w:right="80" w:hanging="328"/>
        <w:spacing w:after="0" w:line="267" w:lineRule="auto"/>
        <w:tabs>
          <w:tab w:leader="none" w:pos="628" w:val="left"/>
        </w:tabs>
        <w:numPr>
          <w:ilvl w:val="0"/>
          <w:numId w:val="7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Implement broad-based programs: </w:t>
      </w:r>
      <w:r>
        <w:rPr>
          <w:rFonts w:ascii="Arial" w:cs="Arial" w:eastAsia="Arial" w:hAnsi="Arial"/>
          <w:sz w:val="16"/>
          <w:szCs w:val="16"/>
          <w:color w:val="000000"/>
        </w:rPr>
        <w:t>While the amount of compensation paid to employees varies, the overall structure of our compensation and</w:t>
      </w:r>
      <w:r>
        <w:rPr>
          <w:rFonts w:ascii="Arial" w:cs="Arial" w:eastAsia="Arial" w:hAnsi="Arial"/>
          <w:sz w:val="17"/>
          <w:szCs w:val="17"/>
          <w:b w:val="1"/>
          <w:bCs w:val="1"/>
          <w:color w:val="00ABE8"/>
        </w:rPr>
        <w:t xml:space="preserve"> </w:t>
      </w:r>
      <w:r>
        <w:rPr>
          <w:rFonts w:ascii="Arial" w:cs="Arial" w:eastAsia="Arial" w:hAnsi="Arial"/>
          <w:sz w:val="16"/>
          <w:szCs w:val="16"/>
          <w:color w:val="000000"/>
        </w:rPr>
        <w:t>benefit programs is broadly similar across the organization to encourage and reward all employees who contribute to our success.</w:t>
      </w:r>
    </w:p>
    <w:p>
      <w:pPr>
        <w:spacing w:after="0" w:line="200" w:lineRule="exact"/>
        <w:rPr>
          <w:rFonts w:ascii="Arial" w:cs="Arial" w:eastAsia="Arial" w:hAnsi="Arial"/>
          <w:sz w:val="18"/>
          <w:szCs w:val="18"/>
          <w:b w:val="1"/>
          <w:bCs w:val="1"/>
          <w:color w:val="00ABE8"/>
        </w:rPr>
      </w:pPr>
    </w:p>
    <w:p>
      <w:pPr>
        <w:ind w:left="660" w:right="460" w:hanging="328"/>
        <w:spacing w:after="0" w:line="267" w:lineRule="auto"/>
        <w:tabs>
          <w:tab w:leader="none" w:pos="628" w:val="left"/>
        </w:tabs>
        <w:numPr>
          <w:ilvl w:val="0"/>
          <w:numId w:val="7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Consider shareholder input: </w:t>
      </w:r>
      <w:r>
        <w:rPr>
          <w:rFonts w:ascii="Arial" w:cs="Arial" w:eastAsia="Arial" w:hAnsi="Arial"/>
          <w:sz w:val="16"/>
          <w:szCs w:val="16"/>
          <w:color w:val="000000"/>
        </w:rPr>
        <w:t>Management and the Compensation Committee consider the results of our annual say-on-pay vote and other</w:t>
      </w:r>
      <w:r>
        <w:rPr>
          <w:rFonts w:ascii="Arial" w:cs="Arial" w:eastAsia="Arial" w:hAnsi="Arial"/>
          <w:sz w:val="17"/>
          <w:szCs w:val="17"/>
          <w:b w:val="1"/>
          <w:bCs w:val="1"/>
          <w:color w:val="00ABE8"/>
        </w:rPr>
        <w:t xml:space="preserve"> </w:t>
      </w:r>
      <w:r>
        <w:rPr>
          <w:rFonts w:ascii="Arial" w:cs="Arial" w:eastAsia="Arial" w:hAnsi="Arial"/>
          <w:sz w:val="16"/>
          <w:szCs w:val="16"/>
          <w:color w:val="000000"/>
        </w:rPr>
        <w:t>sources of shareholder feedback when designing executive compensation and benefit programs.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Say-on-Pay Results for 2020</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At our 2020 annual meeting of shareholders, approximately 97 percent of the shares cast voted in favor of the company's say-on-pay proposal on executive compensation. Management and the Compensation Committee view this vote as supportive of the company's overall approach toward executive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Compensation Committee's Processes and Analyses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Setting Compensation</w:t>
      </w:r>
    </w:p>
    <w:p>
      <w:pPr>
        <w:spacing w:after="0" w:line="5"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color w:val="auto"/>
        </w:rPr>
        <w:t>The Compensation Committee considers individual performance assessments, compensation recommendations from the CEO (with respect to each of the other executive officers), company performance, peer group data, input from its compensation consultant, and its own judgment when determining compensation for the company's executive officers.</w:t>
      </w:r>
    </w:p>
    <w:p>
      <w:pPr>
        <w:spacing w:after="0" w:line="1" w:lineRule="exact"/>
        <w:rPr>
          <w:sz w:val="20"/>
          <w:szCs w:val="20"/>
          <w:color w:val="auto"/>
        </w:rPr>
      </w:pPr>
    </w:p>
    <w:p>
      <w:pPr>
        <w:ind w:left="660" w:right="120" w:hanging="328"/>
        <w:spacing w:after="0" w:line="248" w:lineRule="auto"/>
        <w:tabs>
          <w:tab w:leader="none" w:pos="628" w:val="left"/>
        </w:tabs>
        <w:numPr>
          <w:ilvl w:val="0"/>
          <w:numId w:val="71"/>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Individual performance: </w:t>
      </w:r>
      <w:r>
        <w:rPr>
          <w:rFonts w:ascii="Arial" w:cs="Arial" w:eastAsia="Arial" w:hAnsi="Arial"/>
          <w:sz w:val="16"/>
          <w:szCs w:val="16"/>
          <w:color w:val="000000"/>
        </w:rPr>
        <w:t>Generally, the independent directors, under the direction of the lead independent director, meet with the CEO at the</w:t>
      </w:r>
      <w:r>
        <w:rPr>
          <w:rFonts w:ascii="Arial" w:cs="Arial" w:eastAsia="Arial" w:hAnsi="Arial"/>
          <w:sz w:val="17"/>
          <w:szCs w:val="17"/>
          <w:b w:val="1"/>
          <w:bCs w:val="1"/>
          <w:color w:val="00ABE8"/>
        </w:rPr>
        <w:t xml:space="preserve"> </w:t>
      </w:r>
      <w:r>
        <w:rPr>
          <w:rFonts w:ascii="Arial" w:cs="Arial" w:eastAsia="Arial" w:hAnsi="Arial"/>
          <w:sz w:val="16"/>
          <w:szCs w:val="16"/>
          <w:color w:val="000000"/>
        </w:rPr>
        <w:t>beginning of each year to establish the CEO's performance objectives. At the end of the year, the independent directors meet to assess the CEO's achievement of those objectives along with other factors, including contribution to the company’s performance, diversity, ethics, and integrity. This evaluation is used in setting the CEO's compensation opportunity for the next year.</w:t>
      </w:r>
    </w:p>
    <w:p>
      <w:pPr>
        <w:spacing w:after="0" w:line="233"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The Compensation Committee receives individual performance assessments and target compensation recommendations from the CEO for each of the remaining executive officers. Each executive officer’s performance assessment is based on the achievement of objectives established at the start of the year, as well as other factors, including contribution to the company's performance, diversity, ethics, and integrity. The Compensation Committee considers these inputs, its knowledge of and interactions with each executive officer, and its judgment to develop a final individual performance assessment. For new executive officers, target compensation is set by the Compensation Committee at the time of promotion or offer.</w:t>
      </w:r>
    </w:p>
    <w:p>
      <w:pPr>
        <w:spacing w:after="0" w:line="215" w:lineRule="exact"/>
        <w:rPr>
          <w:sz w:val="20"/>
          <w:szCs w:val="20"/>
          <w:color w:val="auto"/>
        </w:rPr>
      </w:pPr>
    </w:p>
    <w:p>
      <w:pPr>
        <w:ind w:left="620" w:hanging="288"/>
        <w:spacing w:after="0"/>
        <w:tabs>
          <w:tab w:leader="none" w:pos="620" w:val="left"/>
        </w:tabs>
        <w:numPr>
          <w:ilvl w:val="0"/>
          <w:numId w:val="72"/>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Company performance: </w:t>
      </w:r>
      <w:r>
        <w:rPr>
          <w:rFonts w:ascii="Arial" w:cs="Arial" w:eastAsia="Arial" w:hAnsi="Arial"/>
          <w:sz w:val="16"/>
          <w:szCs w:val="16"/>
          <w:color w:val="000000"/>
        </w:rPr>
        <w:t>Lilly performance is considered in multiple ways:</w:t>
      </w:r>
    </w:p>
    <w:p>
      <w:pPr>
        <w:spacing w:after="0" w:line="77" w:lineRule="exact"/>
        <w:rPr>
          <w:rFonts w:ascii="Arial" w:cs="Arial" w:eastAsia="Arial" w:hAnsi="Arial"/>
          <w:sz w:val="18"/>
          <w:szCs w:val="18"/>
          <w:b w:val="1"/>
          <w:bCs w:val="1"/>
          <w:color w:val="00ABE8"/>
        </w:rPr>
      </w:pPr>
    </w:p>
    <w:p>
      <w:pPr>
        <w:ind w:left="940" w:hanging="284"/>
        <w:spacing w:after="0"/>
        <w:tabs>
          <w:tab w:leader="none" w:pos="9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Overall performance for the prior year based on a variety of metrics is a factor in establishing target compensation for the coming year.</w:t>
      </w:r>
    </w:p>
    <w:p>
      <w:pPr>
        <w:spacing w:after="0" w:line="5" w:lineRule="exact"/>
        <w:rPr>
          <w:rFonts w:ascii="Arial" w:cs="Arial" w:eastAsia="Arial" w:hAnsi="Arial"/>
          <w:sz w:val="16"/>
          <w:szCs w:val="16"/>
          <w:color w:val="auto"/>
        </w:rPr>
      </w:pPr>
    </w:p>
    <w:p>
      <w:pPr>
        <w:ind w:left="980" w:right="80" w:hanging="324"/>
        <w:spacing w:after="0" w:line="246" w:lineRule="auto"/>
        <w:tabs>
          <w:tab w:leader="none" w:pos="94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At the beginning of each calendar year, annual performance goals are established and approved by the committee. Performance against these annual goals is used to determine the short-term cash incentive payout.</w:t>
      </w:r>
    </w:p>
    <w:p>
      <w:pPr>
        <w:ind w:left="980" w:right="140" w:hanging="324"/>
        <w:spacing w:after="0" w:line="260" w:lineRule="auto"/>
        <w:tabs>
          <w:tab w:leader="none" w:pos="942"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Prior to the annual grant, multi-year performance goals are established and approved by the committee. Performance against these multi-year objectives is used to determine the long-term incentive equity payout.</w:t>
      </w:r>
    </w:p>
    <w:p>
      <w:pPr>
        <w:spacing w:after="0" w:line="207" w:lineRule="exact"/>
        <w:rPr>
          <w:rFonts w:ascii="Arial" w:cs="Arial" w:eastAsia="Arial" w:hAnsi="Arial"/>
          <w:sz w:val="16"/>
          <w:szCs w:val="16"/>
          <w:color w:val="auto"/>
        </w:rPr>
      </w:pPr>
    </w:p>
    <w:p>
      <w:pPr>
        <w:ind w:left="660" w:hanging="328"/>
        <w:spacing w:after="0" w:line="264" w:lineRule="auto"/>
        <w:tabs>
          <w:tab w:leader="none" w:pos="628" w:val="left"/>
        </w:tabs>
        <w:numPr>
          <w:ilvl w:val="0"/>
          <w:numId w:val="72"/>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Peer group analysis: </w:t>
      </w:r>
      <w:r>
        <w:rPr>
          <w:rFonts w:ascii="Arial" w:cs="Arial" w:eastAsia="Arial" w:hAnsi="Arial"/>
          <w:sz w:val="16"/>
          <w:szCs w:val="16"/>
          <w:color w:val="000000"/>
        </w:rPr>
        <w:t>The Compensation Committee uses data from the peer group described below as a market check for compensation</w:t>
      </w:r>
      <w:r>
        <w:rPr>
          <w:rFonts w:ascii="Arial" w:cs="Arial" w:eastAsia="Arial" w:hAnsi="Arial"/>
          <w:sz w:val="17"/>
          <w:szCs w:val="17"/>
          <w:b w:val="1"/>
          <w:bCs w:val="1"/>
          <w:color w:val="00ABE8"/>
        </w:rPr>
        <w:t xml:space="preserve"> </w:t>
      </w:r>
      <w:r>
        <w:rPr>
          <w:rFonts w:ascii="Arial" w:cs="Arial" w:eastAsia="Arial" w:hAnsi="Arial"/>
          <w:sz w:val="16"/>
          <w:szCs w:val="16"/>
          <w:color w:val="000000"/>
        </w:rPr>
        <w:t>decisions but does not use this data as the sole basis for its compensation targets and does not target a specific position within that range of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P46</w:t>
      </w:r>
    </w:p>
    <w:p>
      <w:pPr>
        <w:sectPr>
          <w:pgSz w:w="11900" w:h="16838" w:orient="portrait"/>
          <w:cols w:equalWidth="0" w:num="1">
            <w:col w:w="11240"/>
          </w:cols>
          <w:pgMar w:left="320" w:top="1408" w:right="339" w:bottom="1440" w:gutter="0" w:footer="0" w:header="0"/>
        </w:sectPr>
      </w:pPr>
    </w:p>
    <w:bookmarkStart w:id="51" w:name="page52"/>
    <w:bookmarkEnd w:id="51"/>
    <w:p>
      <w:pPr>
        <w:ind w:left="660" w:right="240" w:hanging="328"/>
        <w:spacing w:after="0" w:line="267" w:lineRule="auto"/>
        <w:tabs>
          <w:tab w:leader="none" w:pos="628" w:val="left"/>
        </w:tabs>
        <w:numPr>
          <w:ilvl w:val="0"/>
          <w:numId w:val="73"/>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Input from independent compensation consultant concerning executive pay: </w:t>
      </w:r>
      <w:r>
        <w:rPr>
          <w:rFonts w:ascii="Arial" w:cs="Arial" w:eastAsia="Arial" w:hAnsi="Arial"/>
          <w:sz w:val="16"/>
          <w:szCs w:val="16"/>
          <w:color w:val="000000"/>
        </w:rPr>
        <w:t>The Compensation Committee considers the advice of its</w:t>
      </w:r>
      <w:r>
        <w:rPr>
          <w:rFonts w:ascii="Arial" w:cs="Arial" w:eastAsia="Arial" w:hAnsi="Arial"/>
          <w:sz w:val="17"/>
          <w:szCs w:val="17"/>
          <w:b w:val="1"/>
          <w:bCs w:val="1"/>
          <w:color w:val="00ABE8"/>
        </w:rPr>
        <w:t xml:space="preserve"> </w:t>
      </w:r>
      <w:r>
        <w:rPr>
          <w:rFonts w:ascii="Arial" w:cs="Arial" w:eastAsia="Arial" w:hAnsi="Arial"/>
          <w:sz w:val="16"/>
          <w:szCs w:val="16"/>
          <w:color w:val="000000"/>
        </w:rPr>
        <w:t>independent compensation consultant, FW Cook, when setting executive officer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Pay Assessment</w:t>
      </w:r>
    </w:p>
    <w:p>
      <w:pPr>
        <w:spacing w:after="0" w:line="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Lilly’s peer group is composed of companies that directly compete with Lilly, use a similar business model, and employ people with the unique skills required to operate an established biopharmaceutical company. The Compensation Committee selects a peer group whose median market cap and revenue are broadly similar to Lilly's. The Compensation Committee reviews the peer group at least every three years. The Compensation Committee established the following peer group in May 2018 for purposes of assessing competitive pay:</w:t>
      </w:r>
    </w:p>
    <w:p>
      <w:pPr>
        <w:spacing w:after="0" w:line="200" w:lineRule="exact"/>
        <w:rPr>
          <w:sz w:val="20"/>
          <w:szCs w:val="20"/>
          <w:color w:val="auto"/>
        </w:rPr>
      </w:pPr>
    </w:p>
    <w:p>
      <w:pPr>
        <w:spacing w:after="0" w:line="235" w:lineRule="exact"/>
        <w:rPr>
          <w:sz w:val="20"/>
          <w:szCs w:val="20"/>
          <w:color w:val="auto"/>
        </w:rPr>
      </w:pPr>
    </w:p>
    <w:tbl>
      <w:tblPr>
        <w:tblLayout w:type="fixed"/>
        <w:tblInd w:w="1940" w:type="dxa"/>
        <w:tblCellMar>
          <w:top w:w="0" w:type="dxa"/>
          <w:left w:w="0" w:type="dxa"/>
          <w:bottom w:w="0" w:type="dxa"/>
          <w:right w:w="0" w:type="dxa"/>
        </w:tblCellMar>
      </w:tblPr>
      <w:tr>
        <w:trPr>
          <w:trHeight w:val="172"/>
        </w:trPr>
        <w:tc>
          <w:tcPr>
            <w:tcW w:w="1900" w:type="dxa"/>
            <w:vAlign w:val="bottom"/>
          </w:tcPr>
          <w:p>
            <w:pPr>
              <w:spacing w:after="0"/>
              <w:rPr>
                <w:sz w:val="20"/>
                <w:szCs w:val="20"/>
                <w:color w:val="auto"/>
              </w:rPr>
            </w:pPr>
            <w:r>
              <w:rPr>
                <w:rFonts w:ascii="Arial" w:cs="Arial" w:eastAsia="Arial" w:hAnsi="Arial"/>
                <w:sz w:val="14"/>
                <w:szCs w:val="14"/>
                <w:color w:val="auto"/>
              </w:rPr>
              <w:t>AbbVie</w:t>
            </w:r>
          </w:p>
        </w:tc>
        <w:tc>
          <w:tcPr>
            <w:tcW w:w="2500" w:type="dxa"/>
            <w:vAlign w:val="bottom"/>
          </w:tcPr>
          <w:p>
            <w:pPr>
              <w:ind w:left="560"/>
              <w:spacing w:after="0"/>
              <w:rPr>
                <w:sz w:val="20"/>
                <w:szCs w:val="20"/>
                <w:color w:val="auto"/>
              </w:rPr>
            </w:pPr>
            <w:r>
              <w:rPr>
                <w:rFonts w:ascii="Arial" w:cs="Arial" w:eastAsia="Arial" w:hAnsi="Arial"/>
                <w:sz w:val="14"/>
                <w:szCs w:val="14"/>
                <w:color w:val="auto"/>
              </w:rPr>
              <w:t>Celgene*</w:t>
            </w:r>
          </w:p>
        </w:tc>
        <w:tc>
          <w:tcPr>
            <w:tcW w:w="1540" w:type="dxa"/>
            <w:vAlign w:val="bottom"/>
          </w:tcPr>
          <w:p>
            <w:pPr>
              <w:ind w:left="680"/>
              <w:spacing w:after="0"/>
              <w:rPr>
                <w:sz w:val="20"/>
                <w:szCs w:val="20"/>
                <w:color w:val="auto"/>
              </w:rPr>
            </w:pPr>
            <w:r>
              <w:rPr>
                <w:rFonts w:ascii="Arial" w:cs="Arial" w:eastAsia="Arial" w:hAnsi="Arial"/>
                <w:sz w:val="14"/>
                <w:szCs w:val="14"/>
                <w:color w:val="auto"/>
                <w:w w:val="99"/>
              </w:rPr>
              <w:t>Novo Nordisk</w:t>
            </w:r>
          </w:p>
        </w:tc>
      </w:tr>
      <w:tr>
        <w:trPr>
          <w:trHeight w:val="257"/>
        </w:trPr>
        <w:tc>
          <w:tcPr>
            <w:tcW w:w="1900" w:type="dxa"/>
            <w:vAlign w:val="bottom"/>
          </w:tcPr>
          <w:p>
            <w:pPr>
              <w:spacing w:after="0"/>
              <w:rPr>
                <w:sz w:val="20"/>
                <w:szCs w:val="20"/>
                <w:color w:val="auto"/>
              </w:rPr>
            </w:pPr>
            <w:r>
              <w:rPr>
                <w:rFonts w:ascii="Arial" w:cs="Arial" w:eastAsia="Arial" w:hAnsi="Arial"/>
                <w:sz w:val="14"/>
                <w:szCs w:val="14"/>
                <w:color w:val="auto"/>
              </w:rPr>
              <w:t>Allergan</w:t>
            </w:r>
          </w:p>
        </w:tc>
        <w:tc>
          <w:tcPr>
            <w:tcW w:w="2500" w:type="dxa"/>
            <w:vAlign w:val="bottom"/>
          </w:tcPr>
          <w:p>
            <w:pPr>
              <w:ind w:left="560"/>
              <w:spacing w:after="0"/>
              <w:rPr>
                <w:sz w:val="20"/>
                <w:szCs w:val="20"/>
                <w:color w:val="auto"/>
              </w:rPr>
            </w:pPr>
            <w:r>
              <w:rPr>
                <w:rFonts w:ascii="Arial" w:cs="Arial" w:eastAsia="Arial" w:hAnsi="Arial"/>
                <w:sz w:val="14"/>
                <w:szCs w:val="14"/>
                <w:color w:val="auto"/>
              </w:rPr>
              <w:t>Gilead</w:t>
            </w:r>
          </w:p>
        </w:tc>
        <w:tc>
          <w:tcPr>
            <w:tcW w:w="1540" w:type="dxa"/>
            <w:vAlign w:val="bottom"/>
          </w:tcPr>
          <w:p>
            <w:pPr>
              <w:ind w:left="680"/>
              <w:spacing w:after="0"/>
              <w:rPr>
                <w:sz w:val="20"/>
                <w:szCs w:val="20"/>
                <w:color w:val="auto"/>
              </w:rPr>
            </w:pPr>
            <w:r>
              <w:rPr>
                <w:rFonts w:ascii="Arial" w:cs="Arial" w:eastAsia="Arial" w:hAnsi="Arial"/>
                <w:sz w:val="14"/>
                <w:szCs w:val="14"/>
                <w:color w:val="auto"/>
              </w:rPr>
              <w:t>Pfizer</w:t>
            </w:r>
          </w:p>
        </w:tc>
      </w:tr>
      <w:tr>
        <w:trPr>
          <w:trHeight w:val="257"/>
        </w:trPr>
        <w:tc>
          <w:tcPr>
            <w:tcW w:w="1900" w:type="dxa"/>
            <w:vAlign w:val="bottom"/>
          </w:tcPr>
          <w:p>
            <w:pPr>
              <w:spacing w:after="0"/>
              <w:rPr>
                <w:sz w:val="20"/>
                <w:szCs w:val="20"/>
                <w:color w:val="auto"/>
              </w:rPr>
            </w:pPr>
            <w:r>
              <w:rPr>
                <w:rFonts w:ascii="Arial" w:cs="Arial" w:eastAsia="Arial" w:hAnsi="Arial"/>
                <w:sz w:val="14"/>
                <w:szCs w:val="14"/>
                <w:color w:val="auto"/>
              </w:rPr>
              <w:t>Amgen</w:t>
            </w:r>
          </w:p>
        </w:tc>
        <w:tc>
          <w:tcPr>
            <w:tcW w:w="2500" w:type="dxa"/>
            <w:vAlign w:val="bottom"/>
          </w:tcPr>
          <w:p>
            <w:pPr>
              <w:ind w:left="560"/>
              <w:spacing w:after="0"/>
              <w:rPr>
                <w:sz w:val="20"/>
                <w:szCs w:val="20"/>
                <w:color w:val="auto"/>
              </w:rPr>
            </w:pPr>
            <w:r>
              <w:rPr>
                <w:rFonts w:ascii="Arial" w:cs="Arial" w:eastAsia="Arial" w:hAnsi="Arial"/>
                <w:sz w:val="14"/>
                <w:szCs w:val="14"/>
                <w:color w:val="auto"/>
              </w:rPr>
              <w:t>GlaxoSmithKline</w:t>
            </w:r>
          </w:p>
        </w:tc>
        <w:tc>
          <w:tcPr>
            <w:tcW w:w="1540" w:type="dxa"/>
            <w:vAlign w:val="bottom"/>
          </w:tcPr>
          <w:p>
            <w:pPr>
              <w:ind w:left="680"/>
              <w:spacing w:after="0"/>
              <w:rPr>
                <w:sz w:val="20"/>
                <w:szCs w:val="20"/>
                <w:color w:val="auto"/>
              </w:rPr>
            </w:pPr>
            <w:r>
              <w:rPr>
                <w:rFonts w:ascii="Arial" w:cs="Arial" w:eastAsia="Arial" w:hAnsi="Arial"/>
                <w:sz w:val="14"/>
                <w:szCs w:val="14"/>
                <w:color w:val="auto"/>
              </w:rPr>
              <w:t>Roche</w:t>
            </w:r>
          </w:p>
        </w:tc>
      </w:tr>
      <w:tr>
        <w:trPr>
          <w:trHeight w:val="257"/>
        </w:trPr>
        <w:tc>
          <w:tcPr>
            <w:tcW w:w="1900" w:type="dxa"/>
            <w:vAlign w:val="bottom"/>
          </w:tcPr>
          <w:p>
            <w:pPr>
              <w:spacing w:after="0"/>
              <w:rPr>
                <w:sz w:val="20"/>
                <w:szCs w:val="20"/>
                <w:color w:val="auto"/>
              </w:rPr>
            </w:pPr>
            <w:r>
              <w:rPr>
                <w:rFonts w:ascii="Arial" w:cs="Arial" w:eastAsia="Arial" w:hAnsi="Arial"/>
                <w:sz w:val="14"/>
                <w:szCs w:val="14"/>
                <w:color w:val="auto"/>
              </w:rPr>
              <w:t>AstraZeneca</w:t>
            </w:r>
          </w:p>
        </w:tc>
        <w:tc>
          <w:tcPr>
            <w:tcW w:w="2500" w:type="dxa"/>
            <w:vAlign w:val="bottom"/>
          </w:tcPr>
          <w:p>
            <w:pPr>
              <w:ind w:left="560"/>
              <w:spacing w:after="0"/>
              <w:rPr>
                <w:sz w:val="20"/>
                <w:szCs w:val="20"/>
                <w:color w:val="auto"/>
              </w:rPr>
            </w:pPr>
            <w:r>
              <w:rPr>
                <w:rFonts w:ascii="Arial" w:cs="Arial" w:eastAsia="Arial" w:hAnsi="Arial"/>
                <w:sz w:val="14"/>
                <w:szCs w:val="14"/>
                <w:color w:val="auto"/>
              </w:rPr>
              <w:t>Johnson &amp; Johnson</w:t>
            </w:r>
          </w:p>
        </w:tc>
        <w:tc>
          <w:tcPr>
            <w:tcW w:w="1540" w:type="dxa"/>
            <w:vAlign w:val="bottom"/>
          </w:tcPr>
          <w:p>
            <w:pPr>
              <w:ind w:left="680"/>
              <w:spacing w:after="0"/>
              <w:rPr>
                <w:sz w:val="20"/>
                <w:szCs w:val="20"/>
                <w:color w:val="auto"/>
              </w:rPr>
            </w:pPr>
            <w:r>
              <w:rPr>
                <w:rFonts w:ascii="Arial" w:cs="Arial" w:eastAsia="Arial" w:hAnsi="Arial"/>
                <w:sz w:val="14"/>
                <w:szCs w:val="14"/>
                <w:color w:val="auto"/>
              </w:rPr>
              <w:t>Sanofi</w:t>
            </w:r>
          </w:p>
        </w:tc>
      </w:tr>
      <w:tr>
        <w:trPr>
          <w:trHeight w:val="256"/>
        </w:trPr>
        <w:tc>
          <w:tcPr>
            <w:tcW w:w="1900" w:type="dxa"/>
            <w:vAlign w:val="bottom"/>
          </w:tcPr>
          <w:p>
            <w:pPr>
              <w:spacing w:after="0"/>
              <w:rPr>
                <w:sz w:val="20"/>
                <w:szCs w:val="20"/>
                <w:color w:val="auto"/>
              </w:rPr>
            </w:pPr>
            <w:r>
              <w:rPr>
                <w:rFonts w:ascii="Arial" w:cs="Arial" w:eastAsia="Arial" w:hAnsi="Arial"/>
                <w:sz w:val="14"/>
                <w:szCs w:val="14"/>
                <w:color w:val="auto"/>
              </w:rPr>
              <w:t>Biogen</w:t>
            </w:r>
          </w:p>
        </w:tc>
        <w:tc>
          <w:tcPr>
            <w:tcW w:w="2500" w:type="dxa"/>
            <w:vAlign w:val="bottom"/>
          </w:tcPr>
          <w:p>
            <w:pPr>
              <w:ind w:left="560"/>
              <w:spacing w:after="0"/>
              <w:rPr>
                <w:sz w:val="20"/>
                <w:szCs w:val="20"/>
                <w:color w:val="auto"/>
              </w:rPr>
            </w:pPr>
            <w:r>
              <w:rPr>
                <w:rFonts w:ascii="Arial" w:cs="Arial" w:eastAsia="Arial" w:hAnsi="Arial"/>
                <w:sz w:val="14"/>
                <w:szCs w:val="14"/>
                <w:color w:val="auto"/>
              </w:rPr>
              <w:t>Merck</w:t>
            </w:r>
          </w:p>
        </w:tc>
        <w:tc>
          <w:tcPr>
            <w:tcW w:w="1540" w:type="dxa"/>
            <w:vAlign w:val="bottom"/>
          </w:tcPr>
          <w:p>
            <w:pPr>
              <w:ind w:left="680"/>
              <w:spacing w:after="0"/>
              <w:rPr>
                <w:sz w:val="20"/>
                <w:szCs w:val="20"/>
                <w:color w:val="auto"/>
              </w:rPr>
            </w:pPr>
            <w:r>
              <w:rPr>
                <w:rFonts w:ascii="Arial" w:cs="Arial" w:eastAsia="Arial" w:hAnsi="Arial"/>
                <w:sz w:val="14"/>
                <w:szCs w:val="14"/>
                <w:color w:val="auto"/>
              </w:rPr>
              <w:t>Shire*</w:t>
            </w:r>
          </w:p>
        </w:tc>
      </w:tr>
      <w:tr>
        <w:trPr>
          <w:trHeight w:val="257"/>
        </w:trPr>
        <w:tc>
          <w:tcPr>
            <w:tcW w:w="1900" w:type="dxa"/>
            <w:vAlign w:val="bottom"/>
          </w:tcPr>
          <w:p>
            <w:pPr>
              <w:spacing w:after="0"/>
              <w:rPr>
                <w:sz w:val="20"/>
                <w:szCs w:val="20"/>
                <w:color w:val="auto"/>
              </w:rPr>
            </w:pPr>
            <w:r>
              <w:rPr>
                <w:rFonts w:ascii="Arial" w:cs="Arial" w:eastAsia="Arial" w:hAnsi="Arial"/>
                <w:sz w:val="14"/>
                <w:szCs w:val="14"/>
                <w:color w:val="auto"/>
              </w:rPr>
              <w:t>Bristol-Myers Squibb</w:t>
            </w:r>
          </w:p>
        </w:tc>
        <w:tc>
          <w:tcPr>
            <w:tcW w:w="2500" w:type="dxa"/>
            <w:vAlign w:val="bottom"/>
          </w:tcPr>
          <w:p>
            <w:pPr>
              <w:ind w:left="560"/>
              <w:spacing w:after="0"/>
              <w:rPr>
                <w:sz w:val="20"/>
                <w:szCs w:val="20"/>
                <w:color w:val="auto"/>
              </w:rPr>
            </w:pPr>
            <w:r>
              <w:rPr>
                <w:rFonts w:ascii="Arial" w:cs="Arial" w:eastAsia="Arial" w:hAnsi="Arial"/>
                <w:sz w:val="14"/>
                <w:szCs w:val="14"/>
                <w:color w:val="auto"/>
              </w:rPr>
              <w:t>Novartis</w:t>
            </w:r>
          </w:p>
        </w:tc>
        <w:tc>
          <w:tcPr>
            <w:tcW w:w="1540" w:type="dxa"/>
            <w:vAlign w:val="bottom"/>
          </w:tcPr>
          <w:p>
            <w:pPr>
              <w:ind w:left="680"/>
              <w:spacing w:after="0"/>
              <w:rPr>
                <w:sz w:val="20"/>
                <w:szCs w:val="20"/>
                <w:color w:val="auto"/>
              </w:rPr>
            </w:pPr>
            <w:r>
              <w:rPr>
                <w:rFonts w:ascii="Arial" w:cs="Arial" w:eastAsia="Arial" w:hAnsi="Arial"/>
                <w:sz w:val="14"/>
                <w:szCs w:val="14"/>
                <w:color w:val="auto"/>
              </w:rPr>
              <w:t>Takeda</w:t>
            </w:r>
          </w:p>
        </w:tc>
      </w:tr>
    </w:tbl>
    <w:p>
      <w:pPr>
        <w:spacing w:after="0" w:line="47"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*Market data unavailable for assessing competitive 2020 pay due to business mergers.</w:t>
      </w:r>
    </w:p>
    <w:p>
      <w:pPr>
        <w:spacing w:after="0" w:line="34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At the time of the review in May 2018, all peer companies were no greater than two times our revenue or market cap except Johnson &amp; Johnson, Novartis, Pfizer, and Roche. The Compensation Committee included these four companies despite their size because they compete directly with Lilly, have similar business models, and seek to hire from the same pool of management and scientific talent.</w:t>
      </w:r>
    </w:p>
    <w:p>
      <w:pPr>
        <w:spacing w:after="0" w:line="22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When determining pay levels for target compensation, the Compensation Committee considers an analysis of peer group pay for each executive officer position (except CEO), along with internal factors such as the performance and experience of each executive officer. The independent compensation consultant for the Compensation Committee provides a similar analysis when recommending pay levels for the CEO. The CEO analysis includes a comparison of our CEO actual total direct compensation in the prior year to company performance on an absolute basis and on a relative basis to the peer group. The analysis also includes a comparison of current target total direct compensation for our CEO to the most recently available data on CEO target total direct compensation for our peer companies. On average, the named executive officer's target total direct compensation for 2020 was below the median of the peer group, which reflects several named executive officers being relatively new to their roles.</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Components of Our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Our 2020 executive compensation was primarily composed of three components:</w:t>
      </w:r>
    </w:p>
    <w:p>
      <w:pPr>
        <w:spacing w:after="0" w:line="5" w:lineRule="exact"/>
        <w:rPr>
          <w:sz w:val="20"/>
          <w:szCs w:val="20"/>
          <w:color w:val="auto"/>
        </w:rPr>
      </w:pPr>
    </w:p>
    <w:p>
      <w:pPr>
        <w:ind w:left="620" w:hanging="288"/>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annual cash bonus, which is generally based on company performance relative to internal targets for revenue, EPS, and the progress of our pipeline</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three different forms of equity incentives:</w:t>
      </w:r>
    </w:p>
    <w:p>
      <w:pPr>
        <w:spacing w:after="0" w:line="5" w:lineRule="exact"/>
        <w:rPr>
          <w:rFonts w:ascii="Arial" w:cs="Arial" w:eastAsia="Arial" w:hAnsi="Arial"/>
          <w:sz w:val="16"/>
          <w:szCs w:val="16"/>
          <w:color w:val="auto"/>
        </w:rPr>
      </w:pPr>
    </w:p>
    <w:p>
      <w:pPr>
        <w:ind w:left="980" w:right="200" w:hanging="324"/>
        <w:spacing w:after="0" w:line="246" w:lineRule="auto"/>
        <w:tabs>
          <w:tab w:leader="none" w:pos="970" w:val="left"/>
        </w:tabs>
        <w:numPr>
          <w:ilvl w:val="1"/>
          <w:numId w:val="74"/>
        </w:numPr>
        <w:rPr>
          <w:rFonts w:ascii="Arial" w:cs="Arial" w:eastAsia="Arial" w:hAnsi="Arial"/>
          <w:sz w:val="16"/>
          <w:szCs w:val="16"/>
          <w:color w:val="auto"/>
        </w:rPr>
      </w:pPr>
      <w:r>
        <w:rPr>
          <w:rFonts w:ascii="Arial" w:cs="Arial" w:eastAsia="Arial" w:hAnsi="Arial"/>
          <w:sz w:val="16"/>
          <w:szCs w:val="16"/>
          <w:color w:val="auto"/>
        </w:rPr>
        <w:t>performance awards, which are performance-based equity awards that vest over three years and have a performance component measuring the company's two-year change in EPS relative to the expected peer group change followed by a 13-month service-vesting period</w:t>
      </w:r>
    </w:p>
    <w:p>
      <w:pPr>
        <w:ind w:left="980" w:right="60" w:hanging="324"/>
        <w:spacing w:after="0" w:line="246" w:lineRule="auto"/>
        <w:tabs>
          <w:tab w:leader="none" w:pos="970" w:val="left"/>
        </w:tabs>
        <w:numPr>
          <w:ilvl w:val="1"/>
          <w:numId w:val="74"/>
        </w:numPr>
        <w:rPr>
          <w:rFonts w:ascii="Arial" w:cs="Arial" w:eastAsia="Arial" w:hAnsi="Arial"/>
          <w:sz w:val="16"/>
          <w:szCs w:val="16"/>
          <w:color w:val="auto"/>
        </w:rPr>
      </w:pPr>
      <w:r>
        <w:rPr>
          <w:rFonts w:ascii="Arial" w:cs="Arial" w:eastAsia="Arial" w:hAnsi="Arial"/>
          <w:sz w:val="16"/>
          <w:szCs w:val="16"/>
          <w:color w:val="auto"/>
        </w:rPr>
        <w:t>shareholder value awards, which are performance-based equity awards that pay out based on absolute company stock price growth measured over a three-year period, followed by a one-year holding period</w:t>
      </w:r>
    </w:p>
    <w:p>
      <w:pPr>
        <w:ind w:left="960" w:hanging="304"/>
        <w:spacing w:after="0"/>
        <w:tabs>
          <w:tab w:leader="none" w:pos="9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relative value awards, which are performance-based equity awards that pay out based on company TSR results relative to peers measured</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over a three-year period, followed by a one-year holding period.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Executives also receive a company benefits package, described below under "Other Compensation Practices and Information—Employee Benefits."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to Reported Financial Results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Compensation Committee has authority to adjust the company's reported revenue and EPS upon which incentive compensation payouts are determined to eliminate the distorting effect of unusual income or expense items. The adjustments are intended to:</w:t>
      </w:r>
    </w:p>
    <w:p>
      <w:pPr>
        <w:spacing w:after="0" w:line="1" w:lineRule="exact"/>
        <w:rPr>
          <w:sz w:val="20"/>
          <w:szCs w:val="20"/>
          <w:color w:val="auto"/>
        </w:rPr>
      </w:pPr>
    </w:p>
    <w:p>
      <w:pPr>
        <w:ind w:left="620" w:hanging="288"/>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align award payments with the underlying performance of the core business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avoid volatile, artificial inflation or deflation of awards due to unusual items in the award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P47</w:t>
      </w:r>
    </w:p>
    <w:p>
      <w:pPr>
        <w:sectPr>
          <w:pgSz w:w="11900" w:h="16838" w:orient="portrait"/>
          <w:cols w:equalWidth="0" w:num="1">
            <w:col w:w="11240"/>
          </w:cols>
          <w:pgMar w:left="320" w:top="1423" w:right="339" w:bottom="1440" w:gutter="0" w:footer="0" w:header="0"/>
        </w:sectPr>
      </w:pPr>
    </w:p>
    <w:bookmarkStart w:id="52" w:name="page53"/>
    <w:bookmarkEnd w:id="52"/>
    <w:p>
      <w:pPr>
        <w:ind w:left="660" w:right="120" w:hanging="328"/>
        <w:spacing w:after="0" w:line="246" w:lineRule="auto"/>
        <w:tabs>
          <w:tab w:leader="none" w:pos="6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ind w:left="620" w:hanging="288"/>
        <w:spacing w:after="0"/>
        <w:tabs>
          <w:tab w:leader="none" w:pos="6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facilitate comparisons with peer companies.</w:t>
      </w:r>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Compensation Committee considers the adjustments approved by the Audit Committee for reporting non-GAAP EPS and other adjustments, based on guidelines approved by the Compensation Committee prior to the performance period. The Compensation Committee reviews and approves adjustments on a quarterly basis and may adjust payouts for items, including but not limited to, the impact of significant acquisitions or divestitures, the impact of share repurchases that differ significantly from business plan, gains and losses on investments in equity securities that differ significantly from business plan, and large swings in foreign exchange rates. Further details on the adjustments for 2020 and the rationale for making these adjustments are set forth in Appendix A, "Summary of Adjustments Related to the Annual Cash Bonus and Performance Award." For ease of reference, throughout the CD&amp;A and the other compensation disclosures, we refer simply to "revenue" and "EPS," but we encourage you to review the information in Appendix A to understand the adjustments from reported revenue and EPS that were approved.</w:t>
      </w:r>
    </w:p>
    <w:p>
      <w:pPr>
        <w:spacing w:after="0" w:line="23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Compensation Committee also has general authority to apply downward (but not upward) discretion to bonus, performance award, shareholder value award, and relative value award payouts for individual executive officers.</w:t>
      </w:r>
    </w:p>
    <w:p>
      <w:pPr>
        <w:spacing w:after="0" w:line="19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00ABE8"/>
        </w:rPr>
        <w:t>1.</w:t>
      </w:r>
      <w:r>
        <w:rPr>
          <w:sz w:val="20"/>
          <w:szCs w:val="20"/>
          <w:color w:val="auto"/>
        </w:rPr>
        <w:tab/>
      </w:r>
      <w:r>
        <w:rPr>
          <w:rFonts w:ascii="Arial" w:cs="Arial" w:eastAsia="Arial" w:hAnsi="Arial"/>
          <w:sz w:val="17"/>
          <w:szCs w:val="17"/>
          <w:b w:val="1"/>
          <w:bCs w:val="1"/>
          <w:color w:val="00ABE8"/>
        </w:rPr>
        <w:t>Base Salary</w:t>
      </w:r>
    </w:p>
    <w:p>
      <w:pPr>
        <w:spacing w:after="0" w:line="27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based on each person's level of contribution, responsibility, expertise, and competitiveness and are compared annually with peer group data.</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Base salary increases for 2020 were established based upon a corporate budget for salary increases, which is set considering company performance over the prior year, expected company performance for the following year, and general external trends.</w:t>
      </w:r>
    </w:p>
    <w:p>
      <w:pPr>
        <w:spacing w:after="0" w:line="19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00ABE8"/>
        </w:rPr>
        <w:t>2.</w:t>
        <w:tab/>
        <w:t>Annual Cash Bonus</w:t>
      </w:r>
    </w:p>
    <w:p>
      <w:pPr>
        <w:spacing w:after="0" w:line="277"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Bonus Plan is designed to reward the achievement of the company’s annual financial and innovation objectives. All the named executive officers participated in the Bonus Plan during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 Plan</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Compensation Committee sets performance goals and individual bonus targets for the Bonus Plan at the beginning of each year. The bonus is based on three areas of company performance measured relative to internal targets: revenue, EPS, and innovation progress. The annual cash bonus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554980" cy="617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549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Actual payouts can range from 0 to 200 percent of an individual's bonus target. The Compensation Committee references the annual operating plan and pipeline objectives to establish performance targets and to assess the relative weighting for each objective. The 2020 weightings remain unchanged from the prior year:</w:t>
      </w:r>
    </w:p>
    <w:p>
      <w:pPr>
        <w:spacing w:after="0" w:line="334" w:lineRule="exact"/>
        <w:rPr>
          <w:sz w:val="20"/>
          <w:szCs w:val="20"/>
          <w:color w:val="auto"/>
        </w:rPr>
      </w:pPr>
    </w:p>
    <w:tbl>
      <w:tblPr>
        <w:tblLayout w:type="fixed"/>
        <w:tblInd w:w="3500" w:type="dxa"/>
        <w:tblCellMar>
          <w:top w:w="0" w:type="dxa"/>
          <w:left w:w="0" w:type="dxa"/>
          <w:bottom w:w="0" w:type="dxa"/>
          <w:right w:w="0" w:type="dxa"/>
        </w:tblCellMar>
      </w:tblPr>
      <w:tr>
        <w:trPr>
          <w:trHeight w:val="216"/>
        </w:trPr>
        <w:tc>
          <w:tcPr>
            <w:tcW w:w="2060" w:type="dxa"/>
            <w:vAlign w:val="bottom"/>
            <w:shd w:val="clear" w:color="auto" w:fill="C8C9CB"/>
          </w:tcPr>
          <w:p>
            <w:pPr>
              <w:spacing w:after="0"/>
              <w:rPr>
                <w:sz w:val="20"/>
                <w:szCs w:val="20"/>
                <w:color w:val="auto"/>
              </w:rPr>
            </w:pPr>
            <w:r>
              <w:rPr>
                <w:rFonts w:ascii="Arial" w:cs="Arial" w:eastAsia="Arial" w:hAnsi="Arial"/>
                <w:sz w:val="14"/>
                <w:szCs w:val="14"/>
                <w:b w:val="1"/>
                <w:bCs w:val="1"/>
                <w:color w:val="00ABE8"/>
              </w:rPr>
              <w:t>Lilly Goals</w:t>
            </w:r>
          </w:p>
        </w:tc>
        <w:tc>
          <w:tcPr>
            <w:tcW w:w="2200" w:type="dxa"/>
            <w:vAlign w:val="bottom"/>
            <w:shd w:val="clear" w:color="auto" w:fill="C8C9CB"/>
          </w:tcPr>
          <w:p>
            <w:pPr>
              <w:jc w:val="center"/>
              <w:ind w:left="55"/>
              <w:spacing w:after="0"/>
              <w:rPr>
                <w:sz w:val="20"/>
                <w:szCs w:val="20"/>
                <w:color w:val="auto"/>
              </w:rPr>
            </w:pPr>
            <w:r>
              <w:rPr>
                <w:rFonts w:ascii="Arial" w:cs="Arial" w:eastAsia="Arial" w:hAnsi="Arial"/>
                <w:sz w:val="14"/>
                <w:szCs w:val="14"/>
                <w:b w:val="1"/>
                <w:bCs w:val="1"/>
                <w:color w:val="00ABE8"/>
              </w:rPr>
              <w:t>Weighting</w:t>
            </w:r>
          </w:p>
        </w:tc>
      </w:tr>
      <w:tr>
        <w:trPr>
          <w:trHeight w:val="200"/>
        </w:trPr>
        <w:tc>
          <w:tcPr>
            <w:tcW w:w="2060" w:type="dxa"/>
            <w:vAlign w:val="bottom"/>
          </w:tcPr>
          <w:p>
            <w:pPr>
              <w:spacing w:after="0"/>
              <w:rPr>
                <w:sz w:val="20"/>
                <w:szCs w:val="20"/>
                <w:color w:val="auto"/>
              </w:rPr>
            </w:pPr>
            <w:r>
              <w:rPr>
                <w:rFonts w:ascii="Arial" w:cs="Arial" w:eastAsia="Arial" w:hAnsi="Arial"/>
                <w:sz w:val="13"/>
                <w:szCs w:val="13"/>
                <w:color w:val="auto"/>
              </w:rPr>
              <w:t>Revenue performance</w:t>
            </w:r>
          </w:p>
        </w:tc>
        <w:tc>
          <w:tcPr>
            <w:tcW w:w="2200" w:type="dxa"/>
            <w:vAlign w:val="bottom"/>
          </w:tcPr>
          <w:p>
            <w:pPr>
              <w:jc w:val="center"/>
              <w:ind w:left="55"/>
              <w:spacing w:after="0"/>
              <w:rPr>
                <w:sz w:val="20"/>
                <w:szCs w:val="20"/>
                <w:color w:val="auto"/>
              </w:rPr>
            </w:pPr>
            <w:r>
              <w:rPr>
                <w:rFonts w:ascii="Arial" w:cs="Arial" w:eastAsia="Arial" w:hAnsi="Arial"/>
                <w:sz w:val="13"/>
                <w:szCs w:val="13"/>
                <w:color w:val="auto"/>
                <w:w w:val="92"/>
              </w:rPr>
              <w:t>25%</w:t>
            </w:r>
          </w:p>
        </w:tc>
      </w:tr>
      <w:tr>
        <w:trPr>
          <w:trHeight w:val="216"/>
        </w:trPr>
        <w:tc>
          <w:tcPr>
            <w:tcW w:w="2060" w:type="dxa"/>
            <w:vAlign w:val="bottom"/>
          </w:tcPr>
          <w:p>
            <w:pPr>
              <w:spacing w:after="0"/>
              <w:rPr>
                <w:sz w:val="20"/>
                <w:szCs w:val="20"/>
                <w:color w:val="auto"/>
              </w:rPr>
            </w:pPr>
            <w:r>
              <w:rPr>
                <w:rFonts w:ascii="Arial" w:cs="Arial" w:eastAsia="Arial" w:hAnsi="Arial"/>
                <w:sz w:val="13"/>
                <w:szCs w:val="13"/>
                <w:color w:val="auto"/>
              </w:rPr>
              <w:t>EPS performance</w:t>
            </w:r>
          </w:p>
        </w:tc>
        <w:tc>
          <w:tcPr>
            <w:tcW w:w="2200" w:type="dxa"/>
            <w:vAlign w:val="bottom"/>
          </w:tcPr>
          <w:p>
            <w:pPr>
              <w:jc w:val="center"/>
              <w:ind w:left="55"/>
              <w:spacing w:after="0"/>
              <w:rPr>
                <w:sz w:val="20"/>
                <w:szCs w:val="20"/>
                <w:color w:val="auto"/>
              </w:rPr>
            </w:pPr>
            <w:r>
              <w:rPr>
                <w:rFonts w:ascii="Arial" w:cs="Arial" w:eastAsia="Arial" w:hAnsi="Arial"/>
                <w:sz w:val="13"/>
                <w:szCs w:val="13"/>
                <w:color w:val="auto"/>
                <w:w w:val="92"/>
              </w:rPr>
              <w:t>50%</w:t>
            </w:r>
          </w:p>
        </w:tc>
      </w:tr>
      <w:tr>
        <w:trPr>
          <w:trHeight w:val="216"/>
        </w:trPr>
        <w:tc>
          <w:tcPr>
            <w:tcW w:w="2060" w:type="dxa"/>
            <w:vAlign w:val="bottom"/>
          </w:tcPr>
          <w:p>
            <w:pPr>
              <w:spacing w:after="0"/>
              <w:rPr>
                <w:sz w:val="20"/>
                <w:szCs w:val="20"/>
                <w:color w:val="auto"/>
              </w:rPr>
            </w:pPr>
            <w:r>
              <w:rPr>
                <w:rFonts w:ascii="Arial" w:cs="Arial" w:eastAsia="Arial" w:hAnsi="Arial"/>
                <w:sz w:val="13"/>
                <w:szCs w:val="13"/>
                <w:color w:val="auto"/>
              </w:rPr>
              <w:t>Pipeline progress</w:t>
            </w:r>
          </w:p>
        </w:tc>
        <w:tc>
          <w:tcPr>
            <w:tcW w:w="2200" w:type="dxa"/>
            <w:vAlign w:val="bottom"/>
          </w:tcPr>
          <w:p>
            <w:pPr>
              <w:jc w:val="center"/>
              <w:ind w:left="55"/>
              <w:spacing w:after="0"/>
              <w:rPr>
                <w:sz w:val="20"/>
                <w:szCs w:val="20"/>
                <w:color w:val="auto"/>
              </w:rPr>
            </w:pPr>
            <w:r>
              <w:rPr>
                <w:rFonts w:ascii="Arial" w:cs="Arial" w:eastAsia="Arial" w:hAnsi="Arial"/>
                <w:sz w:val="13"/>
                <w:szCs w:val="13"/>
                <w:color w:val="auto"/>
                <w:w w:val="92"/>
              </w:rPr>
              <w:t>25%</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Based on this weighting, the company bonus multiple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554980" cy="617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54980" cy="617220"/>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P48</w:t>
      </w:r>
    </w:p>
    <w:p>
      <w:pPr>
        <w:sectPr>
          <w:pgSz w:w="11900" w:h="16838" w:orient="portrait"/>
          <w:cols w:equalWidth="0" w:num="1">
            <w:col w:w="11220"/>
          </w:cols>
          <w:pgMar w:left="320" w:top="1437" w:right="359" w:bottom="1440" w:gutter="0" w:footer="0" w:header="0"/>
          <w:type w:val="continuous"/>
        </w:sectPr>
      </w:pPr>
    </w:p>
    <w:bookmarkStart w:id="53" w:name="page54"/>
    <w:bookmarkEnd w:id="53"/>
    <w:p>
      <w:pPr>
        <w:spacing w:after="0" w:line="200" w:lineRule="exact"/>
        <w:rPr>
          <w:sz w:val="20"/>
          <w:szCs w:val="20"/>
          <w:color w:val="auto"/>
        </w:rPr>
      </w:pPr>
    </w:p>
    <w:p>
      <w:pPr>
        <w:spacing w:after="0" w:line="25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00ABE8"/>
        </w:rPr>
        <w:t>3.</w:t>
      </w:r>
      <w:r>
        <w:rPr>
          <w:sz w:val="20"/>
          <w:szCs w:val="20"/>
          <w:color w:val="auto"/>
        </w:rPr>
        <w:tab/>
      </w:r>
      <w:r>
        <w:rPr>
          <w:rFonts w:ascii="Arial" w:cs="Arial" w:eastAsia="Arial" w:hAnsi="Arial"/>
          <w:sz w:val="17"/>
          <w:szCs w:val="17"/>
          <w:b w:val="1"/>
          <w:bCs w:val="1"/>
          <w:color w:val="00ABE8"/>
        </w:rPr>
        <w:t>Equity Incentives</w:t>
      </w:r>
    </w:p>
    <w:p>
      <w:pPr>
        <w:spacing w:after="0" w:line="277" w:lineRule="exact"/>
        <w:rPr>
          <w:sz w:val="20"/>
          <w:szCs w:val="20"/>
          <w:color w:val="auto"/>
        </w:rPr>
      </w:pPr>
    </w:p>
    <w:p>
      <w:pPr>
        <w:ind w:right="40"/>
        <w:spacing w:after="0" w:line="190" w:lineRule="exact"/>
        <w:rPr>
          <w:sz w:val="20"/>
          <w:szCs w:val="20"/>
          <w:color w:val="auto"/>
        </w:rPr>
      </w:pPr>
      <w:r>
        <w:rPr>
          <w:rFonts w:ascii="Arial" w:cs="Arial" w:eastAsia="Arial" w:hAnsi="Arial"/>
          <w:sz w:val="16"/>
          <w:szCs w:val="16"/>
          <w:color w:val="auto"/>
        </w:rPr>
        <w:t>The company grants three types of equity incentives to executives and certain other employees: performance awards that are designed to focus leaders on multi</w:t>
      </w:r>
      <w:r>
        <w:rPr>
          <w:rFonts w:ascii="MS PGothic" w:cs="MS PGothic" w:eastAsia="MS PGothic" w:hAnsi="MS PGothic"/>
          <w:sz w:val="16"/>
          <w:szCs w:val="16"/>
          <w:color w:val="auto"/>
        </w:rPr>
        <w:t>‑</w:t>
      </w:r>
      <w:r>
        <w:rPr>
          <w:rFonts w:ascii="Arial" w:cs="Arial" w:eastAsia="Arial" w:hAnsi="Arial"/>
          <w:sz w:val="16"/>
          <w:szCs w:val="16"/>
          <w:color w:val="auto"/>
        </w:rPr>
        <w:t>year operational performance relative to peer companies, shareholder value awards that are intended to align earned compensation with long-term growth in shareholder value, and relative value awards which encourage TSR outperformance within our industry. These awards, when considered together, align with shareholder interests by incenting long-term operational excellence, shareholder return and peer company outperformance without encouraging excessive risk-taking behaviors. The Compensation Committee has the discretion to adjust any payout from an equity award granted to an executive officer downward (but not upward) from the amount yielded by the applicable formula.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Awards</w:t>
      </w:r>
    </w:p>
    <w:p>
      <w:pPr>
        <w:spacing w:after="0" w:line="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Performance awards vest over three years. Payouts are based on achieving EPS growth targets over a two-year performance period, followed by an additional 13-month service-vesting period for executive officers, during which the award is held in the form of restricted stock units. The growth-rate targets are set relative to the median expected EPS growth for our peer group over the same performance period. These awards do not accumulate dividends during the two-year performance period, but they do accumulate dividend equivalent units during the service-vesting period.</w:t>
      </w:r>
    </w:p>
    <w:p>
      <w:pPr>
        <w:spacing w:after="0" w:line="229" w:lineRule="exact"/>
        <w:rPr>
          <w:sz w:val="20"/>
          <w:szCs w:val="20"/>
          <w:color w:val="auto"/>
        </w:rPr>
      </w:pPr>
    </w:p>
    <w:p>
      <w:pPr>
        <w:ind w:right="60"/>
        <w:spacing w:after="0" w:line="191" w:lineRule="exact"/>
        <w:rPr>
          <w:sz w:val="20"/>
          <w:szCs w:val="20"/>
          <w:color w:val="auto"/>
        </w:rPr>
      </w:pPr>
      <w:r>
        <w:rPr>
          <w:rFonts w:ascii="Arial" w:cs="Arial" w:eastAsia="Arial" w:hAnsi="Arial"/>
          <w:sz w:val="16"/>
          <w:szCs w:val="16"/>
          <w:color w:val="auto"/>
        </w:rPr>
        <w:t>The Compensation Committee believes EPS growth is an effective measure of operational performance because it is closely linked to shareholder value, is broadly communicated to the public, is understood by Lilly employees, and allows for objective comparisons to performance of Lilly's peer group. Consistent with the objectives established by the Compensation Committee, Lilly company performance exceeding the expected peer group median results in above</w:t>
      </w:r>
      <w:r>
        <w:rPr>
          <w:rFonts w:ascii="MS PGothic" w:cs="MS PGothic" w:eastAsia="MS PGothic" w:hAnsi="MS PGothic"/>
          <w:sz w:val="16"/>
          <w:szCs w:val="16"/>
          <w:color w:val="auto"/>
        </w:rPr>
        <w:t>‑</w:t>
      </w:r>
      <w:r>
        <w:rPr>
          <w:rFonts w:ascii="Arial" w:cs="Arial" w:eastAsia="Arial" w:hAnsi="Arial"/>
          <w:sz w:val="16"/>
          <w:szCs w:val="16"/>
          <w:color w:val="auto"/>
        </w:rPr>
        <w:t>target payouts, while Lilly company performance lagging the expected peer group median results in below</w:t>
      </w:r>
      <w:r>
        <w:rPr>
          <w:rFonts w:ascii="MS PGothic" w:cs="MS PGothic" w:eastAsia="MS PGothic" w:hAnsi="MS PGothic"/>
          <w:sz w:val="16"/>
          <w:szCs w:val="16"/>
          <w:color w:val="auto"/>
        </w:rPr>
        <w:t>‑</w:t>
      </w:r>
      <w:r>
        <w:rPr>
          <w:rFonts w:ascii="Arial" w:cs="Arial" w:eastAsia="Arial" w:hAnsi="Arial"/>
          <w:sz w:val="16"/>
          <w:szCs w:val="16"/>
          <w:color w:val="auto"/>
        </w:rPr>
        <w:t>target payouts. Possible payouts range from 0 percent to 175 percent of the target number of shares, depending on Lilly EPS growth over the performance period.</w:t>
      </w:r>
    </w:p>
    <w:p>
      <w:pPr>
        <w:spacing w:after="0" w:line="23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measure of EPS used in the performance award program differs from the measure used in the Bonus Plan in two ways. First, the EPS goal in the Bonus Plan is set with reference to internal goals that align to our annual operating plan for the year, while the EPS goal in the performance award program is set based on the expected growth rates of our peer group. Second, the Bonus Plan measures EPS over a one-year period, while the performance award program measures EPS over a two-year period. In a given year, the Bonus Plan may pay above target while the performance award pays below target (or vice versa).</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Value Awards</w:t>
      </w:r>
    </w:p>
    <w:p>
      <w:pPr>
        <w:spacing w:after="0" w:line="2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Shareholder value awards are earned based on Lilly's share price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Compensation Committee. The minimum price to achieve target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Executive officers receive no payout if Lilly's TSR for the three-year period is zero or negative. Possible payouts are based on share price growth and range from 0 to 175 percent of the target number of shares.</w:t>
      </w:r>
    </w:p>
    <w:p>
      <w:pPr>
        <w:spacing w:after="0" w:line="23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prior years, shareholder value awards were subject to modification by +/– 20 percent based on Lilly’s relative TSR versus peer companies over the performance period. Starting in 2020, this modifier was eliminated in favor of grants of a separate award tied to relative TSR (see “Relative Value Awards” below).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Relative Value Awards</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Relative value awards are earned based on Lilly's TSR performance relative to industry peers. The minimum performance to achieve target is a TSR that is equal to the median TSR performance for the peer group. Relative value awards have a three-year performance period, and any shares paid are subject to a one-year holding requirement. No dividends are accrued during the performance period. Executive officers receive no payout if Lilly's TSR for the three-year period is 30 or more percentage points below the median TSR performance for the peer group over the same time period. Possible payouts range from 0 to 175 percent of the target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P49</w:t>
      </w:r>
    </w:p>
    <w:p>
      <w:pPr>
        <w:sectPr>
          <w:pgSz w:w="11900" w:h="16838" w:orient="portrait"/>
          <w:cols w:equalWidth="0" w:num="1">
            <w:col w:w="11220"/>
          </w:cols>
          <w:pgMar w:left="320" w:top="1440" w:right="359" w:bottom="1440" w:gutter="0" w:footer="0" w:header="0"/>
        </w:sectPr>
      </w:pPr>
    </w:p>
    <w:bookmarkStart w:id="54" w:name="page55"/>
    <w:bookmarkEnd w:id="54"/>
    <w:p>
      <w:pPr>
        <w:spacing w:after="0"/>
        <w:rPr>
          <w:sz w:val="20"/>
          <w:szCs w:val="20"/>
          <w:color w:val="auto"/>
        </w:rPr>
      </w:pPr>
      <w:r>
        <w:rPr>
          <w:rFonts w:ascii="Arial" w:cs="Arial" w:eastAsia="Arial" w:hAnsi="Arial"/>
          <w:sz w:val="23"/>
          <w:szCs w:val="23"/>
          <w:b w:val="1"/>
          <w:bCs w:val="1"/>
          <w:color w:val="1CA8E1"/>
        </w:rPr>
        <w:t>Pay for Performance</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mix of compensation for our named executive officers reflects Lilly’s desire to link executive compensation with individual and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multi-year periods (as described above). The charts below depict the annualized mix of target compensation for Lilly’s CEO and the average for the other named executive officers (including Mr.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554980" cy="4457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54980"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2020 Target Total Compensation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Review Process</w:t>
      </w:r>
    </w:p>
    <w:p>
      <w:pPr>
        <w:spacing w:after="0" w:line="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In setting 2020 target compensation for the named executive officers, the Compensation Committee considered individual contributions, Lilly performance during 2019, internal relativity, peer group data, and input from the CEO for named executive officers other than himself.</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Evaluation of Individual Named Executive Officer Performance</w:t>
      </w:r>
    </w:p>
    <w:p>
      <w:pPr>
        <w:spacing w:after="0" w:line="16" w:lineRule="exact"/>
        <w:rPr>
          <w:sz w:val="20"/>
          <w:szCs w:val="20"/>
          <w:color w:val="auto"/>
        </w:rPr>
      </w:pPr>
    </w:p>
    <w:p>
      <w:pPr>
        <w:ind w:right="300"/>
        <w:spacing w:after="0" w:line="242" w:lineRule="auto"/>
        <w:rPr>
          <w:sz w:val="20"/>
          <w:szCs w:val="20"/>
          <w:color w:val="auto"/>
        </w:rPr>
      </w:pPr>
      <w:r>
        <w:rPr>
          <w:rFonts w:ascii="Arial" w:cs="Arial" w:eastAsia="Arial" w:hAnsi="Arial"/>
          <w:sz w:val="16"/>
          <w:szCs w:val="16"/>
          <w:color w:val="auto"/>
        </w:rPr>
        <w:t>A summary of the Compensation Committee's review of individual named executive officer performance in 2019 that influenced decisions on 2020 target compensation for these executives is provided below:</w:t>
      </w:r>
    </w:p>
    <w:p>
      <w:pPr>
        <w:spacing w:after="0" w:line="216"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i w:val="1"/>
          <w:iCs w:val="1"/>
          <w:color w:val="auto"/>
        </w:rPr>
        <w:t>David Ricks, Chairman, President, and CEO</w:t>
      </w:r>
      <w:r>
        <w:rPr>
          <w:rFonts w:ascii="Arial" w:cs="Arial" w:eastAsia="Arial" w:hAnsi="Arial"/>
          <w:sz w:val="16"/>
          <w:szCs w:val="16"/>
          <w:color w:val="auto"/>
        </w:rPr>
        <w:t>: In accordance with the company’s Corporate Governance Guidelines, the independent directors conducted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assessment of Mr. Ricks’ performance led by the lead independent director. The independent directors believe the company largely met or exceeded its combined financial and strategic goals for 2019 under Mr. Ricks’ leadership. In 2019, Mr. Ricks and his team:</w:t>
      </w:r>
    </w:p>
    <w:p>
      <w:pPr>
        <w:sectPr>
          <w:pgSz w:w="11900" w:h="16838" w:orient="portrait"/>
          <w:cols w:equalWidth="0" w:num="1">
            <w:col w:w="11220"/>
          </w:cols>
          <w:pgMar w:left="320" w:top="14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P50</w:t>
      </w:r>
    </w:p>
    <w:p>
      <w:pPr>
        <w:sectPr>
          <w:pgSz w:w="11900" w:h="16838" w:orient="portrait"/>
          <w:cols w:equalWidth="0" w:num="1">
            <w:col w:w="11220"/>
          </w:cols>
          <w:pgMar w:left="320" w:top="1412" w:right="359" w:bottom="1440" w:gutter="0" w:footer="0" w:header="0"/>
          <w:type w:val="continuous"/>
        </w:sectPr>
      </w:pPr>
    </w:p>
    <w:bookmarkStart w:id="55" w:name="page56"/>
    <w:bookmarkEnd w:id="55"/>
    <w:p>
      <w:pPr>
        <w:ind w:left="620" w:hanging="288"/>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delivered on the company's financial commitments despite the withdrawal of Lartruvo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(olaratumab) globally in the first quarter of 2019</w:t>
      </w:r>
    </w:p>
    <w:p>
      <w:pPr>
        <w:ind w:left="660" w:right="40" w:hanging="328"/>
        <w:spacing w:after="0" w:line="213" w:lineRule="auto"/>
        <w:tabs>
          <w:tab w:leader="none" w:pos="6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launched BAQSIMI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(glucagon), a new form of glucagon for diabetes, and received approval for Reyvow</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the United States. Additionally, 15 new medicines were launched to patients in Europe, Japan, and the rest of world, including three launches in China: Trulicity, Olumiant, and Taltz</w:t>
      </w:r>
    </w:p>
    <w:p>
      <w:pPr>
        <w:ind w:left="620" w:hanging="288"/>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progressed 16 potential new medicines into Phase I clinical development from both internal research efforts and external sources</w:t>
      </w:r>
    </w:p>
    <w:p>
      <w:pPr>
        <w:spacing w:after="0" w:line="5" w:lineRule="exact"/>
        <w:rPr>
          <w:rFonts w:ascii="Arial" w:cs="Arial" w:eastAsia="Arial" w:hAnsi="Arial"/>
          <w:sz w:val="16"/>
          <w:szCs w:val="16"/>
          <w:color w:val="auto"/>
        </w:rPr>
      </w:pPr>
    </w:p>
    <w:p>
      <w:pPr>
        <w:ind w:left="660" w:right="260" w:hanging="328"/>
        <w:spacing w:after="0" w:line="246" w:lineRule="auto"/>
        <w:tabs>
          <w:tab w:leader="none" w:pos="6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continued to drive a cross-company productivity agenda resulting in savings that funded increased investment in research and development and achieved planned capital return to shareholders</w:t>
      </w:r>
    </w:p>
    <w:p>
      <w:pPr>
        <w:ind w:left="620" w:hanging="288"/>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completed the divestiture of Elanco</w:t>
      </w:r>
    </w:p>
    <w:p>
      <w:pPr>
        <w:spacing w:after="0" w:line="5" w:lineRule="exact"/>
        <w:rPr>
          <w:rFonts w:ascii="Arial" w:cs="Arial" w:eastAsia="Arial" w:hAnsi="Arial"/>
          <w:sz w:val="16"/>
          <w:szCs w:val="16"/>
          <w:color w:val="auto"/>
        </w:rPr>
      </w:pPr>
    </w:p>
    <w:p>
      <w:pPr>
        <w:ind w:left="660" w:hanging="328"/>
        <w:spacing w:after="0" w:line="246" w:lineRule="auto"/>
        <w:tabs>
          <w:tab w:leader="none" w:pos="6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completed the acquisition of Loxo Oncology, Inc. (Loxo), the largest acquisition in the company’s history and submitted selpercatinib (also known as Loxo 292) to the FDA for the treatment of metastatic rearranged during transfection (RET) fusion-positive non-small cell lung cancer and thyroid cancer</w:t>
      </w:r>
    </w:p>
    <w:p>
      <w:pPr>
        <w:spacing w:after="0" w:line="1" w:lineRule="exact"/>
        <w:rPr>
          <w:rFonts w:ascii="Arial" w:cs="Arial" w:eastAsia="Arial" w:hAnsi="Arial"/>
          <w:sz w:val="16"/>
          <w:szCs w:val="16"/>
          <w:color w:val="auto"/>
        </w:rPr>
      </w:pPr>
    </w:p>
    <w:p>
      <w:pPr>
        <w:ind w:left="660" w:right="20" w:hanging="328"/>
        <w:spacing w:after="0" w:line="246" w:lineRule="auto"/>
        <w:tabs>
          <w:tab w:leader="none" w:pos="6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implemented a strategy that improved D&amp;I across the company, increased the representation of women and minorities in management, and conducted pay equity studies to ensure equality in pay. The company was recognized for its efforts by receiving the Catalyst award recognizing our initiatives for workplace gender equity and was ranked #3 on the Diversity Inc. top 50 companies list</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improved certain environmental performance areas, such as greenhouse gas emissions, energy efficiency, waste efficiency, and wastewater</w:t>
      </w:r>
    </w:p>
    <w:p>
      <w:pPr>
        <w:spacing w:after="0" w:line="5" w:lineRule="exact"/>
        <w:rPr>
          <w:rFonts w:ascii="Arial" w:cs="Arial" w:eastAsia="Arial" w:hAnsi="Arial"/>
          <w:sz w:val="16"/>
          <w:szCs w:val="16"/>
          <w:color w:val="auto"/>
        </w:rPr>
      </w:pPr>
    </w:p>
    <w:p>
      <w:pPr>
        <w:ind w:left="660" w:right="360" w:hanging="328"/>
        <w:spacing w:after="0" w:line="260" w:lineRule="auto"/>
        <w:tabs>
          <w:tab w:leader="none" w:pos="6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initiated work to refresh our long-term goals for environmental, safety, and governance to ensure the company is fulfilling its objectives in these areas.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was named one of the world’s most ethical companies by the Ethisphere Institute.</w:t>
      </w:r>
    </w:p>
    <w:p>
      <w:pPr>
        <w:spacing w:after="0" w:line="22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i w:val="1"/>
          <w:iCs w:val="1"/>
          <w:color w:val="auto"/>
        </w:rPr>
        <w:t>Daniel Skovronsky, M.D., Ph.D., Senior Vice President, Chief Scientific Officer, and President, Lilly Research Laboratories</w:t>
      </w:r>
      <w:r>
        <w:rPr>
          <w:rFonts w:ascii="Arial" w:cs="Arial" w:eastAsia="Arial" w:hAnsi="Arial"/>
          <w:sz w:val="16"/>
          <w:szCs w:val="16"/>
          <w:color w:val="auto"/>
        </w:rPr>
        <w:t>: Dr. Skovronsky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advanced innovation for patients during his first full year as the company's chief scientific officer. His contributions in 2019 include:</w:t>
      </w:r>
    </w:p>
    <w:p>
      <w:pPr>
        <w:spacing w:after="0" w:line="203" w:lineRule="exact"/>
        <w:rPr>
          <w:sz w:val="20"/>
          <w:szCs w:val="20"/>
          <w:color w:val="auto"/>
        </w:rPr>
      </w:pPr>
    </w:p>
    <w:p>
      <w:pPr>
        <w:jc w:val="both"/>
        <w:ind w:left="660" w:right="60" w:hanging="328"/>
        <w:spacing w:after="0" w:line="246" w:lineRule="auto"/>
        <w:tabs>
          <w:tab w:leader="none" w:pos="6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advanced innovative medicines through the product pipeline including the first approval Baqsimi, a new form of glucagon for diabetes, and Reyvow for treatment of acute migraine in the United States. The company also achieved approval for 15 new medicines for patients in Europe, Japan and the rest of world including three launches in China: Trulicity, Olumiant, and Taltz</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co-led the acquisition of Loxo, the largest acquisition in the company’s history</w:t>
      </w:r>
    </w:p>
    <w:p>
      <w:pPr>
        <w:spacing w:after="0" w:line="5" w:lineRule="exact"/>
        <w:rPr>
          <w:rFonts w:ascii="Arial" w:cs="Arial" w:eastAsia="Arial" w:hAnsi="Arial"/>
          <w:sz w:val="16"/>
          <w:szCs w:val="16"/>
          <w:color w:val="auto"/>
        </w:rPr>
      </w:pPr>
    </w:p>
    <w:p>
      <w:pPr>
        <w:ind w:left="660" w:hanging="328"/>
        <w:spacing w:after="0" w:line="246" w:lineRule="auto"/>
        <w:tabs>
          <w:tab w:leader="none" w:pos="6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sped research resulting in 16 potential new medicines advancing to Phase I clinical development including both internally discovered molecules and molecules sourced externally via business development, the most the company has achieved in more than a decade</w:t>
      </w:r>
    </w:p>
    <w:p>
      <w:pPr>
        <w:ind w:left="620" w:hanging="288"/>
        <w:spacing w:after="0"/>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enhanced strategies to further reduce the time drug candidates spend in development, leading to earlier product launch</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led Lilly’s external research efforts, including expansion of key research hubs in New York, Boston and San Francisco</w:t>
      </w:r>
    </w:p>
    <w:p>
      <w:pPr>
        <w:spacing w:after="0" w:line="5" w:lineRule="exact"/>
        <w:rPr>
          <w:rFonts w:ascii="Arial" w:cs="Arial" w:eastAsia="Arial" w:hAnsi="Arial"/>
          <w:sz w:val="16"/>
          <w:szCs w:val="16"/>
          <w:color w:val="auto"/>
        </w:rPr>
      </w:pPr>
    </w:p>
    <w:p>
      <w:pPr>
        <w:ind w:left="660" w:right="60" w:hanging="328"/>
        <w:spacing w:after="0" w:line="260" w:lineRule="auto"/>
        <w:tabs>
          <w:tab w:leader="none" w:pos="6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led D&amp;I strategies in research and development to improve innovation and productivity; acted as executive sponsor of Lilly’s Japanese Network, an employee resource group focused on supporting and advancing people of Japanese heritage in the company.</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i w:val="1"/>
          <w:iCs w:val="1"/>
          <w:color w:val="auto"/>
        </w:rPr>
        <w:t>Anat Hakim, Senior Vice President, General Counsel and Secretary</w:t>
      </w:r>
      <w:r>
        <w:rPr>
          <w:rFonts w:ascii="Arial" w:cs="Arial" w:eastAsia="Arial" w:hAnsi="Arial"/>
          <w:sz w:val="16"/>
          <w:szCs w:val="16"/>
          <w:color w:val="auto"/>
        </w:rPr>
        <w:t>: Ms. Hakim joined Lilly as senior vice president and general counsel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In October 2020, Ms. Hakim was elected secretary by the board, thereby changing her title to senior vice president, general counsel and secretary. Prior to joining Lilly, Ms. Hakim served as executive vice president, general counsel and secretary of WellCare Health Plans. Ms. Hakim began her career at Latham &amp; Watkins LLP after earning her law degree from Harvard University. She later moved to Foley &amp; Lardner LLP. In 2010 she joined Abbott Laboratories (Abbott) as divisional vice president and associate general counsel for intellectual property litigation supporting Abbott's pharmaceutical business; in 2013, she was named associate general counsel for litigation. Ms. Hakim was recognized as general counsel of the year in 2019 by Corporate Counsel for her work at WellCare Health Plans.</w:t>
      </w:r>
    </w:p>
    <w:p>
      <w:pPr>
        <w:spacing w:after="0" w:line="20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 xml:space="preserve">Alfonso Zulueta, Senior Vice President and President, Lilly International: </w:t>
      </w:r>
      <w:r>
        <w:rPr>
          <w:rFonts w:ascii="Arial" w:cs="Arial" w:eastAsia="Arial" w:hAnsi="Arial"/>
          <w:sz w:val="16"/>
          <w:szCs w:val="16"/>
          <w:color w:val="auto"/>
        </w:rPr>
        <w:t>Mr. Zulueta demonstrated strong leadership of Lilly International and across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In 2019, he:</w:t>
      </w:r>
    </w:p>
    <w:p>
      <w:pPr>
        <w:spacing w:after="0" w:line="203" w:lineRule="exact"/>
        <w:rPr>
          <w:sz w:val="20"/>
          <w:szCs w:val="20"/>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delivered strong financial results from volume driven growth across multiple therapeutic areas including diabetes, immunology, and oncology</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successfully launched numerous products in multiple countries and therapeutic areas, resulting in strong product market shares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built new capabilities with digital technologies to meet customer needs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drove a productivity agenda across Lilly International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P51</w:t>
      </w:r>
    </w:p>
    <w:p>
      <w:pPr>
        <w:sectPr>
          <w:pgSz w:w="11900" w:h="16838" w:orient="portrait"/>
          <w:cols w:equalWidth="0" w:num="1">
            <w:col w:w="11180"/>
          </w:cols>
          <w:pgMar w:left="320" w:top="1385" w:right="399" w:bottom="1440" w:gutter="0" w:footer="0" w:header="0"/>
        </w:sectPr>
      </w:pPr>
    </w:p>
    <w:bookmarkStart w:id="56" w:name="page57"/>
    <w:bookmarkEnd w:id="56"/>
    <w:p>
      <w:pPr>
        <w:ind w:left="620" w:hanging="288"/>
        <w:spacing w:after="0"/>
        <w:tabs>
          <w:tab w:leader="none" w:pos="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championed and completed several business development arrangements to maximize the Lilly portfolio</w:t>
      </w:r>
    </w:p>
    <w:p>
      <w:pPr>
        <w:spacing w:after="0" w:line="5" w:lineRule="exact"/>
        <w:rPr>
          <w:rFonts w:ascii="Arial" w:cs="Arial" w:eastAsia="Arial" w:hAnsi="Arial"/>
          <w:sz w:val="16"/>
          <w:szCs w:val="16"/>
          <w:color w:val="auto"/>
        </w:rPr>
      </w:pPr>
    </w:p>
    <w:p>
      <w:pPr>
        <w:ind w:left="660" w:right="40" w:hanging="328"/>
        <w:spacing w:after="0" w:line="260" w:lineRule="auto"/>
        <w:tabs>
          <w:tab w:leader="none" w:pos="622" w:val="left"/>
        </w:tabs>
        <w:numPr>
          <w:ilvl w:val="0"/>
          <w:numId w:val="80"/>
        </w:numPr>
        <w:rPr>
          <w:rFonts w:ascii="Arial" w:cs="Arial" w:eastAsia="Arial" w:hAnsi="Arial"/>
          <w:sz w:val="16"/>
          <w:szCs w:val="16"/>
          <w:color w:val="auto"/>
        </w:rPr>
      </w:pPr>
      <w:r>
        <w:rPr>
          <w:rFonts w:ascii="Arial" w:cs="Arial" w:eastAsia="Arial" w:hAnsi="Arial"/>
          <w:sz w:val="16"/>
          <w:szCs w:val="16"/>
          <w:color w:val="auto"/>
        </w:rPr>
        <w:t>served as executive sponsor of Organization of Latinx at Lilly (OLA), the company’s employee resource group focused on supporting and advancing the development of Latinx employees across the company.</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addition to the performance evaluations of the named executive officers above, the Compensation Committee reviewed Mr. Smiley’s performance, and determined that Mr. Smiley contributed to the strong financial performance of the company in 2019, including the completion of the Elanco divestiture, the acquisition of Loxo, and partnerships with business unit presidents and our chief scientific officer to drive resource allocation. In connection with Mr. Smiley's resignation as an officer on February 9, 2021, and because the performance-based elements of Mr. Smiley’s total compensation package had not yet been paid, the Compensation Committee took action to reduce his 2020 Bonus Plan payout to zero, reduce his 2018-2020 shareholder value award, and cancel all of his other outstanding equity incentive awards granted in 2019 and 2020. See “Compensation Recovery Policy” as well as the discussion of Mr. Smiley’s Separation Agreement under “Agreement with Former 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Target Compensation</w:t>
      </w:r>
    </w:p>
    <w:p>
      <w:pPr>
        <w:spacing w:after="0" w:line="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information below reflects total compensation at target for named executive officers for 2020. The actual compensation received in 2020 is summarized below in "2020 Compensation Results."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Rationale for Changes to Named Executive Officer Target Compensation</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established the 2020 target total compensation for each named executive officer, except Ms. Hakim, based on the named executive officer's 2019 performance, internal relativity, and peer group data. The Compensation Committee approved Ms. Hakim's target total compensation upon her hire in February 2020. In connection with Mr. Smiley's resignation as an officer on February 9, 2021, and because the performance-based elements of Mr. Smiley’s total compensation package had not yet been paid, the Compensation Committee took action to reduce his 2020 Bonus Plan payout to zero, reduce his 2018-2020 shareholder value award, and cancel his other outstanding equity incentive awards.</w:t>
      </w:r>
    </w:p>
    <w:p>
      <w:pPr>
        <w:spacing w:after="0" w:line="230"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The Compensation Committee used the terms of the applicable award agreements to take these actions, which give authority to the Compensation Committee to reduce payouts in a manner consistent with the authority provided in our Compensation Recovery Policy. See “Compensation Recovery Policy” as well as the discussion of Mr. Smiley’s Separation Agreement under “Agreement with Former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Base Salary</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shows the approved annualized salary effective at the beginning of March for each named executive officer. Base pay increases are reflective of strong individual performance and a relatively low base pay market position due to limited tenure in each executive officer's respective role. Each named executive officer's actual base salary earned during 2020 is reflected in the Summary Compensation Table in the "Executive Compensation" section of this proxy.</w:t>
      </w:r>
    </w:p>
    <w:p>
      <w:pPr>
        <w:spacing w:after="0" w:line="349"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1460" w:type="dxa"/>
            <w:vAlign w:val="bottom"/>
            <w:shd w:val="clear" w:color="auto" w:fill="C8C9CB"/>
          </w:tcPr>
          <w:p>
            <w:pPr>
              <w:spacing w:after="0"/>
              <w:rPr>
                <w:sz w:val="23"/>
                <w:szCs w:val="23"/>
                <w:color w:val="auto"/>
              </w:rPr>
            </w:pPr>
          </w:p>
        </w:tc>
        <w:tc>
          <w:tcPr>
            <w:tcW w:w="2460" w:type="dxa"/>
            <w:vAlign w:val="bottom"/>
            <w:shd w:val="clear" w:color="auto" w:fill="C8C9CB"/>
          </w:tcPr>
          <w:p>
            <w:pPr>
              <w:jc w:val="center"/>
              <w:ind w:left="172"/>
              <w:spacing w:after="0"/>
              <w:rPr>
                <w:sz w:val="20"/>
                <w:szCs w:val="20"/>
                <w:color w:val="auto"/>
              </w:rPr>
            </w:pPr>
            <w:r>
              <w:rPr>
                <w:rFonts w:ascii="Arial" w:cs="Arial" w:eastAsia="Arial" w:hAnsi="Arial"/>
                <w:sz w:val="14"/>
                <w:szCs w:val="14"/>
                <w:b w:val="1"/>
                <w:bCs w:val="1"/>
                <w:color w:val="00ABE8"/>
              </w:rPr>
              <w:t>2019 Annual Base Salary</w:t>
            </w:r>
          </w:p>
        </w:tc>
        <w:tc>
          <w:tcPr>
            <w:tcW w:w="23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2020 Annual Base Salary</w:t>
            </w:r>
          </w:p>
        </w:tc>
        <w:tc>
          <w:tcPr>
            <w:tcW w:w="1300" w:type="dxa"/>
            <w:vAlign w:val="bottom"/>
            <w:shd w:val="clear" w:color="auto" w:fill="C8C9CB"/>
          </w:tcPr>
          <w:p>
            <w:pPr>
              <w:spacing w:after="0"/>
              <w:rPr>
                <w:sz w:val="23"/>
                <w:szCs w:val="23"/>
                <w:color w:val="auto"/>
              </w:rPr>
            </w:pPr>
          </w:p>
        </w:tc>
      </w:tr>
      <w:tr>
        <w:trPr>
          <w:trHeight w:val="202"/>
        </w:trPr>
        <w:tc>
          <w:tcPr>
            <w:tcW w:w="1460" w:type="dxa"/>
            <w:vAlign w:val="bottom"/>
            <w:shd w:val="clear" w:color="auto" w:fill="C8C9CB"/>
          </w:tcPr>
          <w:p>
            <w:pPr>
              <w:spacing w:after="0"/>
              <w:rPr>
                <w:sz w:val="20"/>
                <w:szCs w:val="20"/>
                <w:color w:val="auto"/>
              </w:rPr>
            </w:pPr>
            <w:r>
              <w:rPr>
                <w:rFonts w:ascii="Arial" w:cs="Arial" w:eastAsia="Arial" w:hAnsi="Arial"/>
                <w:sz w:val="14"/>
                <w:szCs w:val="14"/>
                <w:b w:val="1"/>
                <w:bCs w:val="1"/>
                <w:color w:val="00ABE8"/>
              </w:rPr>
              <w:t>Name</w:t>
            </w:r>
          </w:p>
        </w:tc>
        <w:tc>
          <w:tcPr>
            <w:tcW w:w="2460" w:type="dxa"/>
            <w:vAlign w:val="bottom"/>
            <w:shd w:val="clear" w:color="auto" w:fill="C8C9CB"/>
          </w:tcPr>
          <w:p>
            <w:pPr>
              <w:jc w:val="center"/>
              <w:ind w:left="172"/>
              <w:spacing w:after="0"/>
              <w:rPr>
                <w:sz w:val="20"/>
                <w:szCs w:val="20"/>
                <w:color w:val="auto"/>
              </w:rPr>
            </w:pPr>
            <w:r>
              <w:rPr>
                <w:rFonts w:ascii="Arial" w:cs="Arial" w:eastAsia="Arial" w:hAnsi="Arial"/>
                <w:sz w:val="14"/>
                <w:szCs w:val="14"/>
                <w:b w:val="1"/>
                <w:bCs w:val="1"/>
                <w:color w:val="00ABE8"/>
              </w:rPr>
              <w:t>Effective March 1, 2019</w:t>
            </w:r>
          </w:p>
        </w:tc>
        <w:tc>
          <w:tcPr>
            <w:tcW w:w="23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Effective March 1, 2020</w:t>
            </w:r>
          </w:p>
        </w:tc>
        <w:tc>
          <w:tcPr>
            <w:tcW w:w="1300" w:type="dxa"/>
            <w:vAlign w:val="bottom"/>
            <w:shd w:val="clear" w:color="auto" w:fill="C8C9CB"/>
          </w:tcPr>
          <w:p>
            <w:pPr>
              <w:jc w:val="center"/>
              <w:ind w:right="16"/>
              <w:spacing w:after="0"/>
              <w:rPr>
                <w:sz w:val="20"/>
                <w:szCs w:val="20"/>
                <w:color w:val="auto"/>
              </w:rPr>
            </w:pPr>
            <w:r>
              <w:rPr>
                <w:rFonts w:ascii="Arial" w:cs="Arial" w:eastAsia="Arial" w:hAnsi="Arial"/>
                <w:sz w:val="14"/>
                <w:szCs w:val="14"/>
                <w:b w:val="1"/>
                <w:bCs w:val="1"/>
                <w:color w:val="00ABE8"/>
              </w:rPr>
              <w:t>Increase</w:t>
            </w:r>
          </w:p>
        </w:tc>
      </w:tr>
      <w:tr>
        <w:trPr>
          <w:trHeight w:val="218"/>
        </w:trPr>
        <w:tc>
          <w:tcPr>
            <w:tcW w:w="1460" w:type="dxa"/>
            <w:vAlign w:val="bottom"/>
          </w:tcPr>
          <w:p>
            <w:pPr>
              <w:spacing w:after="0"/>
              <w:rPr>
                <w:sz w:val="20"/>
                <w:szCs w:val="20"/>
                <w:color w:val="auto"/>
              </w:rPr>
            </w:pPr>
            <w:r>
              <w:rPr>
                <w:rFonts w:ascii="Arial" w:cs="Arial" w:eastAsia="Arial" w:hAnsi="Arial"/>
                <w:sz w:val="14"/>
                <w:szCs w:val="14"/>
                <w:color w:val="auto"/>
              </w:rPr>
              <w:t>Mr. Ricks</w:t>
            </w:r>
          </w:p>
        </w:tc>
        <w:tc>
          <w:tcPr>
            <w:tcW w:w="2460" w:type="dxa"/>
            <w:vAlign w:val="bottom"/>
          </w:tcPr>
          <w:p>
            <w:pPr>
              <w:jc w:val="center"/>
              <w:ind w:left="172"/>
              <w:spacing w:after="0"/>
              <w:rPr>
                <w:sz w:val="20"/>
                <w:szCs w:val="20"/>
                <w:color w:val="auto"/>
              </w:rPr>
            </w:pPr>
            <w:r>
              <w:rPr>
                <w:rFonts w:ascii="Arial" w:cs="Arial" w:eastAsia="Arial" w:hAnsi="Arial"/>
                <w:sz w:val="13"/>
                <w:szCs w:val="13"/>
                <w:color w:val="auto"/>
                <w:w w:val="95"/>
              </w:rPr>
              <w:t>$1,400,000</w:t>
            </w:r>
          </w:p>
        </w:tc>
        <w:tc>
          <w:tcPr>
            <w:tcW w:w="2300" w:type="dxa"/>
            <w:vAlign w:val="bottom"/>
          </w:tcPr>
          <w:p>
            <w:pPr>
              <w:jc w:val="center"/>
              <w:spacing w:after="0"/>
              <w:rPr>
                <w:sz w:val="20"/>
                <w:szCs w:val="20"/>
                <w:color w:val="auto"/>
              </w:rPr>
            </w:pPr>
            <w:r>
              <w:rPr>
                <w:rFonts w:ascii="Arial" w:cs="Arial" w:eastAsia="Arial" w:hAnsi="Arial"/>
                <w:sz w:val="13"/>
                <w:szCs w:val="13"/>
                <w:color w:val="auto"/>
                <w:w w:val="95"/>
              </w:rPr>
              <w:t>$1,500,000</w:t>
            </w:r>
          </w:p>
        </w:tc>
        <w:tc>
          <w:tcPr>
            <w:tcW w:w="1300" w:type="dxa"/>
            <w:vAlign w:val="bottom"/>
          </w:tcPr>
          <w:p>
            <w:pPr>
              <w:jc w:val="center"/>
              <w:ind w:right="16"/>
              <w:spacing w:after="0"/>
              <w:rPr>
                <w:sz w:val="20"/>
                <w:szCs w:val="20"/>
                <w:color w:val="auto"/>
              </w:rPr>
            </w:pPr>
            <w:r>
              <w:rPr>
                <w:rFonts w:ascii="Arial" w:cs="Arial" w:eastAsia="Arial" w:hAnsi="Arial"/>
                <w:sz w:val="13"/>
                <w:szCs w:val="13"/>
                <w:color w:val="auto"/>
                <w:w w:val="95"/>
              </w:rPr>
              <w:t>7%</w:t>
            </w:r>
          </w:p>
        </w:tc>
      </w:tr>
      <w:tr>
        <w:trPr>
          <w:trHeight w:val="216"/>
        </w:trPr>
        <w:tc>
          <w:tcPr>
            <w:tcW w:w="1460" w:type="dxa"/>
            <w:vAlign w:val="bottom"/>
          </w:tcPr>
          <w:p>
            <w:pPr>
              <w:spacing w:after="0"/>
              <w:rPr>
                <w:sz w:val="20"/>
                <w:szCs w:val="20"/>
                <w:color w:val="auto"/>
              </w:rPr>
            </w:pPr>
            <w:r>
              <w:rPr>
                <w:rFonts w:ascii="Arial" w:cs="Arial" w:eastAsia="Arial" w:hAnsi="Arial"/>
                <w:sz w:val="14"/>
                <w:szCs w:val="14"/>
                <w:color w:val="auto"/>
              </w:rPr>
              <w:t>Mr. Smiley</w:t>
            </w:r>
          </w:p>
        </w:tc>
        <w:tc>
          <w:tcPr>
            <w:tcW w:w="2460" w:type="dxa"/>
            <w:vAlign w:val="bottom"/>
          </w:tcPr>
          <w:p>
            <w:pPr>
              <w:jc w:val="center"/>
              <w:ind w:left="172"/>
              <w:spacing w:after="0"/>
              <w:rPr>
                <w:sz w:val="20"/>
                <w:szCs w:val="20"/>
                <w:color w:val="auto"/>
              </w:rPr>
            </w:pPr>
            <w:r>
              <w:rPr>
                <w:rFonts w:ascii="Arial" w:cs="Arial" w:eastAsia="Arial" w:hAnsi="Arial"/>
                <w:sz w:val="13"/>
                <w:szCs w:val="13"/>
                <w:color w:val="auto"/>
                <w:w w:val="99"/>
              </w:rPr>
              <w:t>$900,000</w:t>
            </w:r>
          </w:p>
        </w:tc>
        <w:tc>
          <w:tcPr>
            <w:tcW w:w="2300" w:type="dxa"/>
            <w:vAlign w:val="bottom"/>
          </w:tcPr>
          <w:p>
            <w:pPr>
              <w:jc w:val="center"/>
              <w:spacing w:after="0"/>
              <w:rPr>
                <w:sz w:val="20"/>
                <w:szCs w:val="20"/>
                <w:color w:val="auto"/>
              </w:rPr>
            </w:pPr>
            <w:r>
              <w:rPr>
                <w:rFonts w:ascii="Arial" w:cs="Arial" w:eastAsia="Arial" w:hAnsi="Arial"/>
                <w:sz w:val="13"/>
                <w:szCs w:val="13"/>
                <w:color w:val="auto"/>
                <w:w w:val="95"/>
              </w:rPr>
              <w:t>$1,000,000</w:t>
            </w:r>
          </w:p>
        </w:tc>
        <w:tc>
          <w:tcPr>
            <w:tcW w:w="1300" w:type="dxa"/>
            <w:vAlign w:val="bottom"/>
          </w:tcPr>
          <w:p>
            <w:pPr>
              <w:jc w:val="center"/>
              <w:ind w:right="16"/>
              <w:spacing w:after="0"/>
              <w:rPr>
                <w:sz w:val="20"/>
                <w:szCs w:val="20"/>
                <w:color w:val="auto"/>
              </w:rPr>
            </w:pPr>
            <w:r>
              <w:rPr>
                <w:rFonts w:ascii="Arial" w:cs="Arial" w:eastAsia="Arial" w:hAnsi="Arial"/>
                <w:sz w:val="13"/>
                <w:szCs w:val="13"/>
                <w:color w:val="auto"/>
                <w:w w:val="99"/>
              </w:rPr>
              <w:t>11%</w:t>
            </w:r>
          </w:p>
        </w:tc>
      </w:tr>
      <w:tr>
        <w:trPr>
          <w:trHeight w:val="216"/>
        </w:trPr>
        <w:tc>
          <w:tcPr>
            <w:tcW w:w="1460" w:type="dxa"/>
            <w:vAlign w:val="bottom"/>
          </w:tcPr>
          <w:p>
            <w:pPr>
              <w:spacing w:after="0"/>
              <w:rPr>
                <w:sz w:val="20"/>
                <w:szCs w:val="20"/>
                <w:color w:val="auto"/>
              </w:rPr>
            </w:pPr>
            <w:r>
              <w:rPr>
                <w:rFonts w:ascii="Arial" w:cs="Arial" w:eastAsia="Arial" w:hAnsi="Arial"/>
                <w:sz w:val="14"/>
                <w:szCs w:val="14"/>
                <w:color w:val="auto"/>
              </w:rPr>
              <w:t>Dr. Skovronsky</w:t>
            </w:r>
          </w:p>
        </w:tc>
        <w:tc>
          <w:tcPr>
            <w:tcW w:w="2460" w:type="dxa"/>
            <w:vAlign w:val="bottom"/>
          </w:tcPr>
          <w:p>
            <w:pPr>
              <w:jc w:val="center"/>
              <w:ind w:left="172"/>
              <w:spacing w:after="0"/>
              <w:rPr>
                <w:sz w:val="20"/>
                <w:szCs w:val="20"/>
                <w:color w:val="auto"/>
              </w:rPr>
            </w:pPr>
            <w:r>
              <w:rPr>
                <w:rFonts w:ascii="Arial" w:cs="Arial" w:eastAsia="Arial" w:hAnsi="Arial"/>
                <w:sz w:val="13"/>
                <w:szCs w:val="13"/>
                <w:color w:val="auto"/>
                <w:w w:val="99"/>
              </w:rPr>
              <w:t>$900,000</w:t>
            </w:r>
          </w:p>
        </w:tc>
        <w:tc>
          <w:tcPr>
            <w:tcW w:w="2300" w:type="dxa"/>
            <w:vAlign w:val="bottom"/>
          </w:tcPr>
          <w:p>
            <w:pPr>
              <w:jc w:val="center"/>
              <w:spacing w:after="0"/>
              <w:rPr>
                <w:sz w:val="20"/>
                <w:szCs w:val="20"/>
                <w:color w:val="auto"/>
              </w:rPr>
            </w:pPr>
            <w:r>
              <w:rPr>
                <w:rFonts w:ascii="Arial" w:cs="Arial" w:eastAsia="Arial" w:hAnsi="Arial"/>
                <w:sz w:val="13"/>
                <w:szCs w:val="13"/>
                <w:color w:val="auto"/>
                <w:w w:val="95"/>
              </w:rPr>
              <w:t>$1,000,000</w:t>
            </w:r>
          </w:p>
        </w:tc>
        <w:tc>
          <w:tcPr>
            <w:tcW w:w="1300" w:type="dxa"/>
            <w:vAlign w:val="bottom"/>
          </w:tcPr>
          <w:p>
            <w:pPr>
              <w:jc w:val="center"/>
              <w:ind w:right="16"/>
              <w:spacing w:after="0"/>
              <w:rPr>
                <w:sz w:val="20"/>
                <w:szCs w:val="20"/>
                <w:color w:val="auto"/>
              </w:rPr>
            </w:pPr>
            <w:r>
              <w:rPr>
                <w:rFonts w:ascii="Arial" w:cs="Arial" w:eastAsia="Arial" w:hAnsi="Arial"/>
                <w:sz w:val="13"/>
                <w:szCs w:val="13"/>
                <w:color w:val="auto"/>
                <w:w w:val="99"/>
              </w:rPr>
              <w:t>11%</w:t>
            </w:r>
          </w:p>
        </w:tc>
      </w:tr>
      <w:tr>
        <w:trPr>
          <w:trHeight w:val="251"/>
        </w:trPr>
        <w:tc>
          <w:tcPr>
            <w:tcW w:w="1460" w:type="dxa"/>
            <w:vAlign w:val="bottom"/>
          </w:tcPr>
          <w:p>
            <w:pPr>
              <w:spacing w:after="0"/>
              <w:rPr>
                <w:sz w:val="20"/>
                <w:szCs w:val="20"/>
                <w:color w:val="auto"/>
              </w:rPr>
            </w:pPr>
            <w:r>
              <w:rPr>
                <w:rFonts w:ascii="Arial" w:cs="Arial" w:eastAsia="Arial" w:hAnsi="Arial"/>
                <w:sz w:val="14"/>
                <w:szCs w:val="14"/>
                <w:color w:val="auto"/>
              </w:rPr>
              <w:t>Ms. Hakim</w:t>
            </w:r>
          </w:p>
        </w:tc>
        <w:tc>
          <w:tcPr>
            <w:tcW w:w="2460" w:type="dxa"/>
            <w:vAlign w:val="bottom"/>
          </w:tcPr>
          <w:p>
            <w:pPr>
              <w:jc w:val="center"/>
              <w:ind w:left="172"/>
              <w:spacing w:after="0"/>
              <w:rPr>
                <w:sz w:val="20"/>
                <w:szCs w:val="20"/>
                <w:color w:val="auto"/>
              </w:rPr>
            </w:pPr>
            <w:r>
              <w:rPr>
                <w:rFonts w:ascii="Arial" w:cs="Arial" w:eastAsia="Arial" w:hAnsi="Arial"/>
                <w:sz w:val="14"/>
                <w:szCs w:val="14"/>
                <w:color w:val="auto"/>
                <w:w w:val="99"/>
              </w:rPr>
              <w:t>N/A</w:t>
            </w:r>
            <w:r>
              <w:rPr>
                <w:rFonts w:ascii="Arial" w:cs="Arial" w:eastAsia="Arial" w:hAnsi="Arial"/>
                <w:sz w:val="18"/>
                <w:szCs w:val="18"/>
                <w:color w:val="auto"/>
                <w:w w:val="99"/>
                <w:vertAlign w:val="superscript"/>
              </w:rPr>
              <w:t>1</w:t>
            </w:r>
          </w:p>
        </w:tc>
        <w:tc>
          <w:tcPr>
            <w:tcW w:w="2300" w:type="dxa"/>
            <w:vAlign w:val="bottom"/>
          </w:tcPr>
          <w:p>
            <w:pPr>
              <w:jc w:val="center"/>
              <w:spacing w:after="0"/>
              <w:rPr>
                <w:sz w:val="20"/>
                <w:szCs w:val="20"/>
                <w:color w:val="auto"/>
              </w:rPr>
            </w:pPr>
            <w:r>
              <w:rPr>
                <w:rFonts w:ascii="Arial" w:cs="Arial" w:eastAsia="Arial" w:hAnsi="Arial"/>
                <w:sz w:val="13"/>
                <w:szCs w:val="13"/>
                <w:color w:val="auto"/>
                <w:w w:val="95"/>
              </w:rPr>
              <w:t>$775,000</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N/A</w:t>
            </w:r>
          </w:p>
        </w:tc>
      </w:tr>
      <w:tr>
        <w:trPr>
          <w:trHeight w:val="240"/>
        </w:trPr>
        <w:tc>
          <w:tcPr>
            <w:tcW w:w="1460" w:type="dxa"/>
            <w:vAlign w:val="bottom"/>
          </w:tcPr>
          <w:p>
            <w:pPr>
              <w:spacing w:after="0"/>
              <w:rPr>
                <w:sz w:val="20"/>
                <w:szCs w:val="20"/>
                <w:color w:val="auto"/>
              </w:rPr>
            </w:pPr>
            <w:r>
              <w:rPr>
                <w:rFonts w:ascii="Arial" w:cs="Arial" w:eastAsia="Arial" w:hAnsi="Arial"/>
                <w:sz w:val="14"/>
                <w:szCs w:val="14"/>
                <w:color w:val="auto"/>
              </w:rPr>
              <w:t>Mr. Zulueta</w:t>
            </w:r>
          </w:p>
        </w:tc>
        <w:tc>
          <w:tcPr>
            <w:tcW w:w="2460" w:type="dxa"/>
            <w:vAlign w:val="bottom"/>
          </w:tcPr>
          <w:p>
            <w:pPr>
              <w:jc w:val="center"/>
              <w:ind w:left="172"/>
              <w:spacing w:after="0"/>
              <w:rPr>
                <w:sz w:val="20"/>
                <w:szCs w:val="20"/>
                <w:color w:val="auto"/>
              </w:rPr>
            </w:pPr>
            <w:r>
              <w:rPr>
                <w:rFonts w:ascii="Arial" w:cs="Arial" w:eastAsia="Arial" w:hAnsi="Arial"/>
                <w:sz w:val="14"/>
                <w:szCs w:val="14"/>
                <w:color w:val="auto"/>
                <w:w w:val="99"/>
              </w:rPr>
              <w:t>N/A</w:t>
            </w:r>
            <w:r>
              <w:rPr>
                <w:rFonts w:ascii="Arial" w:cs="Arial" w:eastAsia="Arial" w:hAnsi="Arial"/>
                <w:sz w:val="18"/>
                <w:szCs w:val="18"/>
                <w:color w:val="auto"/>
                <w:w w:val="99"/>
                <w:vertAlign w:val="superscript"/>
              </w:rPr>
              <w:t>1</w:t>
            </w:r>
          </w:p>
        </w:tc>
        <w:tc>
          <w:tcPr>
            <w:tcW w:w="2300" w:type="dxa"/>
            <w:vAlign w:val="bottom"/>
          </w:tcPr>
          <w:p>
            <w:pPr>
              <w:jc w:val="center"/>
              <w:spacing w:after="0"/>
              <w:rPr>
                <w:sz w:val="20"/>
                <w:szCs w:val="20"/>
                <w:color w:val="auto"/>
              </w:rPr>
            </w:pPr>
            <w:r>
              <w:rPr>
                <w:rFonts w:ascii="Arial" w:cs="Arial" w:eastAsia="Arial" w:hAnsi="Arial"/>
                <w:sz w:val="13"/>
                <w:szCs w:val="13"/>
                <w:color w:val="auto"/>
                <w:w w:val="95"/>
              </w:rPr>
              <w:t>$850,000</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N/A</w:t>
            </w:r>
          </w:p>
        </w:tc>
      </w:tr>
    </w:tbl>
    <w:p>
      <w:pPr>
        <w:spacing w:after="0" w:line="47" w:lineRule="exact"/>
        <w:rPr>
          <w:sz w:val="20"/>
          <w:szCs w:val="20"/>
          <w:color w:val="auto"/>
        </w:rPr>
      </w:pPr>
    </w:p>
    <w:p>
      <w:pPr>
        <w:ind w:left="1960" w:hanging="78"/>
        <w:spacing w:after="0"/>
        <w:tabs>
          <w:tab w:leader="none" w:pos="1960"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Ms. Hakim and Mr. Zulueta were not named executive officers in 2019.</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Annual Cash Bonus Targets</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a review of internal relativity, peer group data, and individual performance, the Compensation Committee retained the same percent-of-salary bonus targets as in 2019 for Mr. Ricks, Mr. Smiley, and Dr. Skovronsky and set Ms. Hakim's bonus target at 80 percent and Mr. Zulueta's bonus target at 95 percent. Bonus targets are shown in the table below as a percentage of each named executive officer’s earnings from base salary in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P52</w:t>
      </w:r>
    </w:p>
    <w:p>
      <w:pPr>
        <w:sectPr>
          <w:pgSz w:w="11900" w:h="16838" w:orient="portrait"/>
          <w:cols w:equalWidth="0" w:num="1">
            <w:col w:w="11240"/>
          </w:cols>
          <w:pgMar w:left="320" w:top="1437" w:right="339" w:bottom="1440" w:gutter="0" w:footer="0" w:header="0"/>
        </w:sectPr>
      </w:pPr>
    </w:p>
    <w:bookmarkStart w:id="57" w:name="page58"/>
    <w:bookmarkEnd w:id="57"/>
    <w:p>
      <w:pPr>
        <w:spacing w:after="0" w:line="118"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170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2120" w:type="dxa"/>
            <w:vAlign w:val="bottom"/>
            <w:shd w:val="clear" w:color="auto" w:fill="C8C9CB"/>
          </w:tcPr>
          <w:p>
            <w:pPr>
              <w:jc w:val="center"/>
              <w:ind w:left="536"/>
              <w:spacing w:after="0"/>
              <w:rPr>
                <w:sz w:val="20"/>
                <w:szCs w:val="20"/>
                <w:color w:val="auto"/>
              </w:rPr>
            </w:pPr>
            <w:r>
              <w:rPr>
                <w:rFonts w:ascii="Arial" w:cs="Arial" w:eastAsia="Arial" w:hAnsi="Arial"/>
                <w:sz w:val="14"/>
                <w:szCs w:val="14"/>
                <w:b w:val="1"/>
                <w:bCs w:val="1"/>
                <w:color w:val="00ABE8"/>
              </w:rPr>
              <w:t>2019 Bonus Target</w:t>
            </w:r>
          </w:p>
        </w:tc>
        <w:tc>
          <w:tcPr>
            <w:tcW w:w="1760" w:type="dxa"/>
            <w:vAlign w:val="bottom"/>
            <w:shd w:val="clear" w:color="auto" w:fill="C8C9CB"/>
          </w:tcPr>
          <w:p>
            <w:pPr>
              <w:jc w:val="right"/>
              <w:ind w:right="183"/>
              <w:spacing w:after="0"/>
              <w:rPr>
                <w:sz w:val="20"/>
                <w:szCs w:val="20"/>
                <w:color w:val="auto"/>
              </w:rPr>
            </w:pPr>
            <w:r>
              <w:rPr>
                <w:rFonts w:ascii="Arial" w:cs="Arial" w:eastAsia="Arial" w:hAnsi="Arial"/>
                <w:sz w:val="14"/>
                <w:szCs w:val="14"/>
                <w:b w:val="1"/>
                <w:bCs w:val="1"/>
                <w:color w:val="00ABE8"/>
              </w:rPr>
              <w:t>2020 Bonus Target</w:t>
            </w: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Mr. Ricks</w:t>
            </w:r>
          </w:p>
        </w:tc>
        <w:tc>
          <w:tcPr>
            <w:tcW w:w="2120" w:type="dxa"/>
            <w:vAlign w:val="bottom"/>
          </w:tcPr>
          <w:p>
            <w:pPr>
              <w:jc w:val="center"/>
              <w:ind w:left="536"/>
              <w:spacing w:after="0"/>
              <w:rPr>
                <w:sz w:val="20"/>
                <w:szCs w:val="20"/>
                <w:color w:val="auto"/>
              </w:rPr>
            </w:pPr>
            <w:r>
              <w:rPr>
                <w:rFonts w:ascii="Arial" w:cs="Arial" w:eastAsia="Arial" w:hAnsi="Arial"/>
                <w:sz w:val="13"/>
                <w:szCs w:val="13"/>
                <w:color w:val="auto"/>
                <w:w w:val="96"/>
              </w:rPr>
              <w:t>150%</w:t>
            </w:r>
          </w:p>
        </w:tc>
        <w:tc>
          <w:tcPr>
            <w:tcW w:w="1760" w:type="dxa"/>
            <w:vAlign w:val="bottom"/>
          </w:tcPr>
          <w:p>
            <w:pPr>
              <w:jc w:val="center"/>
              <w:spacing w:after="0"/>
              <w:rPr>
                <w:sz w:val="20"/>
                <w:szCs w:val="20"/>
                <w:color w:val="auto"/>
              </w:rPr>
            </w:pPr>
            <w:r>
              <w:rPr>
                <w:rFonts w:ascii="Arial" w:cs="Arial" w:eastAsia="Arial" w:hAnsi="Arial"/>
                <w:sz w:val="13"/>
                <w:szCs w:val="13"/>
                <w:color w:val="auto"/>
                <w:w w:val="96"/>
              </w:rPr>
              <w:t>150%</w:t>
            </w:r>
          </w:p>
        </w:tc>
        <w:tc>
          <w:tcPr>
            <w:tcW w:w="0" w:type="dxa"/>
            <w:vAlign w:val="bottom"/>
          </w:tcPr>
          <w:p>
            <w:pPr>
              <w:spacing w:after="0"/>
              <w:rPr>
                <w:sz w:val="1"/>
                <w:szCs w:val="1"/>
                <w:color w:val="auto"/>
              </w:rPr>
            </w:pPr>
          </w:p>
        </w:tc>
      </w:tr>
      <w:tr>
        <w:trPr>
          <w:trHeight w:val="82"/>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Mr. Smiley</w:t>
            </w:r>
          </w:p>
        </w:tc>
        <w:tc>
          <w:tcPr>
            <w:tcW w:w="2120" w:type="dxa"/>
            <w:vAlign w:val="bottom"/>
          </w:tcPr>
          <w:p>
            <w:pPr>
              <w:spacing w:after="0"/>
              <w:rPr>
                <w:sz w:val="7"/>
                <w:szCs w:val="7"/>
                <w:color w:val="auto"/>
              </w:rPr>
            </w:pPr>
          </w:p>
        </w:tc>
        <w:tc>
          <w:tcPr>
            <w:tcW w:w="1760" w:type="dxa"/>
            <w:vAlign w:val="bottom"/>
          </w:tcPr>
          <w:p>
            <w:pPr>
              <w:jc w:val="right"/>
              <w:spacing w:after="0" w:line="82"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69"/>
        </w:trPr>
        <w:tc>
          <w:tcPr>
            <w:tcW w:w="1700" w:type="dxa"/>
            <w:vAlign w:val="bottom"/>
            <w:vMerge w:val="continue"/>
          </w:tcPr>
          <w:p>
            <w:pPr>
              <w:spacing w:after="0"/>
              <w:rPr>
                <w:sz w:val="14"/>
                <w:szCs w:val="14"/>
                <w:color w:val="auto"/>
              </w:rPr>
            </w:pPr>
          </w:p>
        </w:tc>
        <w:tc>
          <w:tcPr>
            <w:tcW w:w="2120" w:type="dxa"/>
            <w:vAlign w:val="bottom"/>
          </w:tcPr>
          <w:p>
            <w:pPr>
              <w:jc w:val="center"/>
              <w:ind w:left="556"/>
              <w:spacing w:after="0"/>
              <w:rPr>
                <w:sz w:val="20"/>
                <w:szCs w:val="20"/>
                <w:color w:val="auto"/>
              </w:rPr>
            </w:pPr>
            <w:r>
              <w:rPr>
                <w:rFonts w:ascii="Arial" w:cs="Arial" w:eastAsia="Arial" w:hAnsi="Arial"/>
                <w:sz w:val="13"/>
                <w:szCs w:val="13"/>
                <w:color w:val="auto"/>
                <w:w w:val="99"/>
              </w:rPr>
              <w:t>95%</w:t>
            </w: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95%</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120" w:type="dxa"/>
            <w:vAlign w:val="bottom"/>
          </w:tcPr>
          <w:p>
            <w:pPr>
              <w:jc w:val="center"/>
              <w:ind w:left="556"/>
              <w:spacing w:after="0"/>
              <w:rPr>
                <w:sz w:val="20"/>
                <w:szCs w:val="20"/>
                <w:color w:val="auto"/>
              </w:rPr>
            </w:pPr>
            <w:r>
              <w:rPr>
                <w:rFonts w:ascii="Arial" w:cs="Arial" w:eastAsia="Arial" w:hAnsi="Arial"/>
                <w:sz w:val="13"/>
                <w:szCs w:val="13"/>
                <w:color w:val="auto"/>
                <w:w w:val="99"/>
              </w:rPr>
              <w:t>95%</w:t>
            </w: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95%</w:t>
            </w:r>
          </w:p>
        </w:tc>
        <w:tc>
          <w:tcPr>
            <w:tcW w:w="0" w:type="dxa"/>
            <w:vAlign w:val="bottom"/>
          </w:tcPr>
          <w:p>
            <w:pPr>
              <w:spacing w:after="0"/>
              <w:rPr>
                <w:sz w:val="1"/>
                <w:szCs w:val="1"/>
                <w:color w:val="auto"/>
              </w:rPr>
            </w:pPr>
          </w:p>
        </w:tc>
      </w:tr>
      <w:tr>
        <w:trPr>
          <w:trHeight w:val="82"/>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Ms. Hakim</w:t>
            </w:r>
          </w:p>
        </w:tc>
        <w:tc>
          <w:tcPr>
            <w:tcW w:w="2120" w:type="dxa"/>
            <w:vAlign w:val="bottom"/>
          </w:tcPr>
          <w:p>
            <w:pPr>
              <w:spacing w:after="0"/>
              <w:rPr>
                <w:sz w:val="7"/>
                <w:szCs w:val="7"/>
                <w:color w:val="auto"/>
              </w:rPr>
            </w:pPr>
          </w:p>
        </w:tc>
        <w:tc>
          <w:tcPr>
            <w:tcW w:w="1760" w:type="dxa"/>
            <w:vAlign w:val="bottom"/>
          </w:tcPr>
          <w:p>
            <w:pPr>
              <w:jc w:val="right"/>
              <w:ind w:right="1543"/>
              <w:spacing w:after="0" w:line="82"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34"/>
        </w:trPr>
        <w:tc>
          <w:tcPr>
            <w:tcW w:w="1700" w:type="dxa"/>
            <w:vAlign w:val="bottom"/>
            <w:vMerge w:val="continue"/>
          </w:tcPr>
          <w:p>
            <w:pPr>
              <w:spacing w:after="0"/>
              <w:rPr>
                <w:sz w:val="11"/>
                <w:szCs w:val="11"/>
                <w:color w:val="auto"/>
              </w:rPr>
            </w:pPr>
          </w:p>
        </w:tc>
        <w:tc>
          <w:tcPr>
            <w:tcW w:w="2120" w:type="dxa"/>
            <w:vAlign w:val="bottom"/>
          </w:tcPr>
          <w:p>
            <w:pPr>
              <w:jc w:val="center"/>
              <w:ind w:left="556"/>
              <w:spacing w:after="0" w:line="134" w:lineRule="exact"/>
              <w:rPr>
                <w:sz w:val="20"/>
                <w:szCs w:val="20"/>
                <w:color w:val="auto"/>
              </w:rPr>
            </w:pPr>
            <w:r>
              <w:rPr>
                <w:rFonts w:ascii="Arial" w:cs="Arial" w:eastAsia="Arial" w:hAnsi="Arial"/>
                <w:sz w:val="13"/>
                <w:szCs w:val="13"/>
                <w:color w:val="auto"/>
              </w:rPr>
              <w:t>N/A</w:t>
            </w:r>
          </w:p>
        </w:tc>
        <w:tc>
          <w:tcPr>
            <w:tcW w:w="1760" w:type="dxa"/>
            <w:vAlign w:val="bottom"/>
          </w:tcPr>
          <w:p>
            <w:pPr>
              <w:jc w:val="center"/>
              <w:spacing w:after="0" w:line="134" w:lineRule="exact"/>
              <w:rPr>
                <w:sz w:val="20"/>
                <w:szCs w:val="20"/>
                <w:color w:val="auto"/>
              </w:rPr>
            </w:pPr>
            <w:r>
              <w:rPr>
                <w:rFonts w:ascii="Arial" w:cs="Arial" w:eastAsia="Arial" w:hAnsi="Arial"/>
                <w:sz w:val="13"/>
                <w:szCs w:val="13"/>
                <w:color w:val="auto"/>
                <w:w w:val="99"/>
              </w:rPr>
              <w:t>80%</w:t>
            </w:r>
          </w:p>
        </w:tc>
        <w:tc>
          <w:tcPr>
            <w:tcW w:w="0" w:type="dxa"/>
            <w:vAlign w:val="bottom"/>
          </w:tcPr>
          <w:p>
            <w:pPr>
              <w:spacing w:after="0"/>
              <w:rPr>
                <w:sz w:val="1"/>
                <w:szCs w:val="1"/>
                <w:color w:val="auto"/>
              </w:rPr>
            </w:pPr>
          </w:p>
        </w:tc>
      </w:tr>
      <w:tr>
        <w:trPr>
          <w:trHeight w:val="82"/>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Mr. Zulueta</w:t>
            </w:r>
          </w:p>
        </w:tc>
        <w:tc>
          <w:tcPr>
            <w:tcW w:w="2120" w:type="dxa"/>
            <w:vAlign w:val="bottom"/>
          </w:tcPr>
          <w:p>
            <w:pPr>
              <w:spacing w:after="0"/>
              <w:rPr>
                <w:sz w:val="7"/>
                <w:szCs w:val="7"/>
                <w:color w:val="auto"/>
              </w:rPr>
            </w:pPr>
          </w:p>
        </w:tc>
        <w:tc>
          <w:tcPr>
            <w:tcW w:w="1760" w:type="dxa"/>
            <w:vAlign w:val="bottom"/>
          </w:tcPr>
          <w:p>
            <w:pPr>
              <w:jc w:val="right"/>
              <w:ind w:right="1543"/>
              <w:spacing w:after="0" w:line="82"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69"/>
        </w:trPr>
        <w:tc>
          <w:tcPr>
            <w:tcW w:w="1700" w:type="dxa"/>
            <w:vAlign w:val="bottom"/>
            <w:vMerge w:val="continue"/>
          </w:tcPr>
          <w:p>
            <w:pPr>
              <w:spacing w:after="0"/>
              <w:rPr>
                <w:sz w:val="14"/>
                <w:szCs w:val="14"/>
                <w:color w:val="auto"/>
              </w:rPr>
            </w:pPr>
          </w:p>
        </w:tc>
        <w:tc>
          <w:tcPr>
            <w:tcW w:w="2120" w:type="dxa"/>
            <w:vAlign w:val="bottom"/>
          </w:tcPr>
          <w:p>
            <w:pPr>
              <w:jc w:val="center"/>
              <w:ind w:left="556"/>
              <w:spacing w:after="0"/>
              <w:rPr>
                <w:sz w:val="20"/>
                <w:szCs w:val="20"/>
                <w:color w:val="auto"/>
              </w:rPr>
            </w:pPr>
            <w:r>
              <w:rPr>
                <w:rFonts w:ascii="Arial" w:cs="Arial" w:eastAsia="Arial" w:hAnsi="Arial"/>
                <w:sz w:val="13"/>
                <w:szCs w:val="13"/>
                <w:color w:val="auto"/>
              </w:rPr>
              <w:t>N/A</w:t>
            </w: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95%</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940" w:hanging="86"/>
        <w:spacing w:after="0"/>
        <w:tabs>
          <w:tab w:leader="none" w:pos="294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Ms. Hakim and Mr. Zulueta were not named executive officers in 2019.</w:t>
      </w:r>
    </w:p>
    <w:p>
      <w:pPr>
        <w:spacing w:after="0" w:line="111" w:lineRule="exact"/>
        <w:rPr>
          <w:sz w:val="20"/>
          <w:szCs w:val="20"/>
          <w:color w:val="auto"/>
        </w:rPr>
      </w:pPr>
    </w:p>
    <w:p>
      <w:pPr>
        <w:ind w:left="2940" w:right="3080" w:hanging="86"/>
        <w:spacing w:after="0" w:line="197" w:lineRule="auto"/>
        <w:tabs>
          <w:tab w:leader="none" w:pos="2938"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As a result of Mr. Smiley's resignation as an officer on February 9, 2021 and because the 2020 bonus had not yet been paid, his 2020 bonus payout was $0. See the discussion of Mr. Smiley’s Separation Agreement under “Agreement with Former Chief Financial Officer”.</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Equity Incentives - Target Grant Values</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2020 equity grants, the Compensation Committee set the total target values for named executive officers based on peer group data, individual performance, and internal relativity. Named executive officers have 35 percent of their equity target allocated to shareholder value awards and relative value awards, respectively, and 30 percent to performance awards. Total target values for the 2019 and 2020 equity grants to the named executive officers were as follows:</w:t>
      </w:r>
    </w:p>
    <w:p>
      <w:pPr>
        <w:spacing w:after="0" w:line="10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1360" w:type="dxa"/>
            <w:vAlign w:val="bottom"/>
            <w:shd w:val="clear" w:color="auto" w:fill="C8C9CB"/>
          </w:tcPr>
          <w:p>
            <w:pPr>
              <w:spacing w:after="0"/>
              <w:rPr>
                <w:sz w:val="18"/>
                <w:szCs w:val="18"/>
                <w:color w:val="auto"/>
              </w:rPr>
            </w:pPr>
          </w:p>
        </w:tc>
        <w:tc>
          <w:tcPr>
            <w:tcW w:w="2420" w:type="dxa"/>
            <w:vAlign w:val="bottom"/>
            <w:shd w:val="clear" w:color="auto" w:fill="C8C9CB"/>
          </w:tcPr>
          <w:p>
            <w:pPr>
              <w:jc w:val="center"/>
              <w:ind w:left="728"/>
              <w:spacing w:after="0"/>
              <w:rPr>
                <w:sz w:val="20"/>
                <w:szCs w:val="20"/>
                <w:color w:val="auto"/>
              </w:rPr>
            </w:pPr>
            <w:r>
              <w:rPr>
                <w:rFonts w:ascii="Arial" w:cs="Arial" w:eastAsia="Arial" w:hAnsi="Arial"/>
                <w:sz w:val="14"/>
                <w:szCs w:val="14"/>
                <w:b w:val="1"/>
                <w:bCs w:val="1"/>
                <w:color w:val="00ABE8"/>
              </w:rPr>
              <w:t>2019 Annual Equity</w:t>
            </w:r>
          </w:p>
        </w:tc>
        <w:tc>
          <w:tcPr>
            <w:tcW w:w="1760" w:type="dxa"/>
            <w:vAlign w:val="bottom"/>
            <w:shd w:val="clear" w:color="auto" w:fill="C8C9CB"/>
          </w:tcPr>
          <w:p>
            <w:pPr>
              <w:jc w:val="center"/>
              <w:ind w:right="48"/>
              <w:spacing w:after="0"/>
              <w:rPr>
                <w:sz w:val="20"/>
                <w:szCs w:val="20"/>
                <w:color w:val="auto"/>
              </w:rPr>
            </w:pPr>
            <w:r>
              <w:rPr>
                <w:rFonts w:ascii="Arial" w:cs="Arial" w:eastAsia="Arial" w:hAnsi="Arial"/>
                <w:sz w:val="14"/>
                <w:szCs w:val="14"/>
                <w:b w:val="1"/>
                <w:bCs w:val="1"/>
                <w:color w:val="00ABE8"/>
              </w:rPr>
              <w:t>2020 Annual Equity</w:t>
            </w:r>
          </w:p>
        </w:tc>
      </w:tr>
      <w:tr>
        <w:trPr>
          <w:trHeight w:val="202"/>
        </w:trPr>
        <w:tc>
          <w:tcPr>
            <w:tcW w:w="136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2420" w:type="dxa"/>
            <w:vAlign w:val="bottom"/>
            <w:shd w:val="clear" w:color="auto" w:fill="C8C9CB"/>
          </w:tcPr>
          <w:p>
            <w:pPr>
              <w:jc w:val="center"/>
              <w:ind w:left="728"/>
              <w:spacing w:after="0"/>
              <w:rPr>
                <w:sz w:val="20"/>
                <w:szCs w:val="20"/>
                <w:color w:val="auto"/>
              </w:rPr>
            </w:pPr>
            <w:r>
              <w:rPr>
                <w:rFonts w:ascii="Arial" w:cs="Arial" w:eastAsia="Arial" w:hAnsi="Arial"/>
                <w:sz w:val="14"/>
                <w:szCs w:val="14"/>
                <w:b w:val="1"/>
                <w:bCs w:val="1"/>
                <w:color w:val="00ABE8"/>
              </w:rPr>
              <w:t>Grant</w:t>
            </w:r>
          </w:p>
        </w:tc>
        <w:tc>
          <w:tcPr>
            <w:tcW w:w="1760" w:type="dxa"/>
            <w:vAlign w:val="bottom"/>
            <w:shd w:val="clear" w:color="auto" w:fill="C8C9CB"/>
          </w:tcPr>
          <w:p>
            <w:pPr>
              <w:jc w:val="center"/>
              <w:ind w:right="48"/>
              <w:spacing w:after="0"/>
              <w:rPr>
                <w:sz w:val="20"/>
                <w:szCs w:val="20"/>
                <w:color w:val="auto"/>
              </w:rPr>
            </w:pPr>
            <w:r>
              <w:rPr>
                <w:rFonts w:ascii="Arial" w:cs="Arial" w:eastAsia="Arial" w:hAnsi="Arial"/>
                <w:sz w:val="14"/>
                <w:szCs w:val="14"/>
                <w:b w:val="1"/>
                <w:bCs w:val="1"/>
                <w:color w:val="00ABE8"/>
              </w:rPr>
              <w:t>Grant</w:t>
            </w:r>
          </w:p>
        </w:tc>
      </w:tr>
    </w:tbl>
    <w:p>
      <w:pPr>
        <w:spacing w:after="0" w:line="46" w:lineRule="exact"/>
        <w:rPr>
          <w:sz w:val="20"/>
          <w:szCs w:val="20"/>
          <w:color w:val="auto"/>
        </w:rPr>
      </w:pPr>
    </w:p>
    <w:p>
      <w:pPr>
        <w:sectPr>
          <w:pgSz w:w="11900" w:h="16838" w:orient="portrait"/>
          <w:cols w:equalWidth="0" w:num="1">
            <w:col w:w="11160"/>
          </w:cols>
          <w:pgMar w:left="320" w:top="1440" w:right="419" w:bottom="1440" w:gutter="0" w:footer="0" w:header="0"/>
        </w:sectPr>
      </w:pPr>
    </w:p>
    <w:p>
      <w:pPr>
        <w:spacing w:after="0" w:line="2" w:lineRule="exact"/>
        <w:rPr>
          <w:sz w:val="20"/>
          <w:szCs w:val="20"/>
          <w:color w:val="auto"/>
        </w:rPr>
      </w:pPr>
    </w:p>
    <w:tbl>
      <w:tblPr>
        <w:tblLayout w:type="fixed"/>
        <w:tblInd w:w="2880" w:type="dxa"/>
        <w:tblCellMar>
          <w:top w:w="0" w:type="dxa"/>
          <w:left w:w="0" w:type="dxa"/>
          <w:bottom w:w="0" w:type="dxa"/>
          <w:right w:w="0" w:type="dxa"/>
        </w:tblCellMar>
      </w:tblPr>
      <w:tr>
        <w:trPr>
          <w:trHeight w:val="152"/>
        </w:trPr>
        <w:tc>
          <w:tcPr>
            <w:tcW w:w="1720" w:type="dxa"/>
            <w:vAlign w:val="bottom"/>
          </w:tcPr>
          <w:p>
            <w:pPr>
              <w:spacing w:after="0"/>
              <w:rPr>
                <w:sz w:val="20"/>
                <w:szCs w:val="20"/>
                <w:color w:val="auto"/>
              </w:rPr>
            </w:pPr>
            <w:r>
              <w:rPr>
                <w:rFonts w:ascii="Arial" w:cs="Arial" w:eastAsia="Arial" w:hAnsi="Arial"/>
                <w:sz w:val="13"/>
                <w:szCs w:val="13"/>
                <w:color w:val="auto"/>
              </w:rPr>
              <w:t>Mr. Ricks</w:t>
            </w:r>
          </w:p>
        </w:tc>
        <w:tc>
          <w:tcPr>
            <w:tcW w:w="1580" w:type="dxa"/>
            <w:vAlign w:val="bottom"/>
          </w:tcPr>
          <w:p>
            <w:pPr>
              <w:jc w:val="center"/>
              <w:ind w:left="817"/>
              <w:spacing w:after="0"/>
              <w:rPr>
                <w:sz w:val="20"/>
                <w:szCs w:val="20"/>
                <w:color w:val="auto"/>
              </w:rPr>
            </w:pPr>
            <w:r>
              <w:rPr>
                <w:rFonts w:ascii="Arial" w:cs="Arial" w:eastAsia="Arial" w:hAnsi="Arial"/>
                <w:sz w:val="13"/>
                <w:szCs w:val="13"/>
                <w:color w:val="auto"/>
                <w:w w:val="96"/>
              </w:rPr>
              <w:t>$10,500,000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3"/>
                <w:szCs w:val="13"/>
                <w:color w:val="auto"/>
              </w:rPr>
              <w:t>Mr. Smiley</w:t>
            </w:r>
          </w:p>
        </w:tc>
        <w:tc>
          <w:tcPr>
            <w:tcW w:w="1580" w:type="dxa"/>
            <w:vAlign w:val="bottom"/>
          </w:tcPr>
          <w:p>
            <w:pPr>
              <w:jc w:val="center"/>
              <w:ind w:left="817"/>
              <w:spacing w:after="0"/>
              <w:rPr>
                <w:sz w:val="20"/>
                <w:szCs w:val="20"/>
                <w:color w:val="auto"/>
              </w:rPr>
            </w:pPr>
            <w:r>
              <w:rPr>
                <w:rFonts w:ascii="Arial" w:cs="Arial" w:eastAsia="Arial" w:hAnsi="Arial"/>
                <w:sz w:val="13"/>
                <w:szCs w:val="13"/>
                <w:color w:val="auto"/>
                <w:w w:val="95"/>
              </w:rPr>
              <w:t>$2,700,000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3"/>
                <w:szCs w:val="13"/>
                <w:color w:val="auto"/>
              </w:rPr>
              <w:t>Dr. Skovronsky</w:t>
            </w:r>
          </w:p>
        </w:tc>
        <w:tc>
          <w:tcPr>
            <w:tcW w:w="1580" w:type="dxa"/>
            <w:vAlign w:val="bottom"/>
          </w:tcPr>
          <w:p>
            <w:pPr>
              <w:jc w:val="center"/>
              <w:ind w:left="817"/>
              <w:spacing w:after="0"/>
              <w:rPr>
                <w:sz w:val="20"/>
                <w:szCs w:val="20"/>
                <w:color w:val="auto"/>
              </w:rPr>
            </w:pPr>
            <w:r>
              <w:rPr>
                <w:rFonts w:ascii="Arial" w:cs="Arial" w:eastAsia="Arial" w:hAnsi="Arial"/>
                <w:sz w:val="13"/>
                <w:szCs w:val="13"/>
                <w:color w:val="auto"/>
                <w:w w:val="95"/>
              </w:rPr>
              <w:t>$3,500,000</w:t>
            </w:r>
          </w:p>
        </w:tc>
        <w:tc>
          <w:tcPr>
            <w:tcW w:w="0" w:type="dxa"/>
            <w:vAlign w:val="bottom"/>
          </w:tcPr>
          <w:p>
            <w:pPr>
              <w:spacing w:after="0"/>
              <w:rPr>
                <w:sz w:val="1"/>
                <w:szCs w:val="1"/>
                <w:color w:val="auto"/>
              </w:rPr>
            </w:pPr>
          </w:p>
        </w:tc>
      </w:tr>
      <w:tr>
        <w:trPr>
          <w:trHeight w:val="175"/>
        </w:trPr>
        <w:tc>
          <w:tcPr>
            <w:tcW w:w="1720" w:type="dxa"/>
            <w:vAlign w:val="bottom"/>
            <w:vMerge w:val="restart"/>
          </w:tcPr>
          <w:p>
            <w:pPr>
              <w:spacing w:after="0"/>
              <w:rPr>
                <w:sz w:val="20"/>
                <w:szCs w:val="20"/>
                <w:color w:val="auto"/>
              </w:rPr>
            </w:pPr>
            <w:r>
              <w:rPr>
                <w:rFonts w:ascii="Arial" w:cs="Arial" w:eastAsia="Arial" w:hAnsi="Arial"/>
                <w:sz w:val="13"/>
                <w:szCs w:val="13"/>
                <w:color w:val="auto"/>
              </w:rPr>
              <w:t>Ms. Hakim</w:t>
            </w:r>
          </w:p>
        </w:tc>
        <w:tc>
          <w:tcPr>
            <w:tcW w:w="1580" w:type="dxa"/>
            <w:vAlign w:val="bottom"/>
          </w:tcPr>
          <w:p>
            <w:pPr>
              <w:ind w:left="1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40"/>
        </w:trPr>
        <w:tc>
          <w:tcPr>
            <w:tcW w:w="172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3"/>
                <w:szCs w:val="13"/>
                <w:color w:val="auto"/>
              </w:rPr>
              <w:t>Mr. Zulueta</w:t>
            </w:r>
          </w:p>
        </w:tc>
        <w:tc>
          <w:tcPr>
            <w:tcW w:w="1580" w:type="dxa"/>
            <w:vAlign w:val="bottom"/>
          </w:tcPr>
          <w:p>
            <w:pPr>
              <w:ind w:left="1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1480" w:type="dxa"/>
            <w:vAlign w:val="bottom"/>
          </w:tcPr>
          <w:p>
            <w:pPr>
              <w:jc w:val="center"/>
              <w:ind w:right="304"/>
              <w:spacing w:after="0"/>
              <w:rPr>
                <w:sz w:val="20"/>
                <w:szCs w:val="20"/>
                <w:color w:val="auto"/>
              </w:rPr>
            </w:pPr>
            <w:r>
              <w:rPr>
                <w:rFonts w:ascii="Arial" w:cs="Arial" w:eastAsia="Arial" w:hAnsi="Arial"/>
                <w:sz w:val="13"/>
                <w:szCs w:val="13"/>
                <w:color w:val="auto"/>
                <w:w w:val="99"/>
              </w:rPr>
              <w:t>$12,500,000</w:t>
            </w:r>
          </w:p>
        </w:tc>
      </w:tr>
      <w:tr>
        <w:trPr>
          <w:trHeight w:val="74"/>
        </w:trPr>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3</w:t>
            </w:r>
          </w:p>
        </w:tc>
        <w:tc>
          <w:tcPr>
            <w:tcW w:w="1480" w:type="dxa"/>
            <w:vAlign w:val="bottom"/>
          </w:tcPr>
          <w:p>
            <w:pPr>
              <w:jc w:val="right"/>
              <w:spacing w:after="0" w:line="74" w:lineRule="exact"/>
              <w:rPr>
                <w:sz w:val="20"/>
                <w:szCs w:val="20"/>
                <w:color w:val="auto"/>
              </w:rPr>
            </w:pPr>
            <w:r>
              <w:rPr>
                <w:rFonts w:ascii="Arial" w:cs="Arial" w:eastAsia="Arial" w:hAnsi="Arial"/>
                <w:sz w:val="8"/>
                <w:szCs w:val="8"/>
                <w:color w:val="auto"/>
              </w:rPr>
              <w:t>3</w:t>
            </w:r>
          </w:p>
        </w:tc>
      </w:tr>
      <w:tr>
        <w:trPr>
          <w:trHeight w:val="152"/>
        </w:trPr>
        <w:tc>
          <w:tcPr>
            <w:tcW w:w="260" w:type="dxa"/>
            <w:vAlign w:val="bottom"/>
          </w:tcPr>
          <w:p>
            <w:pPr>
              <w:spacing w:after="0"/>
              <w:rPr>
                <w:sz w:val="13"/>
                <w:szCs w:val="13"/>
                <w:color w:val="auto"/>
              </w:rPr>
            </w:pPr>
          </w:p>
        </w:tc>
        <w:tc>
          <w:tcPr>
            <w:tcW w:w="1480" w:type="dxa"/>
            <w:vAlign w:val="bottom"/>
          </w:tcPr>
          <w:p>
            <w:pPr>
              <w:jc w:val="center"/>
              <w:ind w:right="304"/>
              <w:spacing w:after="0"/>
              <w:rPr>
                <w:sz w:val="20"/>
                <w:szCs w:val="20"/>
                <w:color w:val="auto"/>
              </w:rPr>
            </w:pPr>
            <w:r>
              <w:rPr>
                <w:rFonts w:ascii="Arial" w:cs="Arial" w:eastAsia="Arial" w:hAnsi="Arial"/>
                <w:sz w:val="13"/>
                <w:szCs w:val="13"/>
                <w:color w:val="auto"/>
                <w:w w:val="98"/>
              </w:rPr>
              <w:t>$3,300,000</w:t>
            </w:r>
          </w:p>
        </w:tc>
      </w:tr>
      <w:tr>
        <w:trPr>
          <w:trHeight w:val="206"/>
        </w:trPr>
        <w:tc>
          <w:tcPr>
            <w:tcW w:w="260" w:type="dxa"/>
            <w:vAlign w:val="bottom"/>
          </w:tcPr>
          <w:p>
            <w:pPr>
              <w:spacing w:after="0"/>
              <w:rPr>
                <w:sz w:val="17"/>
                <w:szCs w:val="17"/>
                <w:color w:val="auto"/>
              </w:rPr>
            </w:pPr>
          </w:p>
        </w:tc>
        <w:tc>
          <w:tcPr>
            <w:tcW w:w="1480" w:type="dxa"/>
            <w:vAlign w:val="bottom"/>
          </w:tcPr>
          <w:p>
            <w:pPr>
              <w:jc w:val="center"/>
              <w:ind w:right="304"/>
              <w:spacing w:after="0"/>
              <w:rPr>
                <w:sz w:val="20"/>
                <w:szCs w:val="20"/>
                <w:color w:val="auto"/>
              </w:rPr>
            </w:pPr>
            <w:r>
              <w:rPr>
                <w:rFonts w:ascii="Arial" w:cs="Arial" w:eastAsia="Arial" w:hAnsi="Arial"/>
                <w:sz w:val="13"/>
                <w:szCs w:val="13"/>
                <w:color w:val="auto"/>
                <w:w w:val="98"/>
              </w:rPr>
              <w:t>$4,100,000</w:t>
            </w:r>
          </w:p>
        </w:tc>
      </w:tr>
      <w:tr>
        <w:trPr>
          <w:trHeight w:val="74"/>
        </w:trPr>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1</w:t>
            </w:r>
          </w:p>
        </w:tc>
        <w:tc>
          <w:tcPr>
            <w:tcW w:w="1480" w:type="dxa"/>
            <w:vAlign w:val="bottom"/>
          </w:tcPr>
          <w:p>
            <w:pPr>
              <w:jc w:val="right"/>
              <w:spacing w:after="0" w:line="74" w:lineRule="exact"/>
              <w:rPr>
                <w:sz w:val="20"/>
                <w:szCs w:val="20"/>
                <w:color w:val="auto"/>
              </w:rPr>
            </w:pPr>
            <w:r>
              <w:rPr>
                <w:rFonts w:ascii="Arial" w:cs="Arial" w:eastAsia="Arial" w:hAnsi="Arial"/>
                <w:sz w:val="8"/>
                <w:szCs w:val="8"/>
                <w:color w:val="auto"/>
              </w:rPr>
              <w:t>2</w:t>
            </w:r>
          </w:p>
        </w:tc>
      </w:tr>
      <w:tr>
        <w:trPr>
          <w:trHeight w:val="142"/>
        </w:trPr>
        <w:tc>
          <w:tcPr>
            <w:tcW w:w="260" w:type="dxa"/>
            <w:vAlign w:val="bottom"/>
          </w:tcPr>
          <w:p>
            <w:pPr>
              <w:spacing w:after="0"/>
              <w:rPr>
                <w:sz w:val="12"/>
                <w:szCs w:val="12"/>
                <w:color w:val="auto"/>
              </w:rPr>
            </w:pPr>
          </w:p>
        </w:tc>
        <w:tc>
          <w:tcPr>
            <w:tcW w:w="1480" w:type="dxa"/>
            <w:vAlign w:val="bottom"/>
          </w:tcPr>
          <w:p>
            <w:pPr>
              <w:jc w:val="center"/>
              <w:ind w:right="304"/>
              <w:spacing w:after="0" w:line="142" w:lineRule="exact"/>
              <w:rPr>
                <w:sz w:val="20"/>
                <w:szCs w:val="20"/>
                <w:color w:val="auto"/>
              </w:rPr>
            </w:pPr>
            <w:r>
              <w:rPr>
                <w:rFonts w:ascii="Arial" w:cs="Arial" w:eastAsia="Arial" w:hAnsi="Arial"/>
                <w:sz w:val="13"/>
                <w:szCs w:val="13"/>
                <w:color w:val="auto"/>
                <w:w w:val="98"/>
              </w:rPr>
              <w:t>$2,000,000</w:t>
            </w:r>
          </w:p>
        </w:tc>
      </w:tr>
    </w:tbl>
    <w:p>
      <w:pPr>
        <w:spacing w:after="0" w:line="202" w:lineRule="auto"/>
        <w:rPr>
          <w:sz w:val="20"/>
          <w:szCs w:val="20"/>
          <w:color w:val="auto"/>
        </w:rPr>
      </w:pPr>
      <w:r>
        <w:rPr>
          <w:rFonts w:ascii="Arial" w:cs="Arial" w:eastAsia="Arial" w:hAnsi="Arial"/>
          <w:sz w:val="7"/>
          <w:szCs w:val="7"/>
          <w:color w:val="auto"/>
        </w:rPr>
        <w:t>1</w:t>
      </w:r>
    </w:p>
    <w:p>
      <w:pPr>
        <w:ind w:left="500"/>
        <w:spacing w:after="0"/>
        <w:rPr>
          <w:sz w:val="20"/>
          <w:szCs w:val="20"/>
          <w:color w:val="auto"/>
        </w:rPr>
      </w:pPr>
      <w:r>
        <w:rPr>
          <w:rFonts w:ascii="Arial" w:cs="Arial" w:eastAsia="Arial" w:hAnsi="Arial"/>
          <w:sz w:val="13"/>
          <w:szCs w:val="13"/>
          <w:color w:val="auto"/>
        </w:rPr>
        <w:t>$2,250,000</w:t>
      </w:r>
    </w:p>
    <w:p>
      <w:pPr>
        <w:spacing w:after="0" w:line="125" w:lineRule="exact"/>
        <w:rPr>
          <w:sz w:val="20"/>
          <w:szCs w:val="20"/>
          <w:color w:val="auto"/>
        </w:rPr>
      </w:pPr>
    </w:p>
    <w:p>
      <w:pPr>
        <w:sectPr>
          <w:pgSz w:w="11900" w:h="16838" w:orient="portrait"/>
          <w:cols w:equalWidth="0" w:num="2">
            <w:col w:w="6180" w:space="460"/>
            <w:col w:w="4520"/>
          </w:cols>
          <w:pgMar w:left="320" w:top="1440" w:right="419" w:bottom="1440" w:gutter="0" w:footer="0" w:header="0"/>
          <w:type w:val="continuous"/>
        </w:sectPr>
      </w:pPr>
    </w:p>
    <w:p>
      <w:pPr>
        <w:ind w:left="2960" w:hanging="86"/>
        <w:spacing w:after="0"/>
        <w:tabs>
          <w:tab w:leader="none" w:pos="2960"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Ms. Hakim and Mr. Zulueta were not named executive officers in 2019.</w:t>
      </w:r>
    </w:p>
    <w:p>
      <w:pPr>
        <w:spacing w:after="0" w:line="71" w:lineRule="exact"/>
        <w:rPr>
          <w:sz w:val="20"/>
          <w:szCs w:val="20"/>
          <w:color w:val="auto"/>
        </w:rPr>
      </w:pPr>
    </w:p>
    <w:p>
      <w:pPr>
        <w:ind w:left="2960" w:right="3520" w:hanging="86"/>
        <w:spacing w:after="0" w:line="194" w:lineRule="auto"/>
        <w:tabs>
          <w:tab w:leader="none" w:pos="2958"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Ms. Hakim also received an equity grant of restricted stock units valued at $2,000,043 upon her hire in February 2020.</w:t>
      </w:r>
    </w:p>
    <w:p>
      <w:pPr>
        <w:spacing w:after="0" w:line="17" w:lineRule="exact"/>
        <w:rPr>
          <w:sz w:val="20"/>
          <w:szCs w:val="20"/>
          <w:color w:val="auto"/>
        </w:rPr>
      </w:pPr>
    </w:p>
    <w:p>
      <w:pPr>
        <w:ind w:left="2960" w:right="2880" w:hanging="86"/>
        <w:spacing w:after="0" w:line="198" w:lineRule="auto"/>
        <w:tabs>
          <w:tab w:leader="none" w:pos="2958"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As a result of Mr. Smiley's resignation as an officer on February 9, 2021, he forfeited his 2019 and 2020 annual equity grants. The target amounts of $2,700,000 and $3,300,000 for his 2019 and 2020 annual equity grants have been reduced to $0. See the discussion of Mr. Smiley’s Separation Agreement under “Agreement with Former Chief Financial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 for 2020 Incentive Programs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Annual Cash Bonus Goals</w:t>
      </w:r>
    </w:p>
    <w:p>
      <w:pPr>
        <w:spacing w:after="0" w:line="1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Compensation Committee established the company performance targets using the company's 2020 annual operating plan, which was approved by the board in 2019. These targets are described below under "2020 Compensation Results."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2020-2022 Performance Award</w:t>
      </w:r>
    </w:p>
    <w:p>
      <w:pPr>
        <w:spacing w:after="0" w:line="22"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In February 2020, the Compensation Committee established a compounded two-year EPS growth target of 5.7 percent per year based on investment analysts’ consensus EPS growth estimates for our peer group companies at that time. To translate the 5.7 percent per year growth goal into a 2-year cumulative EPS target, the Compensation Committee applied the target growth to the 2019 non-GAAP EPS of $6.04 to obtain target 2020 results of $6.38 and then applied the goal growth again to the target 2020 results to obtain target 2021 results of $6.75. The target 2020 and 2021 results were added together to yield a 2-year cumulative EPS target of $13.13. Payouts for the 2020-2022 performance award can range from 0 to 175 percent of the target number of shares,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P53</w:t>
      </w:r>
    </w:p>
    <w:p>
      <w:pPr>
        <w:sectPr>
          <w:pgSz w:w="11900" w:h="16838" w:orient="portrait"/>
          <w:cols w:equalWidth="0" w:num="1">
            <w:col w:w="11160"/>
          </w:cols>
          <w:pgMar w:left="320" w:top="1440" w:right="419" w:bottom="144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554980" cy="1405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55498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December 2020, the Compensation Committee approved an updated 2020–2022 Performance Award to align with Lilly’s decision to adjust EPS results to remove the impact of gains and losses on investments in equity securities from compensation program outcomes. The updated award retained the Compensation Committee’s decision to establish a compounded two-year EPS growth target of 5.7 percent per year, but the growth was applied to an adjusted 2019 non-GAAP EPS of $5.73 that excluded gains and losses on investments in equity securities. The Compensation Committee applied the target growth to the 2019 non-GAAP EPS of $5.73 to obtain target 2020 results of $6.06 and then applied the goal growth again to the target 2020 results to obtain target 2021 results of $6.40. The target 2020 and 2021 results were added together to yield an updated cumulative 2-Year EPS goal of $12.46. Payouts for the 2020-2022 Performance Award can range from 0 to 175 percent of the target number of shares,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554980" cy="13455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5498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2020-2022 Shareholder Value Award</w:t>
      </w:r>
    </w:p>
    <w:p>
      <w:pPr>
        <w:spacing w:after="0" w:line="35"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For purposes of establishing the stock price target for the shareholder value awards, the starting price was $119.76 per share, the average closing stock price for all trading days in November and December 2019. The target share price was established using the expected annual rate of return for large-cap companies (8 percent), less an assumed Lilly dividend yield of 2.47 percent. To determine payout, the ending price will be the average closing price of company stock for all trading days in November and December 2022. The award is designed to deliver no payout to executive officers if the shareholder return (including projected dividends) is zero or negative. Possible payouts based on share price ranges are illustrated in the grid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554980" cy="11226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5498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2020-2022 Relative Value Award</w:t>
      </w:r>
    </w:p>
    <w:p>
      <w:pPr>
        <w:spacing w:after="0" w:line="3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relative value award is based on the most recent three-year Lilly TSR performance compared to industry peers. To determine payout, the TSR performance is calculated for Lilly and its peers. This calculation compares the average closing price of each company’s stock for all trading days in November and December 2019 to the average closing price of each company’s stock for all trading days in November and December 2022, assuming reinvestment of dividends, to obtain the TSR for each company. The median TSR for the peer companies is then subtracted from Lilly’s TSR to determine what payout has been earned. For example, if Lilly’s TSR was 55 percent over the three-year performance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P54</w:t>
      </w:r>
    </w:p>
    <w:p>
      <w:pPr>
        <w:sectPr>
          <w:pgSz w:w="11900" w:h="16838" w:orient="portrait"/>
          <w:cols w:equalWidth="0" w:num="1">
            <w:col w:w="11200"/>
          </w:cols>
          <w:pgMar w:left="320" w:top="1440" w:right="379" w:bottom="1440" w:gutter="0" w:footer="0" w:header="0"/>
        </w:sectPr>
      </w:pPr>
    </w:p>
    <w:bookmarkStart w:id="59" w:name="page60"/>
    <w:bookmarkEnd w:id="59"/>
    <w:p>
      <w:pPr>
        <w:ind w:right="160"/>
        <w:spacing w:after="0" w:line="260" w:lineRule="auto"/>
        <w:rPr>
          <w:sz w:val="20"/>
          <w:szCs w:val="20"/>
          <w:color w:val="auto"/>
        </w:rPr>
      </w:pPr>
      <w:r>
        <w:rPr>
          <w:rFonts w:ascii="Arial" w:cs="Arial" w:eastAsia="Arial" w:hAnsi="Arial"/>
          <w:sz w:val="16"/>
          <w:szCs w:val="16"/>
          <w:color w:val="auto"/>
        </w:rPr>
        <w:t>period and the median peer company performance was 41 percent, Lilly would have outperformed by 14 percentage points (55 percent - 41 percent). This outperformance would have resulted in a 130 percent payout based on the payout ranges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554980" cy="3180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5498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2020 Compensation Results</w:t>
      </w:r>
    </w:p>
    <w:p>
      <w:pPr>
        <w:spacing w:after="0" w:line="3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information in this section reflects the amounts paid to named executive officers under the Bonus Plan and for equity awards granted in prior years for which the relevant performance period ended in 2020.</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Lilly Performance</w:t>
      </w:r>
    </w:p>
    <w:p>
      <w:pPr>
        <w:spacing w:after="0" w:line="2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2020 we exceeded our revenue target and nearly achieved our EPS target. We also exceeded our target for pipeline progress. Key pipeline highlights include the first regulatory approval for Retevmo and Lyumjev and two emergency use authorizations for bamlanivimab monotherapy and for baricitinib in combination with remdesivir for patients diagnosed with COVID-19. Lilly also received new indication approvals for Taltz and Cyramza in the United States and for Olumiant in the European Union. By the end of 2020, Lilly had also exceeded its two-year EPS growth target for the performance award and our three-year stock price growth target for the shareholder value award. The discussion below details the measures used in each program, what the performance goal was to obtain target performance, how performance outcomes were assessed and what the Compensation Committee approved as the final payout multiple.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 Plan</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utilized revenue, EPS, and pipeline progress to incent the achievement of 2020 company objectives. Each measure contributes to the final payout multiple on a weighted basis: revenue (25 percent), EPS (50 percent), and pipeline progress (25 percent). Each performance measure is assessed a payout multiple contribution of 0 to 200 percent.</w:t>
      </w:r>
    </w:p>
    <w:p>
      <w:pPr>
        <w:spacing w:after="0" w:line="22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exceeded its annual cash bonus target for revenue, nearly achieved its target for EPS and significantly exceeded its targets for pipeline progression. The Compensation Committee adjusted non-GAAP EPS by $0.98 to exclude net gains on investments in equity securities that significantly exceeded business plan. The Compensation Committee also reduced revenue and EPS for the purposes of the bonus calculation to exclude estimated savings from certain discrete and unplanned performance items from the bonus plan multiple. The Science and Technology Committee's assessment of the company's product pipeline achievements is detailed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P55</w:t>
      </w:r>
    </w:p>
    <w:p>
      <w:pPr>
        <w:sectPr>
          <w:pgSz w:w="11900" w:h="16838" w:orient="portrait"/>
          <w:cols w:equalWidth="0" w:num="1">
            <w:col w:w="11180"/>
          </w:cols>
          <w:pgMar w:left="320" w:top="1437" w:right="399" w:bottom="1440" w:gutter="0" w:footer="0" w:header="0"/>
        </w:sectPr>
      </w:pPr>
    </w:p>
    <w:bookmarkStart w:id="60" w:name="page61"/>
    <w:bookmarkEnd w:id="60"/>
    <w:p>
      <w:pPr>
        <w:spacing w:after="0" w:line="118" w:lineRule="exact"/>
        <w:rPr>
          <w:sz w:val="20"/>
          <w:szCs w:val="20"/>
          <w:color w:val="auto"/>
        </w:rPr>
      </w:pPr>
    </w:p>
    <w:tbl>
      <w:tblPr>
        <w:tblLayout w:type="fixed"/>
        <w:tblInd w:w="1440" w:type="dxa"/>
        <w:tblCellMar>
          <w:top w:w="0" w:type="dxa"/>
          <w:left w:w="0" w:type="dxa"/>
          <w:bottom w:w="0" w:type="dxa"/>
          <w:right w:w="0" w:type="dxa"/>
        </w:tblCellMar>
      </w:tblPr>
      <w:tr>
        <w:trPr>
          <w:trHeight w:val="256"/>
        </w:trPr>
        <w:tc>
          <w:tcPr>
            <w:tcW w:w="2460" w:type="dxa"/>
            <w:vAlign w:val="bottom"/>
            <w:shd w:val="clear" w:color="auto" w:fill="C8C9CB"/>
          </w:tcPr>
          <w:p>
            <w:pPr>
              <w:ind w:left="1020"/>
              <w:spacing w:after="0"/>
              <w:rPr>
                <w:sz w:val="20"/>
                <w:szCs w:val="20"/>
                <w:color w:val="auto"/>
              </w:rPr>
            </w:pPr>
            <w:r>
              <w:rPr>
                <w:rFonts w:ascii="Arial" w:cs="Arial" w:eastAsia="Arial" w:hAnsi="Arial"/>
                <w:sz w:val="16"/>
                <w:szCs w:val="16"/>
                <w:b w:val="1"/>
                <w:bCs w:val="1"/>
                <w:color w:val="00ABE8"/>
              </w:rPr>
              <w:t>Activity</w:t>
            </w:r>
          </w:p>
        </w:tc>
        <w:tc>
          <w:tcPr>
            <w:tcW w:w="2940" w:type="dxa"/>
            <w:vAlign w:val="bottom"/>
            <w:shd w:val="clear" w:color="auto" w:fill="C8C9CB"/>
          </w:tcPr>
          <w:p>
            <w:pPr>
              <w:jc w:val="center"/>
              <w:ind w:left="155"/>
              <w:spacing w:after="0"/>
              <w:rPr>
                <w:sz w:val="20"/>
                <w:szCs w:val="20"/>
                <w:color w:val="auto"/>
              </w:rPr>
            </w:pPr>
            <w:r>
              <w:rPr>
                <w:rFonts w:ascii="Arial" w:cs="Arial" w:eastAsia="Arial" w:hAnsi="Arial"/>
                <w:sz w:val="16"/>
                <w:szCs w:val="16"/>
                <w:b w:val="1"/>
                <w:bCs w:val="1"/>
                <w:color w:val="00ABE8"/>
                <w:w w:val="99"/>
              </w:rPr>
              <w:t>Objective</w:t>
            </w:r>
          </w:p>
        </w:tc>
        <w:tc>
          <w:tcPr>
            <w:tcW w:w="2980" w:type="dxa"/>
            <w:vAlign w:val="bottom"/>
            <w:shd w:val="clear" w:color="auto" w:fill="C8C9CB"/>
          </w:tcPr>
          <w:p>
            <w:pPr>
              <w:jc w:val="center"/>
              <w:spacing w:after="0"/>
              <w:rPr>
                <w:sz w:val="20"/>
                <w:szCs w:val="20"/>
                <w:color w:val="auto"/>
              </w:rPr>
            </w:pPr>
            <w:r>
              <w:rPr>
                <w:rFonts w:ascii="Arial" w:cs="Arial" w:eastAsia="Arial" w:hAnsi="Arial"/>
                <w:sz w:val="16"/>
                <w:szCs w:val="16"/>
                <w:b w:val="1"/>
                <w:bCs w:val="1"/>
                <w:color w:val="00ABE8"/>
              </w:rPr>
              <w:t>Achievement</w:t>
            </w:r>
          </w:p>
        </w:tc>
        <w:tc>
          <w:tcPr>
            <w:tcW w:w="0" w:type="dxa"/>
            <w:vAlign w:val="bottom"/>
          </w:tcPr>
          <w:p>
            <w:pPr>
              <w:spacing w:after="0"/>
              <w:rPr>
                <w:sz w:val="1"/>
                <w:szCs w:val="1"/>
                <w:color w:val="auto"/>
              </w:rPr>
            </w:pPr>
          </w:p>
        </w:tc>
      </w:tr>
      <w:tr>
        <w:trPr>
          <w:trHeight w:val="197"/>
        </w:trPr>
        <w:tc>
          <w:tcPr>
            <w:tcW w:w="2460" w:type="dxa"/>
            <w:vAlign w:val="bottom"/>
            <w:vMerge w:val="restart"/>
          </w:tcPr>
          <w:p>
            <w:pPr>
              <w:ind w:left="20"/>
              <w:spacing w:after="0"/>
              <w:rPr>
                <w:sz w:val="20"/>
                <w:szCs w:val="20"/>
                <w:color w:val="auto"/>
              </w:rPr>
            </w:pPr>
            <w:r>
              <w:rPr>
                <w:rFonts w:ascii="Arial" w:cs="Arial" w:eastAsia="Arial" w:hAnsi="Arial"/>
                <w:sz w:val="13"/>
                <w:szCs w:val="13"/>
                <w:color w:val="auto"/>
              </w:rPr>
              <w:t>Approvals</w:t>
            </w:r>
          </w:p>
        </w:tc>
        <w:tc>
          <w:tcPr>
            <w:tcW w:w="2940" w:type="dxa"/>
            <w:vAlign w:val="bottom"/>
          </w:tcPr>
          <w:p>
            <w:pPr>
              <w:jc w:val="center"/>
              <w:ind w:left="155"/>
              <w:spacing w:after="0"/>
              <w:rPr>
                <w:sz w:val="20"/>
                <w:szCs w:val="20"/>
                <w:color w:val="auto"/>
              </w:rPr>
            </w:pPr>
            <w:r>
              <w:rPr>
                <w:rFonts w:ascii="Arial" w:cs="Arial" w:eastAsia="Arial" w:hAnsi="Arial"/>
                <w:sz w:val="13"/>
                <w:szCs w:val="13"/>
                <w:color w:val="auto"/>
                <w:w w:val="96"/>
              </w:rPr>
              <w:t>2 new drug first approvals</w:t>
            </w:r>
          </w:p>
        </w:tc>
        <w:tc>
          <w:tcPr>
            <w:tcW w:w="2980" w:type="dxa"/>
            <w:vAlign w:val="bottom"/>
          </w:tcPr>
          <w:p>
            <w:pPr>
              <w:jc w:val="center"/>
              <w:spacing w:after="0"/>
              <w:rPr>
                <w:sz w:val="20"/>
                <w:szCs w:val="20"/>
                <w:color w:val="auto"/>
              </w:rPr>
            </w:pPr>
            <w:r>
              <w:rPr>
                <w:rFonts w:ascii="Arial" w:cs="Arial" w:eastAsia="Arial" w:hAnsi="Arial"/>
                <w:sz w:val="13"/>
                <w:szCs w:val="13"/>
                <w:color w:val="auto"/>
                <w:w w:val="96"/>
              </w:rPr>
              <w:t>2 new drug first approvals</w:t>
            </w: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2940" w:type="dxa"/>
            <w:vAlign w:val="bottom"/>
            <w:vMerge w:val="restart"/>
          </w:tcPr>
          <w:p>
            <w:pPr>
              <w:jc w:val="center"/>
              <w:ind w:left="135"/>
              <w:spacing w:after="0"/>
              <w:rPr>
                <w:sz w:val="20"/>
                <w:szCs w:val="20"/>
                <w:color w:val="auto"/>
              </w:rPr>
            </w:pPr>
            <w:r>
              <w:rPr>
                <w:rFonts w:ascii="Arial" w:cs="Arial" w:eastAsia="Arial" w:hAnsi="Arial"/>
                <w:sz w:val="13"/>
                <w:szCs w:val="13"/>
                <w:color w:val="auto"/>
                <w:w w:val="96"/>
              </w:rPr>
              <w:t>15-17 other approvals</w:t>
            </w:r>
          </w:p>
        </w:tc>
        <w:tc>
          <w:tcPr>
            <w:tcW w:w="2980" w:type="dxa"/>
            <w:vAlign w:val="bottom"/>
            <w:vMerge w:val="restart"/>
          </w:tcPr>
          <w:p>
            <w:pPr>
              <w:jc w:val="center"/>
              <w:spacing w:after="0"/>
              <w:rPr>
                <w:sz w:val="20"/>
                <w:szCs w:val="20"/>
                <w:color w:val="auto"/>
              </w:rPr>
            </w:pPr>
            <w:r>
              <w:rPr>
                <w:rFonts w:ascii="Arial" w:cs="Arial" w:eastAsia="Arial" w:hAnsi="Arial"/>
                <w:sz w:val="13"/>
                <w:szCs w:val="13"/>
                <w:color w:val="auto"/>
                <w:w w:val="98"/>
              </w:rPr>
              <w:t>24 other approvals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460" w:type="dxa"/>
            <w:vAlign w:val="bottom"/>
            <w:tcBorders>
              <w:bottom w:val="single" w:sz="8" w:color="C8C9CB"/>
            </w:tcBorders>
          </w:tcPr>
          <w:p>
            <w:pPr>
              <w:spacing w:after="0"/>
              <w:rPr>
                <w:sz w:val="7"/>
                <w:szCs w:val="7"/>
                <w:color w:val="auto"/>
              </w:rPr>
            </w:pPr>
          </w:p>
        </w:tc>
        <w:tc>
          <w:tcPr>
            <w:tcW w:w="2940" w:type="dxa"/>
            <w:vAlign w:val="bottom"/>
            <w:tcBorders>
              <w:bottom w:val="single" w:sz="8" w:color="C8C9CB"/>
            </w:tcBorders>
          </w:tcPr>
          <w:p>
            <w:pPr>
              <w:spacing w:after="0"/>
              <w:rPr>
                <w:sz w:val="7"/>
                <w:szCs w:val="7"/>
                <w:color w:val="auto"/>
              </w:rPr>
            </w:pPr>
          </w:p>
        </w:tc>
        <w:tc>
          <w:tcPr>
            <w:tcW w:w="2980" w:type="dxa"/>
            <w:vAlign w:val="bottom"/>
            <w:tcBorders>
              <w:bottom w:val="single" w:sz="8" w:color="C8C9CB"/>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F4F6F6"/>
          </w:tcPr>
          <w:p>
            <w:pPr>
              <w:ind w:left="20"/>
              <w:spacing w:after="0"/>
              <w:rPr>
                <w:sz w:val="20"/>
                <w:szCs w:val="20"/>
                <w:color w:val="auto"/>
              </w:rPr>
            </w:pPr>
            <w:r>
              <w:rPr>
                <w:rFonts w:ascii="Arial" w:cs="Arial" w:eastAsia="Arial" w:hAnsi="Arial"/>
                <w:sz w:val="13"/>
                <w:szCs w:val="13"/>
                <w:color w:val="auto"/>
              </w:rPr>
              <w:t>Potential new drug Phase III starts</w:t>
            </w:r>
          </w:p>
        </w:tc>
        <w:tc>
          <w:tcPr>
            <w:tcW w:w="2940" w:type="dxa"/>
            <w:vAlign w:val="bottom"/>
            <w:shd w:val="clear" w:color="auto" w:fill="F4F6F6"/>
          </w:tcPr>
          <w:p>
            <w:pPr>
              <w:jc w:val="center"/>
              <w:ind w:left="155"/>
              <w:spacing w:after="0"/>
              <w:rPr>
                <w:sz w:val="20"/>
                <w:szCs w:val="20"/>
                <w:color w:val="auto"/>
              </w:rPr>
            </w:pPr>
            <w:r>
              <w:rPr>
                <w:rFonts w:ascii="Arial" w:cs="Arial" w:eastAsia="Arial" w:hAnsi="Arial"/>
                <w:sz w:val="13"/>
                <w:szCs w:val="13"/>
                <w:color w:val="auto"/>
              </w:rPr>
              <w:t>2</w:t>
            </w:r>
          </w:p>
        </w:tc>
        <w:tc>
          <w:tcPr>
            <w:tcW w:w="29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82"/>
              </w:rPr>
              <w:t>3</w:t>
            </w:r>
          </w:p>
        </w:tc>
        <w:tc>
          <w:tcPr>
            <w:tcW w:w="0" w:type="dxa"/>
            <w:vAlign w:val="bottom"/>
          </w:tcPr>
          <w:p>
            <w:pPr>
              <w:spacing w:after="0"/>
              <w:rPr>
                <w:sz w:val="1"/>
                <w:szCs w:val="1"/>
                <w:color w:val="auto"/>
              </w:rPr>
            </w:pPr>
          </w:p>
        </w:tc>
      </w:tr>
      <w:tr>
        <w:trPr>
          <w:trHeight w:val="137"/>
        </w:trPr>
        <w:tc>
          <w:tcPr>
            <w:tcW w:w="2460" w:type="dxa"/>
            <w:vAlign w:val="bottom"/>
            <w:tcBorders>
              <w:bottom w:val="single" w:sz="8" w:color="C8C9CB"/>
            </w:tcBorders>
            <w:shd w:val="clear" w:color="auto" w:fill="F4F6F6"/>
          </w:tcPr>
          <w:p>
            <w:pPr>
              <w:spacing w:after="0"/>
              <w:rPr>
                <w:sz w:val="11"/>
                <w:szCs w:val="11"/>
                <w:color w:val="auto"/>
              </w:rPr>
            </w:pPr>
          </w:p>
        </w:tc>
        <w:tc>
          <w:tcPr>
            <w:tcW w:w="2940" w:type="dxa"/>
            <w:vAlign w:val="bottom"/>
            <w:tcBorders>
              <w:bottom w:val="single" w:sz="8" w:color="C8C9CB"/>
            </w:tcBorders>
            <w:shd w:val="clear" w:color="auto" w:fill="F4F6F6"/>
          </w:tcPr>
          <w:p>
            <w:pPr>
              <w:spacing w:after="0"/>
              <w:rPr>
                <w:sz w:val="11"/>
                <w:szCs w:val="11"/>
                <w:color w:val="auto"/>
              </w:rPr>
            </w:pPr>
          </w:p>
        </w:tc>
        <w:tc>
          <w:tcPr>
            <w:tcW w:w="2980" w:type="dxa"/>
            <w:vAlign w:val="bottom"/>
            <w:tcBorders>
              <w:bottom w:val="single" w:sz="8" w:color="C8C9CB"/>
            </w:tcBorders>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460" w:type="dxa"/>
            <w:vAlign w:val="bottom"/>
          </w:tcPr>
          <w:p>
            <w:pPr>
              <w:ind w:left="20"/>
              <w:spacing w:after="0"/>
              <w:rPr>
                <w:sz w:val="20"/>
                <w:szCs w:val="20"/>
                <w:color w:val="auto"/>
              </w:rPr>
            </w:pPr>
            <w:r>
              <w:rPr>
                <w:rFonts w:ascii="Arial" w:cs="Arial" w:eastAsia="Arial" w:hAnsi="Arial"/>
                <w:sz w:val="13"/>
                <w:szCs w:val="13"/>
                <w:color w:val="auto"/>
              </w:rPr>
              <w:t>Potential new drug Phase I starts</w:t>
            </w:r>
          </w:p>
        </w:tc>
        <w:tc>
          <w:tcPr>
            <w:tcW w:w="2940" w:type="dxa"/>
            <w:vAlign w:val="bottom"/>
          </w:tcPr>
          <w:p>
            <w:pPr>
              <w:jc w:val="center"/>
              <w:ind w:left="155"/>
              <w:spacing w:after="0"/>
              <w:rPr>
                <w:sz w:val="20"/>
                <w:szCs w:val="20"/>
                <w:color w:val="auto"/>
              </w:rPr>
            </w:pPr>
            <w:r>
              <w:rPr>
                <w:rFonts w:ascii="Arial" w:cs="Arial" w:eastAsia="Arial" w:hAnsi="Arial"/>
                <w:sz w:val="13"/>
                <w:szCs w:val="13"/>
                <w:color w:val="auto"/>
                <w:w w:val="96"/>
              </w:rPr>
              <w:t>14-15</w:t>
            </w:r>
          </w:p>
        </w:tc>
        <w:tc>
          <w:tcPr>
            <w:tcW w:w="2980" w:type="dxa"/>
            <w:vAlign w:val="bottom"/>
          </w:tcPr>
          <w:p>
            <w:pPr>
              <w:jc w:val="center"/>
              <w:spacing w:after="0"/>
              <w:rPr>
                <w:sz w:val="20"/>
                <w:szCs w:val="20"/>
                <w:color w:val="auto"/>
              </w:rPr>
            </w:pPr>
            <w:r>
              <w:rPr>
                <w:rFonts w:ascii="Arial" w:cs="Arial" w:eastAsia="Arial" w:hAnsi="Arial"/>
                <w:sz w:val="13"/>
                <w:szCs w:val="13"/>
                <w:color w:val="auto"/>
                <w:w w:val="96"/>
              </w:rPr>
              <w:t>17</w:t>
            </w:r>
          </w:p>
        </w:tc>
        <w:tc>
          <w:tcPr>
            <w:tcW w:w="0" w:type="dxa"/>
            <w:vAlign w:val="bottom"/>
          </w:tcPr>
          <w:p>
            <w:pPr>
              <w:spacing w:after="0"/>
              <w:rPr>
                <w:sz w:val="1"/>
                <w:szCs w:val="1"/>
                <w:color w:val="auto"/>
              </w:rPr>
            </w:pPr>
          </w:p>
        </w:tc>
      </w:tr>
      <w:tr>
        <w:trPr>
          <w:trHeight w:val="138"/>
        </w:trPr>
        <w:tc>
          <w:tcPr>
            <w:tcW w:w="2460" w:type="dxa"/>
            <w:vAlign w:val="bottom"/>
            <w:tcBorders>
              <w:bottom w:val="single" w:sz="8" w:color="C8C9CB"/>
            </w:tcBorders>
          </w:tcPr>
          <w:p>
            <w:pPr>
              <w:spacing w:after="0"/>
              <w:rPr>
                <w:sz w:val="11"/>
                <w:szCs w:val="11"/>
                <w:color w:val="auto"/>
              </w:rPr>
            </w:pPr>
          </w:p>
        </w:tc>
        <w:tc>
          <w:tcPr>
            <w:tcW w:w="2940" w:type="dxa"/>
            <w:vAlign w:val="bottom"/>
            <w:tcBorders>
              <w:bottom w:val="single" w:sz="8" w:color="C8C9CB"/>
            </w:tcBorders>
          </w:tcPr>
          <w:p>
            <w:pPr>
              <w:spacing w:after="0"/>
              <w:rPr>
                <w:sz w:val="11"/>
                <w:szCs w:val="11"/>
                <w:color w:val="auto"/>
              </w:rPr>
            </w:pPr>
          </w:p>
        </w:tc>
        <w:tc>
          <w:tcPr>
            <w:tcW w:w="2980" w:type="dxa"/>
            <w:vAlign w:val="bottom"/>
            <w:tcBorders>
              <w:bottom w:val="single" w:sz="8" w:color="C8C9CB"/>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60" w:type="dxa"/>
            <w:vAlign w:val="bottom"/>
            <w:shd w:val="clear" w:color="auto" w:fill="F4F6F6"/>
          </w:tcPr>
          <w:p>
            <w:pPr>
              <w:ind w:left="20"/>
              <w:spacing w:after="0"/>
              <w:rPr>
                <w:sz w:val="20"/>
                <w:szCs w:val="20"/>
                <w:color w:val="auto"/>
              </w:rPr>
            </w:pPr>
            <w:r>
              <w:rPr>
                <w:rFonts w:ascii="Arial" w:cs="Arial" w:eastAsia="Arial" w:hAnsi="Arial"/>
                <w:sz w:val="13"/>
                <w:szCs w:val="13"/>
                <w:color w:val="auto"/>
              </w:rPr>
              <w:t>Potential new indication or line extension</w:t>
            </w:r>
          </w:p>
        </w:tc>
        <w:tc>
          <w:tcPr>
            <w:tcW w:w="2940" w:type="dxa"/>
            <w:vAlign w:val="bottom"/>
            <w:vMerge w:val="restart"/>
            <w:shd w:val="clear" w:color="auto" w:fill="F4F6F6"/>
          </w:tcPr>
          <w:p>
            <w:pPr>
              <w:jc w:val="center"/>
              <w:ind w:left="155"/>
              <w:spacing w:after="0"/>
              <w:rPr>
                <w:sz w:val="20"/>
                <w:szCs w:val="20"/>
                <w:color w:val="auto"/>
              </w:rPr>
            </w:pPr>
            <w:r>
              <w:rPr>
                <w:rFonts w:ascii="Arial" w:cs="Arial" w:eastAsia="Arial" w:hAnsi="Arial"/>
                <w:sz w:val="13"/>
                <w:szCs w:val="13"/>
                <w:color w:val="auto"/>
              </w:rPr>
              <w:t>6</w:t>
            </w:r>
          </w:p>
        </w:tc>
        <w:tc>
          <w:tcPr>
            <w:tcW w:w="2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82"/>
              </w:rPr>
              <w:t>9</w:t>
            </w:r>
          </w:p>
        </w:tc>
        <w:tc>
          <w:tcPr>
            <w:tcW w:w="0" w:type="dxa"/>
            <w:vAlign w:val="bottom"/>
          </w:tcPr>
          <w:p>
            <w:pPr>
              <w:spacing w:after="0"/>
              <w:rPr>
                <w:sz w:val="1"/>
                <w:szCs w:val="1"/>
                <w:color w:val="auto"/>
              </w:rPr>
            </w:pPr>
          </w:p>
        </w:tc>
      </w:tr>
      <w:tr>
        <w:trPr>
          <w:trHeight w:val="98"/>
        </w:trPr>
        <w:tc>
          <w:tcPr>
            <w:tcW w:w="2460" w:type="dxa"/>
            <w:vAlign w:val="bottom"/>
            <w:vMerge w:val="restart"/>
            <w:shd w:val="clear" w:color="auto" w:fill="F4F6F6"/>
          </w:tcPr>
          <w:p>
            <w:pPr>
              <w:ind w:left="20"/>
              <w:spacing w:after="0"/>
              <w:rPr>
                <w:sz w:val="20"/>
                <w:szCs w:val="20"/>
                <w:color w:val="auto"/>
              </w:rPr>
            </w:pPr>
            <w:r>
              <w:rPr>
                <w:rFonts w:ascii="Arial" w:cs="Arial" w:eastAsia="Arial" w:hAnsi="Arial"/>
                <w:sz w:val="13"/>
                <w:szCs w:val="13"/>
                <w:color w:val="auto"/>
              </w:rPr>
              <w:t>Phase III starts</w:t>
            </w:r>
          </w:p>
        </w:tc>
        <w:tc>
          <w:tcPr>
            <w:tcW w:w="2940" w:type="dxa"/>
            <w:vAlign w:val="bottom"/>
            <w:vMerge w:val="continue"/>
            <w:shd w:val="clear" w:color="auto" w:fill="F4F6F6"/>
          </w:tcPr>
          <w:p>
            <w:pPr>
              <w:spacing w:after="0"/>
              <w:rPr>
                <w:sz w:val="8"/>
                <w:szCs w:val="8"/>
                <w:color w:val="auto"/>
              </w:rPr>
            </w:pPr>
          </w:p>
        </w:tc>
        <w:tc>
          <w:tcPr>
            <w:tcW w:w="2980" w:type="dxa"/>
            <w:vAlign w:val="bottom"/>
            <w:vMerge w:val="continue"/>
            <w:shd w:val="clear" w:color="auto" w:fill="F4F6F6"/>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460" w:type="dxa"/>
            <w:vAlign w:val="bottom"/>
            <w:vMerge w:val="continue"/>
            <w:shd w:val="clear" w:color="auto" w:fill="F4F6F6"/>
          </w:tcPr>
          <w:p>
            <w:pPr>
              <w:spacing w:after="0"/>
              <w:rPr>
                <w:sz w:val="4"/>
                <w:szCs w:val="4"/>
                <w:color w:val="auto"/>
              </w:rPr>
            </w:pPr>
          </w:p>
        </w:tc>
        <w:tc>
          <w:tcPr>
            <w:tcW w:w="2940" w:type="dxa"/>
            <w:vAlign w:val="bottom"/>
            <w:shd w:val="clear" w:color="auto" w:fill="F4F6F6"/>
          </w:tcPr>
          <w:p>
            <w:pPr>
              <w:spacing w:after="0"/>
              <w:rPr>
                <w:sz w:val="4"/>
                <w:szCs w:val="4"/>
                <w:color w:val="auto"/>
              </w:rPr>
            </w:pPr>
          </w:p>
        </w:tc>
        <w:tc>
          <w:tcPr>
            <w:tcW w:w="2980" w:type="dxa"/>
            <w:vAlign w:val="bottom"/>
            <w:shd w:val="clear" w:color="auto" w:fill="F4F6F6"/>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460" w:type="dxa"/>
            <w:vAlign w:val="bottom"/>
            <w:tcBorders>
              <w:bottom w:val="single" w:sz="8" w:color="C8C9CB"/>
            </w:tcBorders>
            <w:shd w:val="clear" w:color="auto" w:fill="F4F6F6"/>
          </w:tcPr>
          <w:p>
            <w:pPr>
              <w:spacing w:after="0"/>
              <w:rPr>
                <w:sz w:val="7"/>
                <w:szCs w:val="7"/>
                <w:color w:val="auto"/>
              </w:rPr>
            </w:pPr>
          </w:p>
        </w:tc>
        <w:tc>
          <w:tcPr>
            <w:tcW w:w="2940" w:type="dxa"/>
            <w:vAlign w:val="bottom"/>
            <w:tcBorders>
              <w:bottom w:val="single" w:sz="8" w:color="C8C9CB"/>
            </w:tcBorders>
            <w:shd w:val="clear" w:color="auto" w:fill="F4F6F6"/>
          </w:tcPr>
          <w:p>
            <w:pPr>
              <w:spacing w:after="0"/>
              <w:rPr>
                <w:sz w:val="7"/>
                <w:szCs w:val="7"/>
                <w:color w:val="auto"/>
              </w:rPr>
            </w:pPr>
          </w:p>
        </w:tc>
        <w:tc>
          <w:tcPr>
            <w:tcW w:w="2980" w:type="dxa"/>
            <w:vAlign w:val="bottom"/>
            <w:tcBorders>
              <w:bottom w:val="single" w:sz="8" w:color="C8C9CB"/>
            </w:tcBorders>
            <w:shd w:val="clear" w:color="auto" w:fill="F4F6F6"/>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460" w:type="dxa"/>
            <w:vAlign w:val="bottom"/>
            <w:vMerge w:val="restart"/>
          </w:tcPr>
          <w:p>
            <w:pPr>
              <w:ind w:left="20"/>
              <w:spacing w:after="0"/>
              <w:rPr>
                <w:sz w:val="20"/>
                <w:szCs w:val="20"/>
                <w:color w:val="auto"/>
              </w:rPr>
            </w:pPr>
            <w:r>
              <w:rPr>
                <w:rFonts w:ascii="Arial" w:cs="Arial" w:eastAsia="Arial" w:hAnsi="Arial"/>
                <w:sz w:val="13"/>
                <w:szCs w:val="13"/>
                <w:color w:val="auto"/>
              </w:rPr>
              <w:t>Plan Boldly</w:t>
            </w:r>
          </w:p>
        </w:tc>
        <w:tc>
          <w:tcPr>
            <w:tcW w:w="2940" w:type="dxa"/>
            <w:vAlign w:val="bottom"/>
          </w:tcPr>
          <w:p>
            <w:pPr>
              <w:jc w:val="center"/>
              <w:ind w:left="155"/>
              <w:spacing w:after="0"/>
              <w:rPr>
                <w:sz w:val="20"/>
                <w:szCs w:val="20"/>
                <w:color w:val="auto"/>
              </w:rPr>
            </w:pPr>
            <w:r>
              <w:rPr>
                <w:rFonts w:ascii="Arial" w:cs="Arial" w:eastAsia="Arial" w:hAnsi="Arial"/>
                <w:sz w:val="13"/>
                <w:szCs w:val="13"/>
                <w:color w:val="auto"/>
                <w:w w:val="97"/>
              </w:rPr>
              <w:t>Meet industry benchmark for speed of</w:t>
            </w:r>
          </w:p>
        </w:tc>
        <w:tc>
          <w:tcPr>
            <w:tcW w:w="2980" w:type="dxa"/>
            <w:vAlign w:val="bottom"/>
          </w:tcPr>
          <w:p>
            <w:pPr>
              <w:jc w:val="center"/>
              <w:spacing w:after="0"/>
              <w:rPr>
                <w:sz w:val="20"/>
                <w:szCs w:val="20"/>
                <w:color w:val="auto"/>
              </w:rPr>
            </w:pPr>
            <w:r>
              <w:rPr>
                <w:rFonts w:ascii="Arial" w:cs="Arial" w:eastAsia="Arial" w:hAnsi="Arial"/>
                <w:sz w:val="13"/>
                <w:szCs w:val="13"/>
                <w:color w:val="auto"/>
                <w:w w:val="96"/>
              </w:rPr>
              <w:t>Exceeded industry benchmark for speed of</w:t>
            </w:r>
          </w:p>
        </w:tc>
        <w:tc>
          <w:tcPr>
            <w:tcW w:w="0" w:type="dxa"/>
            <w:vAlign w:val="bottom"/>
          </w:tcPr>
          <w:p>
            <w:pPr>
              <w:spacing w:after="0"/>
              <w:rPr>
                <w:sz w:val="1"/>
                <w:szCs w:val="1"/>
                <w:color w:val="auto"/>
              </w:rPr>
            </w:pPr>
          </w:p>
        </w:tc>
      </w:tr>
      <w:tr>
        <w:trPr>
          <w:trHeight w:val="98"/>
        </w:trPr>
        <w:tc>
          <w:tcPr>
            <w:tcW w:w="2460" w:type="dxa"/>
            <w:vAlign w:val="bottom"/>
            <w:vMerge w:val="continue"/>
          </w:tcPr>
          <w:p>
            <w:pPr>
              <w:spacing w:after="0"/>
              <w:rPr>
                <w:sz w:val="8"/>
                <w:szCs w:val="8"/>
                <w:color w:val="auto"/>
              </w:rPr>
            </w:pPr>
          </w:p>
        </w:tc>
        <w:tc>
          <w:tcPr>
            <w:tcW w:w="2940" w:type="dxa"/>
            <w:vAlign w:val="bottom"/>
            <w:vMerge w:val="restart"/>
          </w:tcPr>
          <w:p>
            <w:pPr>
              <w:jc w:val="center"/>
              <w:ind w:left="155"/>
              <w:spacing w:after="0"/>
              <w:rPr>
                <w:sz w:val="20"/>
                <w:szCs w:val="20"/>
                <w:color w:val="auto"/>
              </w:rPr>
            </w:pPr>
            <w:r>
              <w:rPr>
                <w:rFonts w:ascii="Arial" w:cs="Arial" w:eastAsia="Arial" w:hAnsi="Arial"/>
                <w:sz w:val="13"/>
                <w:szCs w:val="13"/>
                <w:color w:val="auto"/>
                <w:w w:val="96"/>
              </w:rPr>
              <w:t>development</w:t>
            </w:r>
          </w:p>
        </w:tc>
        <w:tc>
          <w:tcPr>
            <w:tcW w:w="2980" w:type="dxa"/>
            <w:vAlign w:val="bottom"/>
            <w:vMerge w:val="restart"/>
          </w:tcPr>
          <w:p>
            <w:pPr>
              <w:jc w:val="center"/>
              <w:spacing w:after="0"/>
              <w:rPr>
                <w:sz w:val="20"/>
                <w:szCs w:val="20"/>
                <w:color w:val="auto"/>
              </w:rPr>
            </w:pPr>
            <w:r>
              <w:rPr>
                <w:rFonts w:ascii="Arial" w:cs="Arial" w:eastAsia="Arial" w:hAnsi="Arial"/>
                <w:sz w:val="13"/>
                <w:szCs w:val="13"/>
                <w:color w:val="auto"/>
                <w:w w:val="96"/>
              </w:rPr>
              <w:t>development</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460" w:type="dxa"/>
            <w:vAlign w:val="bottom"/>
            <w:tcBorders>
              <w:bottom w:val="single" w:sz="8" w:color="C8C9CB"/>
            </w:tcBorders>
          </w:tcPr>
          <w:p>
            <w:pPr>
              <w:spacing w:after="0"/>
              <w:rPr>
                <w:sz w:val="7"/>
                <w:szCs w:val="7"/>
                <w:color w:val="auto"/>
              </w:rPr>
            </w:pPr>
          </w:p>
        </w:tc>
        <w:tc>
          <w:tcPr>
            <w:tcW w:w="2940" w:type="dxa"/>
            <w:vAlign w:val="bottom"/>
            <w:tcBorders>
              <w:bottom w:val="single" w:sz="8" w:color="C8C9CB"/>
            </w:tcBorders>
          </w:tcPr>
          <w:p>
            <w:pPr>
              <w:spacing w:after="0"/>
              <w:rPr>
                <w:sz w:val="7"/>
                <w:szCs w:val="7"/>
                <w:color w:val="auto"/>
              </w:rPr>
            </w:pPr>
          </w:p>
        </w:tc>
        <w:tc>
          <w:tcPr>
            <w:tcW w:w="2980" w:type="dxa"/>
            <w:vAlign w:val="bottom"/>
            <w:tcBorders>
              <w:bottom w:val="single" w:sz="8" w:color="C8C9CB"/>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460" w:type="dxa"/>
            <w:vAlign w:val="bottom"/>
            <w:tcBorders>
              <w:bottom w:val="single" w:sz="8" w:color="F4F6F6"/>
            </w:tcBorders>
            <w:shd w:val="clear" w:color="auto" w:fill="F4F6F6"/>
          </w:tcPr>
          <w:p>
            <w:pPr>
              <w:ind w:left="20"/>
              <w:spacing w:after="0"/>
              <w:rPr>
                <w:sz w:val="20"/>
                <w:szCs w:val="20"/>
                <w:color w:val="auto"/>
              </w:rPr>
            </w:pPr>
            <w:r>
              <w:rPr>
                <w:rFonts w:ascii="Arial" w:cs="Arial" w:eastAsia="Arial" w:hAnsi="Arial"/>
                <w:sz w:val="13"/>
                <w:szCs w:val="13"/>
                <w:color w:val="auto"/>
              </w:rPr>
              <w:t>Deliver to Launch</w:t>
            </w:r>
          </w:p>
        </w:tc>
        <w:tc>
          <w:tcPr>
            <w:tcW w:w="2940" w:type="dxa"/>
            <w:vAlign w:val="bottom"/>
            <w:tcBorders>
              <w:bottom w:val="single" w:sz="8" w:color="F4F6F6"/>
            </w:tcBorders>
            <w:shd w:val="clear" w:color="auto" w:fill="F4F6F6"/>
          </w:tcPr>
          <w:p>
            <w:pPr>
              <w:jc w:val="center"/>
              <w:ind w:left="135"/>
              <w:spacing w:after="0"/>
              <w:rPr>
                <w:sz w:val="20"/>
                <w:szCs w:val="20"/>
                <w:color w:val="auto"/>
              </w:rPr>
            </w:pPr>
            <w:r>
              <w:rPr>
                <w:rFonts w:ascii="Arial" w:cs="Arial" w:eastAsia="Arial" w:hAnsi="Arial"/>
                <w:sz w:val="13"/>
                <w:szCs w:val="13"/>
                <w:color w:val="auto"/>
                <w:w w:val="96"/>
              </w:rPr>
              <w:t>Meet planned project timelines</w:t>
            </w:r>
          </w:p>
        </w:tc>
        <w:tc>
          <w:tcPr>
            <w:tcW w:w="2980" w:type="dxa"/>
            <w:vAlign w:val="bottom"/>
            <w:tcBorders>
              <w:bottom w:val="single" w:sz="8" w:color="F4F6F6"/>
            </w:tcBorders>
            <w:shd w:val="clear" w:color="auto" w:fill="F4F6F6"/>
          </w:tcPr>
          <w:p>
            <w:pPr>
              <w:jc w:val="center"/>
              <w:spacing w:after="0"/>
              <w:rPr>
                <w:sz w:val="20"/>
                <w:szCs w:val="20"/>
                <w:color w:val="auto"/>
              </w:rPr>
            </w:pPr>
            <w:r>
              <w:rPr>
                <w:rFonts w:ascii="Arial" w:cs="Arial" w:eastAsia="Arial" w:hAnsi="Arial"/>
                <w:sz w:val="13"/>
                <w:szCs w:val="13"/>
                <w:color w:val="auto"/>
                <w:w w:val="97"/>
              </w:rPr>
              <w:t>Accelerated planned project timelines</w:t>
            </w:r>
          </w:p>
        </w:tc>
        <w:tc>
          <w:tcPr>
            <w:tcW w:w="0" w:type="dxa"/>
            <w:vAlign w:val="bottom"/>
          </w:tcPr>
          <w:p>
            <w:pPr>
              <w:spacing w:after="0"/>
              <w:rPr>
                <w:sz w:val="1"/>
                <w:szCs w:val="1"/>
                <w:color w:val="auto"/>
              </w:rPr>
            </w:pPr>
          </w:p>
        </w:tc>
      </w:tr>
      <w:tr>
        <w:trPr>
          <w:trHeight w:val="275"/>
        </w:trPr>
        <w:tc>
          <w:tcPr>
            <w:tcW w:w="2460" w:type="dxa"/>
            <w:vAlign w:val="bottom"/>
            <w:tcBorders>
              <w:top w:val="single" w:sz="8" w:color="C8C9CB"/>
            </w:tcBorders>
          </w:tcPr>
          <w:p>
            <w:pPr>
              <w:ind w:left="20"/>
              <w:spacing w:after="0"/>
              <w:rPr>
                <w:sz w:val="20"/>
                <w:szCs w:val="20"/>
                <w:color w:val="auto"/>
              </w:rPr>
            </w:pPr>
            <w:r>
              <w:rPr>
                <w:rFonts w:ascii="Arial" w:cs="Arial" w:eastAsia="Arial" w:hAnsi="Arial"/>
                <w:sz w:val="13"/>
                <w:szCs w:val="13"/>
                <w:color w:val="auto"/>
              </w:rPr>
              <w:t>Qualitative Assessment</w:t>
            </w:r>
          </w:p>
        </w:tc>
        <w:tc>
          <w:tcPr>
            <w:tcW w:w="5920" w:type="dxa"/>
            <w:vAlign w:val="bottom"/>
            <w:tcBorders>
              <w:top w:val="single" w:sz="8" w:color="C8C9CB"/>
            </w:tcBorders>
            <w:gridSpan w:val="2"/>
          </w:tcPr>
          <w:p>
            <w:pPr>
              <w:ind w:left="180"/>
              <w:spacing w:after="0"/>
              <w:rPr>
                <w:sz w:val="20"/>
                <w:szCs w:val="20"/>
                <w:color w:val="auto"/>
              </w:rPr>
            </w:pPr>
            <w:r>
              <w:rPr>
                <w:rFonts w:ascii="Arial" w:cs="Arial" w:eastAsia="Arial" w:hAnsi="Arial"/>
                <w:sz w:val="13"/>
                <w:szCs w:val="13"/>
                <w:color w:val="auto"/>
              </w:rPr>
              <w:t>Assessment of the chief scientific officer's evaluation of performance against strategic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recommendation of the Science and Technology Committee, the Compensation Committee approved a pipeline multiple of 1.79.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compared to targets as well as the resulting bonus multiple,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554980" cy="26060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549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577" w:lineRule="auto"/>
        <w:rPr>
          <w:sz w:val="20"/>
          <w:szCs w:val="20"/>
          <w:color w:val="auto"/>
        </w:rPr>
      </w:pPr>
      <w:r>
        <w:rPr>
          <w:rFonts w:ascii="Arial" w:cs="Arial" w:eastAsia="Arial" w:hAnsi="Arial"/>
          <w:sz w:val="16"/>
          <w:szCs w:val="16"/>
          <w:color w:val="auto"/>
        </w:rPr>
        <w:t>For additional information on financial results, see Appendix A, "Summary of Adjustments Related to the Annual Cash Bonus and Performance Award." When combined, the revenue, EPS, and pipeline multiples yielded a bonus multiple of 1.18</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554980" cy="548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49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P56</w:t>
      </w:r>
    </w:p>
    <w:p>
      <w:pPr>
        <w:sectPr>
          <w:pgSz w:w="11900" w:h="16838" w:orient="portrait"/>
          <w:cols w:equalWidth="0" w:num="1">
            <w:col w:w="10820"/>
          </w:cols>
          <w:pgMar w:left="320" w:top="1440" w:right="7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2020 bonuses paid to the applicable named executive officers under the Bonus Plan were as follows:</w:t>
      </w:r>
    </w:p>
    <w:p>
      <w:pPr>
        <w:spacing w:after="0" w:line="368" w:lineRule="exact"/>
        <w:rPr>
          <w:sz w:val="20"/>
          <w:szCs w:val="20"/>
          <w:color w:val="auto"/>
        </w:rPr>
      </w:pPr>
    </w:p>
    <w:tbl>
      <w:tblPr>
        <w:tblLayout w:type="fixed"/>
        <w:tblInd w:w="3700" w:type="dxa"/>
        <w:tblCellMar>
          <w:top w:w="0" w:type="dxa"/>
          <w:left w:w="0" w:type="dxa"/>
          <w:bottom w:w="0" w:type="dxa"/>
          <w:right w:w="0" w:type="dxa"/>
        </w:tblCellMar>
      </w:tblPr>
      <w:tr>
        <w:trPr>
          <w:trHeight w:val="311"/>
        </w:trPr>
        <w:tc>
          <w:tcPr>
            <w:tcW w:w="162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Name</w:t>
            </w:r>
          </w:p>
        </w:tc>
        <w:tc>
          <w:tcPr>
            <w:tcW w:w="2220" w:type="dxa"/>
            <w:vAlign w:val="bottom"/>
            <w:shd w:val="clear" w:color="auto" w:fill="C8C9CB"/>
          </w:tcPr>
          <w:p>
            <w:pPr>
              <w:ind w:left="640"/>
              <w:spacing w:after="0"/>
              <w:rPr>
                <w:sz w:val="20"/>
                <w:szCs w:val="20"/>
                <w:color w:val="auto"/>
              </w:rPr>
            </w:pPr>
            <w:r>
              <w:rPr>
                <w:rFonts w:ascii="Arial" w:cs="Arial" w:eastAsia="Arial" w:hAnsi="Arial"/>
                <w:sz w:val="16"/>
                <w:szCs w:val="16"/>
                <w:b w:val="1"/>
                <w:bCs w:val="1"/>
                <w:color w:val="00ABE8"/>
              </w:rPr>
              <w:t>2020 Bonus ($)</w:t>
            </w:r>
          </w:p>
        </w:tc>
      </w:tr>
      <w:tr>
        <w:trPr>
          <w:trHeight w:val="217"/>
        </w:trPr>
        <w:tc>
          <w:tcPr>
            <w:tcW w:w="1620" w:type="dxa"/>
            <w:vAlign w:val="bottom"/>
          </w:tcPr>
          <w:p>
            <w:pPr>
              <w:ind w:left="20"/>
              <w:spacing w:after="0"/>
              <w:rPr>
                <w:sz w:val="20"/>
                <w:szCs w:val="20"/>
                <w:color w:val="auto"/>
              </w:rPr>
            </w:pPr>
            <w:r>
              <w:rPr>
                <w:rFonts w:ascii="Arial" w:cs="Arial" w:eastAsia="Arial" w:hAnsi="Arial"/>
                <w:sz w:val="14"/>
                <w:szCs w:val="14"/>
                <w:color w:val="auto"/>
              </w:rPr>
              <w:t>Mr. Ricks</w:t>
            </w:r>
          </w:p>
        </w:tc>
        <w:tc>
          <w:tcPr>
            <w:tcW w:w="2220" w:type="dxa"/>
            <w:vAlign w:val="bottom"/>
          </w:tcPr>
          <w:p>
            <w:pPr>
              <w:jc w:val="center"/>
              <w:ind w:left="147"/>
              <w:spacing w:after="0"/>
              <w:rPr>
                <w:sz w:val="20"/>
                <w:szCs w:val="20"/>
                <w:color w:val="auto"/>
              </w:rPr>
            </w:pPr>
            <w:r>
              <w:rPr>
                <w:rFonts w:ascii="Arial" w:cs="Arial" w:eastAsia="Arial" w:hAnsi="Arial"/>
                <w:sz w:val="14"/>
                <w:szCs w:val="14"/>
                <w:color w:val="auto"/>
              </w:rPr>
              <w:t>$2,625,500</w:t>
            </w:r>
          </w:p>
        </w:tc>
      </w:tr>
      <w:tr>
        <w:trPr>
          <w:trHeight w:val="216"/>
        </w:trPr>
        <w:tc>
          <w:tcPr>
            <w:tcW w:w="162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220" w:type="dxa"/>
            <w:vAlign w:val="bottom"/>
          </w:tcPr>
          <w:p>
            <w:pPr>
              <w:jc w:val="center"/>
              <w:ind w:left="167"/>
              <w:spacing w:after="0"/>
              <w:rPr>
                <w:sz w:val="20"/>
                <w:szCs w:val="20"/>
                <w:color w:val="auto"/>
              </w:rPr>
            </w:pPr>
            <w:r>
              <w:rPr>
                <w:rFonts w:ascii="Arial" w:cs="Arial" w:eastAsia="Arial" w:hAnsi="Arial"/>
                <w:sz w:val="14"/>
                <w:szCs w:val="14"/>
                <w:color w:val="auto"/>
              </w:rPr>
              <w:t>$0*</w:t>
            </w:r>
          </w:p>
        </w:tc>
      </w:tr>
      <w:tr>
        <w:trPr>
          <w:trHeight w:val="216"/>
        </w:trPr>
        <w:tc>
          <w:tcPr>
            <w:tcW w:w="16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220" w:type="dxa"/>
            <w:vAlign w:val="bottom"/>
          </w:tcPr>
          <w:p>
            <w:pPr>
              <w:jc w:val="center"/>
              <w:ind w:left="147"/>
              <w:spacing w:after="0"/>
              <w:rPr>
                <w:sz w:val="20"/>
                <w:szCs w:val="20"/>
                <w:color w:val="auto"/>
              </w:rPr>
            </w:pPr>
            <w:r>
              <w:rPr>
                <w:rFonts w:ascii="Arial" w:cs="Arial" w:eastAsia="Arial" w:hAnsi="Arial"/>
                <w:sz w:val="14"/>
                <w:szCs w:val="14"/>
                <w:color w:val="auto"/>
              </w:rPr>
              <w:t>$1,102,317</w:t>
            </w:r>
          </w:p>
        </w:tc>
      </w:tr>
      <w:tr>
        <w:trPr>
          <w:trHeight w:val="216"/>
        </w:trPr>
        <w:tc>
          <w:tcPr>
            <w:tcW w:w="162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20" w:type="dxa"/>
            <w:vAlign w:val="bottom"/>
          </w:tcPr>
          <w:p>
            <w:pPr>
              <w:jc w:val="center"/>
              <w:ind w:left="147"/>
              <w:spacing w:after="0"/>
              <w:rPr>
                <w:sz w:val="20"/>
                <w:szCs w:val="20"/>
                <w:color w:val="auto"/>
              </w:rPr>
            </w:pPr>
            <w:r>
              <w:rPr>
                <w:rFonts w:ascii="Arial" w:cs="Arial" w:eastAsia="Arial" w:hAnsi="Arial"/>
                <w:sz w:val="14"/>
                <w:szCs w:val="14"/>
                <w:color w:val="auto"/>
              </w:rPr>
              <w:t>$670,633</w:t>
            </w:r>
          </w:p>
        </w:tc>
      </w:tr>
      <w:tr>
        <w:trPr>
          <w:trHeight w:val="216"/>
        </w:trPr>
        <w:tc>
          <w:tcPr>
            <w:tcW w:w="1620" w:type="dxa"/>
            <w:vAlign w:val="bottom"/>
          </w:tcPr>
          <w:p>
            <w:pPr>
              <w:ind w:left="20"/>
              <w:spacing w:after="0"/>
              <w:rPr>
                <w:sz w:val="20"/>
                <w:szCs w:val="20"/>
                <w:color w:val="auto"/>
              </w:rPr>
            </w:pPr>
            <w:r>
              <w:rPr>
                <w:rFonts w:ascii="Arial" w:cs="Arial" w:eastAsia="Arial" w:hAnsi="Arial"/>
                <w:sz w:val="14"/>
                <w:szCs w:val="14"/>
                <w:color w:val="auto"/>
              </w:rPr>
              <w:t>Mr. Zulueta</w:t>
            </w:r>
          </w:p>
        </w:tc>
        <w:tc>
          <w:tcPr>
            <w:tcW w:w="2220" w:type="dxa"/>
            <w:vAlign w:val="bottom"/>
          </w:tcPr>
          <w:p>
            <w:pPr>
              <w:jc w:val="center"/>
              <w:ind w:left="147"/>
              <w:spacing w:after="0"/>
              <w:rPr>
                <w:sz w:val="20"/>
                <w:szCs w:val="20"/>
                <w:color w:val="auto"/>
              </w:rPr>
            </w:pPr>
            <w:r>
              <w:rPr>
                <w:rFonts w:ascii="Arial" w:cs="Arial" w:eastAsia="Arial" w:hAnsi="Arial"/>
                <w:sz w:val="14"/>
                <w:szCs w:val="14"/>
                <w:color w:val="auto"/>
              </w:rPr>
              <w:t>$952,850</w:t>
            </w:r>
          </w:p>
        </w:tc>
      </w:tr>
    </w:tbl>
    <w:p>
      <w:pPr>
        <w:spacing w:after="0" w:line="246" w:lineRule="exact"/>
        <w:rPr>
          <w:sz w:val="20"/>
          <w:szCs w:val="20"/>
          <w:color w:val="auto"/>
        </w:rPr>
      </w:pPr>
    </w:p>
    <w:p>
      <w:pPr>
        <w:ind w:left="3720" w:right="3980" w:firstLine="5"/>
        <w:spacing w:after="0" w:line="209" w:lineRule="auto"/>
        <w:tabs>
          <w:tab w:leader="none" w:pos="3816" w:val="left"/>
        </w:tabs>
        <w:numPr>
          <w:ilvl w:val="0"/>
          <w:numId w:val="87"/>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and the fact his bonus had not yet been paid, the Compensation Committee exercised its discretion to reduce his payout under the Bonus Plan for 2020 from $1,102,317 to $0. See the discussion of Mr. Smiley’s Separation Agreement under “Agreement with Former Chief Financial Officer”.</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2019-2021 Performance Awards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target cumulative EPS for the 2019-2021 performance award was set in the first quarter of 2019, reflecting expected industry growth of 5.8 percent each year over the two-year performance period of 2019-2020. The company's adjusted EPS growth for the two-year period was 17.2 percent. The Compensation Committee adjusted non-GAAP EPS by $0.98 to exclude net gains on investments in equity securities that significantly exceeded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554980" cy="1448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498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 the named executive officers, shares earned for the 2019-2020 performance period are subject to an additional 13-month service-vesting period and are shown in the table below as restricted stock units.</w:t>
      </w:r>
    </w:p>
    <w:p>
      <w:pPr>
        <w:spacing w:after="0" w:line="99"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1700" w:type="dxa"/>
            <w:vAlign w:val="bottom"/>
            <w:shd w:val="clear" w:color="auto" w:fill="D1D1D1"/>
          </w:tcPr>
          <w:p>
            <w:pPr>
              <w:ind w:left="20"/>
              <w:spacing w:after="0"/>
              <w:rPr>
                <w:sz w:val="20"/>
                <w:szCs w:val="20"/>
                <w:color w:val="auto"/>
              </w:rPr>
            </w:pPr>
            <w:r>
              <w:rPr>
                <w:rFonts w:ascii="Arial" w:cs="Arial" w:eastAsia="Arial" w:hAnsi="Arial"/>
                <w:sz w:val="14"/>
                <w:szCs w:val="14"/>
                <w:b w:val="1"/>
                <w:bCs w:val="1"/>
                <w:color w:val="00ABE8"/>
              </w:rPr>
              <w:t>Name</w:t>
            </w:r>
          </w:p>
        </w:tc>
        <w:tc>
          <w:tcPr>
            <w:tcW w:w="2200" w:type="dxa"/>
            <w:vAlign w:val="bottom"/>
            <w:shd w:val="clear" w:color="auto" w:fill="D1D1D1"/>
          </w:tcPr>
          <w:p>
            <w:pPr>
              <w:jc w:val="center"/>
              <w:ind w:left="76"/>
              <w:spacing w:after="0"/>
              <w:rPr>
                <w:sz w:val="20"/>
                <w:szCs w:val="20"/>
                <w:color w:val="auto"/>
              </w:rPr>
            </w:pPr>
            <w:r>
              <w:rPr>
                <w:rFonts w:ascii="Arial" w:cs="Arial" w:eastAsia="Arial" w:hAnsi="Arial"/>
                <w:sz w:val="14"/>
                <w:szCs w:val="14"/>
                <w:b w:val="1"/>
                <w:bCs w:val="1"/>
                <w:color w:val="00ABE8"/>
              </w:rPr>
              <w:t>Target Shares</w:t>
            </w:r>
          </w:p>
        </w:tc>
        <w:tc>
          <w:tcPr>
            <w:tcW w:w="1940" w:type="dxa"/>
            <w:vAlign w:val="bottom"/>
            <w:shd w:val="clear" w:color="auto" w:fill="D1D1D1"/>
          </w:tcPr>
          <w:p>
            <w:pPr>
              <w:jc w:val="center"/>
              <w:spacing w:after="0"/>
              <w:rPr>
                <w:sz w:val="20"/>
                <w:szCs w:val="20"/>
                <w:color w:val="auto"/>
              </w:rPr>
            </w:pPr>
            <w:r>
              <w:rPr>
                <w:rFonts w:ascii="Arial" w:cs="Arial" w:eastAsia="Arial" w:hAnsi="Arial"/>
                <w:sz w:val="14"/>
                <w:szCs w:val="14"/>
                <w:b w:val="1"/>
                <w:bCs w:val="1"/>
                <w:color w:val="00ABE8"/>
              </w:rPr>
              <w:t>RSUs Earned</w:t>
            </w:r>
          </w:p>
        </w:tc>
      </w:tr>
      <w:tr>
        <w:trPr>
          <w:trHeight w:val="218"/>
        </w:trPr>
        <w:tc>
          <w:tcPr>
            <w:tcW w:w="1700" w:type="dxa"/>
            <w:vAlign w:val="bottom"/>
          </w:tcPr>
          <w:p>
            <w:pPr>
              <w:ind w:left="20"/>
              <w:spacing w:after="0"/>
              <w:rPr>
                <w:sz w:val="20"/>
                <w:szCs w:val="20"/>
                <w:color w:val="auto"/>
              </w:rPr>
            </w:pPr>
            <w:r>
              <w:rPr>
                <w:rFonts w:ascii="Arial" w:cs="Arial" w:eastAsia="Arial" w:hAnsi="Arial"/>
                <w:sz w:val="14"/>
                <w:szCs w:val="14"/>
                <w:color w:val="auto"/>
              </w:rPr>
              <w:t>Mr. Ricks</w:t>
            </w:r>
          </w:p>
        </w:tc>
        <w:tc>
          <w:tcPr>
            <w:tcW w:w="2200" w:type="dxa"/>
            <w:vAlign w:val="bottom"/>
          </w:tcPr>
          <w:p>
            <w:pPr>
              <w:jc w:val="center"/>
              <w:ind w:left="76"/>
              <w:spacing w:after="0"/>
              <w:rPr>
                <w:sz w:val="20"/>
                <w:szCs w:val="20"/>
                <w:color w:val="auto"/>
              </w:rPr>
            </w:pPr>
            <w:r>
              <w:rPr>
                <w:rFonts w:ascii="Arial" w:cs="Arial" w:eastAsia="Arial" w:hAnsi="Arial"/>
                <w:sz w:val="13"/>
                <w:szCs w:val="13"/>
                <w:color w:val="auto"/>
                <w:w w:val="95"/>
              </w:rPr>
              <w:t>37,470</w:t>
            </w:r>
          </w:p>
        </w:tc>
        <w:tc>
          <w:tcPr>
            <w:tcW w:w="1940" w:type="dxa"/>
            <w:vAlign w:val="bottom"/>
          </w:tcPr>
          <w:p>
            <w:pPr>
              <w:jc w:val="center"/>
              <w:spacing w:after="0"/>
              <w:rPr>
                <w:sz w:val="20"/>
                <w:szCs w:val="20"/>
                <w:color w:val="auto"/>
              </w:rPr>
            </w:pPr>
            <w:r>
              <w:rPr>
                <w:rFonts w:ascii="Arial" w:cs="Arial" w:eastAsia="Arial" w:hAnsi="Arial"/>
                <w:sz w:val="13"/>
                <w:szCs w:val="13"/>
                <w:color w:val="auto"/>
                <w:w w:val="95"/>
              </w:rPr>
              <w:t>56,205</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200" w:type="dxa"/>
            <w:vAlign w:val="bottom"/>
          </w:tcPr>
          <w:p>
            <w:pPr>
              <w:jc w:val="center"/>
              <w:ind w:left="76"/>
              <w:spacing w:after="0"/>
              <w:rPr>
                <w:sz w:val="20"/>
                <w:szCs w:val="20"/>
                <w:color w:val="auto"/>
              </w:rPr>
            </w:pPr>
            <w:r>
              <w:rPr>
                <w:rFonts w:ascii="Arial" w:cs="Arial" w:eastAsia="Arial" w:hAnsi="Arial"/>
                <w:sz w:val="13"/>
                <w:szCs w:val="13"/>
                <w:color w:val="auto"/>
                <w:w w:val="92"/>
              </w:rPr>
              <w:t>9,635</w:t>
            </w:r>
          </w:p>
        </w:tc>
        <w:tc>
          <w:tcPr>
            <w:tcW w:w="1940" w:type="dxa"/>
            <w:vAlign w:val="bottom"/>
          </w:tcPr>
          <w:p>
            <w:pPr>
              <w:jc w:val="right"/>
              <w:ind w:right="716"/>
              <w:spacing w:after="0"/>
              <w:rPr>
                <w:sz w:val="20"/>
                <w:szCs w:val="20"/>
                <w:color w:val="auto"/>
              </w:rPr>
            </w:pPr>
            <w:r>
              <w:rPr>
                <w:rFonts w:ascii="Arial" w:cs="Arial" w:eastAsia="Arial" w:hAnsi="Arial"/>
                <w:sz w:val="13"/>
                <w:szCs w:val="13"/>
                <w:color w:val="auto"/>
              </w:rPr>
              <w:t>0**</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200" w:type="dxa"/>
            <w:vAlign w:val="bottom"/>
          </w:tcPr>
          <w:p>
            <w:pPr>
              <w:jc w:val="center"/>
              <w:ind w:left="76"/>
              <w:spacing w:after="0"/>
              <w:rPr>
                <w:sz w:val="20"/>
                <w:szCs w:val="20"/>
                <w:color w:val="auto"/>
              </w:rPr>
            </w:pPr>
            <w:r>
              <w:rPr>
                <w:rFonts w:ascii="Arial" w:cs="Arial" w:eastAsia="Arial" w:hAnsi="Arial"/>
                <w:sz w:val="13"/>
                <w:szCs w:val="13"/>
                <w:color w:val="auto"/>
                <w:w w:val="95"/>
              </w:rPr>
              <w:t>12,490</w:t>
            </w:r>
          </w:p>
        </w:tc>
        <w:tc>
          <w:tcPr>
            <w:tcW w:w="1940" w:type="dxa"/>
            <w:vAlign w:val="bottom"/>
          </w:tcPr>
          <w:p>
            <w:pPr>
              <w:jc w:val="center"/>
              <w:spacing w:after="0"/>
              <w:rPr>
                <w:sz w:val="20"/>
                <w:szCs w:val="20"/>
                <w:color w:val="auto"/>
              </w:rPr>
            </w:pPr>
            <w:r>
              <w:rPr>
                <w:rFonts w:ascii="Arial" w:cs="Arial" w:eastAsia="Arial" w:hAnsi="Arial"/>
                <w:sz w:val="13"/>
                <w:szCs w:val="13"/>
                <w:color w:val="auto"/>
                <w:w w:val="95"/>
              </w:rPr>
              <w:t>18,735</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00" w:type="dxa"/>
            <w:vAlign w:val="bottom"/>
          </w:tcPr>
          <w:p>
            <w:pPr>
              <w:jc w:val="center"/>
              <w:ind w:left="76"/>
              <w:spacing w:after="0"/>
              <w:rPr>
                <w:sz w:val="20"/>
                <w:szCs w:val="20"/>
                <w:color w:val="auto"/>
              </w:rPr>
            </w:pPr>
            <w:r>
              <w:rPr>
                <w:rFonts w:ascii="Arial" w:cs="Arial" w:eastAsia="Arial" w:hAnsi="Arial"/>
                <w:sz w:val="13"/>
                <w:szCs w:val="13"/>
                <w:color w:val="auto"/>
              </w:rPr>
              <w:t>N/A</w:t>
            </w:r>
          </w:p>
        </w:tc>
        <w:tc>
          <w:tcPr>
            <w:tcW w:w="1940" w:type="dxa"/>
            <w:vAlign w:val="bottom"/>
          </w:tcPr>
          <w:p>
            <w:pPr>
              <w:jc w:val="center"/>
              <w:spacing w:after="0"/>
              <w:rPr>
                <w:sz w:val="20"/>
                <w:szCs w:val="20"/>
                <w:color w:val="auto"/>
              </w:rPr>
            </w:pPr>
            <w:r>
              <w:rPr>
                <w:rFonts w:ascii="Arial" w:cs="Arial" w:eastAsia="Arial" w:hAnsi="Arial"/>
                <w:sz w:val="13"/>
                <w:szCs w:val="13"/>
                <w:color w:val="auto"/>
                <w:w w:val="92"/>
              </w:rPr>
              <w:t>N/A</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Mr. Zulueta</w:t>
            </w:r>
          </w:p>
        </w:tc>
        <w:tc>
          <w:tcPr>
            <w:tcW w:w="2200" w:type="dxa"/>
            <w:vAlign w:val="bottom"/>
          </w:tcPr>
          <w:p>
            <w:pPr>
              <w:jc w:val="center"/>
              <w:ind w:left="76"/>
              <w:spacing w:after="0"/>
              <w:rPr>
                <w:sz w:val="20"/>
                <w:szCs w:val="20"/>
                <w:color w:val="auto"/>
              </w:rPr>
            </w:pPr>
            <w:r>
              <w:rPr>
                <w:rFonts w:ascii="Arial" w:cs="Arial" w:eastAsia="Arial" w:hAnsi="Arial"/>
                <w:sz w:val="13"/>
                <w:szCs w:val="13"/>
                <w:color w:val="auto"/>
                <w:w w:val="92"/>
              </w:rPr>
              <w:t>7,137</w:t>
            </w:r>
          </w:p>
        </w:tc>
        <w:tc>
          <w:tcPr>
            <w:tcW w:w="1940" w:type="dxa"/>
            <w:vAlign w:val="bottom"/>
          </w:tcPr>
          <w:p>
            <w:pPr>
              <w:jc w:val="center"/>
              <w:spacing w:after="0"/>
              <w:rPr>
                <w:sz w:val="20"/>
                <w:szCs w:val="20"/>
                <w:color w:val="auto"/>
              </w:rPr>
            </w:pPr>
            <w:r>
              <w:rPr>
                <w:rFonts w:ascii="Arial" w:cs="Arial" w:eastAsia="Arial" w:hAnsi="Arial"/>
                <w:sz w:val="13"/>
                <w:szCs w:val="13"/>
                <w:color w:val="auto"/>
                <w:w w:val="95"/>
              </w:rPr>
              <w:t>10,706</w:t>
            </w:r>
          </w:p>
        </w:tc>
      </w:tr>
    </w:tbl>
    <w:p>
      <w:pPr>
        <w:spacing w:after="0" w:line="152"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 Ms. Hakim joined Lilly in February 2020, so she did not receive a PA grant in 2019.</w:t>
      </w:r>
    </w:p>
    <w:p>
      <w:pPr>
        <w:spacing w:after="0" w:line="123" w:lineRule="exact"/>
        <w:rPr>
          <w:sz w:val="20"/>
          <w:szCs w:val="20"/>
          <w:color w:val="auto"/>
        </w:rPr>
      </w:pPr>
    </w:p>
    <w:p>
      <w:pPr>
        <w:ind w:left="2720" w:right="2780" w:firstLine="6"/>
        <w:spacing w:after="0" w:line="201" w:lineRule="auto"/>
        <w:tabs>
          <w:tab w:leader="none" w:pos="2872"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and the fact his 2019-2021 performance award had not yet been converted to a 13-month service vesting RSU, the Compensation Committee exercised its discretion to cancel</w:t>
      </w:r>
    </w:p>
    <w:p>
      <w:pPr>
        <w:ind w:left="2720" w:right="3000"/>
        <w:spacing w:after="0" w:line="219" w:lineRule="auto"/>
        <w:rPr>
          <w:rFonts w:ascii="Arial" w:cs="Arial" w:eastAsia="Arial" w:hAnsi="Arial"/>
          <w:sz w:val="14"/>
          <w:szCs w:val="14"/>
          <w:color w:val="auto"/>
        </w:rPr>
      </w:pPr>
      <w:r>
        <w:rPr>
          <w:rFonts w:ascii="Arial" w:cs="Arial" w:eastAsia="Arial" w:hAnsi="Arial"/>
          <w:sz w:val="14"/>
          <w:szCs w:val="14"/>
          <w:color w:val="auto"/>
        </w:rPr>
        <w:t>Mr. Smiley's 2019-2021 performance award resulting in zero RSUs earned. See discussion of Mr. Smiley's Separation Agreement under "Agreement with Former Chief Financial Officer".</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2018-2020 Shareholder Value Award</w:t>
      </w:r>
    </w:p>
    <w:p>
      <w:pPr>
        <w:spacing w:after="0" w:line="2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target stock price range of $99.02 to $109.83 (16.9 percent to 29.7 percent total stock price growth) for the 2018-2020 shareholder value award was set in 2018 based on a beginning stock price of $84.70, which was the average closing price for Lilly stock for all trading days in November and December 2017. The ending stock price of $152.16 represents stock price growth of 79.6 percent over the relevant three-year period resulting in a payout multiple of 1.50.</w:t>
      </w:r>
    </w:p>
    <w:p>
      <w:pPr>
        <w:spacing w:after="0" w:line="200" w:lineRule="exact"/>
        <w:rPr>
          <w:sz w:val="20"/>
          <w:szCs w:val="20"/>
          <w:color w:val="auto"/>
        </w:rPr>
      </w:pPr>
    </w:p>
    <w:p>
      <w:pPr>
        <w:spacing w:after="0" w:line="206" w:lineRule="exact"/>
        <w:rPr>
          <w:sz w:val="20"/>
          <w:szCs w:val="20"/>
          <w:color w:val="auto"/>
        </w:rPr>
      </w:pPr>
    </w:p>
    <w:p>
      <w:pPr>
        <w:ind w:right="600"/>
        <w:spacing w:after="0" w:line="242" w:lineRule="auto"/>
        <w:rPr>
          <w:sz w:val="20"/>
          <w:szCs w:val="20"/>
          <w:color w:val="auto"/>
        </w:rPr>
      </w:pPr>
      <w:r>
        <w:rPr>
          <w:rFonts w:ascii="Arial" w:cs="Arial" w:eastAsia="Arial" w:hAnsi="Arial"/>
          <w:sz w:val="16"/>
          <w:szCs w:val="16"/>
          <w:color w:val="auto"/>
        </w:rPr>
        <w:t>The relative TSR modifier applies to those individuals who were executive officers when the award was granted. The cumulative TSR median for the company’s peer group was 23.5 percent, and Lilly’s TSR over the same period was 92.2</w:t>
      </w:r>
    </w:p>
    <w:p>
      <w:pPr>
        <w:sectPr>
          <w:pgSz w:w="11900" w:h="16838" w:orient="portrait"/>
          <w:cols w:equalWidth="0" w:num="1">
            <w:col w:w="11220"/>
          </w:cols>
          <w:pgMar w:left="320" w:top="14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P57</w:t>
      </w:r>
    </w:p>
    <w:p>
      <w:pPr>
        <w:sectPr>
          <w:pgSz w:w="11900" w:h="16838" w:orient="portrait"/>
          <w:cols w:equalWidth="0" w:num="1">
            <w:col w:w="11220"/>
          </w:cols>
          <w:pgMar w:left="320" w:top="1437" w:right="359" w:bottom="1440" w:gutter="0" w:footer="0" w:header="0"/>
          <w:type w:val="continuous"/>
        </w:sectPr>
      </w:pPr>
    </w:p>
    <w:bookmarkStart w:id="62" w:name="page63"/>
    <w:bookmarkEnd w:id="62"/>
    <w:p>
      <w:pPr>
        <w:ind w:right="40"/>
        <w:spacing w:after="0" w:line="242" w:lineRule="auto"/>
        <w:rPr>
          <w:sz w:val="20"/>
          <w:szCs w:val="20"/>
          <w:color w:val="auto"/>
        </w:rPr>
      </w:pPr>
      <w:r>
        <w:rPr>
          <w:rFonts w:ascii="Arial" w:cs="Arial" w:eastAsia="Arial" w:hAnsi="Arial"/>
          <w:sz w:val="16"/>
          <w:szCs w:val="16"/>
          <w:color w:val="auto"/>
        </w:rPr>
        <w:t>percent. Given this positive relative performance, our relative TSR was 68.7 percentage points above the peer group median resulting in a maximum award payout of 180 percent of target (SVA payout multiple of 150 percent multiplied by the 1.2 modifier = 180 percent final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149225</wp:posOffset>
            </wp:positionV>
            <wp:extent cx="5554980" cy="30346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549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paid to each of our named executive officers for the 2018-2020 performance period were as follows:</w:t>
      </w:r>
    </w:p>
    <w:p>
      <w:pPr>
        <w:spacing w:after="0" w:line="354" w:lineRule="exact"/>
        <w:rPr>
          <w:sz w:val="20"/>
          <w:szCs w:val="20"/>
          <w:color w:val="auto"/>
        </w:rPr>
      </w:pPr>
    </w:p>
    <w:tbl>
      <w:tblPr>
        <w:tblLayout w:type="fixed"/>
        <w:tblInd w:w="2500" w:type="dxa"/>
        <w:tblCellMar>
          <w:top w:w="0" w:type="dxa"/>
          <w:left w:w="0" w:type="dxa"/>
          <w:bottom w:w="0" w:type="dxa"/>
          <w:right w:w="0" w:type="dxa"/>
        </w:tblCellMar>
      </w:tblPr>
      <w:tr>
        <w:trPr>
          <w:trHeight w:val="257"/>
        </w:trPr>
        <w:tc>
          <w:tcPr>
            <w:tcW w:w="186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Name</w:t>
            </w:r>
          </w:p>
        </w:tc>
        <w:tc>
          <w:tcPr>
            <w:tcW w:w="2280" w:type="dxa"/>
            <w:vAlign w:val="bottom"/>
            <w:shd w:val="clear" w:color="auto" w:fill="C8C9CB"/>
          </w:tcPr>
          <w:p>
            <w:pPr>
              <w:jc w:val="center"/>
              <w:ind w:left="327"/>
              <w:spacing w:after="0"/>
              <w:rPr>
                <w:sz w:val="20"/>
                <w:szCs w:val="20"/>
                <w:color w:val="auto"/>
              </w:rPr>
            </w:pPr>
            <w:r>
              <w:rPr>
                <w:rFonts w:ascii="Arial" w:cs="Arial" w:eastAsia="Arial" w:hAnsi="Arial"/>
                <w:sz w:val="16"/>
                <w:szCs w:val="16"/>
                <w:b w:val="1"/>
                <w:bCs w:val="1"/>
                <w:color w:val="00ABE8"/>
              </w:rPr>
              <w:t>Target Shares</w:t>
            </w:r>
          </w:p>
        </w:tc>
        <w:tc>
          <w:tcPr>
            <w:tcW w:w="2120" w:type="dxa"/>
            <w:vAlign w:val="bottom"/>
            <w:shd w:val="clear" w:color="auto" w:fill="C8C9CB"/>
          </w:tcPr>
          <w:p>
            <w:pPr>
              <w:jc w:val="center"/>
              <w:spacing w:after="0"/>
              <w:rPr>
                <w:sz w:val="20"/>
                <w:szCs w:val="20"/>
                <w:color w:val="auto"/>
              </w:rPr>
            </w:pPr>
            <w:r>
              <w:rPr>
                <w:rFonts w:ascii="Arial" w:cs="Arial" w:eastAsia="Arial" w:hAnsi="Arial"/>
                <w:sz w:val="16"/>
                <w:szCs w:val="16"/>
                <w:b w:val="1"/>
                <w:bCs w:val="1"/>
                <w:color w:val="00ABE8"/>
              </w:rPr>
              <w:t>Shares Paid Out</w:t>
            </w:r>
          </w:p>
        </w:tc>
      </w:tr>
      <w:tr>
        <w:trPr>
          <w:trHeight w:val="218"/>
        </w:trPr>
        <w:tc>
          <w:tcPr>
            <w:tcW w:w="1860" w:type="dxa"/>
            <w:vAlign w:val="bottom"/>
          </w:tcPr>
          <w:p>
            <w:pPr>
              <w:ind w:left="20"/>
              <w:spacing w:after="0"/>
              <w:rPr>
                <w:sz w:val="20"/>
                <w:szCs w:val="20"/>
                <w:color w:val="auto"/>
              </w:rPr>
            </w:pPr>
            <w:r>
              <w:rPr>
                <w:rFonts w:ascii="Arial" w:cs="Arial" w:eastAsia="Arial" w:hAnsi="Arial"/>
                <w:sz w:val="14"/>
                <w:szCs w:val="14"/>
                <w:color w:val="auto"/>
              </w:rPr>
              <w:t>Mr. Ricks</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131,036</w:t>
            </w:r>
          </w:p>
        </w:tc>
        <w:tc>
          <w:tcPr>
            <w:tcW w:w="2120" w:type="dxa"/>
            <w:vAlign w:val="bottom"/>
          </w:tcPr>
          <w:p>
            <w:pPr>
              <w:jc w:val="center"/>
              <w:spacing w:after="0"/>
              <w:rPr>
                <w:sz w:val="20"/>
                <w:szCs w:val="20"/>
                <w:color w:val="auto"/>
              </w:rPr>
            </w:pPr>
            <w:r>
              <w:rPr>
                <w:rFonts w:ascii="Arial" w:cs="Arial" w:eastAsia="Arial" w:hAnsi="Arial"/>
                <w:sz w:val="14"/>
                <w:szCs w:val="14"/>
                <w:color w:val="auto"/>
              </w:rPr>
              <w:t>235,865</w:t>
            </w:r>
          </w:p>
        </w:tc>
      </w:tr>
      <w:tr>
        <w:trPr>
          <w:trHeight w:val="216"/>
        </w:trPr>
        <w:tc>
          <w:tcPr>
            <w:tcW w:w="186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33,487</w:t>
            </w:r>
          </w:p>
        </w:tc>
        <w:tc>
          <w:tcPr>
            <w:tcW w:w="2120" w:type="dxa"/>
            <w:vAlign w:val="bottom"/>
          </w:tcPr>
          <w:p>
            <w:pPr>
              <w:ind w:left="820"/>
              <w:spacing w:after="0"/>
              <w:rPr>
                <w:sz w:val="20"/>
                <w:szCs w:val="20"/>
                <w:color w:val="auto"/>
              </w:rPr>
            </w:pPr>
            <w:r>
              <w:rPr>
                <w:rFonts w:ascii="Arial" w:cs="Arial" w:eastAsia="Arial" w:hAnsi="Arial"/>
                <w:sz w:val="14"/>
                <w:szCs w:val="14"/>
                <w:color w:val="auto"/>
              </w:rPr>
              <w:t>45,207**</w:t>
            </w:r>
          </w:p>
        </w:tc>
      </w:tr>
      <w:tr>
        <w:trPr>
          <w:trHeight w:val="216"/>
        </w:trPr>
        <w:tc>
          <w:tcPr>
            <w:tcW w:w="186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22,461</w:t>
            </w:r>
          </w:p>
        </w:tc>
        <w:tc>
          <w:tcPr>
            <w:tcW w:w="2120" w:type="dxa"/>
            <w:vAlign w:val="bottom"/>
          </w:tcPr>
          <w:p>
            <w:pPr>
              <w:ind w:left="820"/>
              <w:spacing w:after="0"/>
              <w:rPr>
                <w:sz w:val="20"/>
                <w:szCs w:val="20"/>
                <w:color w:val="auto"/>
              </w:rPr>
            </w:pPr>
            <w:r>
              <w:rPr>
                <w:rFonts w:ascii="Arial" w:cs="Arial" w:eastAsia="Arial" w:hAnsi="Arial"/>
                <w:sz w:val="14"/>
                <w:szCs w:val="14"/>
                <w:color w:val="auto"/>
              </w:rPr>
              <w:t>33,692</w:t>
            </w:r>
          </w:p>
        </w:tc>
      </w:tr>
      <w:tr>
        <w:trPr>
          <w:trHeight w:val="216"/>
        </w:trPr>
        <w:tc>
          <w:tcPr>
            <w:tcW w:w="18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N/A</w:t>
            </w:r>
          </w:p>
        </w:tc>
        <w:tc>
          <w:tcPr>
            <w:tcW w:w="212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16"/>
        </w:trPr>
        <w:tc>
          <w:tcPr>
            <w:tcW w:w="1860" w:type="dxa"/>
            <w:vAlign w:val="bottom"/>
          </w:tcPr>
          <w:p>
            <w:pPr>
              <w:ind w:left="20"/>
              <w:spacing w:after="0"/>
              <w:rPr>
                <w:sz w:val="20"/>
                <w:szCs w:val="20"/>
                <w:color w:val="auto"/>
              </w:rPr>
            </w:pPr>
            <w:r>
              <w:rPr>
                <w:rFonts w:ascii="Arial" w:cs="Arial" w:eastAsia="Arial" w:hAnsi="Arial"/>
                <w:sz w:val="14"/>
                <w:szCs w:val="14"/>
                <w:color w:val="auto"/>
              </w:rPr>
              <w:t>Mr. Zulueta</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29,119</w:t>
            </w:r>
          </w:p>
        </w:tc>
        <w:tc>
          <w:tcPr>
            <w:tcW w:w="2120" w:type="dxa"/>
            <w:vAlign w:val="bottom"/>
          </w:tcPr>
          <w:p>
            <w:pPr>
              <w:ind w:left="820"/>
              <w:spacing w:after="0"/>
              <w:rPr>
                <w:sz w:val="20"/>
                <w:szCs w:val="20"/>
                <w:color w:val="auto"/>
              </w:rPr>
            </w:pPr>
            <w:r>
              <w:rPr>
                <w:rFonts w:ascii="Arial" w:cs="Arial" w:eastAsia="Arial" w:hAnsi="Arial"/>
                <w:sz w:val="14"/>
                <w:szCs w:val="14"/>
                <w:color w:val="auto"/>
              </w:rPr>
              <w:t>52,414</w:t>
            </w:r>
          </w:p>
        </w:tc>
      </w:tr>
    </w:tbl>
    <w:p>
      <w:pPr>
        <w:spacing w:after="0" w:line="260" w:lineRule="exact"/>
        <w:rPr>
          <w:sz w:val="20"/>
          <w:szCs w:val="20"/>
          <w:color w:val="auto"/>
        </w:rPr>
      </w:pPr>
    </w:p>
    <w:p>
      <w:pPr>
        <w:ind w:left="2520" w:right="2880" w:hanging="3"/>
        <w:spacing w:after="0" w:line="219" w:lineRule="auto"/>
        <w:tabs>
          <w:tab w:leader="none" w:pos="2616"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TSR modifier did not apply to Dr. Skovronsky’s 2018-2020 shareholder value award payouts since he was not an executive officer at the time of grant. Ms. Hakim joined Lilly in February 2020, so she did not receive a SVA grant in 2018.</w:t>
      </w:r>
    </w:p>
    <w:p>
      <w:pPr>
        <w:spacing w:after="0" w:line="18" w:lineRule="exact"/>
        <w:rPr>
          <w:sz w:val="20"/>
          <w:szCs w:val="20"/>
          <w:color w:val="auto"/>
        </w:rPr>
      </w:pPr>
    </w:p>
    <w:p>
      <w:pPr>
        <w:ind w:left="2520" w:right="2700" w:hanging="3"/>
        <w:spacing w:after="0" w:line="212" w:lineRule="auto"/>
        <w:tabs>
          <w:tab w:leader="none" w:pos="2672"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and the fact his 2018-2020 shareholder value award had not yet been paid, the Compensation Committee exercised its discretion to reduce Mr. Smiley’s 2018–2020 shareholder value award payout by 25 percent or $3,100,954. See the discussion of Mr. Smiley’s Separation Agreement under “Agreement with Former Chief Financial Officer”.</w:t>
      </w:r>
    </w:p>
    <w:p>
      <w:pPr>
        <w:spacing w:after="0" w:line="39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Other Compensation Practices and Information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Benefits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offers core employee benefits coverage to:</w:t>
      </w:r>
    </w:p>
    <w:p>
      <w:pPr>
        <w:spacing w:after="0" w:line="5" w:lineRule="exact"/>
        <w:rPr>
          <w:sz w:val="20"/>
          <w:szCs w:val="20"/>
          <w:color w:val="auto"/>
        </w:rPr>
      </w:pPr>
    </w:p>
    <w:p>
      <w:pPr>
        <w:ind w:left="540" w:hanging="289"/>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provide our workforce with a reasonable level of financial support in the event of illness or injury</w:t>
      </w:r>
    </w:p>
    <w:p>
      <w:pPr>
        <w:spacing w:after="0" w:line="5" w:lineRule="exact"/>
        <w:rPr>
          <w:rFonts w:ascii="Arial" w:cs="Arial" w:eastAsia="Arial" w:hAnsi="Arial"/>
          <w:sz w:val="16"/>
          <w:szCs w:val="16"/>
          <w:color w:val="auto"/>
        </w:rPr>
      </w:pPr>
    </w:p>
    <w:p>
      <w:pPr>
        <w:ind w:left="540" w:hanging="289"/>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provide post-retirement income</w:t>
      </w:r>
    </w:p>
    <w:p>
      <w:pPr>
        <w:spacing w:after="0" w:line="5" w:lineRule="exact"/>
        <w:rPr>
          <w:rFonts w:ascii="Arial" w:cs="Arial" w:eastAsia="Arial" w:hAnsi="Arial"/>
          <w:sz w:val="16"/>
          <w:szCs w:val="16"/>
          <w:color w:val="auto"/>
        </w:rPr>
      </w:pPr>
    </w:p>
    <w:p>
      <w:pPr>
        <w:ind w:left="540" w:hanging="289"/>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enhance productivity and job satisfaction through benefit programs that focus on overall well-being.</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benefit programs available to executive officers are offered to all U.S. employees and include medical and dental coverage, disability insurance, and life insurance. In addition, the 401(k) Plan and The Lilly Retirement Plan (the Retirement Plan) are intended to provide U.S. employees a reasonable level of retirement income reflecting employees’ careers with the company. To the extent that any employee’s retirement benefit exceeds Internal Revenue Service (IRS) limits for amounts that can be paid through a qualified plan, the company also offers a nonqualified pension plan and a</w:t>
      </w:r>
    </w:p>
    <w:p>
      <w:pPr>
        <w:sectPr>
          <w:pgSz w:w="11900" w:h="16838" w:orient="portrait"/>
          <w:cols w:equalWidth="0" w:num="1">
            <w:col w:w="11160"/>
          </w:cols>
          <w:pgMar w:left="320" w:top="142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P58</w:t>
      </w:r>
    </w:p>
    <w:p>
      <w:pPr>
        <w:sectPr>
          <w:pgSz w:w="11900" w:h="16838" w:orient="portrait"/>
          <w:cols w:equalWidth="0" w:num="1">
            <w:col w:w="11160"/>
          </w:cols>
          <w:pgMar w:left="320" w:top="1424" w:right="419" w:bottom="1440" w:gutter="0" w:footer="0" w:header="0"/>
          <w:type w:val="continuous"/>
        </w:sectPr>
      </w:pPr>
    </w:p>
    <w:bookmarkStart w:id="63" w:name="page64"/>
    <w:bookmarkEnd w:id="63"/>
    <w:p>
      <w:pPr>
        <w:ind w:right="340"/>
        <w:spacing w:after="0" w:line="260" w:lineRule="auto"/>
        <w:rPr>
          <w:sz w:val="20"/>
          <w:szCs w:val="20"/>
          <w:color w:val="auto"/>
        </w:rPr>
      </w:pPr>
      <w:r>
        <w:rPr>
          <w:rFonts w:ascii="Arial" w:cs="Arial" w:eastAsia="Arial" w:hAnsi="Arial"/>
          <w:sz w:val="16"/>
          <w:szCs w:val="16"/>
          <w:color w:val="auto"/>
        </w:rPr>
        <w:t>nonqualified savings plan. These plans provide only the difference between the calculated benefits and the IRS limits, and the formula is the same for all U.S. employees. The cost of employee benefits is partially borne by the employee, including each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16"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The company provides very limited perquisites to executive officers. In response to the COVID-19 pandemic, the company considered various actions to promote the health and safety of its employees, including its named executive officers, recognizing that the company’s important objectives during this critical time would be significantly disadvantaged without the full services of its employees. As part of this process, the company has encouraged Mr. Ricks’ personal use of the corporate aircraft (up to a maximum incremental cost of $60,000) as a means to (i) increase his time available for business purposes and</w:t>
      </w:r>
    </w:p>
    <w:p>
      <w:pPr>
        <w:spacing w:after="0" w:line="3" w:lineRule="exact"/>
        <w:rPr>
          <w:sz w:val="20"/>
          <w:szCs w:val="20"/>
          <w:color w:val="auto"/>
        </w:rPr>
      </w:pPr>
    </w:p>
    <w:p>
      <w:pPr>
        <w:ind w:right="60" w:firstLine="8"/>
        <w:spacing w:after="0" w:line="242" w:lineRule="auto"/>
        <w:tabs>
          <w:tab w:leader="none" w:pos="225" w:val="left"/>
        </w:tabs>
        <w:numPr>
          <w:ilvl w:val="0"/>
          <w:numId w:val="92"/>
        </w:numPr>
        <w:rPr>
          <w:rFonts w:ascii="Arial" w:cs="Arial" w:eastAsia="Arial" w:hAnsi="Arial"/>
          <w:sz w:val="16"/>
          <w:szCs w:val="16"/>
          <w:color w:val="auto"/>
        </w:rPr>
      </w:pPr>
      <w:r>
        <w:rPr>
          <w:rFonts w:ascii="Arial" w:cs="Arial" w:eastAsia="Arial" w:hAnsi="Arial"/>
          <w:sz w:val="16"/>
          <w:szCs w:val="16"/>
          <w:color w:val="auto"/>
        </w:rPr>
        <w:t>enhance his health and safety. The incremental cost of personal use of corporate aircraft is included as a perquisite in the Summary Compensation Table under the heading "All Other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Lilly Deferred Compensation Plan</w:t>
      </w:r>
    </w:p>
    <w:p>
      <w:pPr>
        <w:spacing w:after="0" w:line="29" w:lineRule="exact"/>
        <w:rPr>
          <w:sz w:val="20"/>
          <w:szCs w:val="20"/>
          <w:color w:val="auto"/>
        </w:rPr>
      </w:pPr>
    </w:p>
    <w:p>
      <w:pPr>
        <w:ind w:right="620"/>
        <w:spacing w:after="0" w:line="251" w:lineRule="auto"/>
        <w:rPr>
          <w:sz w:val="20"/>
          <w:szCs w:val="20"/>
          <w:color w:val="auto"/>
        </w:rPr>
      </w:pPr>
      <w:r>
        <w:rPr>
          <w:rFonts w:ascii="Arial" w:cs="Arial" w:eastAsia="Arial" w:hAnsi="Arial"/>
          <w:sz w:val="16"/>
          <w:szCs w:val="16"/>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"Nonqualified Deferred Compensation in 2020" table.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w:t>
      </w:r>
    </w:p>
    <w:p>
      <w:pPr>
        <w:spacing w:after="0" w:line="29"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Except in the case of certain terminations following a change in control of the company, the company is generally not obligated to pay severance to executive officers upon termination of their employment; any such payments are at the discretion of the Compensation Committee.</w:t>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of Our Change-in-Control Severance Plans</w:t>
      </w:r>
    </w:p>
    <w:p>
      <w:pPr>
        <w:spacing w:after="0" w:line="29" w:lineRule="exact"/>
        <w:rPr>
          <w:sz w:val="20"/>
          <w:szCs w:val="20"/>
          <w:color w:val="auto"/>
        </w:rPr>
      </w:pPr>
    </w:p>
    <w:p>
      <w:pPr>
        <w:ind w:left="620" w:hanging="288"/>
        <w:spacing w:after="0"/>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regular employees are covered</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double trigger required</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 tax gross-ups</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 to two-year pay protection</w:t>
      </w:r>
    </w:p>
    <w:p>
      <w:pPr>
        <w:spacing w:after="0" w:line="5" w:lineRule="exact"/>
        <w:rPr>
          <w:rFonts w:ascii="Arial" w:cs="Arial" w:eastAsia="Arial" w:hAnsi="Arial"/>
          <w:sz w:val="16"/>
          <w:szCs w:val="16"/>
          <w:color w:val="auto"/>
        </w:rPr>
      </w:pPr>
    </w:p>
    <w:p>
      <w:pPr>
        <w:ind w:left="620" w:hanging="288"/>
        <w:spacing w:after="0"/>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18-month benefit continuation</w:t>
      </w:r>
    </w:p>
    <w:p>
      <w:pPr>
        <w:spacing w:after="0" w:line="248" w:lineRule="exact"/>
        <w:rPr>
          <w:sz w:val="20"/>
          <w:szCs w:val="20"/>
          <w:color w:val="auto"/>
        </w:rPr>
      </w:pPr>
    </w:p>
    <w:p>
      <w:pPr>
        <w:ind w:right="620"/>
        <w:spacing w:after="0" w:line="242" w:lineRule="auto"/>
        <w:rPr>
          <w:sz w:val="20"/>
          <w:szCs w:val="20"/>
          <w:color w:val="auto"/>
        </w:rPr>
      </w:pPr>
      <w:r>
        <w:rPr>
          <w:rFonts w:ascii="Arial" w:cs="Arial" w:eastAsia="Arial" w:hAnsi="Arial"/>
          <w:sz w:val="16"/>
          <w:szCs w:val="16"/>
          <w:color w:val="auto"/>
        </w:rPr>
        <w:t>Although benefit levels may differ depending on the employee’s job level and seniority, the basic elements of the plans are comparable for all eligible employees:</w:t>
      </w:r>
    </w:p>
    <w:p>
      <w:pPr>
        <w:spacing w:after="0" w:line="6" w:lineRule="exact"/>
        <w:rPr>
          <w:sz w:val="20"/>
          <w:szCs w:val="20"/>
          <w:color w:val="auto"/>
        </w:rPr>
      </w:pPr>
    </w:p>
    <w:p>
      <w:pPr>
        <w:ind w:left="340" w:right="360" w:hanging="170"/>
        <w:spacing w:after="0" w:line="245" w:lineRule="auto"/>
        <w:tabs>
          <w:tab w:leader="none" w:pos="301" w:val="left"/>
        </w:tabs>
        <w:numPr>
          <w:ilvl w:val="0"/>
          <w:numId w:val="94"/>
        </w:numPr>
        <w:rPr>
          <w:rFonts w:ascii="Arial" w:cs="Arial" w:eastAsia="Arial" w:hAnsi="Arial"/>
          <w:sz w:val="20"/>
          <w:szCs w:val="20"/>
          <w:color w:val="00ABE8"/>
        </w:rPr>
      </w:pPr>
      <w:r>
        <w:rPr>
          <w:rFonts w:ascii="Arial" w:cs="Arial" w:eastAsia="Arial" w:hAnsi="Arial"/>
          <w:sz w:val="17"/>
          <w:szCs w:val="17"/>
          <w:b w:val="1"/>
          <w:bCs w:val="1"/>
          <w:color w:val="00ABE8"/>
        </w:rPr>
        <w:t xml:space="preserve">Double trigger: </w:t>
      </w:r>
      <w:r>
        <w:rPr>
          <w:rFonts w:ascii="Arial" w:cs="Arial" w:eastAsia="Arial" w:hAnsi="Arial"/>
          <w:sz w:val="16"/>
          <w:szCs w:val="16"/>
          <w:color w:val="000000"/>
        </w:rPr>
        <w:t>Unlike "single trigger" plans that pay out immediately upon a change in control, our plans require a "double trigger" —a change in</w:t>
      </w:r>
      <w:r>
        <w:rPr>
          <w:rFonts w:ascii="Arial" w:cs="Arial" w:eastAsia="Arial" w:hAnsi="Arial"/>
          <w:sz w:val="17"/>
          <w:szCs w:val="17"/>
          <w:b w:val="1"/>
          <w:bCs w:val="1"/>
          <w:color w:val="00ABE8"/>
        </w:rPr>
        <w:t xml:space="preserve"> </w:t>
      </w:r>
      <w:r>
        <w:rPr>
          <w:rFonts w:ascii="Arial" w:cs="Arial" w:eastAsia="Arial" w:hAnsi="Arial"/>
          <w:sz w:val="16"/>
          <w:szCs w:val="16"/>
          <w:color w:val="000000"/>
        </w:rPr>
        <w:t>control followed by an involuntary loss of employment within two years. This is consistent with the plan's intent to provide employees with financial protection upon loss of employment. With respect to unvested equity, performance to the date of the change in control will be used to 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233" w:lineRule="exact"/>
        <w:rPr>
          <w:rFonts w:ascii="Arial" w:cs="Arial" w:eastAsia="Arial" w:hAnsi="Arial"/>
          <w:sz w:val="20"/>
          <w:szCs w:val="20"/>
          <w:color w:val="00ABE8"/>
        </w:rPr>
      </w:pPr>
    </w:p>
    <w:p>
      <w:pPr>
        <w:ind w:left="340" w:right="80" w:hanging="170"/>
        <w:spacing w:after="0" w:line="242" w:lineRule="auto"/>
        <w:tabs>
          <w:tab w:leader="none" w:pos="301" w:val="left"/>
        </w:tabs>
        <w:numPr>
          <w:ilvl w:val="0"/>
          <w:numId w:val="94"/>
        </w:numPr>
        <w:rPr>
          <w:rFonts w:ascii="Arial" w:cs="Arial" w:eastAsia="Arial" w:hAnsi="Arial"/>
          <w:sz w:val="20"/>
          <w:szCs w:val="20"/>
          <w:color w:val="00ABE8"/>
        </w:rPr>
      </w:pPr>
      <w:r>
        <w:rPr>
          <w:rFonts w:ascii="Arial" w:cs="Arial" w:eastAsia="Arial" w:hAnsi="Arial"/>
          <w:sz w:val="17"/>
          <w:szCs w:val="17"/>
          <w:b w:val="1"/>
          <w:bCs w:val="1"/>
          <w:color w:val="00ABE8"/>
        </w:rPr>
        <w:t xml:space="preserve">Covered terminations: </w:t>
      </w:r>
      <w:r>
        <w:rPr>
          <w:rFonts w:ascii="Arial" w:cs="Arial" w:eastAsia="Arial" w:hAnsi="Arial"/>
          <w:sz w:val="16"/>
          <w:szCs w:val="16"/>
          <w:color w:val="000000"/>
        </w:rPr>
        <w:t>Employees are eligible for payments if, within two years of the change in control, their employment is terminated (i) without</w:t>
      </w:r>
      <w:r>
        <w:rPr>
          <w:rFonts w:ascii="Arial" w:cs="Arial" w:eastAsia="Arial" w:hAnsi="Arial"/>
          <w:sz w:val="17"/>
          <w:szCs w:val="17"/>
          <w:b w:val="1"/>
          <w:bCs w:val="1"/>
          <w:color w:val="00ABE8"/>
        </w:rPr>
        <w:t xml:space="preserve"> </w:t>
      </w:r>
      <w:r>
        <w:rPr>
          <w:rFonts w:ascii="Arial" w:cs="Arial" w:eastAsia="Arial" w:hAnsi="Arial"/>
          <w:sz w:val="16"/>
          <w:szCs w:val="16"/>
          <w:color w:val="000000"/>
        </w:rPr>
        <w:t>cause by the company or (ii) for good reason by the employee, each as defined in the plan. See "Compensation—Executive Compensation—Payments Upon Termination or Change in Control" for a more detailed discussion, including a discussion of what constitutes a change in control.</w:t>
      </w:r>
    </w:p>
    <w:p>
      <w:pPr>
        <w:spacing w:after="0" w:line="222" w:lineRule="exact"/>
        <w:rPr>
          <w:rFonts w:ascii="Arial" w:cs="Arial" w:eastAsia="Arial" w:hAnsi="Arial"/>
          <w:sz w:val="20"/>
          <w:szCs w:val="20"/>
          <w:color w:val="00ABE8"/>
        </w:rPr>
      </w:pPr>
    </w:p>
    <w:p>
      <w:pPr>
        <w:ind w:left="340" w:right="440" w:hanging="170"/>
        <w:spacing w:after="0" w:line="267" w:lineRule="auto"/>
        <w:tabs>
          <w:tab w:leader="none" w:pos="308" w:val="left"/>
        </w:tabs>
        <w:numPr>
          <w:ilvl w:val="0"/>
          <w:numId w:val="94"/>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Employees who suffer a covered termination receive up to two years of pay and 18 months of benefits protection: </w:t>
      </w:r>
      <w:r>
        <w:rPr>
          <w:rFonts w:ascii="Arial" w:cs="Arial" w:eastAsia="Arial" w:hAnsi="Arial"/>
          <w:sz w:val="16"/>
          <w:szCs w:val="16"/>
          <w:color w:val="000000"/>
        </w:rPr>
        <w:t>These provisions</w:t>
      </w:r>
      <w:r>
        <w:rPr>
          <w:rFonts w:ascii="Arial" w:cs="Arial" w:eastAsia="Arial" w:hAnsi="Arial"/>
          <w:sz w:val="17"/>
          <w:szCs w:val="17"/>
          <w:b w:val="1"/>
          <w:bCs w:val="1"/>
          <w:color w:val="00ABE8"/>
        </w:rPr>
        <w:t xml:space="preserve"> </w:t>
      </w:r>
      <w:r>
        <w:rPr>
          <w:rFonts w:ascii="Arial" w:cs="Arial" w:eastAsia="Arial" w:hAnsi="Arial"/>
          <w:sz w:val="16"/>
          <w:szCs w:val="16"/>
          <w:color w:val="000000"/>
        </w:rPr>
        <w:t>ensure employees a reasonable period of protection of their income and core employee benefits.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P59</w:t>
      </w:r>
    </w:p>
    <w:p>
      <w:pPr>
        <w:sectPr>
          <w:pgSz w:w="11900" w:h="16838" w:orient="portrait"/>
          <w:cols w:equalWidth="0" w:num="1">
            <w:col w:w="11240"/>
          </w:cols>
          <w:pgMar w:left="320" w:top="1437" w:right="339" w:bottom="1440" w:gutter="0" w:footer="0" w:header="0"/>
        </w:sectPr>
      </w:pPr>
    </w:p>
    <w:bookmarkStart w:id="64" w:name="page65"/>
    <w:bookmarkEnd w:id="64"/>
    <w:p>
      <w:pPr>
        <w:ind w:left="980" w:right="320" w:hanging="162"/>
        <w:spacing w:after="0" w:line="256" w:lineRule="auto"/>
        <w:tabs>
          <w:tab w:leader="none" w:pos="942" w:val="left"/>
        </w:tabs>
        <w:numPr>
          <w:ilvl w:val="1"/>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Severance payment. </w:t>
      </w:r>
      <w:r>
        <w:rPr>
          <w:rFonts w:ascii="Arial" w:cs="Arial" w:eastAsia="Arial" w:hAnsi="Arial"/>
          <w:sz w:val="16"/>
          <w:szCs w:val="16"/>
          <w:color w:val="auto"/>
        </w:rPr>
        <w:t>Eligible terminated employees would receive a severance payment ranging from six months to two years’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are all eligible for two years’ base salary plus two times the then-current year’s target bonus.</w:t>
      </w:r>
    </w:p>
    <w:p>
      <w:pPr>
        <w:spacing w:after="0" w:line="1" w:lineRule="exact"/>
        <w:rPr>
          <w:rFonts w:ascii="Arial" w:cs="Arial" w:eastAsia="Arial" w:hAnsi="Arial"/>
          <w:sz w:val="16"/>
          <w:szCs w:val="16"/>
          <w:i w:val="1"/>
          <w:iCs w:val="1"/>
          <w:color w:val="auto"/>
        </w:rPr>
      </w:pPr>
    </w:p>
    <w:p>
      <w:pPr>
        <w:ind w:left="980" w:right="80" w:hanging="162"/>
        <w:spacing w:after="0" w:line="253" w:lineRule="auto"/>
        <w:tabs>
          <w:tab w:leader="none" w:pos="942" w:val="left"/>
        </w:tabs>
        <w:numPr>
          <w:ilvl w:val="1"/>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Benefit continuation. </w:t>
      </w:r>
      <w:r>
        <w:rPr>
          <w:rFonts w:ascii="Arial" w:cs="Arial" w:eastAsia="Arial" w:hAnsi="Arial"/>
          <w:sz w:val="16"/>
          <w:szCs w:val="16"/>
          <w:color w:val="auto"/>
        </w:rPr>
        <w:t>Basic employee benefits such as health and life insurance would continue for 18 months following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213" w:lineRule="exact"/>
        <w:rPr>
          <w:rFonts w:ascii="Arial" w:cs="Arial" w:eastAsia="Arial" w:hAnsi="Arial"/>
          <w:sz w:val="16"/>
          <w:szCs w:val="16"/>
          <w:i w:val="1"/>
          <w:iCs w:val="1"/>
          <w:color w:val="auto"/>
        </w:rPr>
      </w:pPr>
    </w:p>
    <w:p>
      <w:pPr>
        <w:ind w:left="300" w:hanging="130"/>
        <w:spacing w:after="0"/>
        <w:tabs>
          <w:tab w:leader="none" w:pos="300" w:val="left"/>
        </w:tabs>
        <w:numPr>
          <w:ilvl w:val="0"/>
          <w:numId w:val="95"/>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Accelerated vesting of equity awards: </w:t>
      </w:r>
      <w:r>
        <w:rPr>
          <w:rFonts w:ascii="Arial" w:cs="Arial" w:eastAsia="Arial" w:hAnsi="Arial"/>
          <w:sz w:val="16"/>
          <w:szCs w:val="16"/>
          <w:color w:val="000000"/>
        </w:rPr>
        <w:t>Any unvested equity awards would vest at the time of a covered termination.</w:t>
      </w:r>
    </w:p>
    <w:p>
      <w:pPr>
        <w:spacing w:after="0" w:line="252" w:lineRule="exact"/>
        <w:rPr>
          <w:rFonts w:ascii="Arial" w:cs="Arial" w:eastAsia="Arial" w:hAnsi="Arial"/>
          <w:sz w:val="18"/>
          <w:szCs w:val="18"/>
          <w:b w:val="1"/>
          <w:bCs w:val="1"/>
          <w:color w:val="00ABE8"/>
        </w:rPr>
      </w:pPr>
    </w:p>
    <w:p>
      <w:pPr>
        <w:ind w:left="340" w:hanging="170"/>
        <w:spacing w:after="0" w:line="253" w:lineRule="auto"/>
        <w:tabs>
          <w:tab w:leader="none" w:pos="308" w:val="left"/>
        </w:tabs>
        <w:numPr>
          <w:ilvl w:val="0"/>
          <w:numId w:val="95"/>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Excise tax: </w:t>
      </w:r>
      <w:r>
        <w:rPr>
          <w:rFonts w:ascii="Arial" w:cs="Arial" w:eastAsia="Arial" w:hAnsi="Arial"/>
          <w:sz w:val="16"/>
          <w:szCs w:val="16"/>
          <w:color w:val="000000"/>
        </w:rPr>
        <w:t>In some circumstances, the payments or other benefits received by the employee in connection with a change in control could exceed limits</w:t>
      </w:r>
      <w:r>
        <w:rPr>
          <w:rFonts w:ascii="Arial" w:cs="Arial" w:eastAsia="Arial" w:hAnsi="Arial"/>
          <w:sz w:val="17"/>
          <w:szCs w:val="17"/>
          <w:b w:val="1"/>
          <w:bCs w:val="1"/>
          <w:color w:val="00ABE8"/>
        </w:rPr>
        <w:t xml:space="preserve"> </w:t>
      </w:r>
      <w:r>
        <w:rPr>
          <w:rFonts w:ascii="Arial" w:cs="Arial" w:eastAsia="Arial" w:hAnsi="Arial"/>
          <w:sz w:val="16"/>
          <w:szCs w:val="16"/>
          <w:color w:val="000000"/>
        </w:rPr>
        <w:t>established under Section 280G of the Internal Revenue Code. The employee would then be subject to an excise tax on top of normal federal income tax. The company does not reimburse employees for these taxes. However, the amount of change-in-control-related benefits will be reduced to the 280G limit if the effect would be to deliver a greater after-tax benefit than the employee would receive with an unreduced benefit.</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Share Ownership and Retention Guidelines</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Share ownership and retention guidelines help create direct alignment of interests between senior management and shareholders over the longer term. Lilly has established a formal share ownership policy under which the CEO and other senior executives are required to acquire and hold Lilly shares in an amount representing a multiple of base salary.</w:t>
      </w:r>
    </w:p>
    <w:p>
      <w:pPr>
        <w:spacing w:after="0" w:line="228"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Until the required number of shares is reached, an executive officer must hold 50 percent of all shares, net of tax, from all equity payouts. Executive officers are also required to hold all shares received from equity program payouts, net of taxes, for at least one year, even once share ownership requirements have been met. For performance awards granted to executive officers, this holding requirement is met by the 13-month service-vesting period after the end of the performance period.</w:t>
      </w:r>
    </w:p>
    <w:p>
      <w:pPr>
        <w:spacing w:after="0" w:line="229"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All of the named executive officers are compliant with the share ownership guidelines. The following graphic shows each respective named executive officers' guideline and each named executive officers’ holdings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-13970</wp:posOffset>
            </wp:positionV>
            <wp:extent cx="5554980" cy="2940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5498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P60</w:t>
      </w:r>
    </w:p>
    <w:p>
      <w:pPr>
        <w:sectPr>
          <w:pgSz w:w="11900" w:h="16838" w:orient="portrait"/>
          <w:cols w:equalWidth="0" w:num="1">
            <w:col w:w="11220"/>
          </w:cols>
          <w:pgMar w:left="320" w:top="1421" w:right="359" w:bottom="1440" w:gutter="0" w:footer="0" w:header="0"/>
        </w:sectPr>
      </w:pPr>
    </w:p>
    <w:bookmarkStart w:id="65" w:name="page66"/>
    <w:bookmarkEnd w:id="65"/>
    <w:p>
      <w:pPr>
        <w:spacing w:after="0"/>
        <w:rPr>
          <w:sz w:val="20"/>
          <w:szCs w:val="20"/>
          <w:color w:val="auto"/>
        </w:rPr>
      </w:pPr>
      <w:r>
        <w:rPr>
          <w:rFonts w:ascii="Arial" w:cs="Arial" w:eastAsia="Arial" w:hAnsi="Arial"/>
          <w:sz w:val="23"/>
          <w:szCs w:val="23"/>
          <w:b w:val="1"/>
          <w:bCs w:val="1"/>
          <w:color w:val="1CA8E1"/>
        </w:rPr>
        <w:t>Prohibition on Hedging and Pledging Shares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Non-employee directors and employees, including executive officers, are not permitted to hedge their economic exposures to company stock through short sales or derivative transactions. Non-employee directors and all members of senior management (approximately 150 employees in 2020) are prohibited from pledging any company stock (i.e., using company stock as collateral for a loan or trading shares on margin).</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Executive Compensation Recovery Policy</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All incentive awards are subject to forfeiture upon termination of employment prior to the end of the performance or vesting period or for disciplinary reasons. In addition, the Compensation Committee has adopted an executive compensation recovery policy that gives the Compensation Committee broad discretion to claw back incentive payouts from any member of senior management whose misconduct results in a material violation of law or company policy that causes significant harm to the company or who fails in his or her supervisory responsibility to prevent such misconduct by others.</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Additionally, the company can recover all or a portion of any incentive compensation from an executive officer in the case of materially inaccurate financial statements or material errors in the performance calculation, whether or not such inaccuracies or errors result in a restatement and whether or not the executive officer has engaged in wrongful conduct.</w:t>
      </w:r>
    </w:p>
    <w:p>
      <w:pPr>
        <w:spacing w:after="0" w:line="22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recovery policy covers any incentive compensation awarded or paid to a member of senior management during the last three years. Subsequent changes in status, including retirement or termination of employment, do not affect the company’s rights to recover compensation under the policy.</w:t>
      </w:r>
    </w:p>
    <w:p>
      <w:pPr>
        <w:spacing w:after="0" w:line="22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principles of our robust recovery policy are also incorporated into the terms of our incentive plans and award agreements, which, in the event of misconduct meeting the standards described above, allow the Compensation Committee to reduce or cancel awards or payouts that would otherwise have been earned based on company performance. Action by the Compensation Committee to reduce or cancel awards or payouts can occur during or following the relevant performance period. In connection with Mr. Smiley’s resignation, the Compensation Committee took action under these terms to reduce Mr. Smiley’s earned 2020 cash bonus and outstanding equity awards prior to their payout. See the discussion of Mr. Smiley’s Separation Agreement under “Agreement with Former 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Looking Ahead to 2021 Compensation</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Starting in 2021, the majority of award agreements granting equity-based incentive awards to our executive officers will include changes designed to protect the company’s interests and encourage focus on long-term performance. First, the award agreements will contain a non-competition provision stating that the executive officer agrees to not perform services for a competitor of the company for a period of one year following termination of service with the company. If an executive officer violates the non-competition provision, the executive will forfeit any rights to the equity granted under the award agreement. Second, the award agreements will provide that if the executive officer terminates employment due to retirement a year or more into the relevant performance period, then the executive will continue to vest in the award until the conclusion of the performance period, subject to adherence to the non-competition provision.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P61</w:t>
      </w:r>
    </w:p>
    <w:p>
      <w:pPr>
        <w:sectPr>
          <w:pgSz w:w="11900" w:h="16838" w:orient="portrait"/>
          <w:cols w:equalWidth="0" w:num="1">
            <w:col w:w="11220"/>
          </w:cols>
          <w:pgMar w:left="320" w:top="1412" w:right="359" w:bottom="1440" w:gutter="0" w:footer="0" w:header="0"/>
        </w:sectPr>
      </w:pPr>
    </w:p>
    <w:bookmarkStart w:id="66" w:name="page67"/>
    <w:bookmarkEnd w:id="66"/>
    <w:p>
      <w:pPr>
        <w:spacing w:after="0"/>
        <w:rPr>
          <w:sz w:val="20"/>
          <w:szCs w:val="20"/>
          <w:color w:val="auto"/>
        </w:rPr>
      </w:pPr>
      <w:r>
        <w:rPr>
          <w:rFonts w:ascii="Arial" w:cs="Arial" w:eastAsia="Arial" w:hAnsi="Arial"/>
          <w:sz w:val="27"/>
          <w:szCs w:val="27"/>
          <w:b w:val="1"/>
          <w:bCs w:val="1"/>
          <w:color w:val="EF3729"/>
        </w:rPr>
        <w:t>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49" w:lineRule="exact"/>
        <w:rPr>
          <w:sz w:val="20"/>
          <w:szCs w:val="20"/>
          <w:color w:val="auto"/>
        </w:rPr>
      </w:pPr>
    </w:p>
    <w:tbl>
      <w:tblPr>
        <w:tblLayout w:type="fixed"/>
        <w:tblInd w:w="1040" w:type="dxa"/>
        <w:tblCellMar>
          <w:top w:w="0" w:type="dxa"/>
          <w:left w:w="0" w:type="dxa"/>
          <w:bottom w:w="0" w:type="dxa"/>
          <w:right w:w="0" w:type="dxa"/>
        </w:tblCellMar>
      </w:tblPr>
      <w:tr>
        <w:trPr>
          <w:trHeight w:val="208"/>
        </w:trPr>
        <w:tc>
          <w:tcPr>
            <w:tcW w:w="1240" w:type="dxa"/>
            <w:vAlign w:val="bottom"/>
            <w:shd w:val="clear" w:color="auto" w:fill="C8C9CB"/>
          </w:tcPr>
          <w:p>
            <w:pPr>
              <w:spacing w:after="0"/>
              <w:rPr>
                <w:sz w:val="18"/>
                <w:szCs w:val="18"/>
                <w:color w:val="auto"/>
              </w:rPr>
            </w:pPr>
          </w:p>
        </w:tc>
        <w:tc>
          <w:tcPr>
            <w:tcW w:w="460" w:type="dxa"/>
            <w:vAlign w:val="bottom"/>
            <w:shd w:val="clear" w:color="auto" w:fill="C8C9CB"/>
          </w:tcPr>
          <w:p>
            <w:pPr>
              <w:spacing w:after="0"/>
              <w:rPr>
                <w:sz w:val="18"/>
                <w:szCs w:val="18"/>
                <w:color w:val="auto"/>
              </w:rPr>
            </w:pPr>
          </w:p>
        </w:tc>
        <w:tc>
          <w:tcPr>
            <w:tcW w:w="760" w:type="dxa"/>
            <w:vAlign w:val="bottom"/>
            <w:shd w:val="clear" w:color="auto" w:fill="C8C9CB"/>
          </w:tcPr>
          <w:p>
            <w:pPr>
              <w:spacing w:after="0"/>
              <w:rPr>
                <w:sz w:val="18"/>
                <w:szCs w:val="18"/>
                <w:color w:val="auto"/>
              </w:rPr>
            </w:pPr>
          </w:p>
        </w:tc>
        <w:tc>
          <w:tcPr>
            <w:tcW w:w="660" w:type="dxa"/>
            <w:vAlign w:val="bottom"/>
            <w:shd w:val="clear" w:color="auto" w:fill="C8C9CB"/>
          </w:tcPr>
          <w:p>
            <w:pPr>
              <w:spacing w:after="0"/>
              <w:rPr>
                <w:sz w:val="18"/>
                <w:szCs w:val="18"/>
                <w:color w:val="auto"/>
              </w:rPr>
            </w:pPr>
          </w:p>
        </w:tc>
        <w:tc>
          <w:tcPr>
            <w:tcW w:w="840" w:type="dxa"/>
            <w:vAlign w:val="bottom"/>
            <w:shd w:val="clear" w:color="auto" w:fill="C8C9CB"/>
          </w:tcPr>
          <w:p>
            <w:pPr>
              <w:spacing w:after="0"/>
              <w:rPr>
                <w:sz w:val="18"/>
                <w:szCs w:val="18"/>
                <w:color w:val="auto"/>
              </w:rPr>
            </w:pPr>
          </w:p>
        </w:tc>
        <w:tc>
          <w:tcPr>
            <w:tcW w:w="160" w:type="dxa"/>
            <w:vAlign w:val="bottom"/>
            <w:shd w:val="clear" w:color="auto" w:fill="C8C9CB"/>
          </w:tcPr>
          <w:p>
            <w:pPr>
              <w:spacing w:after="0"/>
              <w:rPr>
                <w:sz w:val="18"/>
                <w:szCs w:val="18"/>
                <w:color w:val="auto"/>
              </w:rPr>
            </w:pPr>
          </w:p>
        </w:tc>
        <w:tc>
          <w:tcPr>
            <w:tcW w:w="620" w:type="dxa"/>
            <w:vAlign w:val="bottom"/>
            <w:shd w:val="clear" w:color="auto" w:fill="C8C9CB"/>
          </w:tcPr>
          <w:p>
            <w:pPr>
              <w:spacing w:after="0"/>
              <w:rPr>
                <w:sz w:val="18"/>
                <w:szCs w:val="18"/>
                <w:color w:val="auto"/>
              </w:rPr>
            </w:pPr>
          </w:p>
        </w:tc>
        <w:tc>
          <w:tcPr>
            <w:tcW w:w="1160" w:type="dxa"/>
            <w:vAlign w:val="bottom"/>
            <w:shd w:val="clear" w:color="auto" w:fill="C8C9CB"/>
          </w:tcPr>
          <w:p>
            <w:pPr>
              <w:jc w:val="center"/>
              <w:ind w:right="137"/>
              <w:spacing w:after="0"/>
              <w:rPr>
                <w:sz w:val="20"/>
                <w:szCs w:val="20"/>
                <w:color w:val="auto"/>
              </w:rPr>
            </w:pPr>
            <w:r>
              <w:rPr>
                <w:rFonts w:ascii="Arial" w:cs="Arial" w:eastAsia="Arial" w:hAnsi="Arial"/>
                <w:sz w:val="13"/>
                <w:szCs w:val="13"/>
                <w:b w:val="1"/>
                <w:bCs w:val="1"/>
                <w:color w:val="00ABE8"/>
                <w:w w:val="98"/>
              </w:rPr>
              <w:t>Non-Equity</w:t>
            </w:r>
          </w:p>
        </w:tc>
        <w:tc>
          <w:tcPr>
            <w:tcW w:w="90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Change in</w:t>
            </w:r>
          </w:p>
        </w:tc>
        <w:tc>
          <w:tcPr>
            <w:tcW w:w="1120" w:type="dxa"/>
            <w:vAlign w:val="bottom"/>
            <w:shd w:val="clear" w:color="auto" w:fill="C8C9CB"/>
          </w:tcPr>
          <w:p>
            <w:pPr>
              <w:spacing w:after="0"/>
              <w:rPr>
                <w:sz w:val="18"/>
                <w:szCs w:val="18"/>
                <w:color w:val="auto"/>
              </w:rPr>
            </w:pPr>
          </w:p>
        </w:tc>
        <w:tc>
          <w:tcPr>
            <w:tcW w:w="1080" w:type="dxa"/>
            <w:vAlign w:val="bottom"/>
            <w:shd w:val="clear" w:color="auto" w:fill="C8C9CB"/>
          </w:tcPr>
          <w:p>
            <w:pPr>
              <w:spacing w:after="0"/>
              <w:rPr>
                <w:sz w:val="18"/>
                <w:szCs w:val="18"/>
                <w:color w:val="auto"/>
              </w:rPr>
            </w:pPr>
          </w:p>
        </w:tc>
        <w:tc>
          <w:tcPr>
            <w:tcW w:w="160" w:type="dxa"/>
            <w:vAlign w:val="bottom"/>
            <w:shd w:val="clear" w:color="auto" w:fill="C8C9CB"/>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8C9CB"/>
          </w:tcPr>
          <w:p>
            <w:pPr>
              <w:spacing w:after="0"/>
              <w:rPr>
                <w:sz w:val="12"/>
                <w:szCs w:val="12"/>
                <w:color w:val="auto"/>
              </w:rPr>
            </w:pPr>
          </w:p>
        </w:tc>
        <w:tc>
          <w:tcPr>
            <w:tcW w:w="460" w:type="dxa"/>
            <w:vAlign w:val="bottom"/>
            <w:shd w:val="clear" w:color="auto" w:fill="C8C9CB"/>
          </w:tcPr>
          <w:p>
            <w:pPr>
              <w:spacing w:after="0"/>
              <w:rPr>
                <w:sz w:val="12"/>
                <w:szCs w:val="12"/>
                <w:color w:val="auto"/>
              </w:rPr>
            </w:pPr>
          </w:p>
        </w:tc>
        <w:tc>
          <w:tcPr>
            <w:tcW w:w="760" w:type="dxa"/>
            <w:vAlign w:val="bottom"/>
            <w:shd w:val="clear" w:color="auto" w:fill="C8C9CB"/>
          </w:tcPr>
          <w:p>
            <w:pPr>
              <w:spacing w:after="0"/>
              <w:rPr>
                <w:sz w:val="12"/>
                <w:szCs w:val="12"/>
                <w:color w:val="auto"/>
              </w:rPr>
            </w:pPr>
          </w:p>
        </w:tc>
        <w:tc>
          <w:tcPr>
            <w:tcW w:w="660" w:type="dxa"/>
            <w:vAlign w:val="bottom"/>
            <w:shd w:val="clear" w:color="auto" w:fill="C8C9CB"/>
          </w:tcPr>
          <w:p>
            <w:pPr>
              <w:spacing w:after="0"/>
              <w:rPr>
                <w:sz w:val="12"/>
                <w:szCs w:val="12"/>
                <w:color w:val="auto"/>
              </w:rPr>
            </w:pPr>
          </w:p>
        </w:tc>
        <w:tc>
          <w:tcPr>
            <w:tcW w:w="84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Stock</w:t>
            </w:r>
          </w:p>
        </w:tc>
        <w:tc>
          <w:tcPr>
            <w:tcW w:w="160" w:type="dxa"/>
            <w:vAlign w:val="bottom"/>
            <w:shd w:val="clear" w:color="auto" w:fill="C8C9CB"/>
          </w:tcPr>
          <w:p>
            <w:pPr>
              <w:spacing w:after="0"/>
              <w:rPr>
                <w:sz w:val="12"/>
                <w:szCs w:val="12"/>
                <w:color w:val="auto"/>
              </w:rPr>
            </w:pPr>
          </w:p>
        </w:tc>
        <w:tc>
          <w:tcPr>
            <w:tcW w:w="6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rPr>
              <w:t>Option</w:t>
            </w:r>
          </w:p>
        </w:tc>
        <w:tc>
          <w:tcPr>
            <w:tcW w:w="1160" w:type="dxa"/>
            <w:vAlign w:val="bottom"/>
            <w:shd w:val="clear" w:color="auto" w:fill="C8C9CB"/>
          </w:tcPr>
          <w:p>
            <w:pPr>
              <w:jc w:val="center"/>
              <w:ind w:right="137"/>
              <w:spacing w:after="0"/>
              <w:rPr>
                <w:sz w:val="20"/>
                <w:szCs w:val="20"/>
                <w:color w:val="auto"/>
              </w:rPr>
            </w:pPr>
            <w:r>
              <w:rPr>
                <w:rFonts w:ascii="Arial" w:cs="Arial" w:eastAsia="Arial" w:hAnsi="Arial"/>
                <w:sz w:val="13"/>
                <w:szCs w:val="13"/>
                <w:b w:val="1"/>
                <w:bCs w:val="1"/>
                <w:color w:val="00ABE8"/>
                <w:w w:val="96"/>
              </w:rPr>
              <w:t>Incentive Plan</w:t>
            </w:r>
          </w:p>
        </w:tc>
        <w:tc>
          <w:tcPr>
            <w:tcW w:w="90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8"/>
              </w:rPr>
              <w:t>Pension</w:t>
            </w:r>
          </w:p>
        </w:tc>
        <w:tc>
          <w:tcPr>
            <w:tcW w:w="11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8"/>
              </w:rPr>
              <w:t>All Other</w:t>
            </w:r>
          </w:p>
        </w:tc>
        <w:tc>
          <w:tcPr>
            <w:tcW w:w="1240" w:type="dxa"/>
            <w:vAlign w:val="bottom"/>
            <w:gridSpan w:val="2"/>
            <w:shd w:val="clear" w:color="auto" w:fill="C8C9CB"/>
          </w:tcPr>
          <w:p>
            <w:pPr>
              <w:jc w:val="center"/>
              <w:ind w:right="180"/>
              <w:spacing w:after="0"/>
              <w:rPr>
                <w:sz w:val="20"/>
                <w:szCs w:val="20"/>
                <w:color w:val="auto"/>
              </w:rPr>
            </w:pPr>
            <w:r>
              <w:rPr>
                <w:rFonts w:ascii="Arial" w:cs="Arial" w:eastAsia="Arial" w:hAnsi="Arial"/>
                <w:sz w:val="13"/>
                <w:szCs w:val="13"/>
                <w:b w:val="1"/>
                <w:bCs w:val="1"/>
                <w:color w:val="00ABE8"/>
                <w:w w:val="96"/>
              </w:rPr>
              <w:t>Total</w:t>
            </w:r>
          </w:p>
        </w:tc>
        <w:tc>
          <w:tcPr>
            <w:tcW w:w="0" w:type="dxa"/>
            <w:vAlign w:val="bottom"/>
          </w:tcPr>
          <w:p>
            <w:pPr>
              <w:spacing w:after="0"/>
              <w:rPr>
                <w:sz w:val="1"/>
                <w:szCs w:val="1"/>
                <w:color w:val="auto"/>
              </w:rPr>
            </w:pPr>
          </w:p>
        </w:tc>
      </w:tr>
      <w:tr>
        <w:trPr>
          <w:trHeight w:val="140"/>
        </w:trPr>
        <w:tc>
          <w:tcPr>
            <w:tcW w:w="1240" w:type="dxa"/>
            <w:vAlign w:val="bottom"/>
            <w:shd w:val="clear" w:color="auto" w:fill="C8C9CB"/>
          </w:tcPr>
          <w:p>
            <w:pPr>
              <w:ind w:left="20"/>
              <w:spacing w:after="0" w:line="141" w:lineRule="exact"/>
              <w:rPr>
                <w:sz w:val="20"/>
                <w:szCs w:val="20"/>
                <w:color w:val="auto"/>
              </w:rPr>
            </w:pPr>
            <w:r>
              <w:rPr>
                <w:rFonts w:ascii="Arial" w:cs="Arial" w:eastAsia="Arial" w:hAnsi="Arial"/>
                <w:sz w:val="13"/>
                <w:szCs w:val="13"/>
                <w:b w:val="1"/>
                <w:bCs w:val="1"/>
                <w:color w:val="00ABE8"/>
                <w:w w:val="99"/>
              </w:rPr>
              <w:t>Name and Principal</w:t>
            </w:r>
          </w:p>
        </w:tc>
        <w:tc>
          <w:tcPr>
            <w:tcW w:w="460" w:type="dxa"/>
            <w:vAlign w:val="bottom"/>
            <w:shd w:val="clear" w:color="auto" w:fill="C8C9CB"/>
          </w:tcPr>
          <w:p>
            <w:pPr>
              <w:spacing w:after="0"/>
              <w:rPr>
                <w:sz w:val="12"/>
                <w:szCs w:val="12"/>
                <w:color w:val="auto"/>
              </w:rPr>
            </w:pPr>
          </w:p>
        </w:tc>
        <w:tc>
          <w:tcPr>
            <w:tcW w:w="760" w:type="dxa"/>
            <w:vAlign w:val="bottom"/>
            <w:shd w:val="clear" w:color="auto" w:fill="C8C9CB"/>
          </w:tcPr>
          <w:p>
            <w:pPr>
              <w:jc w:val="center"/>
              <w:spacing w:after="0" w:line="141" w:lineRule="exact"/>
              <w:rPr>
                <w:sz w:val="20"/>
                <w:szCs w:val="20"/>
                <w:color w:val="auto"/>
              </w:rPr>
            </w:pPr>
            <w:r>
              <w:rPr>
                <w:rFonts w:ascii="Arial" w:cs="Arial" w:eastAsia="Arial" w:hAnsi="Arial"/>
                <w:sz w:val="13"/>
                <w:szCs w:val="13"/>
                <w:b w:val="1"/>
                <w:bCs w:val="1"/>
                <w:color w:val="00ABE8"/>
                <w:w w:val="97"/>
              </w:rPr>
              <w:t>Salary</w:t>
            </w:r>
          </w:p>
        </w:tc>
        <w:tc>
          <w:tcPr>
            <w:tcW w:w="660" w:type="dxa"/>
            <w:vAlign w:val="bottom"/>
            <w:shd w:val="clear" w:color="auto" w:fill="C8C9CB"/>
          </w:tcPr>
          <w:p>
            <w:pPr>
              <w:jc w:val="center"/>
              <w:spacing w:after="0" w:line="141" w:lineRule="exact"/>
              <w:rPr>
                <w:sz w:val="20"/>
                <w:szCs w:val="20"/>
                <w:color w:val="auto"/>
              </w:rPr>
            </w:pPr>
            <w:r>
              <w:rPr>
                <w:rFonts w:ascii="Arial" w:cs="Arial" w:eastAsia="Arial" w:hAnsi="Arial"/>
                <w:sz w:val="13"/>
                <w:szCs w:val="13"/>
                <w:b w:val="1"/>
                <w:bCs w:val="1"/>
                <w:color w:val="00ABE8"/>
                <w:w w:val="93"/>
              </w:rPr>
              <w:t>Bonus</w:t>
            </w:r>
          </w:p>
        </w:tc>
        <w:tc>
          <w:tcPr>
            <w:tcW w:w="840" w:type="dxa"/>
            <w:vAlign w:val="bottom"/>
            <w:shd w:val="clear" w:color="auto" w:fill="C8C9CB"/>
          </w:tcPr>
          <w:p>
            <w:pPr>
              <w:jc w:val="center"/>
              <w:spacing w:after="0" w:line="141" w:lineRule="exact"/>
              <w:rPr>
                <w:sz w:val="20"/>
                <w:szCs w:val="20"/>
                <w:color w:val="auto"/>
              </w:rPr>
            </w:pPr>
            <w:r>
              <w:rPr>
                <w:rFonts w:ascii="Arial" w:cs="Arial" w:eastAsia="Arial" w:hAnsi="Arial"/>
                <w:sz w:val="13"/>
                <w:szCs w:val="13"/>
                <w:b w:val="1"/>
                <w:bCs w:val="1"/>
                <w:color w:val="00ABE8"/>
                <w:w w:val="97"/>
              </w:rPr>
              <w:t>Awards</w:t>
            </w:r>
          </w:p>
        </w:tc>
        <w:tc>
          <w:tcPr>
            <w:tcW w:w="160" w:type="dxa"/>
            <w:vAlign w:val="bottom"/>
            <w:shd w:val="clear" w:color="auto" w:fill="C8C9CB"/>
          </w:tcPr>
          <w:p>
            <w:pPr>
              <w:spacing w:after="0"/>
              <w:rPr>
                <w:sz w:val="12"/>
                <w:szCs w:val="12"/>
                <w:color w:val="auto"/>
              </w:rPr>
            </w:pPr>
          </w:p>
        </w:tc>
        <w:tc>
          <w:tcPr>
            <w:tcW w:w="620" w:type="dxa"/>
            <w:vAlign w:val="bottom"/>
            <w:shd w:val="clear" w:color="auto" w:fill="C8C9CB"/>
          </w:tcPr>
          <w:p>
            <w:pPr>
              <w:jc w:val="center"/>
              <w:spacing w:after="0" w:line="141" w:lineRule="exact"/>
              <w:rPr>
                <w:sz w:val="20"/>
                <w:szCs w:val="20"/>
                <w:color w:val="auto"/>
              </w:rPr>
            </w:pPr>
            <w:r>
              <w:rPr>
                <w:rFonts w:ascii="Arial" w:cs="Arial" w:eastAsia="Arial" w:hAnsi="Arial"/>
                <w:sz w:val="13"/>
                <w:szCs w:val="13"/>
                <w:b w:val="1"/>
                <w:bCs w:val="1"/>
                <w:color w:val="00ABE8"/>
                <w:w w:val="97"/>
              </w:rPr>
              <w:t>Awards</w:t>
            </w:r>
          </w:p>
        </w:tc>
        <w:tc>
          <w:tcPr>
            <w:tcW w:w="1160" w:type="dxa"/>
            <w:vAlign w:val="bottom"/>
            <w:shd w:val="clear" w:color="auto" w:fill="C8C9CB"/>
          </w:tcPr>
          <w:p>
            <w:pPr>
              <w:jc w:val="center"/>
              <w:ind w:right="137"/>
              <w:spacing w:after="0" w:line="141" w:lineRule="exact"/>
              <w:rPr>
                <w:sz w:val="20"/>
                <w:szCs w:val="20"/>
                <w:color w:val="auto"/>
              </w:rPr>
            </w:pPr>
            <w:r>
              <w:rPr>
                <w:rFonts w:ascii="Arial" w:cs="Arial" w:eastAsia="Arial" w:hAnsi="Arial"/>
                <w:sz w:val="13"/>
                <w:szCs w:val="13"/>
                <w:b w:val="1"/>
                <w:bCs w:val="1"/>
                <w:color w:val="00ABE8"/>
                <w:w w:val="97"/>
              </w:rPr>
              <w:t>Compensation</w:t>
            </w:r>
          </w:p>
        </w:tc>
        <w:tc>
          <w:tcPr>
            <w:tcW w:w="900" w:type="dxa"/>
            <w:vAlign w:val="bottom"/>
            <w:shd w:val="clear" w:color="auto" w:fill="C8C9CB"/>
          </w:tcPr>
          <w:p>
            <w:pPr>
              <w:jc w:val="center"/>
              <w:spacing w:after="0" w:line="141" w:lineRule="exact"/>
              <w:rPr>
                <w:sz w:val="20"/>
                <w:szCs w:val="20"/>
                <w:color w:val="auto"/>
              </w:rPr>
            </w:pPr>
            <w:r>
              <w:rPr>
                <w:rFonts w:ascii="Arial" w:cs="Arial" w:eastAsia="Arial" w:hAnsi="Arial"/>
                <w:sz w:val="13"/>
                <w:szCs w:val="13"/>
                <w:b w:val="1"/>
                <w:bCs w:val="1"/>
                <w:color w:val="00ABE8"/>
                <w:w w:val="97"/>
              </w:rPr>
              <w:t>Value</w:t>
            </w:r>
          </w:p>
        </w:tc>
        <w:tc>
          <w:tcPr>
            <w:tcW w:w="1120" w:type="dxa"/>
            <w:vAlign w:val="bottom"/>
            <w:shd w:val="clear" w:color="auto" w:fill="C8C9CB"/>
          </w:tcPr>
          <w:p>
            <w:pPr>
              <w:jc w:val="center"/>
              <w:spacing w:after="0" w:line="141" w:lineRule="exact"/>
              <w:rPr>
                <w:sz w:val="20"/>
                <w:szCs w:val="20"/>
                <w:color w:val="auto"/>
              </w:rPr>
            </w:pPr>
            <w:r>
              <w:rPr>
                <w:rFonts w:ascii="Arial" w:cs="Arial" w:eastAsia="Arial" w:hAnsi="Arial"/>
                <w:sz w:val="13"/>
                <w:szCs w:val="13"/>
                <w:b w:val="1"/>
                <w:bCs w:val="1"/>
                <w:color w:val="00ABE8"/>
                <w:w w:val="95"/>
              </w:rPr>
              <w:t>Compensation</w:t>
            </w:r>
          </w:p>
        </w:tc>
        <w:tc>
          <w:tcPr>
            <w:tcW w:w="1240" w:type="dxa"/>
            <w:vAlign w:val="bottom"/>
            <w:gridSpan w:val="2"/>
            <w:shd w:val="clear" w:color="auto" w:fill="C8C9CB"/>
          </w:tcPr>
          <w:p>
            <w:pPr>
              <w:jc w:val="center"/>
              <w:ind w:right="200"/>
              <w:spacing w:after="0" w:line="141" w:lineRule="exact"/>
              <w:rPr>
                <w:sz w:val="20"/>
                <w:szCs w:val="20"/>
                <w:color w:val="auto"/>
              </w:rPr>
            </w:pPr>
            <w:r>
              <w:rPr>
                <w:rFonts w:ascii="Arial" w:cs="Arial" w:eastAsia="Arial" w:hAnsi="Arial"/>
                <w:sz w:val="13"/>
                <w:szCs w:val="13"/>
                <w:b w:val="1"/>
                <w:bCs w:val="1"/>
                <w:color w:val="00ABE8"/>
                <w:w w:val="97"/>
              </w:rPr>
              <w:t>Compensation</w:t>
            </w:r>
          </w:p>
        </w:tc>
        <w:tc>
          <w:tcPr>
            <w:tcW w:w="0" w:type="dxa"/>
            <w:vAlign w:val="bottom"/>
          </w:tcPr>
          <w:p>
            <w:pPr>
              <w:spacing w:after="0"/>
              <w:rPr>
                <w:sz w:val="1"/>
                <w:szCs w:val="1"/>
                <w:color w:val="auto"/>
              </w:rPr>
            </w:pPr>
          </w:p>
        </w:tc>
      </w:tr>
      <w:tr>
        <w:trPr>
          <w:trHeight w:val="206"/>
        </w:trPr>
        <w:tc>
          <w:tcPr>
            <w:tcW w:w="1240" w:type="dxa"/>
            <w:vAlign w:val="bottom"/>
            <w:shd w:val="clear" w:color="auto" w:fill="C8C9CB"/>
          </w:tcPr>
          <w:p>
            <w:pPr>
              <w:ind w:left="20"/>
              <w:spacing w:after="0"/>
              <w:rPr>
                <w:sz w:val="20"/>
                <w:szCs w:val="20"/>
                <w:color w:val="auto"/>
              </w:rPr>
            </w:pPr>
            <w:r>
              <w:rPr>
                <w:rFonts w:ascii="Arial" w:cs="Arial" w:eastAsia="Arial" w:hAnsi="Arial"/>
                <w:sz w:val="13"/>
                <w:szCs w:val="13"/>
                <w:b w:val="1"/>
                <w:bCs w:val="1"/>
                <w:color w:val="00ABE8"/>
              </w:rPr>
              <w:t>Position</w:t>
            </w:r>
          </w:p>
        </w:tc>
        <w:tc>
          <w:tcPr>
            <w:tcW w:w="460" w:type="dxa"/>
            <w:vAlign w:val="bottom"/>
            <w:shd w:val="clear" w:color="auto" w:fill="C8C9CB"/>
          </w:tcPr>
          <w:p>
            <w:pPr>
              <w:ind w:left="100"/>
              <w:spacing w:after="0"/>
              <w:rPr>
                <w:sz w:val="20"/>
                <w:szCs w:val="20"/>
                <w:color w:val="auto"/>
              </w:rPr>
            </w:pPr>
            <w:r>
              <w:rPr>
                <w:rFonts w:ascii="Arial" w:cs="Arial" w:eastAsia="Arial" w:hAnsi="Arial"/>
                <w:sz w:val="13"/>
                <w:szCs w:val="13"/>
                <w:b w:val="1"/>
                <w:bCs w:val="1"/>
                <w:color w:val="00ABE8"/>
              </w:rPr>
              <w:t>Year</w:t>
            </w:r>
          </w:p>
        </w:tc>
        <w:tc>
          <w:tcPr>
            <w:tcW w:w="7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6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87"/>
              </w:rPr>
              <w:t>($)</w:t>
            </w:r>
          </w:p>
        </w:tc>
        <w:tc>
          <w:tcPr>
            <w:tcW w:w="84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4"/>
              </w:rPr>
              <w:t xml:space="preserve">($) </w:t>
            </w:r>
            <w:r>
              <w:rPr>
                <w:rFonts w:ascii="Arial" w:cs="Arial" w:eastAsia="Arial" w:hAnsi="Arial"/>
                <w:sz w:val="16"/>
                <w:szCs w:val="16"/>
                <w:b w:val="1"/>
                <w:bCs w:val="1"/>
                <w:color w:val="00ABE8"/>
                <w:w w:val="94"/>
                <w:vertAlign w:val="superscript"/>
              </w:rPr>
              <w:t>1</w:t>
            </w:r>
          </w:p>
        </w:tc>
        <w:tc>
          <w:tcPr>
            <w:tcW w:w="780" w:type="dxa"/>
            <w:vAlign w:val="bottom"/>
            <w:gridSpan w:val="2"/>
            <w:shd w:val="clear" w:color="auto" w:fill="C8C9CB"/>
          </w:tcPr>
          <w:p>
            <w:pPr>
              <w:jc w:val="right"/>
              <w:ind w:right="177"/>
              <w:spacing w:after="0"/>
              <w:rPr>
                <w:sz w:val="20"/>
                <w:szCs w:val="20"/>
                <w:color w:val="auto"/>
              </w:rPr>
            </w:pPr>
            <w:r>
              <w:rPr>
                <w:rFonts w:ascii="Arial" w:cs="Arial" w:eastAsia="Arial" w:hAnsi="Arial"/>
                <w:sz w:val="13"/>
                <w:szCs w:val="13"/>
                <w:b w:val="1"/>
                <w:bCs w:val="1"/>
                <w:color w:val="00ABE8"/>
              </w:rPr>
              <w:t>($)</w:t>
            </w:r>
          </w:p>
        </w:tc>
        <w:tc>
          <w:tcPr>
            <w:tcW w:w="1160" w:type="dxa"/>
            <w:vAlign w:val="bottom"/>
            <w:shd w:val="clear" w:color="auto" w:fill="C8C9CB"/>
          </w:tcPr>
          <w:p>
            <w:pPr>
              <w:jc w:val="center"/>
              <w:ind w:right="137"/>
              <w:spacing w:after="0"/>
              <w:rPr>
                <w:sz w:val="20"/>
                <w:szCs w:val="20"/>
                <w:color w:val="auto"/>
              </w:rPr>
            </w:pPr>
            <w:r>
              <w:rPr>
                <w:rFonts w:ascii="Arial" w:cs="Arial" w:eastAsia="Arial" w:hAnsi="Arial"/>
                <w:sz w:val="13"/>
                <w:szCs w:val="13"/>
                <w:b w:val="1"/>
                <w:bCs w:val="1"/>
                <w:color w:val="00ABE8"/>
                <w:w w:val="94"/>
              </w:rPr>
              <w:t xml:space="preserve">($) </w:t>
            </w:r>
            <w:r>
              <w:rPr>
                <w:rFonts w:ascii="Arial" w:cs="Arial" w:eastAsia="Arial" w:hAnsi="Arial"/>
                <w:sz w:val="16"/>
                <w:szCs w:val="16"/>
                <w:b w:val="1"/>
                <w:bCs w:val="1"/>
                <w:color w:val="00ABE8"/>
                <w:w w:val="94"/>
                <w:vertAlign w:val="superscript"/>
              </w:rPr>
              <w:t>2</w:t>
            </w:r>
          </w:p>
        </w:tc>
        <w:tc>
          <w:tcPr>
            <w:tcW w:w="90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4"/>
              </w:rPr>
              <w:t xml:space="preserve">($) </w:t>
            </w:r>
            <w:r>
              <w:rPr>
                <w:rFonts w:ascii="Arial" w:cs="Arial" w:eastAsia="Arial" w:hAnsi="Arial"/>
                <w:sz w:val="16"/>
                <w:szCs w:val="16"/>
                <w:b w:val="1"/>
                <w:bCs w:val="1"/>
                <w:color w:val="00ABE8"/>
                <w:w w:val="94"/>
                <w:vertAlign w:val="superscript"/>
              </w:rPr>
              <w:t>3</w:t>
            </w:r>
          </w:p>
        </w:tc>
        <w:tc>
          <w:tcPr>
            <w:tcW w:w="11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86"/>
              </w:rPr>
              <w:t xml:space="preserve">($) </w:t>
            </w:r>
            <w:r>
              <w:rPr>
                <w:rFonts w:ascii="Arial" w:cs="Arial" w:eastAsia="Arial" w:hAnsi="Arial"/>
                <w:sz w:val="16"/>
                <w:szCs w:val="16"/>
                <w:b w:val="1"/>
                <w:bCs w:val="1"/>
                <w:color w:val="00ABE8"/>
                <w:w w:val="86"/>
                <w:vertAlign w:val="superscript"/>
              </w:rPr>
              <w:t>4</w:t>
            </w:r>
          </w:p>
        </w:tc>
        <w:tc>
          <w:tcPr>
            <w:tcW w:w="108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160" w:type="dxa"/>
            <w:vAlign w:val="bottom"/>
            <w:shd w:val="clear" w:color="auto" w:fill="C8C9CB"/>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240" w:type="dxa"/>
            <w:vAlign w:val="bottom"/>
          </w:tcPr>
          <w:p>
            <w:pPr>
              <w:ind w:left="20"/>
              <w:spacing w:after="0"/>
              <w:rPr>
                <w:sz w:val="20"/>
                <w:szCs w:val="20"/>
                <w:color w:val="auto"/>
              </w:rPr>
            </w:pPr>
            <w:r>
              <w:rPr>
                <w:rFonts w:ascii="Arial" w:cs="Arial" w:eastAsia="Arial" w:hAnsi="Arial"/>
                <w:sz w:val="14"/>
                <w:szCs w:val="14"/>
                <w:color w:val="auto"/>
              </w:rPr>
              <w:t>David A. Ricks</w:t>
            </w:r>
          </w:p>
        </w:tc>
        <w:tc>
          <w:tcPr>
            <w:tcW w:w="460" w:type="dxa"/>
            <w:vAlign w:val="bottom"/>
          </w:tcPr>
          <w:p>
            <w:pPr>
              <w:ind w:left="100"/>
              <w:spacing w:after="0"/>
              <w:rPr>
                <w:sz w:val="20"/>
                <w:szCs w:val="20"/>
                <w:color w:val="auto"/>
              </w:rPr>
            </w:pPr>
            <w:r>
              <w:rPr>
                <w:rFonts w:ascii="Arial" w:cs="Arial" w:eastAsia="Arial" w:hAnsi="Arial"/>
                <w:sz w:val="13"/>
                <w:szCs w:val="13"/>
                <w:color w:val="auto"/>
              </w:rPr>
              <w:t>2020</w:t>
            </w: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$1,483,333</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$13,587,500</w:t>
            </w:r>
          </w:p>
        </w:tc>
        <w:tc>
          <w:tcPr>
            <w:tcW w:w="780" w:type="dxa"/>
            <w:vAlign w:val="bottom"/>
            <w:gridSpan w:val="2"/>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tcPr>
          <w:p>
            <w:pPr>
              <w:jc w:val="center"/>
              <w:ind w:right="117"/>
              <w:spacing w:after="0"/>
              <w:rPr>
                <w:sz w:val="20"/>
                <w:szCs w:val="20"/>
                <w:color w:val="auto"/>
              </w:rPr>
            </w:pPr>
            <w:r>
              <w:rPr>
                <w:rFonts w:ascii="Arial" w:cs="Arial" w:eastAsia="Arial" w:hAnsi="Arial"/>
                <w:sz w:val="13"/>
                <w:szCs w:val="13"/>
                <w:color w:val="auto"/>
                <w:w w:val="95"/>
              </w:rPr>
              <w:t>$2,625,500</w:t>
            </w: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$5,883,924</w:t>
            </w: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$128,372</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$23,708,629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40" w:type="dxa"/>
            <w:vAlign w:val="bottom"/>
          </w:tcPr>
          <w:p>
            <w:pPr>
              <w:ind w:left="20"/>
              <w:spacing w:after="0" w:line="128" w:lineRule="exact"/>
              <w:rPr>
                <w:sz w:val="20"/>
                <w:szCs w:val="20"/>
                <w:color w:val="auto"/>
              </w:rPr>
            </w:pPr>
            <w:r>
              <w:rPr>
                <w:rFonts w:ascii="Arial" w:cs="Arial" w:eastAsia="Arial" w:hAnsi="Arial"/>
                <w:sz w:val="13"/>
                <w:szCs w:val="13"/>
                <w:color w:val="auto"/>
                <w:w w:val="98"/>
              </w:rPr>
              <w:t>Chairman, President,</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20"/>
              <w:spacing w:after="0" w:line="141" w:lineRule="exact"/>
              <w:rPr>
                <w:sz w:val="20"/>
                <w:szCs w:val="20"/>
                <w:color w:val="auto"/>
              </w:rPr>
            </w:pPr>
            <w:r>
              <w:rPr>
                <w:rFonts w:ascii="Arial" w:cs="Arial" w:eastAsia="Arial" w:hAnsi="Arial"/>
                <w:sz w:val="13"/>
                <w:szCs w:val="13"/>
                <w:color w:val="auto"/>
              </w:rPr>
              <w:t>and Chief Executive</w:t>
            </w:r>
          </w:p>
        </w:tc>
        <w:tc>
          <w:tcPr>
            <w:tcW w:w="460" w:type="dxa"/>
            <w:vAlign w:val="bottom"/>
          </w:tcPr>
          <w:p>
            <w:pPr>
              <w:ind w:left="100"/>
              <w:spacing w:after="0" w:line="141" w:lineRule="exact"/>
              <w:rPr>
                <w:sz w:val="20"/>
                <w:szCs w:val="20"/>
                <w:color w:val="auto"/>
              </w:rPr>
            </w:pPr>
            <w:r>
              <w:rPr>
                <w:rFonts w:ascii="Arial" w:cs="Arial" w:eastAsia="Arial" w:hAnsi="Arial"/>
                <w:sz w:val="13"/>
                <w:szCs w:val="13"/>
                <w:color w:val="auto"/>
              </w:rPr>
              <w:t>2019</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auto"/>
                <w:w w:val="95"/>
              </w:rPr>
              <w:t>$1,400,000</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auto"/>
                <w:w w:val="96"/>
              </w:rPr>
              <w:t>$0</w:t>
            </w:r>
          </w:p>
        </w:tc>
        <w:tc>
          <w:tcPr>
            <w:tcW w:w="840" w:type="dxa"/>
            <w:vAlign w:val="bottom"/>
          </w:tcPr>
          <w:p>
            <w:pPr>
              <w:jc w:val="center"/>
              <w:spacing w:after="0" w:line="141" w:lineRule="exact"/>
              <w:rPr>
                <w:sz w:val="20"/>
                <w:szCs w:val="20"/>
                <w:color w:val="auto"/>
              </w:rPr>
            </w:pPr>
            <w:r>
              <w:rPr>
                <w:rFonts w:ascii="Arial" w:cs="Arial" w:eastAsia="Arial" w:hAnsi="Arial"/>
                <w:sz w:val="13"/>
                <w:szCs w:val="13"/>
                <w:color w:val="auto"/>
                <w:w w:val="96"/>
              </w:rPr>
              <w:t>$12,222,000</w:t>
            </w:r>
          </w:p>
        </w:tc>
        <w:tc>
          <w:tcPr>
            <w:tcW w:w="780" w:type="dxa"/>
            <w:vAlign w:val="bottom"/>
            <w:gridSpan w:val="2"/>
          </w:tcPr>
          <w:p>
            <w:pPr>
              <w:jc w:val="right"/>
              <w:ind w:right="177"/>
              <w:spacing w:after="0" w:line="141" w:lineRule="exact"/>
              <w:rPr>
                <w:sz w:val="20"/>
                <w:szCs w:val="20"/>
                <w:color w:val="auto"/>
              </w:rPr>
            </w:pPr>
            <w:r>
              <w:rPr>
                <w:rFonts w:ascii="Arial" w:cs="Arial" w:eastAsia="Arial" w:hAnsi="Arial"/>
                <w:sz w:val="13"/>
                <w:szCs w:val="13"/>
                <w:color w:val="auto"/>
              </w:rPr>
              <w:t>$0</w:t>
            </w:r>
          </w:p>
        </w:tc>
        <w:tc>
          <w:tcPr>
            <w:tcW w:w="1160" w:type="dxa"/>
            <w:vAlign w:val="bottom"/>
          </w:tcPr>
          <w:p>
            <w:pPr>
              <w:jc w:val="center"/>
              <w:ind w:right="117"/>
              <w:spacing w:after="0" w:line="141" w:lineRule="exact"/>
              <w:rPr>
                <w:sz w:val="20"/>
                <w:szCs w:val="20"/>
                <w:color w:val="auto"/>
              </w:rPr>
            </w:pPr>
            <w:r>
              <w:rPr>
                <w:rFonts w:ascii="Arial" w:cs="Arial" w:eastAsia="Arial" w:hAnsi="Arial"/>
                <w:sz w:val="13"/>
                <w:szCs w:val="13"/>
                <w:color w:val="auto"/>
                <w:w w:val="95"/>
              </w:rPr>
              <w:t>$2,919,000</w:t>
            </w:r>
          </w:p>
        </w:tc>
        <w:tc>
          <w:tcPr>
            <w:tcW w:w="900" w:type="dxa"/>
            <w:vAlign w:val="bottom"/>
          </w:tcPr>
          <w:p>
            <w:pPr>
              <w:jc w:val="center"/>
              <w:spacing w:after="0" w:line="141" w:lineRule="exact"/>
              <w:rPr>
                <w:sz w:val="20"/>
                <w:szCs w:val="20"/>
                <w:color w:val="auto"/>
              </w:rPr>
            </w:pPr>
            <w:r>
              <w:rPr>
                <w:rFonts w:ascii="Arial" w:cs="Arial" w:eastAsia="Arial" w:hAnsi="Arial"/>
                <w:sz w:val="13"/>
                <w:szCs w:val="13"/>
                <w:color w:val="auto"/>
                <w:w w:val="95"/>
              </w:rPr>
              <w:t>$4,658,242</w:t>
            </w:r>
          </w:p>
        </w:tc>
        <w:tc>
          <w:tcPr>
            <w:tcW w:w="1120" w:type="dxa"/>
            <w:vAlign w:val="bottom"/>
          </w:tcPr>
          <w:p>
            <w:pPr>
              <w:jc w:val="center"/>
              <w:spacing w:after="0" w:line="141" w:lineRule="exact"/>
              <w:rPr>
                <w:sz w:val="20"/>
                <w:szCs w:val="20"/>
                <w:color w:val="auto"/>
              </w:rPr>
            </w:pPr>
            <w:r>
              <w:rPr>
                <w:rFonts w:ascii="Arial" w:cs="Arial" w:eastAsia="Arial" w:hAnsi="Arial"/>
                <w:sz w:val="13"/>
                <w:szCs w:val="13"/>
                <w:color w:val="auto"/>
                <w:w w:val="97"/>
              </w:rPr>
              <w:t>$84,000</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6"/>
              </w:rPr>
              <w:t>$21,283,242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20"/>
              <w:spacing w:after="0"/>
              <w:rPr>
                <w:sz w:val="20"/>
                <w:szCs w:val="20"/>
                <w:color w:val="auto"/>
              </w:rPr>
            </w:pPr>
            <w:r>
              <w:rPr>
                <w:rFonts w:ascii="Arial" w:cs="Arial" w:eastAsia="Arial" w:hAnsi="Arial"/>
                <w:sz w:val="13"/>
                <w:szCs w:val="13"/>
                <w:color w:val="auto"/>
              </w:rPr>
              <w:t>Officer</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240" w:type="dxa"/>
            <w:vAlign w:val="bottom"/>
            <w:tcBorders>
              <w:bottom w:val="single" w:sz="8" w:color="C8C9CB"/>
            </w:tcBorders>
          </w:tcPr>
          <w:p>
            <w:pPr>
              <w:spacing w:after="0"/>
              <w:rPr>
                <w:sz w:val="22"/>
                <w:szCs w:val="22"/>
                <w:color w:val="auto"/>
              </w:rPr>
            </w:pPr>
          </w:p>
        </w:tc>
        <w:tc>
          <w:tcPr>
            <w:tcW w:w="460" w:type="dxa"/>
            <w:vAlign w:val="bottom"/>
            <w:tcBorders>
              <w:bottom w:val="single" w:sz="8" w:color="C8C9CB"/>
            </w:tcBorders>
          </w:tcPr>
          <w:p>
            <w:pPr>
              <w:ind w:left="100"/>
              <w:spacing w:after="0"/>
              <w:rPr>
                <w:sz w:val="20"/>
                <w:szCs w:val="20"/>
                <w:color w:val="auto"/>
              </w:rPr>
            </w:pPr>
            <w:r>
              <w:rPr>
                <w:rFonts w:ascii="Arial" w:cs="Arial" w:eastAsia="Arial" w:hAnsi="Arial"/>
                <w:sz w:val="13"/>
                <w:szCs w:val="13"/>
                <w:color w:val="auto"/>
              </w:rPr>
              <w:t>2018</w:t>
            </w:r>
          </w:p>
        </w:tc>
        <w:tc>
          <w:tcPr>
            <w:tcW w:w="7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5"/>
              </w:rPr>
              <w:t>$1,400,000</w:t>
            </w:r>
          </w:p>
        </w:tc>
        <w:tc>
          <w:tcPr>
            <w:tcW w:w="6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$10,584,000</w:t>
            </w:r>
          </w:p>
        </w:tc>
        <w:tc>
          <w:tcPr>
            <w:tcW w:w="780" w:type="dxa"/>
            <w:vAlign w:val="bottom"/>
            <w:tcBorders>
              <w:bottom w:val="single" w:sz="8" w:color="C8C9CB"/>
            </w:tcBorders>
            <w:gridSpan w:val="2"/>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tcBorders>
              <w:bottom w:val="single" w:sz="8" w:color="BFBFBF"/>
            </w:tcBorders>
          </w:tcPr>
          <w:p>
            <w:pPr>
              <w:jc w:val="center"/>
              <w:ind w:right="117"/>
              <w:spacing w:after="0"/>
              <w:rPr>
                <w:sz w:val="20"/>
                <w:szCs w:val="20"/>
                <w:color w:val="auto"/>
              </w:rPr>
            </w:pPr>
            <w:r>
              <w:rPr>
                <w:rFonts w:ascii="Arial" w:cs="Arial" w:eastAsia="Arial" w:hAnsi="Arial"/>
                <w:sz w:val="13"/>
                <w:szCs w:val="13"/>
                <w:color w:val="auto"/>
                <w:w w:val="95"/>
              </w:rPr>
              <w:t>$3,633,000</w:t>
            </w:r>
          </w:p>
        </w:tc>
        <w:tc>
          <w:tcPr>
            <w:tcW w:w="90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5"/>
              </w:rPr>
              <w:t>$1,529,337</w:t>
            </w:r>
          </w:p>
        </w:tc>
        <w:tc>
          <w:tcPr>
            <w:tcW w:w="112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7"/>
              </w:rPr>
              <w:t>$84,000</w:t>
            </w:r>
          </w:p>
        </w:tc>
        <w:tc>
          <w:tcPr>
            <w:tcW w:w="108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$17,230,337</w:t>
            </w:r>
          </w:p>
        </w:tc>
        <w:tc>
          <w:tcPr>
            <w:tcW w:w="160" w:type="dxa"/>
            <w:vAlign w:val="bottom"/>
            <w:tcBorders>
              <w:bottom w:val="single" w:sz="8" w:color="BFBFBF"/>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24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Joshua L. Smiley</w:t>
            </w:r>
          </w:p>
        </w:tc>
        <w:tc>
          <w:tcPr>
            <w:tcW w:w="460" w:type="dxa"/>
            <w:vAlign w:val="bottom"/>
            <w:shd w:val="clear" w:color="auto" w:fill="F4F6F6"/>
          </w:tcPr>
          <w:p>
            <w:pPr>
              <w:spacing w:after="0"/>
              <w:rPr>
                <w:sz w:val="15"/>
                <w:szCs w:val="15"/>
                <w:color w:val="auto"/>
              </w:rPr>
            </w:pPr>
          </w:p>
        </w:tc>
        <w:tc>
          <w:tcPr>
            <w:tcW w:w="760" w:type="dxa"/>
            <w:vAlign w:val="bottom"/>
            <w:shd w:val="clear" w:color="auto" w:fill="F4F6F6"/>
          </w:tcPr>
          <w:p>
            <w:pPr>
              <w:spacing w:after="0"/>
              <w:rPr>
                <w:sz w:val="15"/>
                <w:szCs w:val="15"/>
                <w:color w:val="auto"/>
              </w:rPr>
            </w:pPr>
          </w:p>
        </w:tc>
        <w:tc>
          <w:tcPr>
            <w:tcW w:w="660" w:type="dxa"/>
            <w:vAlign w:val="bottom"/>
            <w:shd w:val="clear" w:color="auto" w:fill="F4F6F6"/>
          </w:tcPr>
          <w:p>
            <w:pPr>
              <w:spacing w:after="0"/>
              <w:rPr>
                <w:sz w:val="15"/>
                <w:szCs w:val="15"/>
                <w:color w:val="auto"/>
              </w:rPr>
            </w:pPr>
          </w:p>
        </w:tc>
        <w:tc>
          <w:tcPr>
            <w:tcW w:w="840" w:type="dxa"/>
            <w:vAlign w:val="bottom"/>
            <w:shd w:val="clear" w:color="auto" w:fill="F4F6F6"/>
          </w:tcPr>
          <w:p>
            <w:pPr>
              <w:spacing w:after="0"/>
              <w:rPr>
                <w:sz w:val="15"/>
                <w:szCs w:val="15"/>
                <w:color w:val="auto"/>
              </w:rPr>
            </w:pPr>
          </w:p>
        </w:tc>
        <w:tc>
          <w:tcPr>
            <w:tcW w:w="160" w:type="dxa"/>
            <w:vAlign w:val="bottom"/>
            <w:shd w:val="clear" w:color="auto" w:fill="F4F6F6"/>
          </w:tcPr>
          <w:p>
            <w:pPr>
              <w:jc w:val="right"/>
              <w:spacing w:after="0"/>
              <w:rPr>
                <w:sz w:val="20"/>
                <w:szCs w:val="20"/>
                <w:color w:val="auto"/>
              </w:rPr>
            </w:pPr>
            <w:r>
              <w:rPr>
                <w:rFonts w:ascii="Arial" w:cs="Arial" w:eastAsia="Arial" w:hAnsi="Arial"/>
                <w:sz w:val="11"/>
                <w:szCs w:val="11"/>
                <w:color w:val="auto"/>
              </w:rPr>
              <w:t>7</w:t>
            </w:r>
          </w:p>
        </w:tc>
        <w:tc>
          <w:tcPr>
            <w:tcW w:w="620" w:type="dxa"/>
            <w:vAlign w:val="bottom"/>
            <w:shd w:val="clear" w:color="auto" w:fill="F4F6F6"/>
          </w:tcPr>
          <w:p>
            <w:pPr>
              <w:spacing w:after="0"/>
              <w:rPr>
                <w:sz w:val="15"/>
                <w:szCs w:val="15"/>
                <w:color w:val="auto"/>
              </w:rPr>
            </w:pPr>
          </w:p>
        </w:tc>
        <w:tc>
          <w:tcPr>
            <w:tcW w:w="1160" w:type="dxa"/>
            <w:vAlign w:val="bottom"/>
            <w:shd w:val="clear" w:color="auto" w:fill="F4F6F6"/>
          </w:tcPr>
          <w:p>
            <w:pPr>
              <w:jc w:val="right"/>
              <w:spacing w:after="0"/>
              <w:rPr>
                <w:sz w:val="20"/>
                <w:szCs w:val="20"/>
                <w:color w:val="auto"/>
              </w:rPr>
            </w:pPr>
            <w:r>
              <w:rPr>
                <w:rFonts w:ascii="Arial" w:cs="Arial" w:eastAsia="Arial" w:hAnsi="Arial"/>
                <w:sz w:val="13"/>
                <w:szCs w:val="13"/>
                <w:color w:val="auto"/>
              </w:rPr>
              <w:t>6</w:t>
            </w:r>
          </w:p>
        </w:tc>
        <w:tc>
          <w:tcPr>
            <w:tcW w:w="900" w:type="dxa"/>
            <w:vAlign w:val="bottom"/>
            <w:shd w:val="clear" w:color="auto" w:fill="F4F6F6"/>
          </w:tcPr>
          <w:p>
            <w:pPr>
              <w:spacing w:after="0"/>
              <w:rPr>
                <w:sz w:val="15"/>
                <w:szCs w:val="15"/>
                <w:color w:val="auto"/>
              </w:rPr>
            </w:pPr>
          </w:p>
        </w:tc>
        <w:tc>
          <w:tcPr>
            <w:tcW w:w="1120" w:type="dxa"/>
            <w:vAlign w:val="bottom"/>
            <w:shd w:val="clear" w:color="auto" w:fill="F4F6F6"/>
          </w:tcPr>
          <w:p>
            <w:pPr>
              <w:spacing w:after="0"/>
              <w:rPr>
                <w:sz w:val="15"/>
                <w:szCs w:val="15"/>
                <w:color w:val="auto"/>
              </w:rPr>
            </w:pPr>
          </w:p>
        </w:tc>
        <w:tc>
          <w:tcPr>
            <w:tcW w:w="1240" w:type="dxa"/>
            <w:vAlign w:val="bottom"/>
            <w:gridSpan w:val="2"/>
            <w:shd w:val="clear" w:color="auto" w:fill="F4F6F6"/>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240" w:type="dxa"/>
            <w:vAlign w:val="bottom"/>
            <w:vMerge w:val="continue"/>
            <w:shd w:val="clear" w:color="auto" w:fill="F4F6F6"/>
          </w:tcPr>
          <w:p>
            <w:pPr>
              <w:spacing w:after="0"/>
              <w:rPr>
                <w:sz w:val="14"/>
                <w:szCs w:val="14"/>
                <w:color w:val="auto"/>
              </w:rPr>
            </w:pPr>
          </w:p>
        </w:tc>
        <w:tc>
          <w:tcPr>
            <w:tcW w:w="460" w:type="dxa"/>
            <w:vAlign w:val="bottom"/>
            <w:shd w:val="clear" w:color="auto" w:fill="F4F6F6"/>
          </w:tcPr>
          <w:p>
            <w:pPr>
              <w:ind w:left="100"/>
              <w:spacing w:after="0"/>
              <w:rPr>
                <w:sz w:val="20"/>
                <w:szCs w:val="20"/>
                <w:color w:val="auto"/>
              </w:rPr>
            </w:pPr>
            <w:r>
              <w:rPr>
                <w:rFonts w:ascii="Arial" w:cs="Arial" w:eastAsia="Arial" w:hAnsi="Arial"/>
                <w:sz w:val="13"/>
                <w:szCs w:val="13"/>
                <w:color w:val="auto"/>
              </w:rPr>
              <w:t>2020</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$983,333</w:t>
            </w:r>
          </w:p>
        </w:tc>
        <w:tc>
          <w:tcPr>
            <w:tcW w:w="6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$3,587,100</w:t>
            </w:r>
          </w:p>
        </w:tc>
        <w:tc>
          <w:tcPr>
            <w:tcW w:w="780" w:type="dxa"/>
            <w:vAlign w:val="bottom"/>
            <w:gridSpan w:val="2"/>
            <w:shd w:val="clear" w:color="auto" w:fill="F4F6F6"/>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shd w:val="clear" w:color="auto" w:fill="F4F6F6"/>
          </w:tcPr>
          <w:p>
            <w:pPr>
              <w:jc w:val="center"/>
              <w:ind w:right="117"/>
              <w:spacing w:after="0"/>
              <w:rPr>
                <w:sz w:val="20"/>
                <w:szCs w:val="20"/>
                <w:color w:val="auto"/>
              </w:rPr>
            </w:pPr>
            <w:r>
              <w:rPr>
                <w:rFonts w:ascii="Arial" w:cs="Arial" w:eastAsia="Arial" w:hAnsi="Arial"/>
                <w:sz w:val="13"/>
                <w:szCs w:val="13"/>
                <w:color w:val="auto"/>
                <w:w w:val="96"/>
              </w:rPr>
              <w:t>$0</w:t>
            </w:r>
          </w:p>
        </w:tc>
        <w:tc>
          <w:tcPr>
            <w:tcW w:w="90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$2,685,276</w:t>
            </w:r>
          </w:p>
        </w:tc>
        <w:tc>
          <w:tcPr>
            <w:tcW w:w="112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$58,539</w:t>
            </w:r>
          </w:p>
        </w:tc>
        <w:tc>
          <w:tcPr>
            <w:tcW w:w="10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$7,314,248</w:t>
            </w:r>
          </w:p>
        </w:tc>
        <w:tc>
          <w:tcPr>
            <w:tcW w:w="16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shd w:val="clear" w:color="auto" w:fill="F4F6F6"/>
          </w:tcPr>
          <w:p>
            <w:pPr>
              <w:ind w:left="20"/>
              <w:spacing w:after="0" w:line="129" w:lineRule="exact"/>
              <w:rPr>
                <w:sz w:val="20"/>
                <w:szCs w:val="20"/>
                <w:color w:val="auto"/>
              </w:rPr>
            </w:pPr>
            <w:r>
              <w:rPr>
                <w:rFonts w:ascii="Arial" w:cs="Arial" w:eastAsia="Arial" w:hAnsi="Arial"/>
                <w:sz w:val="13"/>
                <w:szCs w:val="13"/>
                <w:color w:val="auto"/>
              </w:rPr>
              <w:t>Former Senior Vice</w:t>
            </w:r>
          </w:p>
        </w:tc>
        <w:tc>
          <w:tcPr>
            <w:tcW w:w="460" w:type="dxa"/>
            <w:vAlign w:val="bottom"/>
            <w:shd w:val="clear" w:color="auto" w:fill="F4F6F6"/>
          </w:tcPr>
          <w:p>
            <w:pPr>
              <w:spacing w:after="0"/>
              <w:rPr>
                <w:sz w:val="11"/>
                <w:szCs w:val="11"/>
                <w:color w:val="auto"/>
              </w:rPr>
            </w:pPr>
          </w:p>
        </w:tc>
        <w:tc>
          <w:tcPr>
            <w:tcW w:w="760" w:type="dxa"/>
            <w:vAlign w:val="bottom"/>
            <w:shd w:val="clear" w:color="auto" w:fill="F4F6F6"/>
          </w:tcPr>
          <w:p>
            <w:pPr>
              <w:spacing w:after="0"/>
              <w:rPr>
                <w:sz w:val="11"/>
                <w:szCs w:val="11"/>
                <w:color w:val="auto"/>
              </w:rPr>
            </w:pPr>
          </w:p>
        </w:tc>
        <w:tc>
          <w:tcPr>
            <w:tcW w:w="660" w:type="dxa"/>
            <w:vAlign w:val="bottom"/>
            <w:shd w:val="clear" w:color="auto" w:fill="F4F6F6"/>
          </w:tcPr>
          <w:p>
            <w:pPr>
              <w:spacing w:after="0"/>
              <w:rPr>
                <w:sz w:val="11"/>
                <w:szCs w:val="11"/>
                <w:color w:val="auto"/>
              </w:rPr>
            </w:pPr>
          </w:p>
        </w:tc>
        <w:tc>
          <w:tcPr>
            <w:tcW w:w="840" w:type="dxa"/>
            <w:vAlign w:val="bottom"/>
            <w:shd w:val="clear" w:color="auto" w:fill="F4F6F6"/>
          </w:tcPr>
          <w:p>
            <w:pPr>
              <w:spacing w:after="0"/>
              <w:rPr>
                <w:sz w:val="11"/>
                <w:szCs w:val="11"/>
                <w:color w:val="auto"/>
              </w:rPr>
            </w:pPr>
          </w:p>
        </w:tc>
        <w:tc>
          <w:tcPr>
            <w:tcW w:w="160" w:type="dxa"/>
            <w:vAlign w:val="bottom"/>
            <w:shd w:val="clear" w:color="auto" w:fill="F4F6F6"/>
          </w:tcPr>
          <w:p>
            <w:pPr>
              <w:jc w:val="right"/>
              <w:spacing w:after="0"/>
              <w:rPr>
                <w:sz w:val="20"/>
                <w:szCs w:val="20"/>
                <w:color w:val="auto"/>
              </w:rPr>
            </w:pPr>
            <w:r>
              <w:rPr>
                <w:rFonts w:ascii="Arial" w:cs="Arial" w:eastAsia="Arial" w:hAnsi="Arial"/>
                <w:sz w:val="11"/>
                <w:szCs w:val="11"/>
                <w:color w:val="auto"/>
              </w:rPr>
              <w:t>7</w:t>
            </w:r>
          </w:p>
        </w:tc>
        <w:tc>
          <w:tcPr>
            <w:tcW w:w="620" w:type="dxa"/>
            <w:vAlign w:val="bottom"/>
            <w:shd w:val="clear" w:color="auto" w:fill="F4F6F6"/>
          </w:tcPr>
          <w:p>
            <w:pPr>
              <w:spacing w:after="0"/>
              <w:rPr>
                <w:sz w:val="11"/>
                <w:szCs w:val="11"/>
                <w:color w:val="auto"/>
              </w:rPr>
            </w:pPr>
          </w:p>
        </w:tc>
        <w:tc>
          <w:tcPr>
            <w:tcW w:w="1160" w:type="dxa"/>
            <w:vAlign w:val="bottom"/>
            <w:shd w:val="clear" w:color="auto" w:fill="F4F6F6"/>
          </w:tcPr>
          <w:p>
            <w:pPr>
              <w:spacing w:after="0"/>
              <w:rPr>
                <w:sz w:val="11"/>
                <w:szCs w:val="11"/>
                <w:color w:val="auto"/>
              </w:rPr>
            </w:pPr>
          </w:p>
        </w:tc>
        <w:tc>
          <w:tcPr>
            <w:tcW w:w="900" w:type="dxa"/>
            <w:vAlign w:val="bottom"/>
            <w:shd w:val="clear" w:color="auto" w:fill="F4F6F6"/>
          </w:tcPr>
          <w:p>
            <w:pPr>
              <w:spacing w:after="0"/>
              <w:rPr>
                <w:sz w:val="11"/>
                <w:szCs w:val="11"/>
                <w:color w:val="auto"/>
              </w:rPr>
            </w:pPr>
          </w:p>
        </w:tc>
        <w:tc>
          <w:tcPr>
            <w:tcW w:w="1120" w:type="dxa"/>
            <w:vAlign w:val="bottom"/>
            <w:shd w:val="clear" w:color="auto" w:fill="F4F6F6"/>
          </w:tcPr>
          <w:p>
            <w:pPr>
              <w:spacing w:after="0"/>
              <w:rPr>
                <w:sz w:val="11"/>
                <w:szCs w:val="11"/>
                <w:color w:val="auto"/>
              </w:rPr>
            </w:pPr>
          </w:p>
        </w:tc>
        <w:tc>
          <w:tcPr>
            <w:tcW w:w="1240" w:type="dxa"/>
            <w:vAlign w:val="bottom"/>
            <w:gridSpan w:val="2"/>
            <w:shd w:val="clear" w:color="auto" w:fill="F4F6F6"/>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F4F6F6"/>
          </w:tcPr>
          <w:p>
            <w:pPr>
              <w:ind w:left="20"/>
              <w:spacing w:after="0" w:line="122" w:lineRule="exact"/>
              <w:rPr>
                <w:sz w:val="20"/>
                <w:szCs w:val="20"/>
                <w:color w:val="auto"/>
              </w:rPr>
            </w:pPr>
            <w:r>
              <w:rPr>
                <w:rFonts w:ascii="Arial" w:cs="Arial" w:eastAsia="Arial" w:hAnsi="Arial"/>
                <w:sz w:val="13"/>
                <w:szCs w:val="13"/>
                <w:color w:val="auto"/>
              </w:rPr>
              <w:t>President and Chief</w:t>
            </w:r>
          </w:p>
        </w:tc>
        <w:tc>
          <w:tcPr>
            <w:tcW w:w="460" w:type="dxa"/>
            <w:vAlign w:val="bottom"/>
            <w:vMerge w:val="restart"/>
            <w:shd w:val="clear" w:color="auto" w:fill="F4F6F6"/>
          </w:tcPr>
          <w:p>
            <w:pPr>
              <w:ind w:left="100"/>
              <w:spacing w:after="0"/>
              <w:rPr>
                <w:sz w:val="20"/>
                <w:szCs w:val="20"/>
                <w:color w:val="auto"/>
              </w:rPr>
            </w:pPr>
            <w:r>
              <w:rPr>
                <w:rFonts w:ascii="Arial" w:cs="Arial" w:eastAsia="Arial" w:hAnsi="Arial"/>
                <w:sz w:val="13"/>
                <w:szCs w:val="13"/>
                <w:color w:val="auto"/>
              </w:rPr>
              <w:t>2019</w:t>
            </w: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$895,833</w:t>
            </w: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$3,142,800</w:t>
            </w:r>
          </w:p>
        </w:tc>
        <w:tc>
          <w:tcPr>
            <w:tcW w:w="780" w:type="dxa"/>
            <w:vAlign w:val="bottom"/>
            <w:gridSpan w:val="2"/>
            <w:vMerge w:val="restart"/>
            <w:shd w:val="clear" w:color="auto" w:fill="F4F6F6"/>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vMerge w:val="restart"/>
            <w:shd w:val="clear" w:color="auto" w:fill="F4F6F6"/>
          </w:tcPr>
          <w:p>
            <w:pPr>
              <w:jc w:val="center"/>
              <w:ind w:right="117"/>
              <w:spacing w:after="0"/>
              <w:rPr>
                <w:sz w:val="20"/>
                <w:szCs w:val="20"/>
                <w:color w:val="auto"/>
              </w:rPr>
            </w:pPr>
            <w:r>
              <w:rPr>
                <w:rFonts w:ascii="Arial" w:cs="Arial" w:eastAsia="Arial" w:hAnsi="Arial"/>
                <w:sz w:val="13"/>
                <w:szCs w:val="13"/>
                <w:color w:val="auto"/>
                <w:w w:val="95"/>
              </w:rPr>
              <w:t>$1,182,948</w:t>
            </w:r>
          </w:p>
        </w:tc>
        <w:tc>
          <w:tcPr>
            <w:tcW w:w="9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$2,073,070</w:t>
            </w:r>
          </w:p>
        </w:tc>
        <w:tc>
          <w:tcPr>
            <w:tcW w:w="11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7"/>
              </w:rPr>
              <w:t>$53,750</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$7,348,401</w:t>
            </w:r>
          </w:p>
        </w:tc>
        <w:tc>
          <w:tcPr>
            <w:tcW w:w="160" w:type="dxa"/>
            <w:vAlign w:val="bottom"/>
            <w:shd w:val="clear" w:color="auto" w:fill="F4F6F6"/>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restart"/>
            <w:shd w:val="clear" w:color="auto" w:fill="F4F6F6"/>
          </w:tcPr>
          <w:p>
            <w:pPr>
              <w:ind w:left="20"/>
              <w:spacing w:after="0"/>
              <w:rPr>
                <w:sz w:val="20"/>
                <w:szCs w:val="20"/>
                <w:color w:val="auto"/>
              </w:rPr>
            </w:pPr>
            <w:r>
              <w:rPr>
                <w:rFonts w:ascii="Arial" w:cs="Arial" w:eastAsia="Arial" w:hAnsi="Arial"/>
                <w:sz w:val="13"/>
                <w:szCs w:val="13"/>
                <w:color w:val="auto"/>
              </w:rPr>
              <w:t>Financial Officer</w:t>
            </w:r>
          </w:p>
        </w:tc>
        <w:tc>
          <w:tcPr>
            <w:tcW w:w="460" w:type="dxa"/>
            <w:vAlign w:val="bottom"/>
            <w:vMerge w:val="continue"/>
            <w:shd w:val="clear" w:color="auto" w:fill="F4F6F6"/>
          </w:tcPr>
          <w:p>
            <w:pPr>
              <w:spacing w:after="0"/>
              <w:rPr>
                <w:sz w:val="8"/>
                <w:szCs w:val="8"/>
                <w:color w:val="auto"/>
              </w:rPr>
            </w:pPr>
          </w:p>
        </w:tc>
        <w:tc>
          <w:tcPr>
            <w:tcW w:w="760" w:type="dxa"/>
            <w:vAlign w:val="bottom"/>
            <w:vMerge w:val="continue"/>
            <w:shd w:val="clear" w:color="auto" w:fill="F4F6F6"/>
          </w:tcPr>
          <w:p>
            <w:pPr>
              <w:spacing w:after="0"/>
              <w:rPr>
                <w:sz w:val="8"/>
                <w:szCs w:val="8"/>
                <w:color w:val="auto"/>
              </w:rPr>
            </w:pPr>
          </w:p>
        </w:tc>
        <w:tc>
          <w:tcPr>
            <w:tcW w:w="660" w:type="dxa"/>
            <w:vAlign w:val="bottom"/>
            <w:vMerge w:val="continue"/>
            <w:shd w:val="clear" w:color="auto" w:fill="F4F6F6"/>
          </w:tcPr>
          <w:p>
            <w:pPr>
              <w:spacing w:after="0"/>
              <w:rPr>
                <w:sz w:val="8"/>
                <w:szCs w:val="8"/>
                <w:color w:val="auto"/>
              </w:rPr>
            </w:pPr>
          </w:p>
        </w:tc>
        <w:tc>
          <w:tcPr>
            <w:tcW w:w="840" w:type="dxa"/>
            <w:vAlign w:val="bottom"/>
            <w:vMerge w:val="continue"/>
            <w:shd w:val="clear" w:color="auto" w:fill="F4F6F6"/>
          </w:tcPr>
          <w:p>
            <w:pPr>
              <w:spacing w:after="0"/>
              <w:rPr>
                <w:sz w:val="8"/>
                <w:szCs w:val="8"/>
                <w:color w:val="auto"/>
              </w:rPr>
            </w:pPr>
          </w:p>
        </w:tc>
        <w:tc>
          <w:tcPr>
            <w:tcW w:w="780" w:type="dxa"/>
            <w:vAlign w:val="bottom"/>
            <w:gridSpan w:val="2"/>
            <w:vMerge w:val="continue"/>
            <w:shd w:val="clear" w:color="auto" w:fill="F4F6F6"/>
          </w:tcPr>
          <w:p>
            <w:pPr>
              <w:spacing w:after="0"/>
              <w:rPr>
                <w:sz w:val="8"/>
                <w:szCs w:val="8"/>
                <w:color w:val="auto"/>
              </w:rPr>
            </w:pPr>
          </w:p>
        </w:tc>
        <w:tc>
          <w:tcPr>
            <w:tcW w:w="1160" w:type="dxa"/>
            <w:vAlign w:val="bottom"/>
            <w:vMerge w:val="continue"/>
            <w:shd w:val="clear" w:color="auto" w:fill="F4F6F6"/>
          </w:tcPr>
          <w:p>
            <w:pPr>
              <w:spacing w:after="0"/>
              <w:rPr>
                <w:sz w:val="8"/>
                <w:szCs w:val="8"/>
                <w:color w:val="auto"/>
              </w:rPr>
            </w:pPr>
          </w:p>
        </w:tc>
        <w:tc>
          <w:tcPr>
            <w:tcW w:w="900" w:type="dxa"/>
            <w:vAlign w:val="bottom"/>
            <w:vMerge w:val="continue"/>
            <w:shd w:val="clear" w:color="auto" w:fill="F4F6F6"/>
          </w:tcPr>
          <w:p>
            <w:pPr>
              <w:spacing w:after="0"/>
              <w:rPr>
                <w:sz w:val="8"/>
                <w:szCs w:val="8"/>
                <w:color w:val="auto"/>
              </w:rPr>
            </w:pPr>
          </w:p>
        </w:tc>
        <w:tc>
          <w:tcPr>
            <w:tcW w:w="1120" w:type="dxa"/>
            <w:vAlign w:val="bottom"/>
            <w:vMerge w:val="continue"/>
            <w:shd w:val="clear" w:color="auto" w:fill="F4F6F6"/>
          </w:tcPr>
          <w:p>
            <w:pPr>
              <w:spacing w:after="0"/>
              <w:rPr>
                <w:sz w:val="8"/>
                <w:szCs w:val="8"/>
                <w:color w:val="auto"/>
              </w:rPr>
            </w:pPr>
          </w:p>
        </w:tc>
        <w:tc>
          <w:tcPr>
            <w:tcW w:w="1080" w:type="dxa"/>
            <w:vAlign w:val="bottom"/>
            <w:vMerge w:val="continue"/>
            <w:shd w:val="clear" w:color="auto" w:fill="F4F6F6"/>
          </w:tcPr>
          <w:p>
            <w:pPr>
              <w:spacing w:after="0"/>
              <w:rPr>
                <w:sz w:val="8"/>
                <w:szCs w:val="8"/>
                <w:color w:val="auto"/>
              </w:rPr>
            </w:pPr>
          </w:p>
        </w:tc>
        <w:tc>
          <w:tcPr>
            <w:tcW w:w="160" w:type="dxa"/>
            <w:vAlign w:val="bottom"/>
            <w:shd w:val="clear" w:color="auto" w:fill="F4F6F6"/>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shd w:val="clear" w:color="auto" w:fill="F4F6F6"/>
          </w:tcPr>
          <w:p>
            <w:pPr>
              <w:spacing w:after="0"/>
              <w:rPr>
                <w:sz w:val="4"/>
                <w:szCs w:val="4"/>
                <w:color w:val="auto"/>
              </w:rPr>
            </w:pPr>
          </w:p>
        </w:tc>
        <w:tc>
          <w:tcPr>
            <w:tcW w:w="460" w:type="dxa"/>
            <w:vAlign w:val="bottom"/>
            <w:shd w:val="clear" w:color="auto" w:fill="F4F6F6"/>
          </w:tcPr>
          <w:p>
            <w:pPr>
              <w:spacing w:after="0"/>
              <w:rPr>
                <w:sz w:val="4"/>
                <w:szCs w:val="4"/>
                <w:color w:val="auto"/>
              </w:rPr>
            </w:pPr>
          </w:p>
        </w:tc>
        <w:tc>
          <w:tcPr>
            <w:tcW w:w="760" w:type="dxa"/>
            <w:vAlign w:val="bottom"/>
            <w:shd w:val="clear" w:color="auto" w:fill="F4F6F6"/>
          </w:tcPr>
          <w:p>
            <w:pPr>
              <w:spacing w:after="0"/>
              <w:rPr>
                <w:sz w:val="4"/>
                <w:szCs w:val="4"/>
                <w:color w:val="auto"/>
              </w:rPr>
            </w:pPr>
          </w:p>
        </w:tc>
        <w:tc>
          <w:tcPr>
            <w:tcW w:w="660" w:type="dxa"/>
            <w:vAlign w:val="bottom"/>
            <w:shd w:val="clear" w:color="auto" w:fill="F4F6F6"/>
          </w:tcPr>
          <w:p>
            <w:pPr>
              <w:spacing w:after="0"/>
              <w:rPr>
                <w:sz w:val="4"/>
                <w:szCs w:val="4"/>
                <w:color w:val="auto"/>
              </w:rPr>
            </w:pPr>
          </w:p>
        </w:tc>
        <w:tc>
          <w:tcPr>
            <w:tcW w:w="840" w:type="dxa"/>
            <w:vAlign w:val="bottom"/>
            <w:shd w:val="clear" w:color="auto" w:fill="F4F6F6"/>
          </w:tcPr>
          <w:p>
            <w:pPr>
              <w:spacing w:after="0"/>
              <w:rPr>
                <w:sz w:val="4"/>
                <w:szCs w:val="4"/>
                <w:color w:val="auto"/>
              </w:rPr>
            </w:pPr>
          </w:p>
        </w:tc>
        <w:tc>
          <w:tcPr>
            <w:tcW w:w="160" w:type="dxa"/>
            <w:vAlign w:val="bottom"/>
            <w:vMerge w:val="restart"/>
            <w:shd w:val="clear" w:color="auto" w:fill="F4F6F6"/>
          </w:tcPr>
          <w:p>
            <w:pPr>
              <w:jc w:val="right"/>
              <w:spacing w:after="0"/>
              <w:rPr>
                <w:sz w:val="20"/>
                <w:szCs w:val="20"/>
                <w:color w:val="auto"/>
              </w:rPr>
            </w:pPr>
            <w:r>
              <w:rPr>
                <w:rFonts w:ascii="Arial" w:cs="Arial" w:eastAsia="Arial" w:hAnsi="Arial"/>
                <w:sz w:val="11"/>
                <w:szCs w:val="11"/>
                <w:color w:val="auto"/>
              </w:rPr>
              <w:t>7</w:t>
            </w:r>
          </w:p>
        </w:tc>
        <w:tc>
          <w:tcPr>
            <w:tcW w:w="620" w:type="dxa"/>
            <w:vAlign w:val="bottom"/>
            <w:shd w:val="clear" w:color="auto" w:fill="F4F6F6"/>
          </w:tcPr>
          <w:p>
            <w:pPr>
              <w:spacing w:after="0"/>
              <w:rPr>
                <w:sz w:val="4"/>
                <w:szCs w:val="4"/>
                <w:color w:val="auto"/>
              </w:rPr>
            </w:pPr>
          </w:p>
        </w:tc>
        <w:tc>
          <w:tcPr>
            <w:tcW w:w="1160" w:type="dxa"/>
            <w:vAlign w:val="bottom"/>
            <w:shd w:val="clear" w:color="auto" w:fill="F4F6F6"/>
          </w:tcPr>
          <w:p>
            <w:pPr>
              <w:spacing w:after="0"/>
              <w:rPr>
                <w:sz w:val="4"/>
                <w:szCs w:val="4"/>
                <w:color w:val="auto"/>
              </w:rPr>
            </w:pPr>
          </w:p>
        </w:tc>
        <w:tc>
          <w:tcPr>
            <w:tcW w:w="900" w:type="dxa"/>
            <w:vAlign w:val="bottom"/>
            <w:shd w:val="clear" w:color="auto" w:fill="F4F6F6"/>
          </w:tcPr>
          <w:p>
            <w:pPr>
              <w:spacing w:after="0"/>
              <w:rPr>
                <w:sz w:val="4"/>
                <w:szCs w:val="4"/>
                <w:color w:val="auto"/>
              </w:rPr>
            </w:pPr>
          </w:p>
        </w:tc>
        <w:tc>
          <w:tcPr>
            <w:tcW w:w="1120" w:type="dxa"/>
            <w:vAlign w:val="bottom"/>
            <w:shd w:val="clear" w:color="auto" w:fill="F4F6F6"/>
          </w:tcPr>
          <w:p>
            <w:pPr>
              <w:spacing w:after="0"/>
              <w:rPr>
                <w:sz w:val="4"/>
                <w:szCs w:val="4"/>
                <w:color w:val="auto"/>
              </w:rPr>
            </w:pPr>
          </w:p>
        </w:tc>
        <w:tc>
          <w:tcPr>
            <w:tcW w:w="1080" w:type="dxa"/>
            <w:vAlign w:val="bottom"/>
            <w:shd w:val="clear" w:color="auto" w:fill="F4F6F6"/>
          </w:tcPr>
          <w:p>
            <w:pPr>
              <w:spacing w:after="0"/>
              <w:rPr>
                <w:sz w:val="4"/>
                <w:szCs w:val="4"/>
                <w:color w:val="auto"/>
              </w:rPr>
            </w:pPr>
          </w:p>
        </w:tc>
        <w:tc>
          <w:tcPr>
            <w:tcW w:w="160" w:type="dxa"/>
            <w:vAlign w:val="bottom"/>
            <w:shd w:val="clear" w:color="auto" w:fill="F4F6F6"/>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240" w:type="dxa"/>
            <w:vAlign w:val="bottom"/>
            <w:shd w:val="clear" w:color="auto" w:fill="F4F6F6"/>
          </w:tcPr>
          <w:p>
            <w:pPr>
              <w:spacing w:after="0"/>
              <w:rPr>
                <w:sz w:val="8"/>
                <w:szCs w:val="8"/>
                <w:color w:val="auto"/>
              </w:rPr>
            </w:pPr>
          </w:p>
        </w:tc>
        <w:tc>
          <w:tcPr>
            <w:tcW w:w="460" w:type="dxa"/>
            <w:vAlign w:val="bottom"/>
            <w:shd w:val="clear" w:color="auto" w:fill="F4F6F6"/>
          </w:tcPr>
          <w:p>
            <w:pPr>
              <w:spacing w:after="0"/>
              <w:rPr>
                <w:sz w:val="8"/>
                <w:szCs w:val="8"/>
                <w:color w:val="auto"/>
              </w:rPr>
            </w:pPr>
          </w:p>
        </w:tc>
        <w:tc>
          <w:tcPr>
            <w:tcW w:w="760" w:type="dxa"/>
            <w:vAlign w:val="bottom"/>
            <w:shd w:val="clear" w:color="auto" w:fill="F4F6F6"/>
          </w:tcPr>
          <w:p>
            <w:pPr>
              <w:spacing w:after="0"/>
              <w:rPr>
                <w:sz w:val="8"/>
                <w:szCs w:val="8"/>
                <w:color w:val="auto"/>
              </w:rPr>
            </w:pPr>
          </w:p>
        </w:tc>
        <w:tc>
          <w:tcPr>
            <w:tcW w:w="660" w:type="dxa"/>
            <w:vAlign w:val="bottom"/>
            <w:shd w:val="clear" w:color="auto" w:fill="F4F6F6"/>
          </w:tcPr>
          <w:p>
            <w:pPr>
              <w:spacing w:after="0"/>
              <w:rPr>
                <w:sz w:val="8"/>
                <w:szCs w:val="8"/>
                <w:color w:val="auto"/>
              </w:rPr>
            </w:pPr>
          </w:p>
        </w:tc>
        <w:tc>
          <w:tcPr>
            <w:tcW w:w="840" w:type="dxa"/>
            <w:vAlign w:val="bottom"/>
            <w:shd w:val="clear" w:color="auto" w:fill="F4F6F6"/>
          </w:tcPr>
          <w:p>
            <w:pPr>
              <w:spacing w:after="0"/>
              <w:rPr>
                <w:sz w:val="8"/>
                <w:szCs w:val="8"/>
                <w:color w:val="auto"/>
              </w:rPr>
            </w:pPr>
          </w:p>
        </w:tc>
        <w:tc>
          <w:tcPr>
            <w:tcW w:w="160" w:type="dxa"/>
            <w:vAlign w:val="bottom"/>
            <w:vMerge w:val="continue"/>
            <w:shd w:val="clear" w:color="auto" w:fill="F4F6F6"/>
          </w:tcPr>
          <w:p>
            <w:pPr>
              <w:spacing w:after="0"/>
              <w:rPr>
                <w:sz w:val="8"/>
                <w:szCs w:val="8"/>
                <w:color w:val="auto"/>
              </w:rPr>
            </w:pPr>
          </w:p>
        </w:tc>
        <w:tc>
          <w:tcPr>
            <w:tcW w:w="620" w:type="dxa"/>
            <w:vAlign w:val="bottom"/>
            <w:shd w:val="clear" w:color="auto" w:fill="F4F6F6"/>
          </w:tcPr>
          <w:p>
            <w:pPr>
              <w:spacing w:after="0"/>
              <w:rPr>
                <w:sz w:val="8"/>
                <w:szCs w:val="8"/>
                <w:color w:val="auto"/>
              </w:rPr>
            </w:pPr>
          </w:p>
        </w:tc>
        <w:tc>
          <w:tcPr>
            <w:tcW w:w="1160" w:type="dxa"/>
            <w:vAlign w:val="bottom"/>
            <w:shd w:val="clear" w:color="auto" w:fill="F4F6F6"/>
          </w:tcPr>
          <w:p>
            <w:pPr>
              <w:spacing w:after="0"/>
              <w:rPr>
                <w:sz w:val="8"/>
                <w:szCs w:val="8"/>
                <w:color w:val="auto"/>
              </w:rPr>
            </w:pPr>
          </w:p>
        </w:tc>
        <w:tc>
          <w:tcPr>
            <w:tcW w:w="900" w:type="dxa"/>
            <w:vAlign w:val="bottom"/>
            <w:shd w:val="clear" w:color="auto" w:fill="F4F6F6"/>
          </w:tcPr>
          <w:p>
            <w:pPr>
              <w:spacing w:after="0"/>
              <w:rPr>
                <w:sz w:val="8"/>
                <w:szCs w:val="8"/>
                <w:color w:val="auto"/>
              </w:rPr>
            </w:pPr>
          </w:p>
        </w:tc>
        <w:tc>
          <w:tcPr>
            <w:tcW w:w="1120" w:type="dxa"/>
            <w:vAlign w:val="bottom"/>
            <w:shd w:val="clear" w:color="auto" w:fill="F4F6F6"/>
          </w:tcPr>
          <w:p>
            <w:pPr>
              <w:spacing w:after="0"/>
              <w:rPr>
                <w:sz w:val="8"/>
                <w:szCs w:val="8"/>
                <w:color w:val="auto"/>
              </w:rPr>
            </w:pPr>
          </w:p>
        </w:tc>
        <w:tc>
          <w:tcPr>
            <w:tcW w:w="1080" w:type="dxa"/>
            <w:vAlign w:val="bottom"/>
            <w:shd w:val="clear" w:color="auto" w:fill="F4F6F6"/>
          </w:tcPr>
          <w:p>
            <w:pPr>
              <w:spacing w:after="0"/>
              <w:rPr>
                <w:sz w:val="8"/>
                <w:szCs w:val="8"/>
                <w:color w:val="auto"/>
              </w:rPr>
            </w:pPr>
          </w:p>
        </w:tc>
        <w:tc>
          <w:tcPr>
            <w:tcW w:w="160" w:type="dxa"/>
            <w:vAlign w:val="bottom"/>
            <w:shd w:val="clear" w:color="auto" w:fill="F4F6F6"/>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240" w:type="dxa"/>
            <w:vAlign w:val="bottom"/>
            <w:shd w:val="clear" w:color="auto" w:fill="F4F6F6"/>
          </w:tcPr>
          <w:p>
            <w:pPr>
              <w:spacing w:after="0"/>
              <w:rPr>
                <w:sz w:val="18"/>
                <w:szCs w:val="18"/>
                <w:color w:val="auto"/>
              </w:rPr>
            </w:pPr>
          </w:p>
        </w:tc>
        <w:tc>
          <w:tcPr>
            <w:tcW w:w="460" w:type="dxa"/>
            <w:vAlign w:val="bottom"/>
            <w:shd w:val="clear" w:color="auto" w:fill="F4F6F6"/>
          </w:tcPr>
          <w:p>
            <w:pPr>
              <w:ind w:left="100"/>
              <w:spacing w:after="0"/>
              <w:rPr>
                <w:sz w:val="20"/>
                <w:szCs w:val="20"/>
                <w:color w:val="auto"/>
              </w:rPr>
            </w:pPr>
            <w:r>
              <w:rPr>
                <w:rFonts w:ascii="Arial" w:cs="Arial" w:eastAsia="Arial" w:hAnsi="Arial"/>
                <w:sz w:val="13"/>
                <w:szCs w:val="13"/>
                <w:color w:val="auto"/>
              </w:rPr>
              <w:t>2018</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$875,000</w:t>
            </w:r>
          </w:p>
        </w:tc>
        <w:tc>
          <w:tcPr>
            <w:tcW w:w="6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$2,704,800</w:t>
            </w:r>
          </w:p>
        </w:tc>
        <w:tc>
          <w:tcPr>
            <w:tcW w:w="780" w:type="dxa"/>
            <w:vAlign w:val="bottom"/>
            <w:gridSpan w:val="2"/>
            <w:shd w:val="clear" w:color="auto" w:fill="F4F6F6"/>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shd w:val="clear" w:color="auto" w:fill="F4F6F6"/>
          </w:tcPr>
          <w:p>
            <w:pPr>
              <w:jc w:val="center"/>
              <w:ind w:right="117"/>
              <w:spacing w:after="0"/>
              <w:rPr>
                <w:sz w:val="20"/>
                <w:szCs w:val="20"/>
                <w:color w:val="auto"/>
              </w:rPr>
            </w:pPr>
            <w:r>
              <w:rPr>
                <w:rFonts w:ascii="Arial" w:cs="Arial" w:eastAsia="Arial" w:hAnsi="Arial"/>
                <w:sz w:val="13"/>
                <w:szCs w:val="13"/>
                <w:color w:val="auto"/>
                <w:w w:val="95"/>
              </w:rPr>
              <w:t>$1,438,063</w:t>
            </w:r>
          </w:p>
        </w:tc>
        <w:tc>
          <w:tcPr>
            <w:tcW w:w="90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$174,980</w:t>
            </w:r>
          </w:p>
        </w:tc>
        <w:tc>
          <w:tcPr>
            <w:tcW w:w="112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$52,500</w:t>
            </w:r>
          </w:p>
        </w:tc>
        <w:tc>
          <w:tcPr>
            <w:tcW w:w="10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$5,245,343</w:t>
            </w:r>
          </w:p>
        </w:tc>
        <w:tc>
          <w:tcPr>
            <w:tcW w:w="160" w:type="dxa"/>
            <w:vAlign w:val="bottom"/>
            <w:shd w:val="clear" w:color="auto" w:fill="F4F6F6"/>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240" w:type="dxa"/>
            <w:vAlign w:val="bottom"/>
            <w:tcBorders>
              <w:top w:val="single" w:sz="8" w:color="C8C9CB"/>
            </w:tcBorders>
          </w:tcPr>
          <w:p>
            <w:pPr>
              <w:ind w:left="20"/>
              <w:spacing w:after="0" w:line="153" w:lineRule="exact"/>
              <w:rPr>
                <w:sz w:val="20"/>
                <w:szCs w:val="20"/>
                <w:color w:val="auto"/>
              </w:rPr>
            </w:pPr>
            <w:r>
              <w:rPr>
                <w:rFonts w:ascii="Arial" w:cs="Arial" w:eastAsia="Arial" w:hAnsi="Arial"/>
                <w:sz w:val="14"/>
                <w:szCs w:val="14"/>
                <w:color w:val="auto"/>
              </w:rPr>
              <w:t>Daniel M.</w:t>
            </w:r>
          </w:p>
        </w:tc>
        <w:tc>
          <w:tcPr>
            <w:tcW w:w="460" w:type="dxa"/>
            <w:vAlign w:val="bottom"/>
            <w:tcBorders>
              <w:top w:val="single" w:sz="8" w:color="C8C9CB"/>
            </w:tcBorders>
          </w:tcPr>
          <w:p>
            <w:pPr>
              <w:spacing w:after="0"/>
              <w:rPr>
                <w:sz w:val="13"/>
                <w:szCs w:val="13"/>
                <w:color w:val="auto"/>
              </w:rPr>
            </w:pPr>
          </w:p>
        </w:tc>
        <w:tc>
          <w:tcPr>
            <w:tcW w:w="760" w:type="dxa"/>
            <w:vAlign w:val="bottom"/>
            <w:tcBorders>
              <w:top w:val="single" w:sz="8" w:color="C8C9CB"/>
            </w:tcBorders>
          </w:tcPr>
          <w:p>
            <w:pPr>
              <w:spacing w:after="0"/>
              <w:rPr>
                <w:sz w:val="13"/>
                <w:szCs w:val="13"/>
                <w:color w:val="auto"/>
              </w:rPr>
            </w:pPr>
          </w:p>
        </w:tc>
        <w:tc>
          <w:tcPr>
            <w:tcW w:w="660" w:type="dxa"/>
            <w:vAlign w:val="bottom"/>
            <w:tcBorders>
              <w:top w:val="single" w:sz="8" w:color="C8C9CB"/>
            </w:tcBorders>
          </w:tcPr>
          <w:p>
            <w:pPr>
              <w:spacing w:after="0"/>
              <w:rPr>
                <w:sz w:val="13"/>
                <w:szCs w:val="13"/>
                <w:color w:val="auto"/>
              </w:rPr>
            </w:pPr>
          </w:p>
        </w:tc>
        <w:tc>
          <w:tcPr>
            <w:tcW w:w="840" w:type="dxa"/>
            <w:vAlign w:val="bottom"/>
            <w:tcBorders>
              <w:top w:val="single" w:sz="8" w:color="C8C9CB"/>
            </w:tcBorders>
          </w:tcPr>
          <w:p>
            <w:pPr>
              <w:spacing w:after="0"/>
              <w:rPr>
                <w:sz w:val="13"/>
                <w:szCs w:val="13"/>
                <w:color w:val="auto"/>
              </w:rPr>
            </w:pPr>
          </w:p>
        </w:tc>
        <w:tc>
          <w:tcPr>
            <w:tcW w:w="160" w:type="dxa"/>
            <w:vAlign w:val="bottom"/>
            <w:tcBorders>
              <w:top w:val="single" w:sz="8" w:color="BFBFBF"/>
            </w:tcBorders>
          </w:tcPr>
          <w:p>
            <w:pPr>
              <w:spacing w:after="0"/>
              <w:rPr>
                <w:sz w:val="13"/>
                <w:szCs w:val="13"/>
                <w:color w:val="auto"/>
              </w:rPr>
            </w:pPr>
          </w:p>
        </w:tc>
        <w:tc>
          <w:tcPr>
            <w:tcW w:w="620" w:type="dxa"/>
            <w:vAlign w:val="bottom"/>
            <w:tcBorders>
              <w:top w:val="single" w:sz="8" w:color="C8C9CB"/>
            </w:tcBorders>
          </w:tcPr>
          <w:p>
            <w:pPr>
              <w:spacing w:after="0"/>
              <w:rPr>
                <w:sz w:val="13"/>
                <w:szCs w:val="13"/>
                <w:color w:val="auto"/>
              </w:rPr>
            </w:pPr>
          </w:p>
        </w:tc>
        <w:tc>
          <w:tcPr>
            <w:tcW w:w="1160" w:type="dxa"/>
            <w:vAlign w:val="bottom"/>
            <w:tcBorders>
              <w:top w:val="single" w:sz="8" w:color="C8C9CB"/>
            </w:tcBorders>
          </w:tcPr>
          <w:p>
            <w:pPr>
              <w:spacing w:after="0"/>
              <w:rPr>
                <w:sz w:val="13"/>
                <w:szCs w:val="13"/>
                <w:color w:val="auto"/>
              </w:rPr>
            </w:pPr>
          </w:p>
        </w:tc>
        <w:tc>
          <w:tcPr>
            <w:tcW w:w="900" w:type="dxa"/>
            <w:vAlign w:val="bottom"/>
            <w:tcBorders>
              <w:top w:val="single" w:sz="8" w:color="C8C9CB"/>
            </w:tcBorders>
          </w:tcPr>
          <w:p>
            <w:pPr>
              <w:spacing w:after="0"/>
              <w:rPr>
                <w:sz w:val="13"/>
                <w:szCs w:val="13"/>
                <w:color w:val="auto"/>
              </w:rPr>
            </w:pPr>
          </w:p>
        </w:tc>
        <w:tc>
          <w:tcPr>
            <w:tcW w:w="1120" w:type="dxa"/>
            <w:vAlign w:val="bottom"/>
            <w:tcBorders>
              <w:top w:val="single" w:sz="8" w:color="C8C9CB"/>
            </w:tcBorders>
          </w:tcPr>
          <w:p>
            <w:pPr>
              <w:spacing w:after="0"/>
              <w:rPr>
                <w:sz w:val="13"/>
                <w:szCs w:val="13"/>
                <w:color w:val="auto"/>
              </w:rPr>
            </w:pPr>
          </w:p>
        </w:tc>
        <w:tc>
          <w:tcPr>
            <w:tcW w:w="1080" w:type="dxa"/>
            <w:vAlign w:val="bottom"/>
            <w:tcBorders>
              <w:top w:val="single" w:sz="8" w:color="C8C9CB"/>
            </w:tcBorders>
          </w:tcPr>
          <w:p>
            <w:pPr>
              <w:spacing w:after="0"/>
              <w:rPr>
                <w:sz w:val="13"/>
                <w:szCs w:val="13"/>
                <w:color w:val="auto"/>
              </w:rPr>
            </w:pPr>
          </w:p>
        </w:tc>
        <w:tc>
          <w:tcPr>
            <w:tcW w:w="160" w:type="dxa"/>
            <w:vAlign w:val="bottom"/>
            <w:tcBorders>
              <w:top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tcPr>
          <w:p>
            <w:pPr>
              <w:ind w:left="20"/>
              <w:spacing w:after="0" w:line="135" w:lineRule="exact"/>
              <w:rPr>
                <w:sz w:val="20"/>
                <w:szCs w:val="20"/>
                <w:color w:val="auto"/>
              </w:rPr>
            </w:pPr>
            <w:r>
              <w:rPr>
                <w:rFonts w:ascii="Arial" w:cs="Arial" w:eastAsia="Arial" w:hAnsi="Arial"/>
                <w:sz w:val="14"/>
                <w:szCs w:val="14"/>
                <w:color w:val="auto"/>
              </w:rPr>
              <w:t>Skovronsky, M.D.,</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Ph.D.</w:t>
            </w:r>
          </w:p>
        </w:tc>
        <w:tc>
          <w:tcPr>
            <w:tcW w:w="460" w:type="dxa"/>
            <w:vAlign w:val="bottom"/>
          </w:tcPr>
          <w:p>
            <w:pPr>
              <w:ind w:left="100"/>
              <w:spacing w:after="0"/>
              <w:rPr>
                <w:sz w:val="20"/>
                <w:szCs w:val="20"/>
                <w:color w:val="auto"/>
              </w:rPr>
            </w:pPr>
            <w:r>
              <w:rPr>
                <w:rFonts w:ascii="Arial" w:cs="Arial" w:eastAsia="Arial" w:hAnsi="Arial"/>
                <w:sz w:val="13"/>
                <w:szCs w:val="13"/>
                <w:color w:val="auto"/>
              </w:rPr>
              <w:t>2020</w:t>
            </w: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$983,333</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$4,456,700</w:t>
            </w:r>
          </w:p>
        </w:tc>
        <w:tc>
          <w:tcPr>
            <w:tcW w:w="780" w:type="dxa"/>
            <w:vAlign w:val="bottom"/>
            <w:gridSpan w:val="2"/>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tcPr>
          <w:p>
            <w:pPr>
              <w:jc w:val="center"/>
              <w:ind w:right="117"/>
              <w:spacing w:after="0"/>
              <w:rPr>
                <w:sz w:val="20"/>
                <w:szCs w:val="20"/>
                <w:color w:val="auto"/>
              </w:rPr>
            </w:pPr>
            <w:r>
              <w:rPr>
                <w:rFonts w:ascii="Arial" w:cs="Arial" w:eastAsia="Arial" w:hAnsi="Arial"/>
                <w:sz w:val="13"/>
                <w:szCs w:val="13"/>
                <w:color w:val="auto"/>
                <w:w w:val="95"/>
              </w:rPr>
              <w:t>$1,102,317</w:t>
            </w: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$751,223</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$58,539</w:t>
            </w:r>
          </w:p>
        </w:tc>
        <w:tc>
          <w:tcPr>
            <w:tcW w:w="1080" w:type="dxa"/>
            <w:vAlign w:val="bottom"/>
          </w:tcPr>
          <w:p>
            <w:pPr>
              <w:jc w:val="center"/>
              <w:spacing w:after="0"/>
              <w:rPr>
                <w:sz w:val="20"/>
                <w:szCs w:val="20"/>
                <w:color w:val="auto"/>
              </w:rPr>
            </w:pPr>
            <w:r>
              <w:rPr>
                <w:rFonts w:ascii="Arial" w:cs="Arial" w:eastAsia="Arial" w:hAnsi="Arial"/>
                <w:sz w:val="13"/>
                <w:szCs w:val="13"/>
                <w:color w:val="auto"/>
                <w:w w:val="98"/>
              </w:rPr>
              <w:t>$7,352,112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40" w:type="dxa"/>
            <w:vAlign w:val="bottom"/>
          </w:tcPr>
          <w:p>
            <w:pPr>
              <w:ind w:left="20"/>
              <w:spacing w:after="0" w:line="128" w:lineRule="exact"/>
              <w:rPr>
                <w:sz w:val="20"/>
                <w:szCs w:val="20"/>
                <w:color w:val="auto"/>
              </w:rPr>
            </w:pPr>
            <w:r>
              <w:rPr>
                <w:rFonts w:ascii="Arial" w:cs="Arial" w:eastAsia="Arial" w:hAnsi="Arial"/>
                <w:sz w:val="13"/>
                <w:szCs w:val="13"/>
                <w:color w:val="auto"/>
              </w:rPr>
              <w:t>Senior Vice</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tcPr>
          <w:p>
            <w:pPr>
              <w:ind w:left="20"/>
              <w:spacing w:after="0" w:line="122" w:lineRule="exact"/>
              <w:rPr>
                <w:sz w:val="20"/>
                <w:szCs w:val="20"/>
                <w:color w:val="auto"/>
              </w:rPr>
            </w:pPr>
            <w:r>
              <w:rPr>
                <w:rFonts w:ascii="Arial" w:cs="Arial" w:eastAsia="Arial" w:hAnsi="Arial"/>
                <w:sz w:val="13"/>
                <w:szCs w:val="13"/>
                <w:color w:val="auto"/>
              </w:rPr>
              <w:t>President,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20"/>
              <w:spacing w:after="0" w:line="141" w:lineRule="exact"/>
              <w:rPr>
                <w:sz w:val="20"/>
                <w:szCs w:val="20"/>
                <w:color w:val="auto"/>
              </w:rPr>
            </w:pPr>
            <w:r>
              <w:rPr>
                <w:rFonts w:ascii="Arial" w:cs="Arial" w:eastAsia="Arial" w:hAnsi="Arial"/>
                <w:sz w:val="13"/>
                <w:szCs w:val="13"/>
                <w:color w:val="auto"/>
              </w:rPr>
              <w:t>Chief Scientific</w:t>
            </w:r>
          </w:p>
        </w:tc>
        <w:tc>
          <w:tcPr>
            <w:tcW w:w="460" w:type="dxa"/>
            <w:vAlign w:val="bottom"/>
          </w:tcPr>
          <w:p>
            <w:pPr>
              <w:ind w:left="100"/>
              <w:spacing w:after="0" w:line="141" w:lineRule="exact"/>
              <w:rPr>
                <w:sz w:val="20"/>
                <w:szCs w:val="20"/>
                <w:color w:val="auto"/>
              </w:rPr>
            </w:pPr>
            <w:r>
              <w:rPr>
                <w:rFonts w:ascii="Arial" w:cs="Arial" w:eastAsia="Arial" w:hAnsi="Arial"/>
                <w:sz w:val="13"/>
                <w:szCs w:val="13"/>
                <w:color w:val="auto"/>
              </w:rPr>
              <w:t>2019</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auto"/>
                <w:w w:val="95"/>
              </w:rPr>
              <w:t>$900,000</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auto"/>
                <w:w w:val="96"/>
              </w:rPr>
              <w:t>$0</w:t>
            </w:r>
          </w:p>
        </w:tc>
        <w:tc>
          <w:tcPr>
            <w:tcW w:w="840" w:type="dxa"/>
            <w:vAlign w:val="bottom"/>
          </w:tcPr>
          <w:p>
            <w:pPr>
              <w:jc w:val="center"/>
              <w:spacing w:after="0" w:line="141" w:lineRule="exact"/>
              <w:rPr>
                <w:sz w:val="20"/>
                <w:szCs w:val="20"/>
                <w:color w:val="auto"/>
              </w:rPr>
            </w:pPr>
            <w:r>
              <w:rPr>
                <w:rFonts w:ascii="Arial" w:cs="Arial" w:eastAsia="Arial" w:hAnsi="Arial"/>
                <w:sz w:val="13"/>
                <w:szCs w:val="13"/>
                <w:color w:val="auto"/>
                <w:w w:val="98"/>
              </w:rPr>
              <w:t>$4,074,000</w:t>
            </w:r>
          </w:p>
        </w:tc>
        <w:tc>
          <w:tcPr>
            <w:tcW w:w="780" w:type="dxa"/>
            <w:vAlign w:val="bottom"/>
            <w:gridSpan w:val="2"/>
          </w:tcPr>
          <w:p>
            <w:pPr>
              <w:jc w:val="right"/>
              <w:ind w:right="177"/>
              <w:spacing w:after="0" w:line="141" w:lineRule="exact"/>
              <w:rPr>
                <w:sz w:val="20"/>
                <w:szCs w:val="20"/>
                <w:color w:val="auto"/>
              </w:rPr>
            </w:pPr>
            <w:r>
              <w:rPr>
                <w:rFonts w:ascii="Arial" w:cs="Arial" w:eastAsia="Arial" w:hAnsi="Arial"/>
                <w:sz w:val="13"/>
                <w:szCs w:val="13"/>
                <w:color w:val="auto"/>
              </w:rPr>
              <w:t>$0</w:t>
            </w:r>
          </w:p>
        </w:tc>
        <w:tc>
          <w:tcPr>
            <w:tcW w:w="1160" w:type="dxa"/>
            <w:vAlign w:val="bottom"/>
          </w:tcPr>
          <w:p>
            <w:pPr>
              <w:jc w:val="center"/>
              <w:ind w:right="117"/>
              <w:spacing w:after="0" w:line="141" w:lineRule="exact"/>
              <w:rPr>
                <w:sz w:val="20"/>
                <w:szCs w:val="20"/>
                <w:color w:val="auto"/>
              </w:rPr>
            </w:pPr>
            <w:r>
              <w:rPr>
                <w:rFonts w:ascii="Arial" w:cs="Arial" w:eastAsia="Arial" w:hAnsi="Arial"/>
                <w:sz w:val="13"/>
                <w:szCs w:val="13"/>
                <w:color w:val="auto"/>
                <w:w w:val="95"/>
              </w:rPr>
              <w:t>$1,188,450</w:t>
            </w:r>
          </w:p>
        </w:tc>
        <w:tc>
          <w:tcPr>
            <w:tcW w:w="900" w:type="dxa"/>
            <w:vAlign w:val="bottom"/>
          </w:tcPr>
          <w:p>
            <w:pPr>
              <w:jc w:val="center"/>
              <w:spacing w:after="0" w:line="141" w:lineRule="exact"/>
              <w:rPr>
                <w:sz w:val="20"/>
                <w:szCs w:val="20"/>
                <w:color w:val="auto"/>
              </w:rPr>
            </w:pPr>
            <w:r>
              <w:rPr>
                <w:rFonts w:ascii="Arial" w:cs="Arial" w:eastAsia="Arial" w:hAnsi="Arial"/>
                <w:sz w:val="13"/>
                <w:szCs w:val="13"/>
                <w:color w:val="auto"/>
                <w:w w:val="95"/>
              </w:rPr>
              <w:t>$446,521</w:t>
            </w:r>
          </w:p>
        </w:tc>
        <w:tc>
          <w:tcPr>
            <w:tcW w:w="1120" w:type="dxa"/>
            <w:vAlign w:val="bottom"/>
          </w:tcPr>
          <w:p>
            <w:pPr>
              <w:jc w:val="center"/>
              <w:spacing w:after="0" w:line="141" w:lineRule="exact"/>
              <w:rPr>
                <w:sz w:val="20"/>
                <w:szCs w:val="20"/>
                <w:color w:val="auto"/>
              </w:rPr>
            </w:pPr>
            <w:r>
              <w:rPr>
                <w:rFonts w:ascii="Arial" w:cs="Arial" w:eastAsia="Arial" w:hAnsi="Arial"/>
                <w:sz w:val="13"/>
                <w:szCs w:val="13"/>
                <w:color w:val="auto"/>
                <w:w w:val="97"/>
              </w:rPr>
              <w:t>$54,000</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8"/>
              </w:rPr>
              <w:t>$6,662,971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240" w:type="dxa"/>
            <w:vAlign w:val="bottom"/>
          </w:tcPr>
          <w:p>
            <w:pPr>
              <w:ind w:left="20"/>
              <w:spacing w:after="0" w:line="102" w:lineRule="exact"/>
              <w:rPr>
                <w:sz w:val="20"/>
                <w:szCs w:val="20"/>
                <w:color w:val="auto"/>
              </w:rPr>
            </w:pPr>
            <w:r>
              <w:rPr>
                <w:rFonts w:ascii="Arial" w:cs="Arial" w:eastAsia="Arial" w:hAnsi="Arial"/>
                <w:sz w:val="10"/>
                <w:szCs w:val="10"/>
                <w:color w:val="auto"/>
              </w:rPr>
              <w:t>Officer, and</w:t>
            </w: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40" w:type="dxa"/>
            <w:vAlign w:val="bottom"/>
          </w:tcPr>
          <w:p>
            <w:pPr>
              <w:ind w:left="20"/>
              <w:spacing w:after="0" w:line="122" w:lineRule="exact"/>
              <w:rPr>
                <w:sz w:val="20"/>
                <w:szCs w:val="20"/>
                <w:color w:val="auto"/>
              </w:rPr>
            </w:pPr>
            <w:r>
              <w:rPr>
                <w:rFonts w:ascii="Arial" w:cs="Arial" w:eastAsia="Arial" w:hAnsi="Arial"/>
                <w:sz w:val="13"/>
                <w:szCs w:val="13"/>
                <w:color w:val="auto"/>
              </w:rPr>
              <w:t>President, Lilly</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tcPr>
          <w:p>
            <w:pPr>
              <w:ind w:left="20"/>
              <w:spacing w:after="0" w:line="122" w:lineRule="exact"/>
              <w:rPr>
                <w:sz w:val="20"/>
                <w:szCs w:val="20"/>
                <w:color w:val="auto"/>
              </w:rPr>
            </w:pPr>
            <w:r>
              <w:rPr>
                <w:rFonts w:ascii="Arial" w:cs="Arial" w:eastAsia="Arial" w:hAnsi="Arial"/>
                <w:sz w:val="13"/>
                <w:szCs w:val="13"/>
                <w:color w:val="auto"/>
              </w:rPr>
              <w:t>Research</w:t>
            </w:r>
          </w:p>
        </w:tc>
        <w:tc>
          <w:tcPr>
            <w:tcW w:w="460" w:type="dxa"/>
            <w:vAlign w:val="bottom"/>
            <w:vMerge w:val="restart"/>
          </w:tcPr>
          <w:p>
            <w:pPr>
              <w:ind w:left="100"/>
              <w:spacing w:after="0"/>
              <w:rPr>
                <w:sz w:val="20"/>
                <w:szCs w:val="20"/>
                <w:color w:val="auto"/>
              </w:rPr>
            </w:pPr>
            <w:r>
              <w:rPr>
                <w:rFonts w:ascii="Arial" w:cs="Arial" w:eastAsia="Arial" w:hAnsi="Arial"/>
                <w:sz w:val="13"/>
                <w:szCs w:val="13"/>
                <w:color w:val="auto"/>
              </w:rPr>
              <w:t>2018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5"/>
              </w:rPr>
              <w:t>$837,500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$2,806,000</w:t>
            </w:r>
          </w:p>
        </w:tc>
        <w:tc>
          <w:tcPr>
            <w:tcW w:w="78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vMerge w:val="restart"/>
          </w:tcPr>
          <w:p>
            <w:pPr>
              <w:jc w:val="center"/>
              <w:ind w:right="117"/>
              <w:spacing w:after="0"/>
              <w:rPr>
                <w:sz w:val="20"/>
                <w:szCs w:val="20"/>
                <w:color w:val="auto"/>
              </w:rPr>
            </w:pPr>
            <w:r>
              <w:rPr>
                <w:rFonts w:ascii="Arial" w:cs="Arial" w:eastAsia="Arial" w:hAnsi="Arial"/>
                <w:sz w:val="13"/>
                <w:szCs w:val="13"/>
                <w:color w:val="auto"/>
                <w:w w:val="95"/>
              </w:rPr>
              <w:t>$1,376,431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$75,717</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7"/>
              </w:rPr>
              <w:t>$50,250</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$5,145,898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Laboratories</w:t>
            </w:r>
          </w:p>
        </w:tc>
        <w:tc>
          <w:tcPr>
            <w:tcW w:w="460" w:type="dxa"/>
            <w:vAlign w:val="bottom"/>
            <w:tcBorders>
              <w:bottom w:val="single" w:sz="8" w:color="C8C9CB"/>
            </w:tcBorders>
            <w:vMerge w:val="continue"/>
          </w:tcPr>
          <w:p>
            <w:pPr>
              <w:spacing w:after="0"/>
              <w:rPr>
                <w:sz w:val="14"/>
                <w:szCs w:val="14"/>
                <w:color w:val="auto"/>
              </w:rPr>
            </w:pPr>
          </w:p>
        </w:tc>
        <w:tc>
          <w:tcPr>
            <w:tcW w:w="760" w:type="dxa"/>
            <w:vAlign w:val="bottom"/>
            <w:tcBorders>
              <w:bottom w:val="single" w:sz="8" w:color="C8C9CB"/>
            </w:tcBorders>
            <w:vMerge w:val="continue"/>
          </w:tcPr>
          <w:p>
            <w:pPr>
              <w:spacing w:after="0"/>
              <w:rPr>
                <w:sz w:val="14"/>
                <w:szCs w:val="14"/>
                <w:color w:val="auto"/>
              </w:rPr>
            </w:pPr>
          </w:p>
        </w:tc>
        <w:tc>
          <w:tcPr>
            <w:tcW w:w="660" w:type="dxa"/>
            <w:vAlign w:val="bottom"/>
            <w:tcBorders>
              <w:bottom w:val="single" w:sz="8" w:color="C8C9CB"/>
            </w:tcBorders>
            <w:vMerge w:val="continue"/>
          </w:tcPr>
          <w:p>
            <w:pPr>
              <w:spacing w:after="0"/>
              <w:rPr>
                <w:sz w:val="14"/>
                <w:szCs w:val="14"/>
                <w:color w:val="auto"/>
              </w:rPr>
            </w:pPr>
          </w:p>
        </w:tc>
        <w:tc>
          <w:tcPr>
            <w:tcW w:w="840" w:type="dxa"/>
            <w:vAlign w:val="bottom"/>
            <w:tcBorders>
              <w:bottom w:val="single" w:sz="8" w:color="C8C9CB"/>
            </w:tcBorders>
            <w:vMerge w:val="continue"/>
          </w:tcPr>
          <w:p>
            <w:pPr>
              <w:spacing w:after="0"/>
              <w:rPr>
                <w:sz w:val="14"/>
                <w:szCs w:val="14"/>
                <w:color w:val="auto"/>
              </w:rPr>
            </w:pPr>
          </w:p>
        </w:tc>
        <w:tc>
          <w:tcPr>
            <w:tcW w:w="780" w:type="dxa"/>
            <w:vAlign w:val="bottom"/>
            <w:tcBorders>
              <w:bottom w:val="single" w:sz="8" w:color="C8C9CB"/>
            </w:tcBorders>
            <w:gridSpan w:val="2"/>
            <w:vMerge w:val="continue"/>
          </w:tcPr>
          <w:p>
            <w:pPr>
              <w:spacing w:after="0"/>
              <w:rPr>
                <w:sz w:val="14"/>
                <w:szCs w:val="14"/>
                <w:color w:val="auto"/>
              </w:rPr>
            </w:pPr>
          </w:p>
        </w:tc>
        <w:tc>
          <w:tcPr>
            <w:tcW w:w="1160" w:type="dxa"/>
            <w:vAlign w:val="bottom"/>
            <w:tcBorders>
              <w:bottom w:val="single" w:sz="8" w:color="C8C9CB"/>
            </w:tcBorders>
            <w:vMerge w:val="continue"/>
          </w:tcPr>
          <w:p>
            <w:pPr>
              <w:spacing w:after="0"/>
              <w:rPr>
                <w:sz w:val="14"/>
                <w:szCs w:val="14"/>
                <w:color w:val="auto"/>
              </w:rPr>
            </w:pPr>
          </w:p>
        </w:tc>
        <w:tc>
          <w:tcPr>
            <w:tcW w:w="900" w:type="dxa"/>
            <w:vAlign w:val="bottom"/>
            <w:tcBorders>
              <w:bottom w:val="single" w:sz="8" w:color="C8C9CB"/>
            </w:tcBorders>
            <w:vMerge w:val="continue"/>
          </w:tcPr>
          <w:p>
            <w:pPr>
              <w:spacing w:after="0"/>
              <w:rPr>
                <w:sz w:val="14"/>
                <w:szCs w:val="14"/>
                <w:color w:val="auto"/>
              </w:rPr>
            </w:pPr>
          </w:p>
        </w:tc>
        <w:tc>
          <w:tcPr>
            <w:tcW w:w="1120" w:type="dxa"/>
            <w:vAlign w:val="bottom"/>
            <w:tcBorders>
              <w:bottom w:val="single" w:sz="8" w:color="C8C9CB"/>
            </w:tcBorders>
            <w:vMerge w:val="continue"/>
          </w:tcPr>
          <w:p>
            <w:pPr>
              <w:spacing w:after="0"/>
              <w:rPr>
                <w:sz w:val="14"/>
                <w:szCs w:val="14"/>
                <w:color w:val="auto"/>
              </w:rPr>
            </w:pPr>
          </w:p>
        </w:tc>
        <w:tc>
          <w:tcPr>
            <w:tcW w:w="1080" w:type="dxa"/>
            <w:vAlign w:val="bottom"/>
            <w:tcBorders>
              <w:bottom w:val="single" w:sz="8" w:color="C8C9CB"/>
            </w:tcBorders>
            <w:vMerge w:val="continue"/>
          </w:tcPr>
          <w:p>
            <w:pPr>
              <w:spacing w:after="0"/>
              <w:rPr>
                <w:sz w:val="14"/>
                <w:szCs w:val="14"/>
                <w:color w:val="auto"/>
              </w:rPr>
            </w:pPr>
          </w:p>
        </w:tc>
        <w:tc>
          <w:tcPr>
            <w:tcW w:w="160" w:type="dxa"/>
            <w:vAlign w:val="bottom"/>
            <w:tcBorders>
              <w:bottom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240" w:type="dxa"/>
            <w:vAlign w:val="bottom"/>
            <w:shd w:val="clear" w:color="auto" w:fill="F4F6F6"/>
          </w:tcPr>
          <w:p>
            <w:pPr>
              <w:ind w:left="20"/>
              <w:spacing w:after="0"/>
              <w:rPr>
                <w:sz w:val="20"/>
                <w:szCs w:val="20"/>
                <w:color w:val="auto"/>
              </w:rPr>
            </w:pPr>
            <w:r>
              <w:rPr>
                <w:rFonts w:ascii="Arial" w:cs="Arial" w:eastAsia="Arial" w:hAnsi="Arial"/>
                <w:sz w:val="14"/>
                <w:szCs w:val="14"/>
                <w:color w:val="auto"/>
              </w:rPr>
              <w:t>Anat Hakim</w:t>
            </w:r>
            <w:r>
              <w:rPr>
                <w:rFonts w:ascii="Arial" w:cs="Arial" w:eastAsia="Arial" w:hAnsi="Arial"/>
                <w:sz w:val="18"/>
                <w:szCs w:val="18"/>
                <w:color w:val="auto"/>
                <w:vertAlign w:val="superscript"/>
              </w:rPr>
              <w:t>5</w:t>
            </w:r>
          </w:p>
        </w:tc>
        <w:tc>
          <w:tcPr>
            <w:tcW w:w="460" w:type="dxa"/>
            <w:vAlign w:val="bottom"/>
            <w:shd w:val="clear" w:color="auto" w:fill="F4F6F6"/>
          </w:tcPr>
          <w:p>
            <w:pPr>
              <w:ind w:left="100"/>
              <w:spacing w:after="0"/>
              <w:rPr>
                <w:sz w:val="20"/>
                <w:szCs w:val="20"/>
                <w:color w:val="auto"/>
              </w:rPr>
            </w:pPr>
            <w:r>
              <w:rPr>
                <w:rFonts w:ascii="Arial" w:cs="Arial" w:eastAsia="Arial" w:hAnsi="Arial"/>
                <w:sz w:val="13"/>
                <w:szCs w:val="13"/>
                <w:color w:val="auto"/>
              </w:rPr>
              <w:t>2020</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$710,417</w:t>
            </w:r>
          </w:p>
        </w:tc>
        <w:tc>
          <w:tcPr>
            <w:tcW w:w="6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$150,000</w:t>
            </w:r>
          </w:p>
        </w:tc>
        <w:tc>
          <w:tcPr>
            <w:tcW w:w="8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$4,174,043</w:t>
            </w:r>
          </w:p>
        </w:tc>
        <w:tc>
          <w:tcPr>
            <w:tcW w:w="780" w:type="dxa"/>
            <w:vAlign w:val="bottom"/>
            <w:gridSpan w:val="2"/>
            <w:shd w:val="clear" w:color="auto" w:fill="F4F6F6"/>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shd w:val="clear" w:color="auto" w:fill="F4F6F6"/>
          </w:tcPr>
          <w:p>
            <w:pPr>
              <w:jc w:val="center"/>
              <w:ind w:right="137"/>
              <w:spacing w:after="0"/>
              <w:rPr>
                <w:sz w:val="20"/>
                <w:szCs w:val="20"/>
                <w:color w:val="auto"/>
              </w:rPr>
            </w:pPr>
            <w:r>
              <w:rPr>
                <w:rFonts w:ascii="Arial" w:cs="Arial" w:eastAsia="Arial" w:hAnsi="Arial"/>
                <w:sz w:val="13"/>
                <w:szCs w:val="13"/>
                <w:color w:val="auto"/>
                <w:w w:val="95"/>
              </w:rPr>
              <w:t>$670,633</w:t>
            </w:r>
          </w:p>
        </w:tc>
        <w:tc>
          <w:tcPr>
            <w:tcW w:w="90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$87,848</w:t>
            </w:r>
          </w:p>
        </w:tc>
        <w:tc>
          <w:tcPr>
            <w:tcW w:w="112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$124,958</w:t>
            </w:r>
          </w:p>
        </w:tc>
        <w:tc>
          <w:tcPr>
            <w:tcW w:w="10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$5,917,899</w:t>
            </w:r>
          </w:p>
        </w:tc>
        <w:tc>
          <w:tcPr>
            <w:tcW w:w="160" w:type="dxa"/>
            <w:vAlign w:val="bottom"/>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40" w:type="dxa"/>
            <w:vAlign w:val="bottom"/>
            <w:shd w:val="clear" w:color="auto" w:fill="F4F6F6"/>
          </w:tcPr>
          <w:p>
            <w:pPr>
              <w:ind w:left="20"/>
              <w:spacing w:after="0" w:line="129" w:lineRule="exact"/>
              <w:rPr>
                <w:sz w:val="20"/>
                <w:szCs w:val="20"/>
                <w:color w:val="auto"/>
              </w:rPr>
            </w:pPr>
            <w:r>
              <w:rPr>
                <w:rFonts w:ascii="Arial" w:cs="Arial" w:eastAsia="Arial" w:hAnsi="Arial"/>
                <w:sz w:val="13"/>
                <w:szCs w:val="13"/>
                <w:color w:val="auto"/>
              </w:rPr>
              <w:t>Senior Vice</w:t>
            </w:r>
          </w:p>
        </w:tc>
        <w:tc>
          <w:tcPr>
            <w:tcW w:w="460" w:type="dxa"/>
            <w:vAlign w:val="bottom"/>
            <w:shd w:val="clear" w:color="auto" w:fill="F4F6F6"/>
          </w:tcPr>
          <w:p>
            <w:pPr>
              <w:spacing w:after="0"/>
              <w:rPr>
                <w:sz w:val="11"/>
                <w:szCs w:val="11"/>
                <w:color w:val="auto"/>
              </w:rPr>
            </w:pPr>
          </w:p>
        </w:tc>
        <w:tc>
          <w:tcPr>
            <w:tcW w:w="760" w:type="dxa"/>
            <w:vAlign w:val="bottom"/>
            <w:shd w:val="clear" w:color="auto" w:fill="F4F6F6"/>
          </w:tcPr>
          <w:p>
            <w:pPr>
              <w:spacing w:after="0"/>
              <w:rPr>
                <w:sz w:val="11"/>
                <w:szCs w:val="11"/>
                <w:color w:val="auto"/>
              </w:rPr>
            </w:pPr>
          </w:p>
        </w:tc>
        <w:tc>
          <w:tcPr>
            <w:tcW w:w="660" w:type="dxa"/>
            <w:vAlign w:val="bottom"/>
            <w:shd w:val="clear" w:color="auto" w:fill="F4F6F6"/>
          </w:tcPr>
          <w:p>
            <w:pPr>
              <w:spacing w:after="0"/>
              <w:rPr>
                <w:sz w:val="11"/>
                <w:szCs w:val="11"/>
                <w:color w:val="auto"/>
              </w:rPr>
            </w:pPr>
          </w:p>
        </w:tc>
        <w:tc>
          <w:tcPr>
            <w:tcW w:w="840" w:type="dxa"/>
            <w:vAlign w:val="bottom"/>
            <w:shd w:val="clear" w:color="auto" w:fill="F4F6F6"/>
          </w:tcPr>
          <w:p>
            <w:pPr>
              <w:spacing w:after="0"/>
              <w:rPr>
                <w:sz w:val="11"/>
                <w:szCs w:val="11"/>
                <w:color w:val="auto"/>
              </w:rPr>
            </w:pPr>
          </w:p>
        </w:tc>
        <w:tc>
          <w:tcPr>
            <w:tcW w:w="160" w:type="dxa"/>
            <w:vAlign w:val="bottom"/>
            <w:shd w:val="clear" w:color="auto" w:fill="F4F6F6"/>
          </w:tcPr>
          <w:p>
            <w:pPr>
              <w:spacing w:after="0"/>
              <w:rPr>
                <w:sz w:val="11"/>
                <w:szCs w:val="11"/>
                <w:color w:val="auto"/>
              </w:rPr>
            </w:pPr>
          </w:p>
        </w:tc>
        <w:tc>
          <w:tcPr>
            <w:tcW w:w="620" w:type="dxa"/>
            <w:vAlign w:val="bottom"/>
            <w:shd w:val="clear" w:color="auto" w:fill="F4F6F6"/>
          </w:tcPr>
          <w:p>
            <w:pPr>
              <w:spacing w:after="0"/>
              <w:rPr>
                <w:sz w:val="11"/>
                <w:szCs w:val="11"/>
                <w:color w:val="auto"/>
              </w:rPr>
            </w:pPr>
          </w:p>
        </w:tc>
        <w:tc>
          <w:tcPr>
            <w:tcW w:w="1160" w:type="dxa"/>
            <w:vAlign w:val="bottom"/>
            <w:shd w:val="clear" w:color="auto" w:fill="F4F6F6"/>
          </w:tcPr>
          <w:p>
            <w:pPr>
              <w:spacing w:after="0"/>
              <w:rPr>
                <w:sz w:val="11"/>
                <w:szCs w:val="11"/>
                <w:color w:val="auto"/>
              </w:rPr>
            </w:pPr>
          </w:p>
        </w:tc>
        <w:tc>
          <w:tcPr>
            <w:tcW w:w="900" w:type="dxa"/>
            <w:vAlign w:val="bottom"/>
            <w:shd w:val="clear" w:color="auto" w:fill="F4F6F6"/>
          </w:tcPr>
          <w:p>
            <w:pPr>
              <w:spacing w:after="0"/>
              <w:rPr>
                <w:sz w:val="11"/>
                <w:szCs w:val="11"/>
                <w:color w:val="auto"/>
              </w:rPr>
            </w:pPr>
          </w:p>
        </w:tc>
        <w:tc>
          <w:tcPr>
            <w:tcW w:w="1120" w:type="dxa"/>
            <w:vAlign w:val="bottom"/>
            <w:shd w:val="clear" w:color="auto" w:fill="F4F6F6"/>
          </w:tcPr>
          <w:p>
            <w:pPr>
              <w:spacing w:after="0"/>
              <w:rPr>
                <w:sz w:val="11"/>
                <w:szCs w:val="11"/>
                <w:color w:val="auto"/>
              </w:rPr>
            </w:pPr>
          </w:p>
        </w:tc>
        <w:tc>
          <w:tcPr>
            <w:tcW w:w="1080" w:type="dxa"/>
            <w:vAlign w:val="bottom"/>
            <w:shd w:val="clear" w:color="auto" w:fill="F4F6F6"/>
          </w:tcPr>
          <w:p>
            <w:pPr>
              <w:spacing w:after="0"/>
              <w:rPr>
                <w:sz w:val="11"/>
                <w:szCs w:val="11"/>
                <w:color w:val="auto"/>
              </w:rPr>
            </w:pPr>
          </w:p>
        </w:tc>
        <w:tc>
          <w:tcPr>
            <w:tcW w:w="160" w:type="dxa"/>
            <w:vAlign w:val="bottom"/>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shd w:val="clear" w:color="auto" w:fill="F4F6F6"/>
          </w:tcPr>
          <w:p>
            <w:pPr>
              <w:ind w:left="20"/>
              <w:spacing w:after="0" w:line="122" w:lineRule="exact"/>
              <w:rPr>
                <w:sz w:val="20"/>
                <w:szCs w:val="20"/>
                <w:color w:val="auto"/>
              </w:rPr>
            </w:pPr>
            <w:r>
              <w:rPr>
                <w:rFonts w:ascii="Arial" w:cs="Arial" w:eastAsia="Arial" w:hAnsi="Arial"/>
                <w:sz w:val="13"/>
                <w:szCs w:val="13"/>
                <w:color w:val="auto"/>
              </w:rPr>
              <w:t>President, General</w:t>
            </w:r>
          </w:p>
        </w:tc>
        <w:tc>
          <w:tcPr>
            <w:tcW w:w="460" w:type="dxa"/>
            <w:vAlign w:val="bottom"/>
            <w:vMerge w:val="restart"/>
            <w:shd w:val="clear" w:color="auto" w:fill="F4F6F6"/>
          </w:tcPr>
          <w:p>
            <w:pPr>
              <w:ind w:left="100"/>
              <w:spacing w:after="0"/>
              <w:rPr>
                <w:sz w:val="20"/>
                <w:szCs w:val="20"/>
                <w:color w:val="auto"/>
              </w:rPr>
            </w:pPr>
            <w:r>
              <w:rPr>
                <w:rFonts w:ascii="Arial" w:cs="Arial" w:eastAsia="Arial" w:hAnsi="Arial"/>
                <w:sz w:val="13"/>
                <w:szCs w:val="13"/>
                <w:color w:val="auto"/>
              </w:rPr>
              <w:t>2019</w:t>
            </w: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160" w:type="dxa"/>
            <w:vAlign w:val="bottom"/>
            <w:shd w:val="clear" w:color="auto" w:fill="F4F6F6"/>
          </w:tcPr>
          <w:p>
            <w:pPr>
              <w:spacing w:after="0"/>
              <w:rPr>
                <w:sz w:val="10"/>
                <w:szCs w:val="10"/>
                <w:color w:val="auto"/>
              </w:rPr>
            </w:pPr>
          </w:p>
        </w:tc>
        <w:tc>
          <w:tcPr>
            <w:tcW w:w="6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160" w:type="dxa"/>
            <w:vAlign w:val="bottom"/>
            <w:vMerge w:val="restart"/>
            <w:shd w:val="clear" w:color="auto" w:fill="F4F6F6"/>
          </w:tcPr>
          <w:p>
            <w:pPr>
              <w:jc w:val="center"/>
              <w:ind w:right="117"/>
              <w:spacing w:after="0"/>
              <w:rPr>
                <w:sz w:val="20"/>
                <w:szCs w:val="20"/>
                <w:color w:val="auto"/>
              </w:rPr>
            </w:pPr>
            <w:r>
              <w:rPr>
                <w:rFonts w:ascii="Arial" w:cs="Arial" w:eastAsia="Arial" w:hAnsi="Arial"/>
                <w:sz w:val="13"/>
                <w:szCs w:val="13"/>
                <w:color w:val="auto"/>
              </w:rPr>
              <w:t>N/A</w:t>
            </w:r>
          </w:p>
        </w:tc>
        <w:tc>
          <w:tcPr>
            <w:tcW w:w="9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1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240" w:type="dxa"/>
            <w:vAlign w:val="bottom"/>
            <w:gridSpan w:val="2"/>
            <w:vMerge w:val="restart"/>
            <w:shd w:val="clear" w:color="auto" w:fill="F4F6F6"/>
          </w:tcPr>
          <w:p>
            <w:pPr>
              <w:jc w:val="center"/>
              <w:ind w:right="200"/>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98"/>
        </w:trPr>
        <w:tc>
          <w:tcPr>
            <w:tcW w:w="1240" w:type="dxa"/>
            <w:vAlign w:val="bottom"/>
            <w:vMerge w:val="restart"/>
            <w:shd w:val="clear" w:color="auto" w:fill="F4F6F6"/>
          </w:tcPr>
          <w:p>
            <w:pPr>
              <w:ind w:left="20"/>
              <w:spacing w:after="0" w:line="122" w:lineRule="exact"/>
              <w:rPr>
                <w:sz w:val="20"/>
                <w:szCs w:val="20"/>
                <w:color w:val="auto"/>
              </w:rPr>
            </w:pPr>
            <w:r>
              <w:rPr>
                <w:rFonts w:ascii="Arial" w:cs="Arial" w:eastAsia="Arial" w:hAnsi="Arial"/>
                <w:sz w:val="13"/>
                <w:szCs w:val="13"/>
                <w:color w:val="auto"/>
              </w:rPr>
              <w:t>Counsel and</w:t>
            </w:r>
          </w:p>
        </w:tc>
        <w:tc>
          <w:tcPr>
            <w:tcW w:w="460" w:type="dxa"/>
            <w:vAlign w:val="bottom"/>
            <w:vMerge w:val="continue"/>
            <w:shd w:val="clear" w:color="auto" w:fill="F4F6F6"/>
          </w:tcPr>
          <w:p>
            <w:pPr>
              <w:spacing w:after="0"/>
              <w:rPr>
                <w:sz w:val="8"/>
                <w:szCs w:val="8"/>
                <w:color w:val="auto"/>
              </w:rPr>
            </w:pPr>
          </w:p>
        </w:tc>
        <w:tc>
          <w:tcPr>
            <w:tcW w:w="760" w:type="dxa"/>
            <w:vAlign w:val="bottom"/>
            <w:vMerge w:val="continue"/>
            <w:shd w:val="clear" w:color="auto" w:fill="F4F6F6"/>
          </w:tcPr>
          <w:p>
            <w:pPr>
              <w:spacing w:after="0"/>
              <w:rPr>
                <w:sz w:val="8"/>
                <w:szCs w:val="8"/>
                <w:color w:val="auto"/>
              </w:rPr>
            </w:pPr>
          </w:p>
        </w:tc>
        <w:tc>
          <w:tcPr>
            <w:tcW w:w="660" w:type="dxa"/>
            <w:vAlign w:val="bottom"/>
            <w:vMerge w:val="continue"/>
            <w:shd w:val="clear" w:color="auto" w:fill="F4F6F6"/>
          </w:tcPr>
          <w:p>
            <w:pPr>
              <w:spacing w:after="0"/>
              <w:rPr>
                <w:sz w:val="8"/>
                <w:szCs w:val="8"/>
                <w:color w:val="auto"/>
              </w:rPr>
            </w:pPr>
          </w:p>
        </w:tc>
        <w:tc>
          <w:tcPr>
            <w:tcW w:w="840" w:type="dxa"/>
            <w:vAlign w:val="bottom"/>
            <w:vMerge w:val="continue"/>
            <w:shd w:val="clear" w:color="auto" w:fill="F4F6F6"/>
          </w:tcPr>
          <w:p>
            <w:pPr>
              <w:spacing w:after="0"/>
              <w:rPr>
                <w:sz w:val="8"/>
                <w:szCs w:val="8"/>
                <w:color w:val="auto"/>
              </w:rPr>
            </w:pPr>
          </w:p>
        </w:tc>
        <w:tc>
          <w:tcPr>
            <w:tcW w:w="160" w:type="dxa"/>
            <w:vAlign w:val="bottom"/>
            <w:shd w:val="clear" w:color="auto" w:fill="F4F6F6"/>
          </w:tcPr>
          <w:p>
            <w:pPr>
              <w:spacing w:after="0"/>
              <w:rPr>
                <w:sz w:val="8"/>
                <w:szCs w:val="8"/>
                <w:color w:val="auto"/>
              </w:rPr>
            </w:pPr>
          </w:p>
        </w:tc>
        <w:tc>
          <w:tcPr>
            <w:tcW w:w="620" w:type="dxa"/>
            <w:vAlign w:val="bottom"/>
            <w:vMerge w:val="continue"/>
            <w:shd w:val="clear" w:color="auto" w:fill="F4F6F6"/>
          </w:tcPr>
          <w:p>
            <w:pPr>
              <w:spacing w:after="0"/>
              <w:rPr>
                <w:sz w:val="8"/>
                <w:szCs w:val="8"/>
                <w:color w:val="auto"/>
              </w:rPr>
            </w:pPr>
          </w:p>
        </w:tc>
        <w:tc>
          <w:tcPr>
            <w:tcW w:w="1160" w:type="dxa"/>
            <w:vAlign w:val="bottom"/>
            <w:vMerge w:val="continue"/>
            <w:shd w:val="clear" w:color="auto" w:fill="F4F6F6"/>
          </w:tcPr>
          <w:p>
            <w:pPr>
              <w:spacing w:after="0"/>
              <w:rPr>
                <w:sz w:val="8"/>
                <w:szCs w:val="8"/>
                <w:color w:val="auto"/>
              </w:rPr>
            </w:pPr>
          </w:p>
        </w:tc>
        <w:tc>
          <w:tcPr>
            <w:tcW w:w="900" w:type="dxa"/>
            <w:vAlign w:val="bottom"/>
            <w:vMerge w:val="continue"/>
            <w:shd w:val="clear" w:color="auto" w:fill="F4F6F6"/>
          </w:tcPr>
          <w:p>
            <w:pPr>
              <w:spacing w:after="0"/>
              <w:rPr>
                <w:sz w:val="8"/>
                <w:szCs w:val="8"/>
                <w:color w:val="auto"/>
              </w:rPr>
            </w:pPr>
          </w:p>
        </w:tc>
        <w:tc>
          <w:tcPr>
            <w:tcW w:w="1120" w:type="dxa"/>
            <w:vAlign w:val="bottom"/>
            <w:vMerge w:val="continue"/>
            <w:shd w:val="clear" w:color="auto" w:fill="F4F6F6"/>
          </w:tcPr>
          <w:p>
            <w:pPr>
              <w:spacing w:after="0"/>
              <w:rPr>
                <w:sz w:val="8"/>
                <w:szCs w:val="8"/>
                <w:color w:val="auto"/>
              </w:rPr>
            </w:pPr>
          </w:p>
        </w:tc>
        <w:tc>
          <w:tcPr>
            <w:tcW w:w="1240" w:type="dxa"/>
            <w:vAlign w:val="bottom"/>
            <w:gridSpan w:val="2"/>
            <w:vMerge w:val="continue"/>
            <w:shd w:val="clear" w:color="auto" w:fill="F4F6F6"/>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240" w:type="dxa"/>
            <w:vAlign w:val="bottom"/>
            <w:vMerge w:val="continue"/>
            <w:shd w:val="clear" w:color="auto" w:fill="F4F6F6"/>
          </w:tcPr>
          <w:p>
            <w:pPr>
              <w:spacing w:after="0"/>
              <w:rPr>
                <w:sz w:val="2"/>
                <w:szCs w:val="2"/>
                <w:color w:val="auto"/>
              </w:rPr>
            </w:pPr>
          </w:p>
        </w:tc>
        <w:tc>
          <w:tcPr>
            <w:tcW w:w="460" w:type="dxa"/>
            <w:vAlign w:val="bottom"/>
            <w:shd w:val="clear" w:color="auto" w:fill="F4F6F6"/>
          </w:tcPr>
          <w:p>
            <w:pPr>
              <w:spacing w:after="0"/>
              <w:rPr>
                <w:sz w:val="2"/>
                <w:szCs w:val="2"/>
                <w:color w:val="auto"/>
              </w:rPr>
            </w:pPr>
          </w:p>
        </w:tc>
        <w:tc>
          <w:tcPr>
            <w:tcW w:w="760" w:type="dxa"/>
            <w:vAlign w:val="bottom"/>
            <w:shd w:val="clear" w:color="auto" w:fill="F4F6F6"/>
          </w:tcPr>
          <w:p>
            <w:pPr>
              <w:spacing w:after="0"/>
              <w:rPr>
                <w:sz w:val="2"/>
                <w:szCs w:val="2"/>
                <w:color w:val="auto"/>
              </w:rPr>
            </w:pPr>
          </w:p>
        </w:tc>
        <w:tc>
          <w:tcPr>
            <w:tcW w:w="660" w:type="dxa"/>
            <w:vAlign w:val="bottom"/>
            <w:shd w:val="clear" w:color="auto" w:fill="F4F6F6"/>
          </w:tcPr>
          <w:p>
            <w:pPr>
              <w:spacing w:after="0"/>
              <w:rPr>
                <w:sz w:val="2"/>
                <w:szCs w:val="2"/>
                <w:color w:val="auto"/>
              </w:rPr>
            </w:pPr>
          </w:p>
        </w:tc>
        <w:tc>
          <w:tcPr>
            <w:tcW w:w="840" w:type="dxa"/>
            <w:vAlign w:val="bottom"/>
            <w:shd w:val="clear" w:color="auto" w:fill="F4F6F6"/>
          </w:tcPr>
          <w:p>
            <w:pPr>
              <w:spacing w:after="0"/>
              <w:rPr>
                <w:sz w:val="2"/>
                <w:szCs w:val="2"/>
                <w:color w:val="auto"/>
              </w:rPr>
            </w:pPr>
          </w:p>
        </w:tc>
        <w:tc>
          <w:tcPr>
            <w:tcW w:w="160" w:type="dxa"/>
            <w:vAlign w:val="bottom"/>
            <w:shd w:val="clear" w:color="auto" w:fill="F4F6F6"/>
          </w:tcPr>
          <w:p>
            <w:pPr>
              <w:spacing w:after="0"/>
              <w:rPr>
                <w:sz w:val="2"/>
                <w:szCs w:val="2"/>
                <w:color w:val="auto"/>
              </w:rPr>
            </w:pPr>
          </w:p>
        </w:tc>
        <w:tc>
          <w:tcPr>
            <w:tcW w:w="620" w:type="dxa"/>
            <w:vAlign w:val="bottom"/>
            <w:shd w:val="clear" w:color="auto" w:fill="F4F6F6"/>
          </w:tcPr>
          <w:p>
            <w:pPr>
              <w:spacing w:after="0"/>
              <w:rPr>
                <w:sz w:val="2"/>
                <w:szCs w:val="2"/>
                <w:color w:val="auto"/>
              </w:rPr>
            </w:pPr>
          </w:p>
        </w:tc>
        <w:tc>
          <w:tcPr>
            <w:tcW w:w="1160" w:type="dxa"/>
            <w:vAlign w:val="bottom"/>
            <w:shd w:val="clear" w:color="auto" w:fill="F4F6F6"/>
          </w:tcPr>
          <w:p>
            <w:pPr>
              <w:spacing w:after="0"/>
              <w:rPr>
                <w:sz w:val="2"/>
                <w:szCs w:val="2"/>
                <w:color w:val="auto"/>
              </w:rPr>
            </w:pPr>
          </w:p>
        </w:tc>
        <w:tc>
          <w:tcPr>
            <w:tcW w:w="900" w:type="dxa"/>
            <w:vAlign w:val="bottom"/>
            <w:shd w:val="clear" w:color="auto" w:fill="F4F6F6"/>
          </w:tcPr>
          <w:p>
            <w:pPr>
              <w:spacing w:after="0"/>
              <w:rPr>
                <w:sz w:val="2"/>
                <w:szCs w:val="2"/>
                <w:color w:val="auto"/>
              </w:rPr>
            </w:pPr>
          </w:p>
        </w:tc>
        <w:tc>
          <w:tcPr>
            <w:tcW w:w="1120" w:type="dxa"/>
            <w:vAlign w:val="bottom"/>
            <w:shd w:val="clear" w:color="auto" w:fill="F4F6F6"/>
          </w:tcPr>
          <w:p>
            <w:pPr>
              <w:spacing w:after="0"/>
              <w:rPr>
                <w:sz w:val="2"/>
                <w:szCs w:val="2"/>
                <w:color w:val="auto"/>
              </w:rPr>
            </w:pPr>
          </w:p>
        </w:tc>
        <w:tc>
          <w:tcPr>
            <w:tcW w:w="1080" w:type="dxa"/>
            <w:vAlign w:val="bottom"/>
            <w:shd w:val="clear" w:color="auto" w:fill="F4F6F6"/>
          </w:tcPr>
          <w:p>
            <w:pPr>
              <w:spacing w:after="0"/>
              <w:rPr>
                <w:sz w:val="2"/>
                <w:szCs w:val="2"/>
                <w:color w:val="auto"/>
              </w:rPr>
            </w:pPr>
          </w:p>
        </w:tc>
        <w:tc>
          <w:tcPr>
            <w:tcW w:w="160" w:type="dxa"/>
            <w:vAlign w:val="bottom"/>
            <w:shd w:val="clear" w:color="auto" w:fill="F4F6F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1240" w:type="dxa"/>
            <w:vAlign w:val="bottom"/>
            <w:shd w:val="clear" w:color="auto" w:fill="F4F6F6"/>
          </w:tcPr>
          <w:p>
            <w:pPr>
              <w:ind w:left="20"/>
              <w:spacing w:after="0"/>
              <w:rPr>
                <w:sz w:val="20"/>
                <w:szCs w:val="20"/>
                <w:color w:val="auto"/>
              </w:rPr>
            </w:pPr>
            <w:r>
              <w:rPr>
                <w:rFonts w:ascii="Arial" w:cs="Arial" w:eastAsia="Arial" w:hAnsi="Arial"/>
                <w:sz w:val="13"/>
                <w:szCs w:val="13"/>
                <w:color w:val="auto"/>
              </w:rPr>
              <w:t>Secretary</w:t>
            </w:r>
          </w:p>
        </w:tc>
        <w:tc>
          <w:tcPr>
            <w:tcW w:w="46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84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620" w:type="dxa"/>
            <w:vAlign w:val="bottom"/>
            <w:shd w:val="clear" w:color="auto" w:fill="F4F6F6"/>
          </w:tcPr>
          <w:p>
            <w:pPr>
              <w:spacing w:after="0"/>
              <w:rPr>
                <w:sz w:val="13"/>
                <w:szCs w:val="13"/>
                <w:color w:val="auto"/>
              </w:rPr>
            </w:pPr>
          </w:p>
        </w:tc>
        <w:tc>
          <w:tcPr>
            <w:tcW w:w="116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1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F4F6F6"/>
          </w:tcPr>
          <w:p>
            <w:pPr>
              <w:spacing w:after="0"/>
              <w:rPr>
                <w:sz w:val="17"/>
                <w:szCs w:val="17"/>
                <w:color w:val="auto"/>
              </w:rPr>
            </w:pPr>
          </w:p>
        </w:tc>
        <w:tc>
          <w:tcPr>
            <w:tcW w:w="460" w:type="dxa"/>
            <w:vAlign w:val="bottom"/>
            <w:shd w:val="clear" w:color="auto" w:fill="F4F6F6"/>
          </w:tcPr>
          <w:p>
            <w:pPr>
              <w:ind w:left="100"/>
              <w:spacing w:after="0"/>
              <w:rPr>
                <w:sz w:val="20"/>
                <w:szCs w:val="20"/>
                <w:color w:val="auto"/>
              </w:rPr>
            </w:pPr>
            <w:r>
              <w:rPr>
                <w:rFonts w:ascii="Arial" w:cs="Arial" w:eastAsia="Arial" w:hAnsi="Arial"/>
                <w:sz w:val="13"/>
                <w:szCs w:val="13"/>
                <w:color w:val="auto"/>
              </w:rPr>
              <w:t>2018</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66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8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160" w:type="dxa"/>
            <w:vAlign w:val="bottom"/>
            <w:shd w:val="clear" w:color="auto" w:fill="F4F6F6"/>
          </w:tcPr>
          <w:p>
            <w:pPr>
              <w:spacing w:after="0"/>
              <w:rPr>
                <w:sz w:val="17"/>
                <w:szCs w:val="17"/>
                <w:color w:val="auto"/>
              </w:rPr>
            </w:pPr>
          </w:p>
        </w:tc>
        <w:tc>
          <w:tcPr>
            <w:tcW w:w="62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160" w:type="dxa"/>
            <w:vAlign w:val="bottom"/>
            <w:shd w:val="clear" w:color="auto" w:fill="F4F6F6"/>
          </w:tcPr>
          <w:p>
            <w:pPr>
              <w:jc w:val="center"/>
              <w:ind w:right="117"/>
              <w:spacing w:after="0"/>
              <w:rPr>
                <w:sz w:val="20"/>
                <w:szCs w:val="20"/>
                <w:color w:val="auto"/>
              </w:rPr>
            </w:pPr>
            <w:r>
              <w:rPr>
                <w:rFonts w:ascii="Arial" w:cs="Arial" w:eastAsia="Arial" w:hAnsi="Arial"/>
                <w:sz w:val="13"/>
                <w:szCs w:val="13"/>
                <w:color w:val="auto"/>
              </w:rPr>
              <w:t>N/A</w:t>
            </w:r>
          </w:p>
        </w:tc>
        <w:tc>
          <w:tcPr>
            <w:tcW w:w="90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12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240" w:type="dxa"/>
            <w:vAlign w:val="bottom"/>
            <w:gridSpan w:val="2"/>
            <w:shd w:val="clear" w:color="auto" w:fill="F4F6F6"/>
          </w:tcPr>
          <w:p>
            <w:pPr>
              <w:jc w:val="center"/>
              <w:ind w:right="200"/>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353"/>
        </w:trPr>
        <w:tc>
          <w:tcPr>
            <w:tcW w:w="1240" w:type="dxa"/>
            <w:vAlign w:val="bottom"/>
            <w:tcBorders>
              <w:top w:val="single" w:sz="8" w:color="DBDBDB"/>
            </w:tcBorders>
          </w:tcPr>
          <w:p>
            <w:pPr>
              <w:ind w:left="20"/>
              <w:spacing w:after="0"/>
              <w:rPr>
                <w:sz w:val="20"/>
                <w:szCs w:val="20"/>
                <w:color w:val="auto"/>
              </w:rPr>
            </w:pPr>
            <w:r>
              <w:rPr>
                <w:rFonts w:ascii="Arial" w:cs="Arial" w:eastAsia="Arial" w:hAnsi="Arial"/>
                <w:sz w:val="14"/>
                <w:szCs w:val="14"/>
                <w:color w:val="auto"/>
              </w:rPr>
              <w:t>Alfonso G. Zulueta</w:t>
            </w:r>
          </w:p>
        </w:tc>
        <w:tc>
          <w:tcPr>
            <w:tcW w:w="460" w:type="dxa"/>
            <w:vAlign w:val="bottom"/>
            <w:tcBorders>
              <w:top w:val="single" w:sz="8" w:color="C8C9CB"/>
            </w:tcBorders>
          </w:tcPr>
          <w:p>
            <w:pPr>
              <w:ind w:left="100"/>
              <w:spacing w:after="0"/>
              <w:rPr>
                <w:sz w:val="20"/>
                <w:szCs w:val="20"/>
                <w:color w:val="auto"/>
              </w:rPr>
            </w:pPr>
            <w:r>
              <w:rPr>
                <w:rFonts w:ascii="Arial" w:cs="Arial" w:eastAsia="Arial" w:hAnsi="Arial"/>
                <w:sz w:val="13"/>
                <w:szCs w:val="13"/>
                <w:color w:val="auto"/>
              </w:rPr>
              <w:t>2020</w:t>
            </w:r>
          </w:p>
        </w:tc>
        <w:tc>
          <w:tcPr>
            <w:tcW w:w="76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w w:val="95"/>
              </w:rPr>
              <w:t>$850,000</w:t>
            </w:r>
          </w:p>
        </w:tc>
        <w:tc>
          <w:tcPr>
            <w:tcW w:w="66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w w:val="96"/>
              </w:rPr>
              <w:t>$0</w:t>
            </w:r>
          </w:p>
        </w:tc>
        <w:tc>
          <w:tcPr>
            <w:tcW w:w="84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w w:val="98"/>
              </w:rPr>
              <w:t>$2,445,750</w:t>
            </w:r>
          </w:p>
        </w:tc>
        <w:tc>
          <w:tcPr>
            <w:tcW w:w="780" w:type="dxa"/>
            <w:vAlign w:val="bottom"/>
            <w:tcBorders>
              <w:top w:val="single" w:sz="8" w:color="C8C9CB"/>
            </w:tcBorders>
            <w:gridSpan w:val="2"/>
          </w:tcPr>
          <w:p>
            <w:pPr>
              <w:jc w:val="right"/>
              <w:ind w:right="177"/>
              <w:spacing w:after="0"/>
              <w:rPr>
                <w:sz w:val="20"/>
                <w:szCs w:val="20"/>
                <w:color w:val="auto"/>
              </w:rPr>
            </w:pPr>
            <w:r>
              <w:rPr>
                <w:rFonts w:ascii="Arial" w:cs="Arial" w:eastAsia="Arial" w:hAnsi="Arial"/>
                <w:sz w:val="13"/>
                <w:szCs w:val="13"/>
                <w:color w:val="auto"/>
              </w:rPr>
              <w:t>$0</w:t>
            </w:r>
          </w:p>
        </w:tc>
        <w:tc>
          <w:tcPr>
            <w:tcW w:w="1160" w:type="dxa"/>
            <w:vAlign w:val="bottom"/>
            <w:tcBorders>
              <w:top w:val="single" w:sz="8" w:color="C8C9CB"/>
            </w:tcBorders>
          </w:tcPr>
          <w:p>
            <w:pPr>
              <w:jc w:val="center"/>
              <w:ind w:right="137"/>
              <w:spacing w:after="0"/>
              <w:rPr>
                <w:sz w:val="20"/>
                <w:szCs w:val="20"/>
                <w:color w:val="auto"/>
              </w:rPr>
            </w:pPr>
            <w:r>
              <w:rPr>
                <w:rFonts w:ascii="Arial" w:cs="Arial" w:eastAsia="Arial" w:hAnsi="Arial"/>
                <w:sz w:val="13"/>
                <w:szCs w:val="13"/>
                <w:color w:val="auto"/>
                <w:w w:val="95"/>
              </w:rPr>
              <w:t>$952,850</w:t>
            </w:r>
          </w:p>
        </w:tc>
        <w:tc>
          <w:tcPr>
            <w:tcW w:w="90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w w:val="95"/>
              </w:rPr>
              <w:t>$2,268,269</w:t>
            </w:r>
          </w:p>
        </w:tc>
        <w:tc>
          <w:tcPr>
            <w:tcW w:w="112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w w:val="97"/>
              </w:rPr>
              <w:t>$50,608</w:t>
            </w:r>
          </w:p>
        </w:tc>
        <w:tc>
          <w:tcPr>
            <w:tcW w:w="108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w w:val="98"/>
              </w:rPr>
              <w:t>$6,567,477</w:t>
            </w:r>
          </w:p>
        </w:tc>
        <w:tc>
          <w:tcPr>
            <w:tcW w:w="160" w:type="dxa"/>
            <w:vAlign w:val="bottom"/>
            <w:tcBorders>
              <w:top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40" w:type="dxa"/>
            <w:vAlign w:val="bottom"/>
          </w:tcPr>
          <w:p>
            <w:pPr>
              <w:ind w:left="20"/>
              <w:spacing w:after="0" w:line="128" w:lineRule="exact"/>
              <w:rPr>
                <w:sz w:val="20"/>
                <w:szCs w:val="20"/>
                <w:color w:val="auto"/>
              </w:rPr>
            </w:pPr>
            <w:r>
              <w:rPr>
                <w:rFonts w:ascii="Arial" w:cs="Arial" w:eastAsia="Arial" w:hAnsi="Arial"/>
                <w:sz w:val="13"/>
                <w:szCs w:val="13"/>
                <w:color w:val="auto"/>
              </w:rPr>
              <w:t>Senior Vice</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tcPr>
          <w:p>
            <w:pPr>
              <w:ind w:left="20"/>
              <w:spacing w:after="0" w:line="122" w:lineRule="exact"/>
              <w:rPr>
                <w:sz w:val="20"/>
                <w:szCs w:val="20"/>
                <w:color w:val="auto"/>
              </w:rPr>
            </w:pPr>
            <w:r>
              <w:rPr>
                <w:rFonts w:ascii="Arial" w:cs="Arial" w:eastAsia="Arial" w:hAnsi="Arial"/>
                <w:sz w:val="13"/>
                <w:szCs w:val="13"/>
                <w:color w:val="auto"/>
              </w:rPr>
              <w:t>President and</w:t>
            </w:r>
          </w:p>
        </w:tc>
        <w:tc>
          <w:tcPr>
            <w:tcW w:w="460" w:type="dxa"/>
            <w:vAlign w:val="bottom"/>
            <w:vMerge w:val="restart"/>
          </w:tcPr>
          <w:p>
            <w:pPr>
              <w:ind w:left="100"/>
              <w:spacing w:after="0"/>
              <w:rPr>
                <w:sz w:val="20"/>
                <w:szCs w:val="20"/>
                <w:color w:val="auto"/>
              </w:rPr>
            </w:pPr>
            <w:r>
              <w:rPr>
                <w:rFonts w:ascii="Arial" w:cs="Arial" w:eastAsia="Arial" w:hAnsi="Arial"/>
                <w:sz w:val="13"/>
                <w:szCs w:val="13"/>
                <w:color w:val="auto"/>
              </w:rPr>
              <w:t>2019</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160" w:type="dxa"/>
            <w:vAlign w:val="bottom"/>
            <w:vMerge w:val="restart"/>
          </w:tcPr>
          <w:p>
            <w:pPr>
              <w:jc w:val="center"/>
              <w:ind w:right="117"/>
              <w:spacing w:after="0"/>
              <w:rPr>
                <w:sz w:val="20"/>
                <w:szCs w:val="20"/>
                <w:color w:val="auto"/>
              </w:rPr>
            </w:pPr>
            <w:r>
              <w:rPr>
                <w:rFonts w:ascii="Arial" w:cs="Arial" w:eastAsia="Arial" w:hAnsi="Arial"/>
                <w:sz w:val="13"/>
                <w:szCs w:val="13"/>
                <w:color w:val="auto"/>
              </w:rPr>
              <w:t>N/A</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98"/>
        </w:trPr>
        <w:tc>
          <w:tcPr>
            <w:tcW w:w="1240" w:type="dxa"/>
            <w:vAlign w:val="bottom"/>
            <w:vMerge w:val="restart"/>
          </w:tcPr>
          <w:p>
            <w:pPr>
              <w:ind w:left="20"/>
              <w:spacing w:after="0" w:line="122" w:lineRule="exact"/>
              <w:rPr>
                <w:sz w:val="20"/>
                <w:szCs w:val="20"/>
                <w:color w:val="auto"/>
              </w:rPr>
            </w:pPr>
            <w:r>
              <w:rPr>
                <w:rFonts w:ascii="Arial" w:cs="Arial" w:eastAsia="Arial" w:hAnsi="Arial"/>
                <w:sz w:val="13"/>
                <w:szCs w:val="13"/>
                <w:color w:val="auto"/>
              </w:rPr>
              <w:t>President, Lilly</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2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124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460" w:type="dxa"/>
            <w:vAlign w:val="bottom"/>
            <w:vMerge w:val="restart"/>
          </w:tcPr>
          <w:p>
            <w:pPr>
              <w:ind w:left="100"/>
              <w:spacing w:after="0"/>
              <w:rPr>
                <w:sz w:val="20"/>
                <w:szCs w:val="20"/>
                <w:color w:val="auto"/>
              </w:rPr>
            </w:pPr>
            <w:r>
              <w:rPr>
                <w:rFonts w:ascii="Arial" w:cs="Arial" w:eastAsia="Arial" w:hAnsi="Arial"/>
                <w:sz w:val="13"/>
                <w:szCs w:val="13"/>
                <w:color w:val="auto"/>
              </w:rPr>
              <w:t>2018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160" w:type="dxa"/>
            <w:vAlign w:val="bottom"/>
            <w:vMerge w:val="restart"/>
          </w:tcPr>
          <w:p>
            <w:pPr>
              <w:jc w:val="center"/>
              <w:ind w:right="117"/>
              <w:spacing w:after="0"/>
              <w:rPr>
                <w:sz w:val="20"/>
                <w:szCs w:val="20"/>
                <w:color w:val="auto"/>
              </w:rPr>
            </w:pPr>
            <w:r>
              <w:rPr>
                <w:rFonts w:ascii="Arial" w:cs="Arial" w:eastAsia="Arial" w:hAnsi="Arial"/>
                <w:sz w:val="13"/>
                <w:szCs w:val="13"/>
                <w:color w:val="auto"/>
              </w:rPr>
              <w:t>N/A</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 Supplemental table reflecting 2019 and 2020 compensation for services provided to Joshua L. Smiley, after giving effect to his resignation.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40" w:type="dxa"/>
            <w:vAlign w:val="bottom"/>
            <w:shd w:val="clear" w:color="auto" w:fill="C8C9CB"/>
          </w:tcPr>
          <w:p>
            <w:pPr>
              <w:spacing w:after="0"/>
              <w:rPr>
                <w:sz w:val="18"/>
                <w:szCs w:val="18"/>
                <w:color w:val="auto"/>
              </w:rPr>
            </w:pPr>
          </w:p>
        </w:tc>
        <w:tc>
          <w:tcPr>
            <w:tcW w:w="520" w:type="dxa"/>
            <w:vAlign w:val="bottom"/>
            <w:shd w:val="clear" w:color="auto" w:fill="C8C9CB"/>
          </w:tcPr>
          <w:p>
            <w:pPr>
              <w:spacing w:after="0"/>
              <w:rPr>
                <w:sz w:val="18"/>
                <w:szCs w:val="18"/>
                <w:color w:val="auto"/>
              </w:rPr>
            </w:pPr>
          </w:p>
        </w:tc>
        <w:tc>
          <w:tcPr>
            <w:tcW w:w="780" w:type="dxa"/>
            <w:vAlign w:val="bottom"/>
            <w:shd w:val="clear" w:color="auto" w:fill="C8C9CB"/>
          </w:tcPr>
          <w:p>
            <w:pPr>
              <w:spacing w:after="0"/>
              <w:rPr>
                <w:sz w:val="18"/>
                <w:szCs w:val="18"/>
                <w:color w:val="auto"/>
              </w:rPr>
            </w:pPr>
          </w:p>
        </w:tc>
        <w:tc>
          <w:tcPr>
            <w:tcW w:w="680" w:type="dxa"/>
            <w:vAlign w:val="bottom"/>
            <w:shd w:val="clear" w:color="auto" w:fill="C8C9CB"/>
          </w:tcPr>
          <w:p>
            <w:pPr>
              <w:spacing w:after="0"/>
              <w:rPr>
                <w:sz w:val="18"/>
                <w:szCs w:val="18"/>
                <w:color w:val="auto"/>
              </w:rPr>
            </w:pPr>
          </w:p>
        </w:tc>
        <w:tc>
          <w:tcPr>
            <w:tcW w:w="760" w:type="dxa"/>
            <w:vAlign w:val="bottom"/>
            <w:shd w:val="clear" w:color="auto" w:fill="C8C9CB"/>
          </w:tcPr>
          <w:p>
            <w:pPr>
              <w:spacing w:after="0"/>
              <w:rPr>
                <w:sz w:val="18"/>
                <w:szCs w:val="18"/>
                <w:color w:val="auto"/>
              </w:rPr>
            </w:pPr>
          </w:p>
        </w:tc>
        <w:tc>
          <w:tcPr>
            <w:tcW w:w="720" w:type="dxa"/>
            <w:vAlign w:val="bottom"/>
            <w:shd w:val="clear" w:color="auto" w:fill="C8C9CB"/>
          </w:tcPr>
          <w:p>
            <w:pPr>
              <w:spacing w:after="0"/>
              <w:rPr>
                <w:sz w:val="18"/>
                <w:szCs w:val="18"/>
                <w:color w:val="auto"/>
              </w:rPr>
            </w:pPr>
          </w:p>
        </w:tc>
        <w:tc>
          <w:tcPr>
            <w:tcW w:w="11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Non-Equity</w:t>
            </w:r>
          </w:p>
        </w:tc>
        <w:tc>
          <w:tcPr>
            <w:tcW w:w="1100" w:type="dxa"/>
            <w:vAlign w:val="bottom"/>
            <w:shd w:val="clear" w:color="auto" w:fill="C8C9CB"/>
          </w:tcPr>
          <w:p>
            <w:pPr>
              <w:spacing w:after="0"/>
              <w:rPr>
                <w:sz w:val="18"/>
                <w:szCs w:val="18"/>
                <w:color w:val="auto"/>
              </w:rPr>
            </w:pPr>
          </w:p>
        </w:tc>
        <w:tc>
          <w:tcPr>
            <w:tcW w:w="1080" w:type="dxa"/>
            <w:vAlign w:val="bottom"/>
            <w:shd w:val="clear" w:color="auto" w:fill="C8C9CB"/>
          </w:tcPr>
          <w:p>
            <w:pPr>
              <w:spacing w:after="0"/>
              <w:rPr>
                <w:sz w:val="18"/>
                <w:szCs w:val="18"/>
                <w:color w:val="auto"/>
              </w:rPr>
            </w:pPr>
          </w:p>
        </w:tc>
        <w:tc>
          <w:tcPr>
            <w:tcW w:w="1060" w:type="dxa"/>
            <w:vAlign w:val="bottom"/>
            <w:shd w:val="clear" w:color="auto" w:fill="C8C9CB"/>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8C9CB"/>
          </w:tcPr>
          <w:p>
            <w:pPr>
              <w:spacing w:after="0"/>
              <w:rPr>
                <w:sz w:val="12"/>
                <w:szCs w:val="12"/>
                <w:color w:val="auto"/>
              </w:rPr>
            </w:pPr>
          </w:p>
        </w:tc>
        <w:tc>
          <w:tcPr>
            <w:tcW w:w="520" w:type="dxa"/>
            <w:vAlign w:val="bottom"/>
            <w:shd w:val="clear" w:color="auto" w:fill="C8C9CB"/>
          </w:tcPr>
          <w:p>
            <w:pPr>
              <w:spacing w:after="0"/>
              <w:rPr>
                <w:sz w:val="12"/>
                <w:szCs w:val="12"/>
                <w:color w:val="auto"/>
              </w:rPr>
            </w:pPr>
          </w:p>
        </w:tc>
        <w:tc>
          <w:tcPr>
            <w:tcW w:w="780" w:type="dxa"/>
            <w:vAlign w:val="bottom"/>
            <w:shd w:val="clear" w:color="auto" w:fill="C8C9CB"/>
          </w:tcPr>
          <w:p>
            <w:pPr>
              <w:spacing w:after="0"/>
              <w:rPr>
                <w:sz w:val="12"/>
                <w:szCs w:val="12"/>
                <w:color w:val="auto"/>
              </w:rPr>
            </w:pPr>
          </w:p>
        </w:tc>
        <w:tc>
          <w:tcPr>
            <w:tcW w:w="680" w:type="dxa"/>
            <w:vAlign w:val="bottom"/>
            <w:shd w:val="clear" w:color="auto" w:fill="C8C9CB"/>
          </w:tcPr>
          <w:p>
            <w:pPr>
              <w:spacing w:after="0"/>
              <w:rPr>
                <w:sz w:val="12"/>
                <w:szCs w:val="12"/>
                <w:color w:val="auto"/>
              </w:rPr>
            </w:pPr>
          </w:p>
        </w:tc>
        <w:tc>
          <w:tcPr>
            <w:tcW w:w="760" w:type="dxa"/>
            <w:vAlign w:val="bottom"/>
            <w:shd w:val="clear" w:color="auto" w:fill="C8C9CB"/>
          </w:tcPr>
          <w:p>
            <w:pPr>
              <w:jc w:val="right"/>
              <w:ind w:right="137"/>
              <w:spacing w:after="0"/>
              <w:rPr>
                <w:sz w:val="20"/>
                <w:szCs w:val="20"/>
                <w:color w:val="auto"/>
              </w:rPr>
            </w:pPr>
            <w:r>
              <w:rPr>
                <w:rFonts w:ascii="Arial" w:cs="Arial" w:eastAsia="Arial" w:hAnsi="Arial"/>
                <w:sz w:val="13"/>
                <w:szCs w:val="13"/>
                <w:b w:val="1"/>
                <w:bCs w:val="1"/>
                <w:color w:val="00ABE8"/>
              </w:rPr>
              <w:t>Stock</w:t>
            </w:r>
          </w:p>
        </w:tc>
        <w:tc>
          <w:tcPr>
            <w:tcW w:w="720" w:type="dxa"/>
            <w:vAlign w:val="bottom"/>
            <w:shd w:val="clear" w:color="auto" w:fill="C8C9CB"/>
          </w:tcPr>
          <w:p>
            <w:pPr>
              <w:jc w:val="right"/>
              <w:ind w:right="97"/>
              <w:spacing w:after="0"/>
              <w:rPr>
                <w:sz w:val="20"/>
                <w:szCs w:val="20"/>
                <w:color w:val="auto"/>
              </w:rPr>
            </w:pPr>
            <w:r>
              <w:rPr>
                <w:rFonts w:ascii="Arial" w:cs="Arial" w:eastAsia="Arial" w:hAnsi="Arial"/>
                <w:sz w:val="13"/>
                <w:szCs w:val="13"/>
                <w:b w:val="1"/>
                <w:bCs w:val="1"/>
                <w:color w:val="00ABE8"/>
              </w:rPr>
              <w:t>Option</w:t>
            </w:r>
          </w:p>
        </w:tc>
        <w:tc>
          <w:tcPr>
            <w:tcW w:w="11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8"/>
              </w:rPr>
              <w:t>Incentive Plan</w:t>
            </w:r>
          </w:p>
        </w:tc>
        <w:tc>
          <w:tcPr>
            <w:tcW w:w="110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Change in</w:t>
            </w:r>
          </w:p>
        </w:tc>
        <w:tc>
          <w:tcPr>
            <w:tcW w:w="108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4"/>
              </w:rPr>
              <w:t>All Other</w:t>
            </w:r>
          </w:p>
        </w:tc>
        <w:tc>
          <w:tcPr>
            <w:tcW w:w="10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6"/>
              </w:rPr>
              <w:t>Total</w:t>
            </w:r>
          </w:p>
        </w:tc>
        <w:tc>
          <w:tcPr>
            <w:tcW w:w="0" w:type="dxa"/>
            <w:vAlign w:val="bottom"/>
          </w:tcPr>
          <w:p>
            <w:pPr>
              <w:spacing w:after="0"/>
              <w:rPr>
                <w:sz w:val="1"/>
                <w:szCs w:val="1"/>
                <w:color w:val="auto"/>
              </w:rPr>
            </w:pPr>
          </w:p>
        </w:tc>
      </w:tr>
      <w:tr>
        <w:trPr>
          <w:trHeight w:val="149"/>
        </w:trPr>
        <w:tc>
          <w:tcPr>
            <w:tcW w:w="1340" w:type="dxa"/>
            <w:vAlign w:val="bottom"/>
            <w:shd w:val="clear" w:color="auto" w:fill="C8C9CB"/>
          </w:tcPr>
          <w:p>
            <w:pPr>
              <w:ind w:left="20"/>
              <w:spacing w:after="0"/>
              <w:rPr>
                <w:sz w:val="20"/>
                <w:szCs w:val="20"/>
                <w:color w:val="auto"/>
              </w:rPr>
            </w:pPr>
            <w:r>
              <w:rPr>
                <w:rFonts w:ascii="Arial" w:cs="Arial" w:eastAsia="Arial" w:hAnsi="Arial"/>
                <w:sz w:val="13"/>
                <w:szCs w:val="13"/>
                <w:b w:val="1"/>
                <w:bCs w:val="1"/>
                <w:color w:val="00ABE8"/>
              </w:rPr>
              <w:t>Name and Principal</w:t>
            </w:r>
          </w:p>
        </w:tc>
        <w:tc>
          <w:tcPr>
            <w:tcW w:w="520" w:type="dxa"/>
            <w:vAlign w:val="bottom"/>
            <w:shd w:val="clear" w:color="auto" w:fill="C8C9CB"/>
          </w:tcPr>
          <w:p>
            <w:pPr>
              <w:spacing w:after="0"/>
              <w:rPr>
                <w:sz w:val="12"/>
                <w:szCs w:val="12"/>
                <w:color w:val="auto"/>
              </w:rPr>
            </w:pPr>
          </w:p>
        </w:tc>
        <w:tc>
          <w:tcPr>
            <w:tcW w:w="780" w:type="dxa"/>
            <w:vAlign w:val="bottom"/>
            <w:shd w:val="clear" w:color="auto" w:fill="C8C9CB"/>
          </w:tcPr>
          <w:p>
            <w:pPr>
              <w:ind w:left="200"/>
              <w:spacing w:after="0"/>
              <w:rPr>
                <w:sz w:val="20"/>
                <w:szCs w:val="20"/>
                <w:color w:val="auto"/>
              </w:rPr>
            </w:pPr>
            <w:r>
              <w:rPr>
                <w:rFonts w:ascii="Arial" w:cs="Arial" w:eastAsia="Arial" w:hAnsi="Arial"/>
                <w:sz w:val="13"/>
                <w:szCs w:val="13"/>
                <w:b w:val="1"/>
                <w:bCs w:val="1"/>
                <w:color w:val="00ABE8"/>
              </w:rPr>
              <w:t>Salary</w:t>
            </w:r>
          </w:p>
        </w:tc>
        <w:tc>
          <w:tcPr>
            <w:tcW w:w="68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8"/>
              </w:rPr>
              <w:t>Bonus</w:t>
            </w:r>
          </w:p>
        </w:tc>
        <w:tc>
          <w:tcPr>
            <w:tcW w:w="760" w:type="dxa"/>
            <w:vAlign w:val="bottom"/>
            <w:shd w:val="clear" w:color="auto" w:fill="C8C9CB"/>
          </w:tcPr>
          <w:p>
            <w:pPr>
              <w:jc w:val="right"/>
              <w:ind w:right="77"/>
              <w:spacing w:after="0"/>
              <w:rPr>
                <w:sz w:val="20"/>
                <w:szCs w:val="20"/>
                <w:color w:val="auto"/>
              </w:rPr>
            </w:pPr>
            <w:r>
              <w:rPr>
                <w:rFonts w:ascii="Arial" w:cs="Arial" w:eastAsia="Arial" w:hAnsi="Arial"/>
                <w:sz w:val="13"/>
                <w:szCs w:val="13"/>
                <w:b w:val="1"/>
                <w:bCs w:val="1"/>
                <w:color w:val="00ABE8"/>
              </w:rPr>
              <w:t>Awards</w:t>
            </w:r>
          </w:p>
        </w:tc>
        <w:tc>
          <w:tcPr>
            <w:tcW w:w="720" w:type="dxa"/>
            <w:vAlign w:val="bottom"/>
            <w:shd w:val="clear" w:color="auto" w:fill="C8C9CB"/>
          </w:tcPr>
          <w:p>
            <w:pPr>
              <w:jc w:val="right"/>
              <w:ind w:right="77"/>
              <w:spacing w:after="0"/>
              <w:rPr>
                <w:sz w:val="20"/>
                <w:szCs w:val="20"/>
                <w:color w:val="auto"/>
              </w:rPr>
            </w:pPr>
            <w:r>
              <w:rPr>
                <w:rFonts w:ascii="Arial" w:cs="Arial" w:eastAsia="Arial" w:hAnsi="Arial"/>
                <w:sz w:val="13"/>
                <w:szCs w:val="13"/>
                <w:b w:val="1"/>
                <w:bCs w:val="1"/>
                <w:color w:val="00ABE8"/>
              </w:rPr>
              <w:t>Awards</w:t>
            </w:r>
          </w:p>
        </w:tc>
        <w:tc>
          <w:tcPr>
            <w:tcW w:w="11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Compensation</w:t>
            </w:r>
          </w:p>
        </w:tc>
        <w:tc>
          <w:tcPr>
            <w:tcW w:w="110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4"/>
              </w:rPr>
              <w:t>Pension Value</w:t>
            </w:r>
          </w:p>
        </w:tc>
        <w:tc>
          <w:tcPr>
            <w:tcW w:w="108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7"/>
              </w:rPr>
              <w:t>Compensation</w:t>
            </w:r>
          </w:p>
        </w:tc>
        <w:tc>
          <w:tcPr>
            <w:tcW w:w="10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Compensation</w:t>
            </w:r>
          </w:p>
        </w:tc>
        <w:tc>
          <w:tcPr>
            <w:tcW w:w="0" w:type="dxa"/>
            <w:vAlign w:val="bottom"/>
          </w:tcPr>
          <w:p>
            <w:pPr>
              <w:spacing w:after="0"/>
              <w:rPr>
                <w:sz w:val="1"/>
                <w:szCs w:val="1"/>
                <w:color w:val="auto"/>
              </w:rPr>
            </w:pPr>
          </w:p>
        </w:tc>
      </w:tr>
      <w:tr>
        <w:trPr>
          <w:trHeight w:val="177"/>
        </w:trPr>
        <w:tc>
          <w:tcPr>
            <w:tcW w:w="1340" w:type="dxa"/>
            <w:vAlign w:val="bottom"/>
            <w:tcBorders>
              <w:bottom w:val="single" w:sz="8" w:color="C8C9CB"/>
            </w:tcBorders>
            <w:shd w:val="clear" w:color="auto" w:fill="C8C9CB"/>
          </w:tcPr>
          <w:p>
            <w:pPr>
              <w:ind w:left="20"/>
              <w:spacing w:after="0"/>
              <w:rPr>
                <w:sz w:val="20"/>
                <w:szCs w:val="20"/>
                <w:color w:val="auto"/>
              </w:rPr>
            </w:pPr>
            <w:r>
              <w:rPr>
                <w:rFonts w:ascii="Arial" w:cs="Arial" w:eastAsia="Arial" w:hAnsi="Arial"/>
                <w:sz w:val="13"/>
                <w:szCs w:val="13"/>
                <w:b w:val="1"/>
                <w:bCs w:val="1"/>
                <w:color w:val="00ABE8"/>
              </w:rPr>
              <w:t>Position</w:t>
            </w:r>
          </w:p>
        </w:tc>
        <w:tc>
          <w:tcPr>
            <w:tcW w:w="520" w:type="dxa"/>
            <w:vAlign w:val="bottom"/>
            <w:tcBorders>
              <w:bottom w:val="single" w:sz="8" w:color="C8C9CB"/>
            </w:tcBorders>
            <w:shd w:val="clear" w:color="auto" w:fill="C8C9CB"/>
          </w:tcPr>
          <w:p>
            <w:pPr>
              <w:ind w:left="140"/>
              <w:spacing w:after="0"/>
              <w:rPr>
                <w:sz w:val="20"/>
                <w:szCs w:val="20"/>
                <w:color w:val="auto"/>
              </w:rPr>
            </w:pPr>
            <w:r>
              <w:rPr>
                <w:rFonts w:ascii="Arial" w:cs="Arial" w:eastAsia="Arial" w:hAnsi="Arial"/>
                <w:sz w:val="13"/>
                <w:szCs w:val="13"/>
                <w:b w:val="1"/>
                <w:bCs w:val="1"/>
                <w:color w:val="00ABE8"/>
              </w:rPr>
              <w:t>Year</w:t>
            </w:r>
          </w:p>
        </w:tc>
        <w:tc>
          <w:tcPr>
            <w:tcW w:w="78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68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760" w:type="dxa"/>
            <w:vAlign w:val="bottom"/>
            <w:tcBorders>
              <w:bottom w:val="single" w:sz="8" w:color="C8C9CB"/>
            </w:tcBorders>
            <w:shd w:val="clear" w:color="auto" w:fill="C8C9CB"/>
          </w:tcPr>
          <w:p>
            <w:pPr>
              <w:jc w:val="right"/>
              <w:ind w:right="217"/>
              <w:spacing w:after="0"/>
              <w:rPr>
                <w:sz w:val="20"/>
                <w:szCs w:val="20"/>
                <w:color w:val="auto"/>
              </w:rPr>
            </w:pPr>
            <w:r>
              <w:rPr>
                <w:rFonts w:ascii="Arial" w:cs="Arial" w:eastAsia="Arial" w:hAnsi="Arial"/>
                <w:sz w:val="13"/>
                <w:szCs w:val="13"/>
                <w:b w:val="1"/>
                <w:bCs w:val="1"/>
                <w:color w:val="00ABE8"/>
              </w:rPr>
              <w:t>($)</w:t>
            </w:r>
          </w:p>
        </w:tc>
        <w:tc>
          <w:tcPr>
            <w:tcW w:w="720" w:type="dxa"/>
            <w:vAlign w:val="bottom"/>
            <w:tcBorders>
              <w:bottom w:val="single" w:sz="8" w:color="C8C9CB"/>
            </w:tcBorders>
            <w:shd w:val="clear" w:color="auto" w:fill="C8C9CB"/>
          </w:tcPr>
          <w:p>
            <w:pPr>
              <w:jc w:val="right"/>
              <w:ind w:right="217"/>
              <w:spacing w:after="0"/>
              <w:rPr>
                <w:sz w:val="20"/>
                <w:szCs w:val="20"/>
                <w:color w:val="auto"/>
              </w:rPr>
            </w:pPr>
            <w:r>
              <w:rPr>
                <w:rFonts w:ascii="Arial" w:cs="Arial" w:eastAsia="Arial" w:hAnsi="Arial"/>
                <w:sz w:val="13"/>
                <w:szCs w:val="13"/>
                <w:b w:val="1"/>
                <w:bCs w:val="1"/>
                <w:color w:val="00ABE8"/>
              </w:rPr>
              <w:t>($)</w:t>
            </w:r>
          </w:p>
        </w:tc>
        <w:tc>
          <w:tcPr>
            <w:tcW w:w="112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w w:val="87"/>
              </w:rPr>
              <w:t>($)</w:t>
            </w:r>
          </w:p>
        </w:tc>
        <w:tc>
          <w:tcPr>
            <w:tcW w:w="110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108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106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w w:val="94"/>
              </w:rPr>
              <w:t>($)(a)</w:t>
            </w:r>
          </w:p>
        </w:tc>
        <w:tc>
          <w:tcPr>
            <w:tcW w:w="0" w:type="dxa"/>
            <w:vAlign w:val="bottom"/>
          </w:tcPr>
          <w:p>
            <w:pPr>
              <w:spacing w:after="0"/>
              <w:rPr>
                <w:sz w:val="1"/>
                <w:szCs w:val="1"/>
                <w:color w:val="auto"/>
              </w:rPr>
            </w:pPr>
          </w:p>
        </w:tc>
      </w:tr>
      <w:tr>
        <w:trPr>
          <w:trHeight w:val="325"/>
        </w:trPr>
        <w:tc>
          <w:tcPr>
            <w:tcW w:w="1340" w:type="dxa"/>
            <w:vAlign w:val="bottom"/>
          </w:tcPr>
          <w:p>
            <w:pPr>
              <w:ind w:left="20"/>
              <w:spacing w:after="0"/>
              <w:rPr>
                <w:sz w:val="20"/>
                <w:szCs w:val="20"/>
                <w:color w:val="auto"/>
              </w:rPr>
            </w:pPr>
            <w:r>
              <w:rPr>
                <w:rFonts w:ascii="Arial" w:cs="Arial" w:eastAsia="Arial" w:hAnsi="Arial"/>
                <w:sz w:val="14"/>
                <w:szCs w:val="14"/>
                <w:color w:val="auto"/>
              </w:rPr>
              <w:t>Joshua L. Smiley</w:t>
            </w:r>
          </w:p>
        </w:tc>
        <w:tc>
          <w:tcPr>
            <w:tcW w:w="520" w:type="dxa"/>
            <w:vAlign w:val="bottom"/>
          </w:tcPr>
          <w:p>
            <w:pPr>
              <w:ind w:left="140"/>
              <w:spacing w:after="0"/>
              <w:rPr>
                <w:sz w:val="20"/>
                <w:szCs w:val="20"/>
                <w:color w:val="auto"/>
              </w:rPr>
            </w:pPr>
            <w:r>
              <w:rPr>
                <w:rFonts w:ascii="Arial" w:cs="Arial" w:eastAsia="Arial" w:hAnsi="Arial"/>
                <w:sz w:val="13"/>
                <w:szCs w:val="13"/>
                <w:color w:val="auto"/>
              </w:rPr>
              <w:t>2020</w:t>
            </w: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$983,333</w:t>
            </w:r>
          </w:p>
        </w:tc>
        <w:tc>
          <w:tcPr>
            <w:tcW w:w="6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760" w:type="dxa"/>
            <w:vAlign w:val="bottom"/>
          </w:tcPr>
          <w:p>
            <w:pPr>
              <w:jc w:val="right"/>
              <w:ind w:right="237"/>
              <w:spacing w:after="0"/>
              <w:rPr>
                <w:sz w:val="20"/>
                <w:szCs w:val="20"/>
                <w:color w:val="auto"/>
              </w:rPr>
            </w:pPr>
            <w:r>
              <w:rPr>
                <w:rFonts w:ascii="Arial" w:cs="Arial" w:eastAsia="Arial" w:hAnsi="Arial"/>
                <w:sz w:val="13"/>
                <w:szCs w:val="13"/>
                <w:color w:val="auto"/>
              </w:rPr>
              <w:t>$0</w:t>
            </w:r>
          </w:p>
        </w:tc>
        <w:tc>
          <w:tcPr>
            <w:tcW w:w="720" w:type="dxa"/>
            <w:vAlign w:val="bottom"/>
          </w:tcPr>
          <w:p>
            <w:pPr>
              <w:jc w:val="right"/>
              <w:ind w:right="217"/>
              <w:spacing w:after="0"/>
              <w:rPr>
                <w:sz w:val="20"/>
                <w:szCs w:val="20"/>
                <w:color w:val="auto"/>
              </w:rPr>
            </w:pPr>
            <w:r>
              <w:rPr>
                <w:rFonts w:ascii="Arial" w:cs="Arial" w:eastAsia="Arial" w:hAnsi="Arial"/>
                <w:sz w:val="13"/>
                <w:szCs w:val="13"/>
                <w:color w:val="auto"/>
              </w:rPr>
              <w:t>$0</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100" w:type="dxa"/>
            <w:vAlign w:val="bottom"/>
          </w:tcPr>
          <w:p>
            <w:pPr>
              <w:jc w:val="center"/>
              <w:spacing w:after="0"/>
              <w:rPr>
                <w:sz w:val="20"/>
                <w:szCs w:val="20"/>
                <w:color w:val="auto"/>
              </w:rPr>
            </w:pPr>
            <w:r>
              <w:rPr>
                <w:rFonts w:ascii="Arial" w:cs="Arial" w:eastAsia="Arial" w:hAnsi="Arial"/>
                <w:sz w:val="13"/>
                <w:szCs w:val="13"/>
                <w:color w:val="auto"/>
                <w:w w:val="98"/>
              </w:rPr>
              <w:t>$2,685,276</w:t>
            </w:r>
          </w:p>
        </w:tc>
        <w:tc>
          <w:tcPr>
            <w:tcW w:w="1080" w:type="dxa"/>
            <w:vAlign w:val="bottom"/>
          </w:tcPr>
          <w:p>
            <w:pPr>
              <w:jc w:val="center"/>
              <w:spacing w:after="0"/>
              <w:rPr>
                <w:sz w:val="20"/>
                <w:szCs w:val="20"/>
                <w:color w:val="auto"/>
              </w:rPr>
            </w:pPr>
            <w:r>
              <w:rPr>
                <w:rFonts w:ascii="Arial" w:cs="Arial" w:eastAsia="Arial" w:hAnsi="Arial"/>
                <w:sz w:val="13"/>
                <w:szCs w:val="13"/>
                <w:color w:val="auto"/>
                <w:w w:val="93"/>
              </w:rPr>
              <w:t>$58,539</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$3,727,148</w:t>
            </w:r>
          </w:p>
        </w:tc>
        <w:tc>
          <w:tcPr>
            <w:tcW w:w="0" w:type="dxa"/>
            <w:vAlign w:val="bottom"/>
          </w:tcPr>
          <w:p>
            <w:pPr>
              <w:spacing w:after="0"/>
              <w:rPr>
                <w:sz w:val="1"/>
                <w:szCs w:val="1"/>
                <w:color w:val="auto"/>
              </w:rPr>
            </w:pPr>
          </w:p>
        </w:tc>
      </w:tr>
      <w:tr>
        <w:trPr>
          <w:trHeight w:val="128"/>
        </w:trPr>
        <w:tc>
          <w:tcPr>
            <w:tcW w:w="1340" w:type="dxa"/>
            <w:vAlign w:val="bottom"/>
          </w:tcPr>
          <w:p>
            <w:pPr>
              <w:ind w:left="20"/>
              <w:spacing w:after="0" w:line="128" w:lineRule="exact"/>
              <w:rPr>
                <w:sz w:val="20"/>
                <w:szCs w:val="20"/>
                <w:color w:val="auto"/>
              </w:rPr>
            </w:pPr>
            <w:r>
              <w:rPr>
                <w:rFonts w:ascii="Arial" w:cs="Arial" w:eastAsia="Arial" w:hAnsi="Arial"/>
                <w:sz w:val="13"/>
                <w:szCs w:val="13"/>
                <w:color w:val="auto"/>
              </w:rPr>
              <w:t>Former Senior Vice</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Arial" w:cs="Arial" w:eastAsia="Arial" w:hAnsi="Arial"/>
                <w:sz w:val="13"/>
                <w:szCs w:val="13"/>
                <w:color w:val="auto"/>
              </w:rPr>
              <w:t>President and Chief</w:t>
            </w: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340" w:type="dxa"/>
            <w:vAlign w:val="bottom"/>
          </w:tcPr>
          <w:p>
            <w:pPr>
              <w:ind w:left="20"/>
              <w:spacing w:after="0"/>
              <w:rPr>
                <w:sz w:val="20"/>
                <w:szCs w:val="20"/>
                <w:color w:val="auto"/>
              </w:rPr>
            </w:pPr>
            <w:r>
              <w:rPr>
                <w:rFonts w:ascii="Arial" w:cs="Arial" w:eastAsia="Arial" w:hAnsi="Arial"/>
                <w:sz w:val="13"/>
                <w:szCs w:val="13"/>
                <w:color w:val="auto"/>
              </w:rPr>
              <w:t>Financial Officer</w:t>
            </w:r>
          </w:p>
        </w:tc>
        <w:tc>
          <w:tcPr>
            <w:tcW w:w="520" w:type="dxa"/>
            <w:vAlign w:val="bottom"/>
            <w:vMerge w:val="restart"/>
          </w:tcPr>
          <w:p>
            <w:pPr>
              <w:ind w:left="140"/>
              <w:spacing w:after="0"/>
              <w:rPr>
                <w:sz w:val="20"/>
                <w:szCs w:val="20"/>
                <w:color w:val="auto"/>
              </w:rPr>
            </w:pPr>
            <w:r>
              <w:rPr>
                <w:rFonts w:ascii="Arial" w:cs="Arial" w:eastAsia="Arial" w:hAnsi="Arial"/>
                <w:sz w:val="13"/>
                <w:szCs w:val="13"/>
                <w:color w:val="auto"/>
              </w:rPr>
              <w:t>2019</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5"/>
              </w:rPr>
              <w:t>$895,833</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6"/>
              </w:rPr>
              <w:t>$0</w:t>
            </w:r>
          </w:p>
        </w:tc>
        <w:tc>
          <w:tcPr>
            <w:tcW w:w="760" w:type="dxa"/>
            <w:vAlign w:val="bottom"/>
            <w:vMerge w:val="restart"/>
          </w:tcPr>
          <w:p>
            <w:pPr>
              <w:jc w:val="right"/>
              <w:ind w:right="237"/>
              <w:spacing w:after="0"/>
              <w:rPr>
                <w:sz w:val="20"/>
                <w:szCs w:val="20"/>
                <w:color w:val="auto"/>
              </w:rPr>
            </w:pPr>
            <w:r>
              <w:rPr>
                <w:rFonts w:ascii="Arial" w:cs="Arial" w:eastAsia="Arial" w:hAnsi="Arial"/>
                <w:sz w:val="13"/>
                <w:szCs w:val="13"/>
                <w:color w:val="auto"/>
              </w:rPr>
              <w:t>$0</w:t>
            </w:r>
          </w:p>
        </w:tc>
        <w:tc>
          <w:tcPr>
            <w:tcW w:w="720" w:type="dxa"/>
            <w:vAlign w:val="bottom"/>
            <w:vMerge w:val="restart"/>
          </w:tcPr>
          <w:p>
            <w:pPr>
              <w:jc w:val="right"/>
              <w:ind w:right="217"/>
              <w:spacing w:after="0"/>
              <w:rPr>
                <w:sz w:val="20"/>
                <w:szCs w:val="20"/>
                <w:color w:val="auto"/>
              </w:rPr>
            </w:pPr>
            <w:r>
              <w:rPr>
                <w:rFonts w:ascii="Arial" w:cs="Arial" w:eastAsia="Arial" w:hAnsi="Arial"/>
                <w:sz w:val="13"/>
                <w:szCs w:val="13"/>
                <w:color w:val="auto"/>
              </w:rPr>
              <w:t>$0</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5"/>
              </w:rPr>
              <w:t>$1,182,948</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auto"/>
                <w:w w:val="98"/>
              </w:rPr>
              <w:t>$2,073,070</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3"/>
              </w:rPr>
              <w:t>$53,750</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5"/>
              </w:rPr>
              <w:t>$4,205,601</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The table directly above sets forth the amounts received by Mr. Smiley with respect to services rendered in fiscal years 2019 and 2020, and excludes the following amounts required to be reported in the Summary Compensation Table in this proxy statement, which were reduced or cancelled by the Compensation Committee in 2021 (and will not actually be received or retained by Mr. Smiley):</w:t>
      </w:r>
    </w:p>
    <w:p>
      <w:pPr>
        <w:spacing w:after="0" w:line="224" w:lineRule="exact"/>
        <w:rPr>
          <w:sz w:val="20"/>
          <w:szCs w:val="20"/>
          <w:color w:val="auto"/>
        </w:rPr>
      </w:pPr>
    </w:p>
    <w:p>
      <w:pPr>
        <w:ind w:left="660" w:right="160" w:hanging="328"/>
        <w:spacing w:after="0" w:line="242" w:lineRule="auto"/>
        <w:tabs>
          <w:tab w:leader="none" w:pos="622" w:val="left"/>
        </w:tabs>
        <w:numPr>
          <w:ilvl w:val="0"/>
          <w:numId w:val="96"/>
        </w:numPr>
        <w:rPr>
          <w:rFonts w:ascii="Arial" w:cs="Arial" w:eastAsia="Arial" w:hAnsi="Arial"/>
          <w:sz w:val="16"/>
          <w:szCs w:val="16"/>
          <w:color w:val="auto"/>
        </w:rPr>
      </w:pPr>
      <w:r>
        <w:rPr>
          <w:rFonts w:ascii="Arial" w:cs="Arial" w:eastAsia="Arial" w:hAnsi="Arial"/>
          <w:sz w:val="16"/>
          <w:szCs w:val="16"/>
          <w:color w:val="auto"/>
        </w:rPr>
        <w:t>$3,587,100 reported as Stock Awards for 2020, which represents the grant date fair value of the 2020-2022 SVA, 2020-2022 RVA, and 2020-2022 PA; and</w:t>
      </w:r>
    </w:p>
    <w:p>
      <w:pPr>
        <w:spacing w:after="0" w:line="222" w:lineRule="exact"/>
        <w:rPr>
          <w:rFonts w:ascii="Arial" w:cs="Arial" w:eastAsia="Arial" w:hAnsi="Arial"/>
          <w:sz w:val="16"/>
          <w:szCs w:val="16"/>
          <w:color w:val="auto"/>
        </w:rPr>
      </w:pPr>
    </w:p>
    <w:p>
      <w:pPr>
        <w:ind w:left="620" w:hanging="288"/>
        <w:spacing w:after="0"/>
        <w:tabs>
          <w:tab w:leader="none" w:pos="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$3,142,800 reported as Stock Awards for 2019, which represents the grant date fair value of the 2019-2021 SVA and 2019-2021 PA.</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table is not required by SEC rules and is not designed to replace the Summary Compensation Table. However, we believe it is useful for shareholders to understand the compensation paid to Mr. Smiley in connection with his services to the company in 2019 and 2020 that he will retain after the actions taken by the Compensation Committee in connection with his resignation. See “Agreement with Former Chief Financial Officer” below.</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P62</w:t>
      </w:r>
    </w:p>
    <w:p>
      <w:pPr>
        <w:sectPr>
          <w:pgSz w:w="11900" w:h="16838" w:orient="portrait"/>
          <w:cols w:equalWidth="0" w:num="1">
            <w:col w:w="11220"/>
          </w:cols>
          <w:pgMar w:left="320" w:top="887" w:right="359" w:bottom="1440" w:gutter="0" w:footer="0" w:header="0"/>
          <w:type w:val="continuous"/>
        </w:sectPr>
      </w:pPr>
    </w:p>
    <w:bookmarkStart w:id="67" w:name="page68"/>
    <w:bookmarkEnd w:id="67"/>
    <w:p>
      <w:pPr>
        <w:ind w:left="740" w:right="60" w:hanging="328"/>
        <w:spacing w:after="0" w:line="237" w:lineRule="auto"/>
        <w:tabs>
          <w:tab w:leader="none" w:pos="659"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value in the Total Compensation column is the sum of Salary, Bonus, Stock Awards, Option Awards, Non-Equity Incentive Plan Compensation, Change in Pension Value, and All Other Compensation reflected in this supplementary table for Mr. Smiley for fiscal years 2019 and 2020. See footnotes to the Summary Compensation Table for more information on the derivation of each of the figures included above.</w:t>
      </w:r>
    </w:p>
    <w:p>
      <w:pPr>
        <w:spacing w:after="0" w:line="235" w:lineRule="exact"/>
        <w:rPr>
          <w:rFonts w:ascii="Arial" w:cs="Arial" w:eastAsia="Arial" w:hAnsi="Arial"/>
          <w:sz w:val="16"/>
          <w:szCs w:val="16"/>
          <w:color w:val="auto"/>
        </w:rPr>
      </w:pPr>
    </w:p>
    <w:p>
      <w:pPr>
        <w:ind w:left="160" w:hanging="81"/>
        <w:spacing w:after="0" w:line="237" w:lineRule="auto"/>
        <w:rPr>
          <w:rFonts w:ascii="Arial" w:cs="Arial" w:eastAsia="Arial" w:hAnsi="Arial"/>
          <w:sz w:val="16"/>
          <w:szCs w:val="16"/>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This column shows the grant date fair value of performance awards, shareholder value awards and relative value awards for all named executive officers and an additional restricted stock unit award for Ms. Hakim computed in accordance with FASB ASC Topic 718. See </w:t>
      </w:r>
      <w:r>
        <w:rPr>
          <w:rFonts w:ascii="Arial" w:cs="Arial" w:eastAsia="Arial" w:hAnsi="Arial"/>
          <w:sz w:val="16"/>
          <w:szCs w:val="16"/>
          <w:u w:val="single" w:color="auto"/>
          <w:color w:val="auto"/>
        </w:rPr>
        <w:t>Note 12</w:t>
      </w:r>
      <w:r>
        <w:rPr>
          <w:rFonts w:ascii="Arial" w:cs="Arial" w:eastAsia="Arial" w:hAnsi="Arial"/>
          <w:sz w:val="16"/>
          <w:szCs w:val="16"/>
          <w:color w:val="auto"/>
        </w:rPr>
        <w:t xml:space="preserve"> of the consolidated financial statements in the company’s Annual Report on Form 10-K for the fiscal year ended December 31, 2020, for additional detail regarding assumptions underlying the valuation of equity awards. All values in the "Stock Awards" column were based upon the probable outcome of performance conditions as of the grant date, which vary year to year. As described above under "2020-2022 Performance Awards," the Compensation Committee decided to remove gains and losses from investments in equity securities when calculating non-GAAP EPS for 2021 and later years. The adjustment to the 2020-2022 Performance Award resulted in no incremental fair value, thus no additional value was included for this change.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comparison, the supplemental table below shows the total target grant values of stock awards approved by the Compensation Committee:</w:t>
      </w:r>
    </w:p>
    <w:p>
      <w:pPr>
        <w:spacing w:after="0" w:line="138" w:lineRule="exact"/>
        <w:rPr>
          <w:sz w:val="20"/>
          <w:szCs w:val="20"/>
          <w:color w:val="auto"/>
        </w:rPr>
      </w:pPr>
    </w:p>
    <w:tbl>
      <w:tblPr>
        <w:tblLayout w:type="fixed"/>
        <w:tblInd w:w="2620" w:type="dxa"/>
        <w:tblCellMar>
          <w:top w:w="0" w:type="dxa"/>
          <w:left w:w="0" w:type="dxa"/>
          <w:bottom w:w="0" w:type="dxa"/>
          <w:right w:w="0" w:type="dxa"/>
        </w:tblCellMar>
      </w:tblPr>
      <w:tr>
        <w:trPr>
          <w:trHeight w:val="190"/>
        </w:trPr>
        <w:tc>
          <w:tcPr>
            <w:tcW w:w="1340" w:type="dxa"/>
            <w:vAlign w:val="bottom"/>
          </w:tcPr>
          <w:p>
            <w:pPr>
              <w:spacing w:after="0"/>
              <w:rPr>
                <w:sz w:val="20"/>
                <w:szCs w:val="20"/>
                <w:color w:val="auto"/>
              </w:rPr>
            </w:pPr>
            <w:r>
              <w:rPr>
                <w:rFonts w:ascii="Arial" w:cs="Arial" w:eastAsia="Arial" w:hAnsi="Arial"/>
                <w:sz w:val="14"/>
                <w:szCs w:val="14"/>
                <w:b w:val="1"/>
                <w:bCs w:val="1"/>
                <w:color w:val="00ABE8"/>
              </w:rPr>
              <w:t>Name</w:t>
            </w:r>
          </w:p>
        </w:tc>
        <w:tc>
          <w:tcPr>
            <w:tcW w:w="1680" w:type="dxa"/>
            <w:vAlign w:val="bottom"/>
          </w:tcPr>
          <w:p>
            <w:pPr>
              <w:jc w:val="center"/>
              <w:ind w:left="208"/>
              <w:spacing w:after="0"/>
              <w:rPr>
                <w:sz w:val="20"/>
                <w:szCs w:val="20"/>
                <w:color w:val="auto"/>
              </w:rPr>
            </w:pPr>
            <w:r>
              <w:rPr>
                <w:rFonts w:ascii="Arial" w:cs="Arial" w:eastAsia="Arial" w:hAnsi="Arial"/>
                <w:sz w:val="14"/>
                <w:szCs w:val="14"/>
                <w:b w:val="1"/>
                <w:bCs w:val="1"/>
                <w:color w:val="00ABE8"/>
              </w:rPr>
              <w:t>2018 Total Equity</w:t>
            </w: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00ABE8"/>
              </w:rPr>
              <w:t>2019 Total Equity</w:t>
            </w:r>
          </w:p>
        </w:tc>
        <w:tc>
          <w:tcPr>
            <w:tcW w:w="1380" w:type="dxa"/>
            <w:vAlign w:val="bottom"/>
          </w:tcPr>
          <w:p>
            <w:pPr>
              <w:ind w:left="220"/>
              <w:spacing w:after="0"/>
              <w:rPr>
                <w:sz w:val="20"/>
                <w:szCs w:val="20"/>
                <w:color w:val="auto"/>
              </w:rPr>
            </w:pPr>
            <w:r>
              <w:rPr>
                <w:rFonts w:ascii="Arial" w:cs="Arial" w:eastAsia="Arial" w:hAnsi="Arial"/>
                <w:sz w:val="14"/>
                <w:szCs w:val="14"/>
                <w:b w:val="1"/>
                <w:bCs w:val="1"/>
                <w:color w:val="00ABE8"/>
                <w:w w:val="98"/>
              </w:rPr>
              <w:t>2020 Total Equity</w:t>
            </w:r>
          </w:p>
        </w:tc>
      </w:tr>
      <w:tr>
        <w:trPr>
          <w:trHeight w:val="229"/>
        </w:trPr>
        <w:tc>
          <w:tcPr>
            <w:tcW w:w="1340" w:type="dxa"/>
            <w:vAlign w:val="bottom"/>
          </w:tcPr>
          <w:p>
            <w:pPr>
              <w:spacing w:after="0"/>
              <w:rPr>
                <w:sz w:val="20"/>
                <w:szCs w:val="20"/>
                <w:color w:val="auto"/>
              </w:rPr>
            </w:pPr>
            <w:r>
              <w:rPr>
                <w:rFonts w:ascii="Arial" w:cs="Arial" w:eastAsia="Arial" w:hAnsi="Arial"/>
                <w:sz w:val="14"/>
                <w:szCs w:val="14"/>
                <w:color w:val="auto"/>
              </w:rPr>
              <w:t>Mr. Ricks</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$9,000,000</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$10,500,000</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$12,500,000</w:t>
            </w:r>
          </w:p>
        </w:tc>
      </w:tr>
      <w:tr>
        <w:trPr>
          <w:trHeight w:val="216"/>
        </w:trPr>
        <w:tc>
          <w:tcPr>
            <w:tcW w:w="1340" w:type="dxa"/>
            <w:vAlign w:val="bottom"/>
          </w:tcPr>
          <w:p>
            <w:pPr>
              <w:spacing w:after="0"/>
              <w:rPr>
                <w:sz w:val="20"/>
                <w:szCs w:val="20"/>
                <w:color w:val="auto"/>
              </w:rPr>
            </w:pPr>
            <w:r>
              <w:rPr>
                <w:rFonts w:ascii="Arial" w:cs="Arial" w:eastAsia="Arial" w:hAnsi="Arial"/>
                <w:sz w:val="14"/>
                <w:szCs w:val="14"/>
                <w:color w:val="auto"/>
              </w:rPr>
              <w:t>Mr. Smiley</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$2,300,000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rPr>
              <w:t>$2,700,000*</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$3,300,000*</w:t>
            </w:r>
          </w:p>
        </w:tc>
      </w:tr>
      <w:tr>
        <w:trPr>
          <w:trHeight w:val="216"/>
        </w:trPr>
        <w:tc>
          <w:tcPr>
            <w:tcW w:w="1340" w:type="dxa"/>
            <w:vAlign w:val="bottom"/>
          </w:tcPr>
          <w:p>
            <w:pPr>
              <w:spacing w:after="0"/>
              <w:rPr>
                <w:sz w:val="20"/>
                <w:szCs w:val="20"/>
                <w:color w:val="auto"/>
              </w:rPr>
            </w:pPr>
            <w:r>
              <w:rPr>
                <w:rFonts w:ascii="Arial" w:cs="Arial" w:eastAsia="Arial" w:hAnsi="Arial"/>
                <w:sz w:val="14"/>
                <w:szCs w:val="14"/>
                <w:color w:val="auto"/>
              </w:rPr>
              <w:t>Dr. Skovronsky</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$2,300,000</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$3,500,000</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$4,100,000</w:t>
            </w:r>
          </w:p>
        </w:tc>
      </w:tr>
      <w:tr>
        <w:trPr>
          <w:trHeight w:val="216"/>
        </w:trPr>
        <w:tc>
          <w:tcPr>
            <w:tcW w:w="1340" w:type="dxa"/>
            <w:vAlign w:val="bottom"/>
          </w:tcPr>
          <w:p>
            <w:pPr>
              <w:spacing w:after="0"/>
              <w:rPr>
                <w:sz w:val="20"/>
                <w:szCs w:val="20"/>
                <w:color w:val="auto"/>
              </w:rPr>
            </w:pPr>
            <w:r>
              <w:rPr>
                <w:rFonts w:ascii="Arial" w:cs="Arial" w:eastAsia="Arial" w:hAnsi="Arial"/>
                <w:sz w:val="14"/>
                <w:szCs w:val="14"/>
                <w:color w:val="auto"/>
              </w:rPr>
              <w:t>Ms. Hakim**</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N/A</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N/A</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$4,000,043</w:t>
            </w:r>
          </w:p>
        </w:tc>
      </w:tr>
      <w:tr>
        <w:trPr>
          <w:trHeight w:val="256"/>
        </w:trPr>
        <w:tc>
          <w:tcPr>
            <w:tcW w:w="1340" w:type="dxa"/>
            <w:vAlign w:val="bottom"/>
          </w:tcPr>
          <w:p>
            <w:pPr>
              <w:spacing w:after="0"/>
              <w:rPr>
                <w:sz w:val="20"/>
                <w:szCs w:val="20"/>
                <w:color w:val="auto"/>
              </w:rPr>
            </w:pPr>
            <w:r>
              <w:rPr>
                <w:rFonts w:ascii="Arial" w:cs="Arial" w:eastAsia="Arial" w:hAnsi="Arial"/>
                <w:sz w:val="14"/>
                <w:szCs w:val="14"/>
                <w:color w:val="auto"/>
              </w:rPr>
              <w:t>Mr. Zulueta**</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N/A</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N/A</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$2,250,000</w:t>
            </w:r>
          </w:p>
        </w:tc>
      </w:tr>
    </w:tbl>
    <w:p>
      <w:pPr>
        <w:spacing w:after="0" w:line="98" w:lineRule="exact"/>
        <w:rPr>
          <w:sz w:val="20"/>
          <w:szCs w:val="20"/>
          <w:color w:val="auto"/>
        </w:rPr>
      </w:pPr>
    </w:p>
    <w:p>
      <w:pPr>
        <w:ind w:left="2620" w:right="2680" w:hanging="3"/>
        <w:spacing w:after="0" w:line="212" w:lineRule="auto"/>
        <w:tabs>
          <w:tab w:leader="none" w:pos="2716" w:val="left"/>
        </w:tabs>
        <w:numPr>
          <w:ilvl w:val="0"/>
          <w:numId w:val="98"/>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the Compensation Committee cancelled his 2019 and 2020 equity awards. The target amount of $2,700,000 and $3,300,000 for his 2019 and 2020 annual equity grants have been reduced to $0. See the discussion of Mr. Smiley's Separation Agreement under "Agreement with Former Chief Financial Officer".</w:t>
      </w:r>
    </w:p>
    <w:p>
      <w:pPr>
        <w:spacing w:after="0" w:line="8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 Ms. Hakim and Mr. Zulueta were not named executive officers in 2018 or 2019.</w:t>
      </w:r>
    </w:p>
    <w:p>
      <w:pPr>
        <w:spacing w:after="0" w:line="93" w:lineRule="exact"/>
        <w:rPr>
          <w:sz w:val="20"/>
          <w:szCs w:val="20"/>
          <w:color w:val="auto"/>
        </w:rPr>
      </w:pPr>
    </w:p>
    <w:p>
      <w:pPr>
        <w:jc w:val="both"/>
        <w:ind w:left="80" w:right="20"/>
        <w:spacing w:after="0" w:line="253" w:lineRule="auto"/>
        <w:rPr>
          <w:sz w:val="20"/>
          <w:szCs w:val="20"/>
          <w:color w:val="auto"/>
        </w:rPr>
      </w:pPr>
      <w:r>
        <w:rPr>
          <w:rFonts w:ascii="Arial" w:cs="Arial" w:eastAsia="Arial" w:hAnsi="Arial"/>
          <w:sz w:val="16"/>
          <w:szCs w:val="16"/>
          <w:color w:val="auto"/>
        </w:rPr>
        <w:t>The table below shows the minimum, target, and maximum payouts (valuing the number of shares that would vest at each payout level using the grant date fair value of a share of Lilly common stock on the date of grant) for the 2020-2022 performance award included in the Summary Compensation Table, which will pay out in February 2023.</w:t>
      </w:r>
    </w:p>
    <w:p>
      <w:pPr>
        <w:spacing w:after="0" w:line="281" w:lineRule="exact"/>
        <w:rPr>
          <w:sz w:val="20"/>
          <w:szCs w:val="20"/>
          <w:color w:val="auto"/>
        </w:rPr>
      </w:pPr>
    </w:p>
    <w:tbl>
      <w:tblPr>
        <w:tblLayout w:type="fixed"/>
        <w:tblInd w:w="262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Arial" w:cs="Arial" w:eastAsia="Arial" w:hAnsi="Arial"/>
                <w:sz w:val="14"/>
                <w:szCs w:val="14"/>
                <w:b w:val="1"/>
                <w:bCs w:val="1"/>
                <w:color w:val="00ABE8"/>
              </w:rPr>
              <w:t>Name</w:t>
            </w:r>
          </w:p>
        </w:tc>
        <w:tc>
          <w:tcPr>
            <w:tcW w:w="1700" w:type="dxa"/>
            <w:vAlign w:val="bottom"/>
          </w:tcPr>
          <w:p>
            <w:pPr>
              <w:jc w:val="center"/>
              <w:ind w:left="148"/>
              <w:spacing w:after="0"/>
              <w:rPr>
                <w:sz w:val="20"/>
                <w:szCs w:val="20"/>
                <w:color w:val="auto"/>
              </w:rPr>
            </w:pPr>
            <w:r>
              <w:rPr>
                <w:rFonts w:ascii="Arial" w:cs="Arial" w:eastAsia="Arial" w:hAnsi="Arial"/>
                <w:sz w:val="14"/>
                <w:szCs w:val="14"/>
                <w:b w:val="1"/>
                <w:bCs w:val="1"/>
                <w:color w:val="00ABE8"/>
              </w:rPr>
              <w:t>Minimum Payout</w:t>
            </w:r>
          </w:p>
        </w:tc>
        <w:tc>
          <w:tcPr>
            <w:tcW w:w="1400" w:type="dxa"/>
            <w:vAlign w:val="bottom"/>
          </w:tcPr>
          <w:p>
            <w:pPr>
              <w:ind w:left="180"/>
              <w:spacing w:after="0"/>
              <w:rPr>
                <w:sz w:val="20"/>
                <w:szCs w:val="20"/>
                <w:color w:val="auto"/>
              </w:rPr>
            </w:pPr>
            <w:r>
              <w:rPr>
                <w:rFonts w:ascii="Arial" w:cs="Arial" w:eastAsia="Arial" w:hAnsi="Arial"/>
                <w:sz w:val="14"/>
                <w:szCs w:val="14"/>
                <w:b w:val="1"/>
                <w:bCs w:val="1"/>
                <w:color w:val="00ABE8"/>
              </w:rPr>
              <w:t>Target Payout</w:t>
            </w:r>
          </w:p>
        </w:tc>
        <w:tc>
          <w:tcPr>
            <w:tcW w:w="1460" w:type="dxa"/>
            <w:vAlign w:val="bottom"/>
          </w:tcPr>
          <w:p>
            <w:pPr>
              <w:jc w:val="center"/>
              <w:ind w:left="188"/>
              <w:spacing w:after="0"/>
              <w:rPr>
                <w:sz w:val="20"/>
                <w:szCs w:val="20"/>
                <w:color w:val="auto"/>
              </w:rPr>
            </w:pPr>
            <w:r>
              <w:rPr>
                <w:rFonts w:ascii="Arial" w:cs="Arial" w:eastAsia="Arial" w:hAnsi="Arial"/>
                <w:sz w:val="14"/>
                <w:szCs w:val="14"/>
                <w:b w:val="1"/>
                <w:bCs w:val="1"/>
                <w:color w:val="00ABE8"/>
              </w:rPr>
              <w:t>Maximum Payout</w:t>
            </w:r>
          </w:p>
        </w:tc>
      </w:tr>
      <w:tr>
        <w:trPr>
          <w:trHeight w:val="229"/>
        </w:trPr>
        <w:tc>
          <w:tcPr>
            <w:tcW w:w="1360" w:type="dxa"/>
            <w:vAlign w:val="bottom"/>
          </w:tcPr>
          <w:p>
            <w:pPr>
              <w:spacing w:after="0"/>
              <w:rPr>
                <w:sz w:val="20"/>
                <w:szCs w:val="20"/>
                <w:color w:val="auto"/>
              </w:rPr>
            </w:pPr>
            <w:r>
              <w:rPr>
                <w:rFonts w:ascii="Arial" w:cs="Arial" w:eastAsia="Arial" w:hAnsi="Arial"/>
                <w:sz w:val="14"/>
                <w:szCs w:val="14"/>
                <w:color w:val="auto"/>
              </w:rPr>
              <w:t>Mr. Ricks</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$3,750,000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$6,562,500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Mr. Smiley*</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$990,000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$1,732,500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Dr. Skovronsky</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$1,230,000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$2,152,500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Ms. Hakim</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$600,000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$1,050,000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Mr. Zulueta</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$675,000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$1,181,250</w:t>
            </w:r>
          </w:p>
        </w:tc>
      </w:tr>
    </w:tbl>
    <w:p>
      <w:pPr>
        <w:spacing w:after="0" w:line="219" w:lineRule="exact"/>
        <w:rPr>
          <w:sz w:val="20"/>
          <w:szCs w:val="20"/>
          <w:color w:val="auto"/>
        </w:rPr>
      </w:pPr>
    </w:p>
    <w:p>
      <w:pPr>
        <w:jc w:val="both"/>
        <w:ind w:left="2620" w:right="2700" w:hanging="3"/>
        <w:spacing w:after="0" w:line="215" w:lineRule="auto"/>
        <w:tabs>
          <w:tab w:leader="none" w:pos="2716" w:val="left"/>
        </w:tabs>
        <w:numPr>
          <w:ilvl w:val="0"/>
          <w:numId w:val="99"/>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the Compensation Committee cancelled his 2020-2022 performance award; therefore, Mr. Smiley will realize $0 from this award. See the discussion of Mr. Smiley's Separation Agreement under "Agreement with Former Chief Financial Officer".</w:t>
      </w:r>
    </w:p>
    <w:p>
      <w:pPr>
        <w:spacing w:after="0" w:line="33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The table below shows the minimum, target, and maximum payouts (valuing the number of shares that would vest at each payout level using the grant date fair value of a share of Lilly common stock on the date of grant) for the 2020-2022 shareholder value award included in the Summary Compensation Table, which will pay out in February 2023.</w:t>
      </w:r>
    </w:p>
    <w:p>
      <w:pPr>
        <w:spacing w:after="0" w:line="348" w:lineRule="exact"/>
        <w:rPr>
          <w:sz w:val="20"/>
          <w:szCs w:val="20"/>
          <w:color w:val="auto"/>
        </w:rPr>
      </w:pPr>
    </w:p>
    <w:tbl>
      <w:tblPr>
        <w:tblLayout w:type="fixed"/>
        <w:tblInd w:w="262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Arial" w:cs="Arial" w:eastAsia="Arial" w:hAnsi="Arial"/>
                <w:sz w:val="14"/>
                <w:szCs w:val="14"/>
                <w:b w:val="1"/>
                <w:bCs w:val="1"/>
                <w:color w:val="00ABE8"/>
              </w:rPr>
              <w:t>Name</w:t>
            </w:r>
          </w:p>
        </w:tc>
        <w:tc>
          <w:tcPr>
            <w:tcW w:w="1700" w:type="dxa"/>
            <w:vAlign w:val="bottom"/>
          </w:tcPr>
          <w:p>
            <w:pPr>
              <w:jc w:val="center"/>
              <w:ind w:left="148"/>
              <w:spacing w:after="0"/>
              <w:rPr>
                <w:sz w:val="20"/>
                <w:szCs w:val="20"/>
                <w:color w:val="auto"/>
              </w:rPr>
            </w:pPr>
            <w:r>
              <w:rPr>
                <w:rFonts w:ascii="Arial" w:cs="Arial" w:eastAsia="Arial" w:hAnsi="Arial"/>
                <w:sz w:val="14"/>
                <w:szCs w:val="14"/>
                <w:b w:val="1"/>
                <w:bCs w:val="1"/>
                <w:color w:val="00ABE8"/>
              </w:rPr>
              <w:t>Minimum Payout</w:t>
            </w:r>
          </w:p>
        </w:tc>
        <w:tc>
          <w:tcPr>
            <w:tcW w:w="1400" w:type="dxa"/>
            <w:vAlign w:val="bottom"/>
          </w:tcPr>
          <w:p>
            <w:pPr>
              <w:ind w:left="180"/>
              <w:spacing w:after="0"/>
              <w:rPr>
                <w:sz w:val="20"/>
                <w:szCs w:val="20"/>
                <w:color w:val="auto"/>
              </w:rPr>
            </w:pPr>
            <w:r>
              <w:rPr>
                <w:rFonts w:ascii="Arial" w:cs="Arial" w:eastAsia="Arial" w:hAnsi="Arial"/>
                <w:sz w:val="14"/>
                <w:szCs w:val="14"/>
                <w:b w:val="1"/>
                <w:bCs w:val="1"/>
                <w:color w:val="00ABE8"/>
              </w:rPr>
              <w:t>Target Payout</w:t>
            </w:r>
          </w:p>
        </w:tc>
        <w:tc>
          <w:tcPr>
            <w:tcW w:w="1460" w:type="dxa"/>
            <w:vAlign w:val="bottom"/>
          </w:tcPr>
          <w:p>
            <w:pPr>
              <w:jc w:val="center"/>
              <w:ind w:left="188"/>
              <w:spacing w:after="0"/>
              <w:rPr>
                <w:sz w:val="20"/>
                <w:szCs w:val="20"/>
                <w:color w:val="auto"/>
              </w:rPr>
            </w:pPr>
            <w:r>
              <w:rPr>
                <w:rFonts w:ascii="Arial" w:cs="Arial" w:eastAsia="Arial" w:hAnsi="Arial"/>
                <w:sz w:val="14"/>
                <w:szCs w:val="14"/>
                <w:b w:val="1"/>
                <w:bCs w:val="1"/>
                <w:color w:val="00ABE8"/>
              </w:rPr>
              <w:t>Maximum Payout</w:t>
            </w:r>
          </w:p>
        </w:tc>
      </w:tr>
      <w:tr>
        <w:trPr>
          <w:trHeight w:val="230"/>
        </w:trPr>
        <w:tc>
          <w:tcPr>
            <w:tcW w:w="1360" w:type="dxa"/>
            <w:vAlign w:val="bottom"/>
          </w:tcPr>
          <w:p>
            <w:pPr>
              <w:spacing w:after="0"/>
              <w:rPr>
                <w:sz w:val="20"/>
                <w:szCs w:val="20"/>
                <w:color w:val="auto"/>
              </w:rPr>
            </w:pPr>
            <w:r>
              <w:rPr>
                <w:rFonts w:ascii="Arial" w:cs="Arial" w:eastAsia="Arial" w:hAnsi="Arial"/>
                <w:sz w:val="14"/>
                <w:szCs w:val="14"/>
                <w:color w:val="auto"/>
              </w:rPr>
              <w:t>Mr. Ricks</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$4,375,000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$7,656,250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Mr. Smiley*</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$1,155,000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$2,021,250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Dr. Skovronsky</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$1,435,000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$2,511,250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Ms. Hakim</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$700,000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$1,225,000</w:t>
            </w:r>
          </w:p>
        </w:tc>
      </w:tr>
      <w:tr>
        <w:trPr>
          <w:trHeight w:val="216"/>
        </w:trPr>
        <w:tc>
          <w:tcPr>
            <w:tcW w:w="1360" w:type="dxa"/>
            <w:vAlign w:val="bottom"/>
          </w:tcPr>
          <w:p>
            <w:pPr>
              <w:spacing w:after="0"/>
              <w:rPr>
                <w:sz w:val="20"/>
                <w:szCs w:val="20"/>
                <w:color w:val="auto"/>
              </w:rPr>
            </w:pPr>
            <w:r>
              <w:rPr>
                <w:rFonts w:ascii="Arial" w:cs="Arial" w:eastAsia="Arial" w:hAnsi="Arial"/>
                <w:sz w:val="14"/>
                <w:szCs w:val="14"/>
                <w:color w:val="auto"/>
              </w:rPr>
              <w:t>Mr. Zulueta</w:t>
            </w:r>
          </w:p>
        </w:tc>
        <w:tc>
          <w:tcPr>
            <w:tcW w:w="1700" w:type="dxa"/>
            <w:vAlign w:val="bottom"/>
          </w:tcPr>
          <w:p>
            <w:pPr>
              <w:jc w:val="center"/>
              <w:ind w:left="148"/>
              <w:spacing w:after="0"/>
              <w:rPr>
                <w:sz w:val="20"/>
                <w:szCs w:val="20"/>
                <w:color w:val="auto"/>
              </w:rPr>
            </w:pPr>
            <w:r>
              <w:rPr>
                <w:rFonts w:ascii="Arial" w:cs="Arial" w:eastAsia="Arial" w:hAnsi="Arial"/>
                <w:sz w:val="14"/>
                <w:szCs w:val="14"/>
                <w:color w:val="auto"/>
              </w:rPr>
              <w:t>$0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$787,500</w:t>
            </w:r>
          </w:p>
        </w:tc>
        <w:tc>
          <w:tcPr>
            <w:tcW w:w="1460" w:type="dxa"/>
            <w:vAlign w:val="bottom"/>
          </w:tcPr>
          <w:p>
            <w:pPr>
              <w:jc w:val="center"/>
              <w:ind w:left="188"/>
              <w:spacing w:after="0"/>
              <w:rPr>
                <w:sz w:val="20"/>
                <w:szCs w:val="20"/>
                <w:color w:val="auto"/>
              </w:rPr>
            </w:pPr>
            <w:r>
              <w:rPr>
                <w:rFonts w:ascii="Arial" w:cs="Arial" w:eastAsia="Arial" w:hAnsi="Arial"/>
                <w:sz w:val="14"/>
                <w:szCs w:val="14"/>
                <w:color w:val="auto"/>
              </w:rPr>
              <w:t>$1,378,125</w:t>
            </w:r>
          </w:p>
        </w:tc>
      </w:tr>
    </w:tbl>
    <w:p>
      <w:pPr>
        <w:spacing w:after="0" w:line="138" w:lineRule="exact"/>
        <w:rPr>
          <w:sz w:val="20"/>
          <w:szCs w:val="20"/>
          <w:color w:val="auto"/>
        </w:rPr>
      </w:pPr>
    </w:p>
    <w:p>
      <w:pPr>
        <w:ind w:left="2740" w:right="2720" w:hanging="123"/>
        <w:spacing w:after="0"/>
        <w:tabs>
          <w:tab w:leader="none" w:pos="271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the Compensation Committee cancelled his 2020-2022 shareholder value award; therefore, Mr. Smiley will realize $0 from this award. See the discussion of Mr. Smiley's Separation Agreement under "Agreement with Former Chief Financial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P63</w:t>
      </w:r>
    </w:p>
    <w:p>
      <w:pPr>
        <w:sectPr>
          <w:pgSz w:w="11900" w:h="16838" w:orient="portrait"/>
          <w:cols w:equalWidth="0" w:num="1">
            <w:col w:w="11240"/>
          </w:cols>
          <w:pgMar w:left="240" w:top="897" w:right="419" w:bottom="1440" w:gutter="0" w:footer="0" w:header="0"/>
        </w:sectPr>
      </w:pPr>
    </w:p>
    <w:bookmarkStart w:id="68" w:name="page69"/>
    <w:bookmarkEnd w:id="68"/>
    <w:p>
      <w:pPr>
        <w:jc w:val="both"/>
        <w:ind w:right="20"/>
        <w:spacing w:after="0" w:line="253" w:lineRule="auto"/>
        <w:rPr>
          <w:sz w:val="20"/>
          <w:szCs w:val="20"/>
          <w:color w:val="auto"/>
        </w:rPr>
      </w:pPr>
      <w:r>
        <w:rPr>
          <w:rFonts w:ascii="Arial" w:cs="Arial" w:eastAsia="Arial" w:hAnsi="Arial"/>
          <w:sz w:val="16"/>
          <w:szCs w:val="16"/>
          <w:color w:val="auto"/>
        </w:rPr>
        <w:t>The table below shows the minimum, target, and maximum payouts (valuing the number of shares that would vest at each payout level using the grant date fair value of a share of Lilly common stock on the date of grant) for the 2020-2022 relative value award included in the Summary Compensation Table, which will pay out in February 2023.</w:t>
      </w:r>
    </w:p>
    <w:p>
      <w:pPr>
        <w:spacing w:after="0" w:line="267" w:lineRule="exact"/>
        <w:rPr>
          <w:sz w:val="20"/>
          <w:szCs w:val="20"/>
          <w:color w:val="auto"/>
        </w:rPr>
      </w:pPr>
    </w:p>
    <w:tbl>
      <w:tblPr>
        <w:tblLayout w:type="fixed"/>
        <w:tblInd w:w="1860" w:type="dxa"/>
        <w:tblCellMar>
          <w:top w:w="0" w:type="dxa"/>
          <w:left w:w="0" w:type="dxa"/>
          <w:bottom w:w="0" w:type="dxa"/>
          <w:right w:w="0" w:type="dxa"/>
        </w:tblCellMar>
      </w:tblPr>
      <w:tr>
        <w:trPr>
          <w:trHeight w:val="190"/>
        </w:trPr>
        <w:tc>
          <w:tcPr>
            <w:tcW w:w="1620" w:type="dxa"/>
            <w:vAlign w:val="bottom"/>
          </w:tcPr>
          <w:p>
            <w:pPr>
              <w:spacing w:after="0"/>
              <w:rPr>
                <w:sz w:val="20"/>
                <w:szCs w:val="20"/>
                <w:color w:val="auto"/>
              </w:rPr>
            </w:pPr>
            <w:r>
              <w:rPr>
                <w:rFonts w:ascii="Arial" w:cs="Arial" w:eastAsia="Arial" w:hAnsi="Arial"/>
                <w:sz w:val="14"/>
                <w:szCs w:val="14"/>
                <w:b w:val="1"/>
                <w:bCs w:val="1"/>
                <w:color w:val="00ABE8"/>
              </w:rPr>
              <w:t>Name</w:t>
            </w:r>
          </w:p>
        </w:tc>
        <w:tc>
          <w:tcPr>
            <w:tcW w:w="2120" w:type="dxa"/>
            <w:vAlign w:val="bottom"/>
          </w:tcPr>
          <w:p>
            <w:pPr>
              <w:jc w:val="center"/>
              <w:ind w:left="268"/>
              <w:spacing w:after="0"/>
              <w:rPr>
                <w:sz w:val="20"/>
                <w:szCs w:val="20"/>
                <w:color w:val="auto"/>
              </w:rPr>
            </w:pPr>
            <w:r>
              <w:rPr>
                <w:rFonts w:ascii="Arial" w:cs="Arial" w:eastAsia="Arial" w:hAnsi="Arial"/>
                <w:sz w:val="14"/>
                <w:szCs w:val="14"/>
                <w:b w:val="1"/>
                <w:bCs w:val="1"/>
                <w:color w:val="00ABE8"/>
              </w:rPr>
              <w:t>Minimum Payout</w:t>
            </w:r>
          </w:p>
        </w:tc>
        <w:tc>
          <w:tcPr>
            <w:tcW w:w="1700" w:type="dxa"/>
            <w:vAlign w:val="bottom"/>
          </w:tcPr>
          <w:p>
            <w:pPr>
              <w:ind w:left="320"/>
              <w:spacing w:after="0"/>
              <w:rPr>
                <w:sz w:val="20"/>
                <w:szCs w:val="20"/>
                <w:color w:val="auto"/>
              </w:rPr>
            </w:pPr>
            <w:r>
              <w:rPr>
                <w:rFonts w:ascii="Arial" w:cs="Arial" w:eastAsia="Arial" w:hAnsi="Arial"/>
                <w:sz w:val="14"/>
                <w:szCs w:val="14"/>
                <w:b w:val="1"/>
                <w:bCs w:val="1"/>
                <w:color w:val="00ABE8"/>
              </w:rPr>
              <w:t>Target Payout</w:t>
            </w:r>
          </w:p>
        </w:tc>
        <w:tc>
          <w:tcPr>
            <w:tcW w:w="1620" w:type="dxa"/>
            <w:vAlign w:val="bottom"/>
          </w:tcPr>
          <w:p>
            <w:pPr>
              <w:jc w:val="center"/>
              <w:ind w:left="368"/>
              <w:spacing w:after="0"/>
              <w:rPr>
                <w:sz w:val="20"/>
                <w:szCs w:val="20"/>
                <w:color w:val="auto"/>
              </w:rPr>
            </w:pPr>
            <w:r>
              <w:rPr>
                <w:rFonts w:ascii="Arial" w:cs="Arial" w:eastAsia="Arial" w:hAnsi="Arial"/>
                <w:sz w:val="14"/>
                <w:szCs w:val="14"/>
                <w:b w:val="1"/>
                <w:bCs w:val="1"/>
                <w:color w:val="00ABE8"/>
              </w:rPr>
              <w:t>Maximum Payout</w:t>
            </w:r>
          </w:p>
        </w:tc>
      </w:tr>
      <w:tr>
        <w:trPr>
          <w:trHeight w:val="203"/>
        </w:trPr>
        <w:tc>
          <w:tcPr>
            <w:tcW w:w="1620" w:type="dxa"/>
            <w:vAlign w:val="bottom"/>
          </w:tcPr>
          <w:p>
            <w:pPr>
              <w:spacing w:after="0"/>
              <w:rPr>
                <w:sz w:val="20"/>
                <w:szCs w:val="20"/>
                <w:color w:val="auto"/>
              </w:rPr>
            </w:pPr>
            <w:r>
              <w:rPr>
                <w:rFonts w:ascii="Arial" w:cs="Arial" w:eastAsia="Arial" w:hAnsi="Arial"/>
                <w:sz w:val="14"/>
                <w:szCs w:val="14"/>
                <w:color w:val="auto"/>
              </w:rPr>
              <w:t>Mr. Ricks</w:t>
            </w:r>
          </w:p>
        </w:tc>
        <w:tc>
          <w:tcPr>
            <w:tcW w:w="2120" w:type="dxa"/>
            <w:vAlign w:val="bottom"/>
          </w:tcPr>
          <w:p>
            <w:pPr>
              <w:jc w:val="center"/>
              <w:ind w:left="248"/>
              <w:spacing w:after="0"/>
              <w:rPr>
                <w:sz w:val="20"/>
                <w:szCs w:val="20"/>
                <w:color w:val="auto"/>
              </w:rPr>
            </w:pPr>
            <w:r>
              <w:rPr>
                <w:rFonts w:ascii="Arial" w:cs="Arial" w:eastAsia="Arial" w:hAnsi="Arial"/>
                <w:sz w:val="14"/>
                <w:szCs w:val="14"/>
                <w:color w:val="auto"/>
              </w:rPr>
              <w:t>$0</w:t>
            </w:r>
          </w:p>
        </w:tc>
        <w:tc>
          <w:tcPr>
            <w:tcW w:w="1700" w:type="dxa"/>
            <w:vAlign w:val="bottom"/>
          </w:tcPr>
          <w:p>
            <w:pPr>
              <w:jc w:val="center"/>
              <w:ind w:right="68"/>
              <w:spacing w:after="0"/>
              <w:rPr>
                <w:sz w:val="20"/>
                <w:szCs w:val="20"/>
                <w:color w:val="auto"/>
              </w:rPr>
            </w:pPr>
            <w:r>
              <w:rPr>
                <w:rFonts w:ascii="Arial" w:cs="Arial" w:eastAsia="Arial" w:hAnsi="Arial"/>
                <w:sz w:val="14"/>
                <w:szCs w:val="14"/>
                <w:color w:val="auto"/>
              </w:rPr>
              <w:t>$4,375,000</w:t>
            </w:r>
          </w:p>
        </w:tc>
        <w:tc>
          <w:tcPr>
            <w:tcW w:w="1620" w:type="dxa"/>
            <w:vAlign w:val="bottom"/>
          </w:tcPr>
          <w:p>
            <w:pPr>
              <w:jc w:val="center"/>
              <w:ind w:left="388"/>
              <w:spacing w:after="0"/>
              <w:rPr>
                <w:sz w:val="20"/>
                <w:szCs w:val="20"/>
                <w:color w:val="auto"/>
              </w:rPr>
            </w:pPr>
            <w:r>
              <w:rPr>
                <w:rFonts w:ascii="Arial" w:cs="Arial" w:eastAsia="Arial" w:hAnsi="Arial"/>
                <w:sz w:val="14"/>
                <w:szCs w:val="14"/>
                <w:color w:val="auto"/>
              </w:rPr>
              <w:t>$7,656,250</w:t>
            </w:r>
          </w:p>
        </w:tc>
      </w:tr>
      <w:tr>
        <w:trPr>
          <w:trHeight w:val="189"/>
        </w:trPr>
        <w:tc>
          <w:tcPr>
            <w:tcW w:w="1620" w:type="dxa"/>
            <w:vAlign w:val="bottom"/>
          </w:tcPr>
          <w:p>
            <w:pPr>
              <w:spacing w:after="0"/>
              <w:rPr>
                <w:sz w:val="20"/>
                <w:szCs w:val="20"/>
                <w:color w:val="auto"/>
              </w:rPr>
            </w:pPr>
            <w:r>
              <w:rPr>
                <w:rFonts w:ascii="Arial" w:cs="Arial" w:eastAsia="Arial" w:hAnsi="Arial"/>
                <w:sz w:val="14"/>
                <w:szCs w:val="14"/>
                <w:color w:val="auto"/>
              </w:rPr>
              <w:t>Mr. Smiley*</w:t>
            </w:r>
          </w:p>
        </w:tc>
        <w:tc>
          <w:tcPr>
            <w:tcW w:w="2120" w:type="dxa"/>
            <w:vAlign w:val="bottom"/>
          </w:tcPr>
          <w:p>
            <w:pPr>
              <w:jc w:val="center"/>
              <w:ind w:left="248"/>
              <w:spacing w:after="0"/>
              <w:rPr>
                <w:sz w:val="20"/>
                <w:szCs w:val="20"/>
                <w:color w:val="auto"/>
              </w:rPr>
            </w:pPr>
            <w:r>
              <w:rPr>
                <w:rFonts w:ascii="Arial" w:cs="Arial" w:eastAsia="Arial" w:hAnsi="Arial"/>
                <w:sz w:val="14"/>
                <w:szCs w:val="14"/>
                <w:color w:val="auto"/>
              </w:rPr>
              <w:t>$0</w:t>
            </w:r>
          </w:p>
        </w:tc>
        <w:tc>
          <w:tcPr>
            <w:tcW w:w="1700" w:type="dxa"/>
            <w:vAlign w:val="bottom"/>
          </w:tcPr>
          <w:p>
            <w:pPr>
              <w:jc w:val="center"/>
              <w:ind w:right="68"/>
              <w:spacing w:after="0"/>
              <w:rPr>
                <w:sz w:val="20"/>
                <w:szCs w:val="20"/>
                <w:color w:val="auto"/>
              </w:rPr>
            </w:pPr>
            <w:r>
              <w:rPr>
                <w:rFonts w:ascii="Arial" w:cs="Arial" w:eastAsia="Arial" w:hAnsi="Arial"/>
                <w:sz w:val="14"/>
                <w:szCs w:val="14"/>
                <w:color w:val="auto"/>
              </w:rPr>
              <w:t>$1,155,000</w:t>
            </w:r>
          </w:p>
        </w:tc>
        <w:tc>
          <w:tcPr>
            <w:tcW w:w="1620" w:type="dxa"/>
            <w:vAlign w:val="bottom"/>
          </w:tcPr>
          <w:p>
            <w:pPr>
              <w:jc w:val="center"/>
              <w:ind w:left="388"/>
              <w:spacing w:after="0"/>
              <w:rPr>
                <w:sz w:val="20"/>
                <w:szCs w:val="20"/>
                <w:color w:val="auto"/>
              </w:rPr>
            </w:pPr>
            <w:r>
              <w:rPr>
                <w:rFonts w:ascii="Arial" w:cs="Arial" w:eastAsia="Arial" w:hAnsi="Arial"/>
                <w:sz w:val="14"/>
                <w:szCs w:val="14"/>
                <w:color w:val="auto"/>
              </w:rPr>
              <w:t>$2,021,250</w:t>
            </w:r>
          </w:p>
        </w:tc>
      </w:tr>
      <w:tr>
        <w:trPr>
          <w:trHeight w:val="189"/>
        </w:trPr>
        <w:tc>
          <w:tcPr>
            <w:tcW w:w="1620" w:type="dxa"/>
            <w:vAlign w:val="bottom"/>
          </w:tcPr>
          <w:p>
            <w:pPr>
              <w:spacing w:after="0"/>
              <w:rPr>
                <w:sz w:val="20"/>
                <w:szCs w:val="20"/>
                <w:color w:val="auto"/>
              </w:rPr>
            </w:pPr>
            <w:r>
              <w:rPr>
                <w:rFonts w:ascii="Arial" w:cs="Arial" w:eastAsia="Arial" w:hAnsi="Arial"/>
                <w:sz w:val="14"/>
                <w:szCs w:val="14"/>
                <w:color w:val="auto"/>
              </w:rPr>
              <w:t>Dr. Skovronsky</w:t>
            </w:r>
          </w:p>
        </w:tc>
        <w:tc>
          <w:tcPr>
            <w:tcW w:w="2120" w:type="dxa"/>
            <w:vAlign w:val="bottom"/>
          </w:tcPr>
          <w:p>
            <w:pPr>
              <w:jc w:val="center"/>
              <w:ind w:left="248"/>
              <w:spacing w:after="0"/>
              <w:rPr>
                <w:sz w:val="20"/>
                <w:szCs w:val="20"/>
                <w:color w:val="auto"/>
              </w:rPr>
            </w:pPr>
            <w:r>
              <w:rPr>
                <w:rFonts w:ascii="Arial" w:cs="Arial" w:eastAsia="Arial" w:hAnsi="Arial"/>
                <w:sz w:val="14"/>
                <w:szCs w:val="14"/>
                <w:color w:val="auto"/>
              </w:rPr>
              <w:t>$0</w:t>
            </w:r>
          </w:p>
        </w:tc>
        <w:tc>
          <w:tcPr>
            <w:tcW w:w="1700" w:type="dxa"/>
            <w:vAlign w:val="bottom"/>
          </w:tcPr>
          <w:p>
            <w:pPr>
              <w:jc w:val="center"/>
              <w:ind w:right="68"/>
              <w:spacing w:after="0"/>
              <w:rPr>
                <w:sz w:val="20"/>
                <w:szCs w:val="20"/>
                <w:color w:val="auto"/>
              </w:rPr>
            </w:pPr>
            <w:r>
              <w:rPr>
                <w:rFonts w:ascii="Arial" w:cs="Arial" w:eastAsia="Arial" w:hAnsi="Arial"/>
                <w:sz w:val="14"/>
                <w:szCs w:val="14"/>
                <w:color w:val="auto"/>
              </w:rPr>
              <w:t>$1,435,000</w:t>
            </w:r>
          </w:p>
        </w:tc>
        <w:tc>
          <w:tcPr>
            <w:tcW w:w="1620" w:type="dxa"/>
            <w:vAlign w:val="bottom"/>
          </w:tcPr>
          <w:p>
            <w:pPr>
              <w:jc w:val="center"/>
              <w:ind w:left="388"/>
              <w:spacing w:after="0"/>
              <w:rPr>
                <w:sz w:val="20"/>
                <w:szCs w:val="20"/>
                <w:color w:val="auto"/>
              </w:rPr>
            </w:pPr>
            <w:r>
              <w:rPr>
                <w:rFonts w:ascii="Arial" w:cs="Arial" w:eastAsia="Arial" w:hAnsi="Arial"/>
                <w:sz w:val="14"/>
                <w:szCs w:val="14"/>
                <w:color w:val="auto"/>
              </w:rPr>
              <w:t>$2,511,250</w:t>
            </w:r>
          </w:p>
        </w:tc>
      </w:tr>
      <w:tr>
        <w:trPr>
          <w:trHeight w:val="189"/>
        </w:trPr>
        <w:tc>
          <w:tcPr>
            <w:tcW w:w="1620" w:type="dxa"/>
            <w:vAlign w:val="bottom"/>
          </w:tcPr>
          <w:p>
            <w:pPr>
              <w:spacing w:after="0"/>
              <w:rPr>
                <w:sz w:val="20"/>
                <w:szCs w:val="20"/>
                <w:color w:val="auto"/>
              </w:rPr>
            </w:pPr>
            <w:r>
              <w:rPr>
                <w:rFonts w:ascii="Arial" w:cs="Arial" w:eastAsia="Arial" w:hAnsi="Arial"/>
                <w:sz w:val="14"/>
                <w:szCs w:val="14"/>
                <w:color w:val="auto"/>
              </w:rPr>
              <w:t>Ms. Hakim</w:t>
            </w:r>
          </w:p>
        </w:tc>
        <w:tc>
          <w:tcPr>
            <w:tcW w:w="2120" w:type="dxa"/>
            <w:vAlign w:val="bottom"/>
          </w:tcPr>
          <w:p>
            <w:pPr>
              <w:jc w:val="center"/>
              <w:ind w:left="248"/>
              <w:spacing w:after="0"/>
              <w:rPr>
                <w:sz w:val="20"/>
                <w:szCs w:val="20"/>
                <w:color w:val="auto"/>
              </w:rPr>
            </w:pPr>
            <w:r>
              <w:rPr>
                <w:rFonts w:ascii="Arial" w:cs="Arial" w:eastAsia="Arial" w:hAnsi="Arial"/>
                <w:sz w:val="14"/>
                <w:szCs w:val="14"/>
                <w:color w:val="auto"/>
              </w:rPr>
              <w:t>$0</w:t>
            </w:r>
          </w:p>
        </w:tc>
        <w:tc>
          <w:tcPr>
            <w:tcW w:w="1700" w:type="dxa"/>
            <w:vAlign w:val="bottom"/>
          </w:tcPr>
          <w:p>
            <w:pPr>
              <w:jc w:val="center"/>
              <w:ind w:right="68"/>
              <w:spacing w:after="0"/>
              <w:rPr>
                <w:sz w:val="20"/>
                <w:szCs w:val="20"/>
                <w:color w:val="auto"/>
              </w:rPr>
            </w:pPr>
            <w:r>
              <w:rPr>
                <w:rFonts w:ascii="Arial" w:cs="Arial" w:eastAsia="Arial" w:hAnsi="Arial"/>
                <w:sz w:val="14"/>
                <w:szCs w:val="14"/>
                <w:color w:val="auto"/>
              </w:rPr>
              <w:t>$700,000</w:t>
            </w:r>
          </w:p>
        </w:tc>
        <w:tc>
          <w:tcPr>
            <w:tcW w:w="1620" w:type="dxa"/>
            <w:vAlign w:val="bottom"/>
          </w:tcPr>
          <w:p>
            <w:pPr>
              <w:jc w:val="center"/>
              <w:ind w:left="388"/>
              <w:spacing w:after="0"/>
              <w:rPr>
                <w:sz w:val="20"/>
                <w:szCs w:val="20"/>
                <w:color w:val="auto"/>
              </w:rPr>
            </w:pPr>
            <w:r>
              <w:rPr>
                <w:rFonts w:ascii="Arial" w:cs="Arial" w:eastAsia="Arial" w:hAnsi="Arial"/>
                <w:sz w:val="14"/>
                <w:szCs w:val="14"/>
                <w:color w:val="auto"/>
              </w:rPr>
              <w:t>$1,225,000</w:t>
            </w:r>
          </w:p>
        </w:tc>
      </w:tr>
      <w:tr>
        <w:trPr>
          <w:trHeight w:val="189"/>
        </w:trPr>
        <w:tc>
          <w:tcPr>
            <w:tcW w:w="1620" w:type="dxa"/>
            <w:vAlign w:val="bottom"/>
          </w:tcPr>
          <w:p>
            <w:pPr>
              <w:spacing w:after="0"/>
              <w:rPr>
                <w:sz w:val="20"/>
                <w:szCs w:val="20"/>
                <w:color w:val="auto"/>
              </w:rPr>
            </w:pPr>
            <w:r>
              <w:rPr>
                <w:rFonts w:ascii="Arial" w:cs="Arial" w:eastAsia="Arial" w:hAnsi="Arial"/>
                <w:sz w:val="14"/>
                <w:szCs w:val="14"/>
                <w:color w:val="auto"/>
              </w:rPr>
              <w:t>Mr. Zulueta</w:t>
            </w:r>
          </w:p>
        </w:tc>
        <w:tc>
          <w:tcPr>
            <w:tcW w:w="2120" w:type="dxa"/>
            <w:vAlign w:val="bottom"/>
          </w:tcPr>
          <w:p>
            <w:pPr>
              <w:jc w:val="center"/>
              <w:ind w:left="248"/>
              <w:spacing w:after="0"/>
              <w:rPr>
                <w:sz w:val="20"/>
                <w:szCs w:val="20"/>
                <w:color w:val="auto"/>
              </w:rPr>
            </w:pPr>
            <w:r>
              <w:rPr>
                <w:rFonts w:ascii="Arial" w:cs="Arial" w:eastAsia="Arial" w:hAnsi="Arial"/>
                <w:sz w:val="14"/>
                <w:szCs w:val="14"/>
                <w:color w:val="auto"/>
              </w:rPr>
              <w:t>$0</w:t>
            </w:r>
          </w:p>
        </w:tc>
        <w:tc>
          <w:tcPr>
            <w:tcW w:w="1700" w:type="dxa"/>
            <w:vAlign w:val="bottom"/>
          </w:tcPr>
          <w:p>
            <w:pPr>
              <w:jc w:val="center"/>
              <w:ind w:right="68"/>
              <w:spacing w:after="0"/>
              <w:rPr>
                <w:sz w:val="20"/>
                <w:szCs w:val="20"/>
                <w:color w:val="auto"/>
              </w:rPr>
            </w:pPr>
            <w:r>
              <w:rPr>
                <w:rFonts w:ascii="Arial" w:cs="Arial" w:eastAsia="Arial" w:hAnsi="Arial"/>
                <w:sz w:val="14"/>
                <w:szCs w:val="14"/>
                <w:color w:val="auto"/>
              </w:rPr>
              <w:t>$787,500</w:t>
            </w:r>
          </w:p>
        </w:tc>
        <w:tc>
          <w:tcPr>
            <w:tcW w:w="1620" w:type="dxa"/>
            <w:vAlign w:val="bottom"/>
          </w:tcPr>
          <w:p>
            <w:pPr>
              <w:jc w:val="center"/>
              <w:ind w:left="388"/>
              <w:spacing w:after="0"/>
              <w:rPr>
                <w:sz w:val="20"/>
                <w:szCs w:val="20"/>
                <w:color w:val="auto"/>
              </w:rPr>
            </w:pPr>
            <w:r>
              <w:rPr>
                <w:rFonts w:ascii="Arial" w:cs="Arial" w:eastAsia="Arial" w:hAnsi="Arial"/>
                <w:sz w:val="14"/>
                <w:szCs w:val="14"/>
                <w:color w:val="auto"/>
              </w:rPr>
              <w:t>$1,378,125</w:t>
            </w:r>
          </w:p>
        </w:tc>
      </w:tr>
    </w:tbl>
    <w:p>
      <w:pPr>
        <w:spacing w:after="0" w:line="125" w:lineRule="exact"/>
        <w:rPr>
          <w:sz w:val="20"/>
          <w:szCs w:val="20"/>
          <w:color w:val="auto"/>
        </w:rPr>
      </w:pPr>
    </w:p>
    <w:p>
      <w:pPr>
        <w:ind w:left="1980" w:right="3300" w:hanging="111"/>
        <w:spacing w:after="0"/>
        <w:tabs>
          <w:tab w:leader="none" w:pos="195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As a result of Mr. Smiley's resignation as an officer on February 9, 2021, the Compensation Committee cancelled his 2020-2022 relative value award; therefore, Mr. Smiley will realize $0 from this award. See the discussion of Mr. Smiley's Separation Agreement under "Agreement with Former Chief Financial Officer".</w:t>
      </w:r>
    </w:p>
    <w:p>
      <w:pPr>
        <w:spacing w:after="0" w:line="319" w:lineRule="exact"/>
        <w:rPr>
          <w:sz w:val="20"/>
          <w:szCs w:val="20"/>
          <w:color w:val="auto"/>
        </w:rPr>
      </w:pPr>
    </w:p>
    <w:p>
      <w:pPr>
        <w:ind w:left="100" w:hanging="92"/>
        <w:spacing w:after="0"/>
        <w:tabs>
          <w:tab w:leader="none" w:pos="100"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Payments under the Bonus Plan for performance in the years represented.</w:t>
      </w:r>
    </w:p>
    <w:p>
      <w:pPr>
        <w:spacing w:after="0" w:line="237" w:lineRule="exact"/>
        <w:rPr>
          <w:sz w:val="20"/>
          <w:szCs w:val="20"/>
          <w:color w:val="auto"/>
        </w:rPr>
      </w:pPr>
    </w:p>
    <w:p>
      <w:pPr>
        <w:ind w:left="80" w:right="60" w:hanging="72"/>
        <w:spacing w:after="0" w:line="230" w:lineRule="auto"/>
        <w:tabs>
          <w:tab w:leader="none" w:pos="87"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reflect the change in pension value for each individual, calculated by our actuary. The changes in pension values in 2020 were driven by additional credited service, pay changes, and actuarial assumptions. The design of the pension benefit plan did not change. See the Pension Benefits in 2020 table below for information about the standard actuarial assumptions used. No named executive officer received preferential or above-market earnings on deferred compensation.</w:t>
      </w:r>
    </w:p>
    <w:p>
      <w:pPr>
        <w:spacing w:after="0" w:line="239" w:lineRule="exact"/>
        <w:rPr>
          <w:sz w:val="20"/>
          <w:szCs w:val="20"/>
          <w:color w:val="auto"/>
        </w:rPr>
      </w:pPr>
    </w:p>
    <w:p>
      <w:pPr>
        <w:ind w:left="80" w:hanging="72"/>
        <w:spacing w:after="0" w:line="239" w:lineRule="auto"/>
        <w:tabs>
          <w:tab w:leader="none" w:pos="87"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are company matching contributions into each individual's 401(k) and nonqualified savings plan contributions. The company does not reimburse executives for taxes outside of the limited circumstance of taxes related to a domestic employee relocation or a prior international assignment. For Mr. Ricks, the amounts in this column reflect $88,308 of company matching contributions and nonqualified savings plan contributions and also reflect $40,064 of aggregate incremental cost for his personal use of corporate aircraft. The aggregate incremental costs for personal use of our aircraft is calculated based on our variable operating costs, which include crew travel expenses, on-board catering, landing fees, trip-related hangar/parking costs, fuel, trip-related maintenance, and other smaller variable costs. Because the vast majority of the use of corporate aircraft is for business purposes, fixed costs such as aircraft purchase costs, maintenance not related to personal trips, and flight crew salaries are not included. For Ms. Hakim, the amounts in this column reflect $42,268 of company matching contributions and nonqualified savings plan contributions and also reflect $82,690 of moving expense reimbursements.</w:t>
      </w:r>
    </w:p>
    <w:p>
      <w:pPr>
        <w:spacing w:after="0" w:line="191" w:lineRule="exact"/>
        <w:rPr>
          <w:sz w:val="20"/>
          <w:szCs w:val="20"/>
          <w:color w:val="auto"/>
        </w:rPr>
      </w:pPr>
    </w:p>
    <w:p>
      <w:pPr>
        <w:ind w:left="100" w:hanging="92"/>
        <w:spacing w:after="0"/>
        <w:tabs>
          <w:tab w:leader="none" w:pos="100"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Ms. Hakim joined Lilly in February 2020, and the table reflects compensation paid for the portion of the year for which she was employed.</w:t>
      </w:r>
    </w:p>
    <w:p>
      <w:pPr>
        <w:spacing w:after="0" w:line="237" w:lineRule="exact"/>
        <w:rPr>
          <w:sz w:val="20"/>
          <w:szCs w:val="20"/>
          <w:color w:val="auto"/>
        </w:rPr>
      </w:pPr>
    </w:p>
    <w:p>
      <w:pPr>
        <w:ind w:left="80" w:right="120" w:hanging="72"/>
        <w:spacing w:after="0" w:line="225" w:lineRule="auto"/>
        <w:tabs>
          <w:tab w:leader="none" w:pos="87"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As a result of Mr. Smiley’s resignation as an officer on February 9, 2021, the Compensation Committee exercised its discretion to reduce his payout under the Bonus Plan for 2020 from $1,102,317 to $0. See the discussion of Mr. Smiley’s Separation Agreement under “Agreement with Former Chief Financial Officer”.</w:t>
      </w:r>
    </w:p>
    <w:p>
      <w:pPr>
        <w:spacing w:after="0" w:line="225" w:lineRule="exact"/>
        <w:rPr>
          <w:sz w:val="20"/>
          <w:szCs w:val="20"/>
          <w:color w:val="auto"/>
        </w:rPr>
      </w:pPr>
    </w:p>
    <w:p>
      <w:pPr>
        <w:ind w:left="80" w:right="300" w:hanging="72"/>
        <w:spacing w:after="0" w:line="218" w:lineRule="auto"/>
        <w:tabs>
          <w:tab w:leader="none" w:pos="87" w:val="left"/>
        </w:tabs>
        <w:numPr>
          <w:ilvl w:val="0"/>
          <w:numId w:val="107"/>
        </w:numPr>
        <w:rPr>
          <w:rFonts w:ascii="Arial" w:cs="Arial" w:eastAsia="Arial" w:hAnsi="Arial"/>
          <w:sz w:val="21"/>
          <w:szCs w:val="21"/>
          <w:color w:val="auto"/>
          <w:vertAlign w:val="superscript"/>
        </w:rPr>
      </w:pPr>
      <w:r>
        <w:rPr>
          <w:rFonts w:ascii="Arial" w:cs="Arial" w:eastAsia="Arial" w:hAnsi="Arial"/>
          <w:sz w:val="16"/>
          <w:szCs w:val="16"/>
          <w:color w:val="auto"/>
        </w:rPr>
        <w:t>As a result of Mr. Smiley’s resignation as an officer on February 9, 2021, the Compensation Committee cancelled his 2019 and 2020 equity awards. Therefore, Mr. Smiley will realize $0 from these awards. In addition, the Compensation Committee exercised its discretion to reduce Mr. Smiley’s 2018– 2020 shareholder value award payout by 25 percent or $3,100,954. See the discussion of Mr. Smiley’s Separation Agreement under “Agreement with Former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During 2020</w:t>
      </w:r>
    </w:p>
    <w:p>
      <w:pPr>
        <w:spacing w:after="0" w:line="2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compensation plans under which the grants in the following table were made are described in the CD&amp;A above and consist of the Bonus Plan (a non-equity incentive plan) and the Amended and Restated 2002 Lilly Stock Plan which provides for performance awards, shareholder value awards, and restricted stock units, among others.</w:t>
      </w:r>
    </w:p>
    <w:p>
      <w:pPr>
        <w:spacing w:after="0" w:line="22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To receive a payout under the performance award, the shareholder value award, the relative value award, or the restricted stock unit award, a participant must remain employed with the company through the end of the relevant award period (except in the case of death, disability, retirement, or plant closing or reduction in workforce). No dividends accrue on either performance awards, shareholder value awards, or relative value awards during the performance period. During the performance award 13-month service-vesting period and restricted stock unit award restriction period, non-preferential dividends accrue and are paid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P64</w:t>
      </w:r>
    </w:p>
    <w:p>
      <w:pPr>
        <w:sectPr>
          <w:pgSz w:w="11900" w:h="16838" w:orient="portrait"/>
          <w:cols w:equalWidth="0" w:num="1">
            <w:col w:w="11220"/>
          </w:cols>
          <w:pgMar w:left="320" w:top="1154" w:right="359" w:bottom="1440" w:gutter="0" w:footer="0" w:header="0"/>
        </w:sectPr>
      </w:pPr>
    </w:p>
    <w:bookmarkStart w:id="69" w:name="page70"/>
    <w:bookmarkEnd w:id="69"/>
    <w:tbl>
      <w:tblPr>
        <w:tblLayout w:type="fixed"/>
        <w:tblInd w:w="1273" w:type="dxa"/>
        <w:tblCellMar>
          <w:top w:w="0" w:type="dxa"/>
          <w:left w:w="0" w:type="dxa"/>
          <w:bottom w:w="0" w:type="dxa"/>
          <w:right w:w="0" w:type="dxa"/>
        </w:tblCellMar>
      </w:tblPr>
      <w:tr>
        <w:trPr>
          <w:trHeight w:val="405"/>
        </w:trPr>
        <w:tc>
          <w:tcPr>
            <w:tcW w:w="820" w:type="dxa"/>
            <w:vAlign w:val="bottom"/>
            <w:shd w:val="clear" w:color="auto" w:fill="C8C9CB"/>
          </w:tcPr>
          <w:p>
            <w:pPr>
              <w:spacing w:after="0"/>
              <w:rPr>
                <w:sz w:val="24"/>
                <w:szCs w:val="24"/>
                <w:color w:val="auto"/>
              </w:rPr>
            </w:pPr>
          </w:p>
        </w:tc>
        <w:tc>
          <w:tcPr>
            <w:tcW w:w="640" w:type="dxa"/>
            <w:vAlign w:val="bottom"/>
            <w:shd w:val="clear" w:color="auto" w:fill="C8C9CB"/>
          </w:tcPr>
          <w:p>
            <w:pPr>
              <w:spacing w:after="0"/>
              <w:rPr>
                <w:sz w:val="24"/>
                <w:szCs w:val="24"/>
                <w:color w:val="auto"/>
              </w:rPr>
            </w:pPr>
          </w:p>
        </w:tc>
        <w:tc>
          <w:tcPr>
            <w:tcW w:w="200" w:type="dxa"/>
            <w:vAlign w:val="bottom"/>
            <w:shd w:val="clear" w:color="auto" w:fill="C8C9CB"/>
          </w:tcPr>
          <w:p>
            <w:pPr>
              <w:spacing w:after="0"/>
              <w:rPr>
                <w:sz w:val="24"/>
                <w:szCs w:val="24"/>
                <w:color w:val="auto"/>
              </w:rPr>
            </w:pPr>
          </w:p>
        </w:tc>
        <w:tc>
          <w:tcPr>
            <w:tcW w:w="760" w:type="dxa"/>
            <w:vAlign w:val="bottom"/>
            <w:shd w:val="clear" w:color="auto" w:fill="C8C9CB"/>
          </w:tcPr>
          <w:p>
            <w:pPr>
              <w:spacing w:after="0"/>
              <w:rPr>
                <w:sz w:val="24"/>
                <w:szCs w:val="24"/>
                <w:color w:val="auto"/>
              </w:rPr>
            </w:pPr>
          </w:p>
        </w:tc>
        <w:tc>
          <w:tcPr>
            <w:tcW w:w="840" w:type="dxa"/>
            <w:vAlign w:val="bottom"/>
            <w:shd w:val="clear" w:color="auto" w:fill="C8C9CB"/>
          </w:tcPr>
          <w:p>
            <w:pPr>
              <w:spacing w:after="0"/>
              <w:rPr>
                <w:sz w:val="24"/>
                <w:szCs w:val="24"/>
                <w:color w:val="auto"/>
              </w:rPr>
            </w:pPr>
          </w:p>
        </w:tc>
        <w:tc>
          <w:tcPr>
            <w:tcW w:w="2160" w:type="dxa"/>
            <w:vAlign w:val="bottom"/>
            <w:gridSpan w:val="3"/>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Estimated Possible Payouts</w:t>
            </w:r>
          </w:p>
        </w:tc>
        <w:tc>
          <w:tcPr>
            <w:tcW w:w="2000" w:type="dxa"/>
            <w:vAlign w:val="bottom"/>
            <w:gridSpan w:val="3"/>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Estimated Possible and Future</w:t>
            </w:r>
          </w:p>
        </w:tc>
        <w:tc>
          <w:tcPr>
            <w:tcW w:w="70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All Other</w:t>
            </w:r>
          </w:p>
        </w:tc>
        <w:tc>
          <w:tcPr>
            <w:tcW w:w="740" w:type="dxa"/>
            <w:vAlign w:val="bottom"/>
            <w:shd w:val="clear" w:color="auto" w:fill="C8C9CB"/>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2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600" w:type="dxa"/>
            <w:vAlign w:val="bottom"/>
            <w:shd w:val="clear" w:color="auto" w:fill="C8C9CB"/>
          </w:tcPr>
          <w:p>
            <w:pPr>
              <w:spacing w:after="0"/>
              <w:rPr>
                <w:sz w:val="10"/>
                <w:szCs w:val="10"/>
                <w:color w:val="auto"/>
              </w:rPr>
            </w:pPr>
          </w:p>
        </w:tc>
        <w:tc>
          <w:tcPr>
            <w:tcW w:w="1560" w:type="dxa"/>
            <w:vAlign w:val="bottom"/>
            <w:gridSpan w:val="2"/>
            <w:shd w:val="clear" w:color="auto" w:fill="C8C9CB"/>
          </w:tcPr>
          <w:p>
            <w:pPr>
              <w:jc w:val="center"/>
              <w:ind w:right="540"/>
              <w:spacing w:after="0" w:line="122" w:lineRule="exact"/>
              <w:rPr>
                <w:sz w:val="20"/>
                <w:szCs w:val="20"/>
                <w:color w:val="auto"/>
              </w:rPr>
            </w:pPr>
            <w:r>
              <w:rPr>
                <w:rFonts w:ascii="Arial" w:cs="Arial" w:eastAsia="Arial" w:hAnsi="Arial"/>
                <w:sz w:val="11"/>
                <w:szCs w:val="11"/>
                <w:b w:val="1"/>
                <w:bCs w:val="1"/>
                <w:color w:val="00ABE8"/>
                <w:w w:val="98"/>
              </w:rPr>
              <w:t>Under Non-Equity</w:t>
            </w:r>
          </w:p>
        </w:tc>
        <w:tc>
          <w:tcPr>
            <w:tcW w:w="2000" w:type="dxa"/>
            <w:vAlign w:val="bottom"/>
            <w:gridSpan w:val="3"/>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7"/>
              </w:rPr>
              <w:t>Payouts Under Equity</w:t>
            </w:r>
          </w:p>
        </w:tc>
        <w:tc>
          <w:tcPr>
            <w:tcW w:w="70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Stock or</w:t>
            </w:r>
          </w:p>
        </w:tc>
        <w:tc>
          <w:tcPr>
            <w:tcW w:w="740" w:type="dxa"/>
            <w:vAlign w:val="bottom"/>
            <w:shd w:val="clear" w:color="auto" w:fill="C8C9C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2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2160" w:type="dxa"/>
            <w:vAlign w:val="bottom"/>
            <w:gridSpan w:val="3"/>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7"/>
              </w:rPr>
              <w:t xml:space="preserve">Incentive Plan Awards </w:t>
            </w:r>
            <w:r>
              <w:rPr>
                <w:rFonts w:ascii="Arial" w:cs="Arial" w:eastAsia="Arial" w:hAnsi="Arial"/>
                <w:sz w:val="14"/>
                <w:szCs w:val="14"/>
                <w:b w:val="1"/>
                <w:bCs w:val="1"/>
                <w:color w:val="00ABE8"/>
                <w:w w:val="97"/>
                <w:vertAlign w:val="superscript"/>
              </w:rPr>
              <w:t>1</w:t>
            </w:r>
          </w:p>
        </w:tc>
        <w:tc>
          <w:tcPr>
            <w:tcW w:w="2000" w:type="dxa"/>
            <w:vAlign w:val="bottom"/>
            <w:gridSpan w:val="3"/>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7"/>
              </w:rPr>
              <w:t>Incentive Plan Awards</w:t>
            </w:r>
          </w:p>
        </w:tc>
        <w:tc>
          <w:tcPr>
            <w:tcW w:w="70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Option</w:t>
            </w:r>
          </w:p>
        </w:tc>
        <w:tc>
          <w:tcPr>
            <w:tcW w:w="740" w:type="dxa"/>
            <w:vAlign w:val="bottom"/>
            <w:shd w:val="clear" w:color="auto" w:fill="C8C9CB"/>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20" w:type="dxa"/>
            <w:vAlign w:val="bottom"/>
            <w:shd w:val="clear" w:color="auto" w:fill="C8C9CB"/>
          </w:tcPr>
          <w:p>
            <w:pPr>
              <w:spacing w:after="0"/>
              <w:rPr>
                <w:sz w:val="9"/>
                <w:szCs w:val="9"/>
                <w:color w:val="auto"/>
              </w:rPr>
            </w:pPr>
          </w:p>
        </w:tc>
        <w:tc>
          <w:tcPr>
            <w:tcW w:w="640" w:type="dxa"/>
            <w:vAlign w:val="bottom"/>
            <w:shd w:val="clear" w:color="auto" w:fill="C8C9CB"/>
          </w:tcPr>
          <w:p>
            <w:pPr>
              <w:spacing w:after="0"/>
              <w:rPr>
                <w:sz w:val="9"/>
                <w:szCs w:val="9"/>
                <w:color w:val="auto"/>
              </w:rPr>
            </w:pPr>
          </w:p>
        </w:tc>
        <w:tc>
          <w:tcPr>
            <w:tcW w:w="200" w:type="dxa"/>
            <w:vAlign w:val="bottom"/>
            <w:shd w:val="clear" w:color="auto" w:fill="C8C9CB"/>
          </w:tcPr>
          <w:p>
            <w:pPr>
              <w:spacing w:after="0"/>
              <w:rPr>
                <w:sz w:val="9"/>
                <w:szCs w:val="9"/>
                <w:color w:val="auto"/>
              </w:rPr>
            </w:pPr>
          </w:p>
        </w:tc>
        <w:tc>
          <w:tcPr>
            <w:tcW w:w="760" w:type="dxa"/>
            <w:vAlign w:val="bottom"/>
            <w:shd w:val="clear" w:color="auto" w:fill="C8C9CB"/>
          </w:tcPr>
          <w:p>
            <w:pPr>
              <w:spacing w:after="0"/>
              <w:rPr>
                <w:sz w:val="9"/>
                <w:szCs w:val="9"/>
                <w:color w:val="auto"/>
              </w:rPr>
            </w:pPr>
          </w:p>
        </w:tc>
        <w:tc>
          <w:tcPr>
            <w:tcW w:w="840" w:type="dxa"/>
            <w:vAlign w:val="bottom"/>
            <w:shd w:val="clear" w:color="auto" w:fill="C8C9CB"/>
          </w:tcPr>
          <w:p>
            <w:pPr>
              <w:spacing w:after="0"/>
              <w:rPr>
                <w:sz w:val="9"/>
                <w:szCs w:val="9"/>
                <w:color w:val="auto"/>
              </w:rPr>
            </w:pPr>
          </w:p>
        </w:tc>
        <w:tc>
          <w:tcPr>
            <w:tcW w:w="600" w:type="dxa"/>
            <w:vAlign w:val="bottom"/>
            <w:shd w:val="clear" w:color="auto" w:fill="C8C9CB"/>
          </w:tcPr>
          <w:p>
            <w:pPr>
              <w:spacing w:after="0"/>
              <w:rPr>
                <w:sz w:val="9"/>
                <w:szCs w:val="9"/>
                <w:color w:val="auto"/>
              </w:rPr>
            </w:pPr>
          </w:p>
        </w:tc>
        <w:tc>
          <w:tcPr>
            <w:tcW w:w="800" w:type="dxa"/>
            <w:vAlign w:val="bottom"/>
            <w:shd w:val="clear" w:color="auto" w:fill="C8C9CB"/>
          </w:tcPr>
          <w:p>
            <w:pPr>
              <w:spacing w:after="0"/>
              <w:rPr>
                <w:sz w:val="9"/>
                <w:szCs w:val="9"/>
                <w:color w:val="auto"/>
              </w:rPr>
            </w:pPr>
          </w:p>
        </w:tc>
        <w:tc>
          <w:tcPr>
            <w:tcW w:w="760" w:type="dxa"/>
            <w:vAlign w:val="bottom"/>
            <w:shd w:val="clear" w:color="auto" w:fill="C8C9CB"/>
          </w:tcPr>
          <w:p>
            <w:pPr>
              <w:spacing w:after="0"/>
              <w:rPr>
                <w:sz w:val="9"/>
                <w:szCs w:val="9"/>
                <w:color w:val="auto"/>
              </w:rPr>
            </w:pPr>
          </w:p>
        </w:tc>
        <w:tc>
          <w:tcPr>
            <w:tcW w:w="680" w:type="dxa"/>
            <w:vAlign w:val="bottom"/>
            <w:shd w:val="clear" w:color="auto" w:fill="C8C9CB"/>
          </w:tcPr>
          <w:p>
            <w:pPr>
              <w:spacing w:after="0"/>
              <w:rPr>
                <w:sz w:val="9"/>
                <w:szCs w:val="9"/>
                <w:color w:val="auto"/>
              </w:rPr>
            </w:pPr>
          </w:p>
        </w:tc>
        <w:tc>
          <w:tcPr>
            <w:tcW w:w="660" w:type="dxa"/>
            <w:vAlign w:val="bottom"/>
            <w:shd w:val="clear" w:color="auto" w:fill="C8C9CB"/>
          </w:tcPr>
          <w:p>
            <w:pPr>
              <w:spacing w:after="0"/>
              <w:rPr>
                <w:sz w:val="9"/>
                <w:szCs w:val="9"/>
                <w:color w:val="auto"/>
              </w:rPr>
            </w:pPr>
          </w:p>
        </w:tc>
        <w:tc>
          <w:tcPr>
            <w:tcW w:w="660" w:type="dxa"/>
            <w:vAlign w:val="bottom"/>
            <w:shd w:val="clear" w:color="auto" w:fill="C8C9CB"/>
          </w:tcPr>
          <w:p>
            <w:pPr>
              <w:spacing w:after="0"/>
              <w:rPr>
                <w:sz w:val="9"/>
                <w:szCs w:val="9"/>
                <w:color w:val="auto"/>
              </w:rPr>
            </w:pPr>
          </w:p>
        </w:tc>
        <w:tc>
          <w:tcPr>
            <w:tcW w:w="700" w:type="dxa"/>
            <w:vAlign w:val="bottom"/>
            <w:shd w:val="clear" w:color="auto" w:fill="C8C9CB"/>
          </w:tcPr>
          <w:p>
            <w:pPr>
              <w:jc w:val="center"/>
              <w:spacing w:after="0" w:line="106" w:lineRule="exact"/>
              <w:rPr>
                <w:sz w:val="20"/>
                <w:szCs w:val="20"/>
                <w:color w:val="auto"/>
              </w:rPr>
            </w:pPr>
            <w:r>
              <w:rPr>
                <w:rFonts w:ascii="Arial" w:cs="Arial" w:eastAsia="Arial" w:hAnsi="Arial"/>
                <w:sz w:val="11"/>
                <w:szCs w:val="11"/>
                <w:b w:val="1"/>
                <w:bCs w:val="1"/>
                <w:color w:val="00ABE8"/>
                <w:w w:val="96"/>
              </w:rPr>
              <w:t>Awards:</w:t>
            </w:r>
          </w:p>
        </w:tc>
        <w:tc>
          <w:tcPr>
            <w:tcW w:w="740" w:type="dxa"/>
            <w:vAlign w:val="bottom"/>
            <w:shd w:val="clear" w:color="auto" w:fill="C8C9C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2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600" w:type="dxa"/>
            <w:vAlign w:val="bottom"/>
            <w:shd w:val="clear" w:color="auto" w:fill="C8C9CB"/>
          </w:tcPr>
          <w:p>
            <w:pPr>
              <w:spacing w:after="0"/>
              <w:rPr>
                <w:sz w:val="10"/>
                <w:szCs w:val="10"/>
                <w:color w:val="auto"/>
              </w:rPr>
            </w:pPr>
          </w:p>
        </w:tc>
        <w:tc>
          <w:tcPr>
            <w:tcW w:w="8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68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70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Number of</w:t>
            </w:r>
          </w:p>
        </w:tc>
        <w:tc>
          <w:tcPr>
            <w:tcW w:w="740" w:type="dxa"/>
            <w:vAlign w:val="bottom"/>
            <w:shd w:val="clear" w:color="auto" w:fill="C8C9C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2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600" w:type="dxa"/>
            <w:vAlign w:val="bottom"/>
            <w:shd w:val="clear" w:color="auto" w:fill="C8C9CB"/>
          </w:tcPr>
          <w:p>
            <w:pPr>
              <w:spacing w:after="0"/>
              <w:rPr>
                <w:sz w:val="10"/>
                <w:szCs w:val="10"/>
                <w:color w:val="auto"/>
              </w:rPr>
            </w:pPr>
          </w:p>
        </w:tc>
        <w:tc>
          <w:tcPr>
            <w:tcW w:w="8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68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70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9"/>
              </w:rPr>
              <w:t>Shares of</w:t>
            </w:r>
          </w:p>
        </w:tc>
        <w:tc>
          <w:tcPr>
            <w:tcW w:w="7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9"/>
              </w:rPr>
              <w:t>Grant Date</w:t>
            </w:r>
          </w:p>
        </w:tc>
        <w:tc>
          <w:tcPr>
            <w:tcW w:w="0" w:type="dxa"/>
            <w:vAlign w:val="bottom"/>
          </w:tcPr>
          <w:p>
            <w:pPr>
              <w:spacing w:after="0"/>
              <w:rPr>
                <w:sz w:val="1"/>
                <w:szCs w:val="1"/>
                <w:color w:val="auto"/>
              </w:rPr>
            </w:pPr>
          </w:p>
        </w:tc>
      </w:tr>
      <w:tr>
        <w:trPr>
          <w:trHeight w:val="122"/>
        </w:trPr>
        <w:tc>
          <w:tcPr>
            <w:tcW w:w="82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2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6"/>
              </w:rPr>
              <w:t>Compensation</w:t>
            </w:r>
          </w:p>
        </w:tc>
        <w:tc>
          <w:tcPr>
            <w:tcW w:w="600" w:type="dxa"/>
            <w:vAlign w:val="bottom"/>
            <w:shd w:val="clear" w:color="auto" w:fill="C8C9CB"/>
          </w:tcPr>
          <w:p>
            <w:pPr>
              <w:spacing w:after="0"/>
              <w:rPr>
                <w:sz w:val="10"/>
                <w:szCs w:val="10"/>
                <w:color w:val="auto"/>
              </w:rPr>
            </w:pPr>
          </w:p>
        </w:tc>
        <w:tc>
          <w:tcPr>
            <w:tcW w:w="80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68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70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6"/>
              </w:rPr>
              <w:t>Stock,</w:t>
            </w:r>
          </w:p>
        </w:tc>
        <w:tc>
          <w:tcPr>
            <w:tcW w:w="7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Fair Value</w:t>
            </w:r>
          </w:p>
        </w:tc>
        <w:tc>
          <w:tcPr>
            <w:tcW w:w="0" w:type="dxa"/>
            <w:vAlign w:val="bottom"/>
          </w:tcPr>
          <w:p>
            <w:pPr>
              <w:spacing w:after="0"/>
              <w:rPr>
                <w:sz w:val="1"/>
                <w:szCs w:val="1"/>
                <w:color w:val="auto"/>
              </w:rPr>
            </w:pPr>
          </w:p>
        </w:tc>
      </w:tr>
      <w:tr>
        <w:trPr>
          <w:trHeight w:val="122"/>
        </w:trPr>
        <w:tc>
          <w:tcPr>
            <w:tcW w:w="82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200" w:type="dxa"/>
            <w:vAlign w:val="bottom"/>
            <w:shd w:val="clear" w:color="auto" w:fill="C8C9CB"/>
          </w:tcPr>
          <w:p>
            <w:pPr>
              <w:spacing w:after="0"/>
              <w:rPr>
                <w:sz w:val="10"/>
                <w:szCs w:val="10"/>
                <w:color w:val="auto"/>
              </w:rPr>
            </w:pPr>
          </w:p>
        </w:tc>
        <w:tc>
          <w:tcPr>
            <w:tcW w:w="760" w:type="dxa"/>
            <w:vAlign w:val="bottom"/>
            <w:vMerge w:val="restart"/>
            <w:shd w:val="clear" w:color="auto" w:fill="C8C9CB"/>
          </w:tcPr>
          <w:p>
            <w:pPr>
              <w:ind w:left="80"/>
              <w:spacing w:after="0"/>
              <w:rPr>
                <w:sz w:val="20"/>
                <w:szCs w:val="20"/>
                <w:color w:val="auto"/>
              </w:rPr>
            </w:pPr>
            <w:r>
              <w:rPr>
                <w:rFonts w:ascii="Arial" w:cs="Arial" w:eastAsia="Arial" w:hAnsi="Arial"/>
                <w:sz w:val="11"/>
                <w:szCs w:val="11"/>
                <w:b w:val="1"/>
                <w:bCs w:val="1"/>
                <w:color w:val="00ABE8"/>
              </w:rPr>
              <w:t>Grant Date</w:t>
            </w:r>
            <w:r>
              <w:rPr>
                <w:rFonts w:ascii="Arial" w:cs="Arial" w:eastAsia="Arial" w:hAnsi="Arial"/>
                <w:sz w:val="14"/>
                <w:szCs w:val="14"/>
                <w:b w:val="1"/>
                <w:bCs w:val="1"/>
                <w:color w:val="00ABE8"/>
                <w:vertAlign w:val="superscript"/>
              </w:rPr>
              <w:t>2</w:t>
            </w:r>
          </w:p>
        </w:tc>
        <w:tc>
          <w:tcPr>
            <w:tcW w:w="8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Committee</w:t>
            </w:r>
          </w:p>
        </w:tc>
        <w:tc>
          <w:tcPr>
            <w:tcW w:w="600" w:type="dxa"/>
            <w:vAlign w:val="bottom"/>
            <w:shd w:val="clear" w:color="auto" w:fill="C8C9CB"/>
          </w:tcPr>
          <w:p>
            <w:pPr>
              <w:ind w:left="60"/>
              <w:spacing w:after="0" w:line="122" w:lineRule="exact"/>
              <w:rPr>
                <w:sz w:val="20"/>
                <w:szCs w:val="20"/>
                <w:color w:val="auto"/>
              </w:rPr>
            </w:pPr>
            <w:r>
              <w:rPr>
                <w:rFonts w:ascii="Arial" w:cs="Arial" w:eastAsia="Arial" w:hAnsi="Arial"/>
                <w:sz w:val="11"/>
                <w:szCs w:val="11"/>
                <w:b w:val="1"/>
                <w:bCs w:val="1"/>
                <w:color w:val="00ABE8"/>
                <w:w w:val="97"/>
              </w:rPr>
              <w:t>Threshold</w:t>
            </w:r>
          </w:p>
        </w:tc>
        <w:tc>
          <w:tcPr>
            <w:tcW w:w="800" w:type="dxa"/>
            <w:vAlign w:val="bottom"/>
            <w:shd w:val="clear" w:color="auto" w:fill="C8C9CB"/>
          </w:tcPr>
          <w:p>
            <w:pPr>
              <w:ind w:left="260"/>
              <w:spacing w:after="0" w:line="122" w:lineRule="exact"/>
              <w:rPr>
                <w:sz w:val="20"/>
                <w:szCs w:val="20"/>
                <w:color w:val="auto"/>
              </w:rPr>
            </w:pPr>
            <w:r>
              <w:rPr>
                <w:rFonts w:ascii="Arial" w:cs="Arial" w:eastAsia="Arial" w:hAnsi="Arial"/>
                <w:sz w:val="11"/>
                <w:szCs w:val="11"/>
                <w:b w:val="1"/>
                <w:bCs w:val="1"/>
                <w:color w:val="00ABE8"/>
              </w:rPr>
              <w:t>Target</w:t>
            </w:r>
          </w:p>
        </w:tc>
        <w:tc>
          <w:tcPr>
            <w:tcW w:w="760" w:type="dxa"/>
            <w:vAlign w:val="bottom"/>
            <w:shd w:val="clear" w:color="auto" w:fill="C8C9CB"/>
          </w:tcPr>
          <w:p>
            <w:pPr>
              <w:ind w:left="120"/>
              <w:spacing w:after="0" w:line="122" w:lineRule="exact"/>
              <w:rPr>
                <w:sz w:val="20"/>
                <w:szCs w:val="20"/>
                <w:color w:val="auto"/>
              </w:rPr>
            </w:pPr>
            <w:r>
              <w:rPr>
                <w:rFonts w:ascii="Arial" w:cs="Arial" w:eastAsia="Arial" w:hAnsi="Arial"/>
                <w:sz w:val="11"/>
                <w:szCs w:val="11"/>
                <w:b w:val="1"/>
                <w:bCs w:val="1"/>
                <w:color w:val="00ABE8"/>
              </w:rPr>
              <w:t>Maximum</w:t>
            </w:r>
          </w:p>
        </w:tc>
        <w:tc>
          <w:tcPr>
            <w:tcW w:w="680" w:type="dxa"/>
            <w:vAlign w:val="bottom"/>
            <w:shd w:val="clear" w:color="auto" w:fill="C8C9CB"/>
          </w:tcPr>
          <w:p>
            <w:pPr>
              <w:ind w:left="80"/>
              <w:spacing w:after="0" w:line="122" w:lineRule="exact"/>
              <w:rPr>
                <w:sz w:val="20"/>
                <w:szCs w:val="20"/>
                <w:color w:val="auto"/>
              </w:rPr>
            </w:pPr>
            <w:r>
              <w:rPr>
                <w:rFonts w:ascii="Arial" w:cs="Arial" w:eastAsia="Arial" w:hAnsi="Arial"/>
                <w:sz w:val="11"/>
                <w:szCs w:val="11"/>
                <w:b w:val="1"/>
                <w:bCs w:val="1"/>
                <w:color w:val="00ABE8"/>
              </w:rPr>
              <w:t>Threshold</w:t>
            </w:r>
          </w:p>
        </w:tc>
        <w:tc>
          <w:tcPr>
            <w:tcW w:w="66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Target</w:t>
            </w:r>
          </w:p>
        </w:tc>
        <w:tc>
          <w:tcPr>
            <w:tcW w:w="660" w:type="dxa"/>
            <w:vAlign w:val="bottom"/>
            <w:shd w:val="clear" w:color="auto" w:fill="C8C9CB"/>
          </w:tcPr>
          <w:p>
            <w:pPr>
              <w:ind w:left="100"/>
              <w:spacing w:after="0" w:line="122" w:lineRule="exact"/>
              <w:rPr>
                <w:sz w:val="20"/>
                <w:szCs w:val="20"/>
                <w:color w:val="auto"/>
              </w:rPr>
            </w:pPr>
            <w:r>
              <w:rPr>
                <w:rFonts w:ascii="Arial" w:cs="Arial" w:eastAsia="Arial" w:hAnsi="Arial"/>
                <w:sz w:val="11"/>
                <w:szCs w:val="11"/>
                <w:b w:val="1"/>
                <w:bCs w:val="1"/>
                <w:color w:val="00ABE8"/>
              </w:rPr>
              <w:t>Maximum</w:t>
            </w:r>
          </w:p>
        </w:tc>
        <w:tc>
          <w:tcPr>
            <w:tcW w:w="70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Options, or</w:t>
            </w:r>
          </w:p>
        </w:tc>
        <w:tc>
          <w:tcPr>
            <w:tcW w:w="7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rPr>
              <w:t>of Equity</w:t>
            </w:r>
          </w:p>
        </w:tc>
        <w:tc>
          <w:tcPr>
            <w:tcW w:w="0" w:type="dxa"/>
            <w:vAlign w:val="bottom"/>
          </w:tcPr>
          <w:p>
            <w:pPr>
              <w:spacing w:after="0"/>
              <w:rPr>
                <w:sz w:val="1"/>
                <w:szCs w:val="1"/>
                <w:color w:val="auto"/>
              </w:rPr>
            </w:pPr>
          </w:p>
        </w:tc>
      </w:tr>
      <w:tr>
        <w:trPr>
          <w:trHeight w:val="164"/>
        </w:trPr>
        <w:tc>
          <w:tcPr>
            <w:tcW w:w="820" w:type="dxa"/>
            <w:vAlign w:val="bottom"/>
            <w:tcBorders>
              <w:bottom w:val="single" w:sz="8" w:color="BFBFBF"/>
            </w:tcBorders>
            <w:shd w:val="clear" w:color="auto" w:fill="C8C9CB"/>
          </w:tcPr>
          <w:p>
            <w:pPr>
              <w:spacing w:after="0"/>
              <w:rPr>
                <w:sz w:val="20"/>
                <w:szCs w:val="20"/>
                <w:color w:val="auto"/>
              </w:rPr>
            </w:pPr>
            <w:r>
              <w:rPr>
                <w:rFonts w:ascii="Arial" w:cs="Arial" w:eastAsia="Arial" w:hAnsi="Arial"/>
                <w:sz w:val="11"/>
                <w:szCs w:val="11"/>
                <w:b w:val="1"/>
                <w:bCs w:val="1"/>
                <w:color w:val="00ABE8"/>
              </w:rPr>
              <w:t>Name</w:t>
            </w:r>
          </w:p>
        </w:tc>
        <w:tc>
          <w:tcPr>
            <w:tcW w:w="64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rPr>
              <w:t>Award</w:t>
            </w:r>
          </w:p>
        </w:tc>
        <w:tc>
          <w:tcPr>
            <w:tcW w:w="200" w:type="dxa"/>
            <w:vAlign w:val="bottom"/>
            <w:tcBorders>
              <w:bottom w:val="single" w:sz="8" w:color="BFBFBF"/>
            </w:tcBorders>
            <w:shd w:val="clear" w:color="auto" w:fill="C8C9CB"/>
          </w:tcPr>
          <w:p>
            <w:pPr>
              <w:spacing w:after="0"/>
              <w:rPr>
                <w:sz w:val="14"/>
                <w:szCs w:val="14"/>
                <w:color w:val="auto"/>
              </w:rPr>
            </w:pPr>
          </w:p>
        </w:tc>
        <w:tc>
          <w:tcPr>
            <w:tcW w:w="760" w:type="dxa"/>
            <w:vAlign w:val="bottom"/>
            <w:tcBorders>
              <w:bottom w:val="single" w:sz="8" w:color="BFBFBF"/>
            </w:tcBorders>
            <w:vMerge w:val="continue"/>
            <w:shd w:val="clear" w:color="auto" w:fill="C8C9CB"/>
          </w:tcPr>
          <w:p>
            <w:pPr>
              <w:spacing w:after="0"/>
              <w:rPr>
                <w:sz w:val="14"/>
                <w:szCs w:val="14"/>
                <w:color w:val="auto"/>
              </w:rPr>
            </w:pPr>
          </w:p>
        </w:tc>
        <w:tc>
          <w:tcPr>
            <w:tcW w:w="84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Action Date</w:t>
            </w:r>
          </w:p>
        </w:tc>
        <w:tc>
          <w:tcPr>
            <w:tcW w:w="60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w w:val="88"/>
              </w:rPr>
              <w:t>($)</w:t>
            </w:r>
          </w:p>
        </w:tc>
        <w:tc>
          <w:tcPr>
            <w:tcW w:w="80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w w:val="88"/>
              </w:rPr>
              <w:t>($)</w:t>
            </w:r>
          </w:p>
        </w:tc>
        <w:tc>
          <w:tcPr>
            <w:tcW w:w="76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w w:val="88"/>
              </w:rPr>
              <w:t>($)</w:t>
            </w:r>
          </w:p>
        </w:tc>
        <w:tc>
          <w:tcPr>
            <w:tcW w:w="680" w:type="dxa"/>
            <w:vAlign w:val="bottom"/>
            <w:tcBorders>
              <w:bottom w:val="single" w:sz="8" w:color="BFBFBF"/>
            </w:tcBorders>
            <w:shd w:val="clear" w:color="auto" w:fill="C8C9CB"/>
          </w:tcPr>
          <w:p>
            <w:pPr>
              <w:ind w:left="80"/>
              <w:spacing w:after="0"/>
              <w:rPr>
                <w:sz w:val="20"/>
                <w:szCs w:val="20"/>
                <w:color w:val="auto"/>
              </w:rPr>
            </w:pPr>
            <w:r>
              <w:rPr>
                <w:rFonts w:ascii="Arial" w:cs="Arial" w:eastAsia="Arial" w:hAnsi="Arial"/>
                <w:sz w:val="11"/>
                <w:szCs w:val="11"/>
                <w:b w:val="1"/>
                <w:bCs w:val="1"/>
                <w:color w:val="00ABE8"/>
              </w:rPr>
              <w:t>(# shares)</w:t>
            </w:r>
          </w:p>
        </w:tc>
        <w:tc>
          <w:tcPr>
            <w:tcW w:w="66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w w:val="99"/>
              </w:rPr>
              <w:t>(# shares)</w:t>
            </w:r>
          </w:p>
        </w:tc>
        <w:tc>
          <w:tcPr>
            <w:tcW w:w="660" w:type="dxa"/>
            <w:vAlign w:val="bottom"/>
            <w:tcBorders>
              <w:bottom w:val="single" w:sz="8" w:color="BFBFBF"/>
            </w:tcBorders>
            <w:shd w:val="clear" w:color="auto" w:fill="C8C9CB"/>
          </w:tcPr>
          <w:p>
            <w:pPr>
              <w:ind w:left="80"/>
              <w:spacing w:after="0"/>
              <w:rPr>
                <w:sz w:val="20"/>
                <w:szCs w:val="20"/>
                <w:color w:val="auto"/>
              </w:rPr>
            </w:pPr>
            <w:r>
              <w:rPr>
                <w:rFonts w:ascii="Arial" w:cs="Arial" w:eastAsia="Arial" w:hAnsi="Arial"/>
                <w:sz w:val="11"/>
                <w:szCs w:val="11"/>
                <w:b w:val="1"/>
                <w:bCs w:val="1"/>
                <w:color w:val="00ABE8"/>
              </w:rPr>
              <w:t>(# shares)</w:t>
            </w:r>
          </w:p>
        </w:tc>
        <w:tc>
          <w:tcPr>
            <w:tcW w:w="70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w w:val="94"/>
              </w:rPr>
              <w:t>Units</w:t>
            </w:r>
          </w:p>
        </w:tc>
        <w:tc>
          <w:tcPr>
            <w:tcW w:w="740" w:type="dxa"/>
            <w:vAlign w:val="bottom"/>
            <w:tcBorders>
              <w:bottom w:val="single" w:sz="8" w:color="BFBFBF"/>
            </w:tcBorders>
            <w:shd w:val="clear" w:color="auto" w:fill="C8C9CB"/>
          </w:tcPr>
          <w:p>
            <w:pPr>
              <w:jc w:val="center"/>
              <w:spacing w:after="0"/>
              <w:rPr>
                <w:sz w:val="20"/>
                <w:szCs w:val="20"/>
                <w:color w:val="auto"/>
              </w:rPr>
            </w:pPr>
            <w:r>
              <w:rPr>
                <w:rFonts w:ascii="Arial" w:cs="Arial" w:eastAsia="Arial" w:hAnsi="Arial"/>
                <w:sz w:val="11"/>
                <w:szCs w:val="11"/>
                <w:b w:val="1"/>
                <w:bCs w:val="1"/>
                <w:color w:val="00ABE8"/>
              </w:rPr>
              <w:t>Awards</w:t>
            </w:r>
          </w:p>
        </w:tc>
        <w:tc>
          <w:tcPr>
            <w:tcW w:w="0" w:type="dxa"/>
            <w:vAlign w:val="bottom"/>
          </w:tcPr>
          <w:p>
            <w:pPr>
              <w:spacing w:after="0"/>
              <w:rPr>
                <w:sz w:val="1"/>
                <w:szCs w:val="1"/>
                <w:color w:val="auto"/>
              </w:rPr>
            </w:pPr>
          </w:p>
        </w:tc>
      </w:tr>
      <w:tr>
        <w:trPr>
          <w:trHeight w:val="170"/>
        </w:trPr>
        <w:tc>
          <w:tcPr>
            <w:tcW w:w="820" w:type="dxa"/>
            <w:vAlign w:val="bottom"/>
            <w:vMerge w:val="restart"/>
          </w:tcPr>
          <w:p>
            <w:pPr>
              <w:spacing w:after="0"/>
              <w:rPr>
                <w:sz w:val="20"/>
                <w:szCs w:val="20"/>
                <w:color w:val="auto"/>
              </w:rPr>
            </w:pPr>
            <w:r>
              <w:rPr>
                <w:rFonts w:ascii="Arial" w:cs="Arial" w:eastAsia="Arial" w:hAnsi="Arial"/>
                <w:sz w:val="12"/>
                <w:szCs w:val="12"/>
                <w:color w:val="auto"/>
              </w:rPr>
              <w:t>Mr. Ricks</w:t>
            </w:r>
          </w:p>
        </w:tc>
        <w:tc>
          <w:tcPr>
            <w:tcW w:w="640" w:type="dxa"/>
            <w:vAlign w:val="bottom"/>
          </w:tcPr>
          <w:p>
            <w:pPr>
              <w:spacing w:after="0"/>
              <w:rPr>
                <w:sz w:val="14"/>
                <w:szCs w:val="14"/>
                <w:color w:val="auto"/>
              </w:rPr>
            </w:pPr>
          </w:p>
        </w:tc>
        <w:tc>
          <w:tcPr>
            <w:tcW w:w="960" w:type="dxa"/>
            <w:vAlign w:val="bottom"/>
            <w:gridSpan w:val="2"/>
          </w:tcPr>
          <w:p>
            <w:pPr>
              <w:jc w:val="center"/>
              <w:ind w:left="131"/>
              <w:spacing w:after="0"/>
              <w:rPr>
                <w:sz w:val="20"/>
                <w:szCs w:val="20"/>
                <w:color w:val="auto"/>
              </w:rPr>
            </w:pPr>
            <w:r>
              <w:rPr>
                <w:rFonts w:ascii="Arial" w:cs="Arial" w:eastAsia="Arial" w:hAnsi="Arial"/>
                <w:sz w:val="9"/>
                <w:szCs w:val="9"/>
                <w:color w:val="auto"/>
                <w:w w:val="9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95"/>
              </w:rPr>
              <w:t>$556,250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$2,225,000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8"/>
              </w:rPr>
              <w:t>$4,450,000</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3</w:t>
            </w: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13,653</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27,306</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47,786</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$4,837,500</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92"/>
              </w:rPr>
              <w:t>2022 PA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4</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16,875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33,750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59,063</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$4,375,000</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92"/>
              </w:rPr>
              <w:t>2022 SVA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5</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12,160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24,319</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42,558</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$4,375,000</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2022 RVA</w:t>
            </w:r>
          </w:p>
        </w:tc>
        <w:tc>
          <w:tcPr>
            <w:tcW w:w="9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20" w:type="dxa"/>
            <w:vAlign w:val="bottom"/>
            <w:tcBorders>
              <w:bottom w:val="single" w:sz="8" w:color="C8C9CB"/>
            </w:tcBorders>
          </w:tcPr>
          <w:p>
            <w:pPr>
              <w:spacing w:after="0"/>
              <w:rPr>
                <w:sz w:val="19"/>
                <w:szCs w:val="19"/>
                <w:color w:val="auto"/>
              </w:rPr>
            </w:pPr>
          </w:p>
        </w:tc>
        <w:tc>
          <w:tcPr>
            <w:tcW w:w="640" w:type="dxa"/>
            <w:vAlign w:val="bottom"/>
            <w:tcBorders>
              <w:bottom w:val="single" w:sz="8" w:color="C8C9CB"/>
            </w:tcBorders>
          </w:tcPr>
          <w:p>
            <w:pPr>
              <w:spacing w:after="0"/>
              <w:rPr>
                <w:sz w:val="19"/>
                <w:szCs w:val="19"/>
                <w:color w:val="auto"/>
              </w:rPr>
            </w:pPr>
          </w:p>
        </w:tc>
        <w:tc>
          <w:tcPr>
            <w:tcW w:w="200" w:type="dxa"/>
            <w:vAlign w:val="bottom"/>
            <w:tcBorders>
              <w:bottom w:val="single" w:sz="8" w:color="C8C9CB"/>
            </w:tcBorders>
          </w:tcPr>
          <w:p>
            <w:pPr>
              <w:spacing w:after="0"/>
              <w:rPr>
                <w:sz w:val="19"/>
                <w:szCs w:val="19"/>
                <w:color w:val="auto"/>
              </w:rPr>
            </w:pPr>
          </w:p>
        </w:tc>
        <w:tc>
          <w:tcPr>
            <w:tcW w:w="760" w:type="dxa"/>
            <w:vAlign w:val="bottom"/>
            <w:tcBorders>
              <w:bottom w:val="single" w:sz="8" w:color="C8C9CB"/>
            </w:tcBorders>
          </w:tcPr>
          <w:p>
            <w:pPr>
              <w:spacing w:after="0"/>
              <w:rPr>
                <w:sz w:val="19"/>
                <w:szCs w:val="19"/>
                <w:color w:val="auto"/>
              </w:rPr>
            </w:pPr>
          </w:p>
        </w:tc>
        <w:tc>
          <w:tcPr>
            <w:tcW w:w="840" w:type="dxa"/>
            <w:vAlign w:val="bottom"/>
            <w:tcBorders>
              <w:bottom w:val="single" w:sz="8" w:color="C8C9CB"/>
            </w:tcBorders>
          </w:tcPr>
          <w:p>
            <w:pPr>
              <w:spacing w:after="0"/>
              <w:rPr>
                <w:sz w:val="19"/>
                <w:szCs w:val="19"/>
                <w:color w:val="auto"/>
              </w:rPr>
            </w:pPr>
          </w:p>
        </w:tc>
        <w:tc>
          <w:tcPr>
            <w:tcW w:w="600" w:type="dxa"/>
            <w:vAlign w:val="bottom"/>
            <w:tcBorders>
              <w:bottom w:val="single" w:sz="8" w:color="C8C9CB"/>
            </w:tcBorders>
          </w:tcPr>
          <w:p>
            <w:pPr>
              <w:spacing w:after="0"/>
              <w:rPr>
                <w:sz w:val="19"/>
                <w:szCs w:val="19"/>
                <w:color w:val="auto"/>
              </w:rPr>
            </w:pPr>
          </w:p>
        </w:tc>
        <w:tc>
          <w:tcPr>
            <w:tcW w:w="800" w:type="dxa"/>
            <w:vAlign w:val="bottom"/>
            <w:tcBorders>
              <w:bottom w:val="single" w:sz="8" w:color="C8C9CB"/>
            </w:tcBorders>
          </w:tcPr>
          <w:p>
            <w:pPr>
              <w:spacing w:after="0"/>
              <w:rPr>
                <w:sz w:val="19"/>
                <w:szCs w:val="19"/>
                <w:color w:val="auto"/>
              </w:rPr>
            </w:pPr>
          </w:p>
        </w:tc>
        <w:tc>
          <w:tcPr>
            <w:tcW w:w="760" w:type="dxa"/>
            <w:vAlign w:val="bottom"/>
            <w:tcBorders>
              <w:bottom w:val="single" w:sz="8" w:color="C8C9CB"/>
            </w:tcBorders>
          </w:tcPr>
          <w:p>
            <w:pPr>
              <w:spacing w:after="0"/>
              <w:rPr>
                <w:sz w:val="19"/>
                <w:szCs w:val="19"/>
                <w:color w:val="auto"/>
              </w:rPr>
            </w:pPr>
          </w:p>
        </w:tc>
        <w:tc>
          <w:tcPr>
            <w:tcW w:w="680" w:type="dxa"/>
            <w:vAlign w:val="bottom"/>
            <w:tcBorders>
              <w:bottom w:val="single" w:sz="8" w:color="C8C9CB"/>
            </w:tcBorders>
          </w:tcPr>
          <w:p>
            <w:pPr>
              <w:spacing w:after="0"/>
              <w:rPr>
                <w:sz w:val="19"/>
                <w:szCs w:val="19"/>
                <w:color w:val="auto"/>
              </w:rPr>
            </w:pPr>
          </w:p>
        </w:tc>
        <w:tc>
          <w:tcPr>
            <w:tcW w:w="660" w:type="dxa"/>
            <w:vAlign w:val="bottom"/>
            <w:tcBorders>
              <w:bottom w:val="single" w:sz="8" w:color="C8C9CB"/>
            </w:tcBorders>
          </w:tcPr>
          <w:p>
            <w:pPr>
              <w:spacing w:after="0"/>
              <w:rPr>
                <w:sz w:val="19"/>
                <w:szCs w:val="19"/>
                <w:color w:val="auto"/>
              </w:rPr>
            </w:pPr>
          </w:p>
        </w:tc>
        <w:tc>
          <w:tcPr>
            <w:tcW w:w="660" w:type="dxa"/>
            <w:vAlign w:val="bottom"/>
            <w:tcBorders>
              <w:bottom w:val="single" w:sz="8" w:color="C8C9CB"/>
            </w:tcBorders>
          </w:tcPr>
          <w:p>
            <w:pPr>
              <w:spacing w:after="0"/>
              <w:rPr>
                <w:sz w:val="19"/>
                <w:szCs w:val="19"/>
                <w:color w:val="auto"/>
              </w:rPr>
            </w:pPr>
          </w:p>
        </w:tc>
        <w:tc>
          <w:tcPr>
            <w:tcW w:w="70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8C9CB"/>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F4F6F6"/>
          </w:tcPr>
          <w:p>
            <w:pPr>
              <w:spacing w:after="0"/>
              <w:rPr>
                <w:sz w:val="20"/>
                <w:szCs w:val="20"/>
                <w:color w:val="auto"/>
              </w:rPr>
            </w:pPr>
            <w:r>
              <w:rPr>
                <w:rFonts w:ascii="Arial" w:cs="Arial" w:eastAsia="Arial" w:hAnsi="Arial"/>
                <w:sz w:val="12"/>
                <w:szCs w:val="12"/>
                <w:color w:val="auto"/>
              </w:rPr>
              <w:t>Mr. Smiley</w:t>
            </w:r>
            <w:r>
              <w:rPr>
                <w:rFonts w:ascii="Arial" w:cs="Arial" w:eastAsia="Arial" w:hAnsi="Arial"/>
                <w:sz w:val="15"/>
                <w:szCs w:val="15"/>
                <w:color w:val="auto"/>
                <w:vertAlign w:val="superscript"/>
              </w:rPr>
              <w:t>7</w:t>
            </w:r>
          </w:p>
        </w:tc>
        <w:tc>
          <w:tcPr>
            <w:tcW w:w="64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Arial" w:cs="Arial" w:eastAsia="Arial" w:hAnsi="Arial"/>
                <w:sz w:val="9"/>
                <w:szCs w:val="9"/>
                <w:color w:val="auto"/>
                <w:w w:val="9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600" w:type="dxa"/>
            <w:vAlign w:val="bottom"/>
          </w:tcPr>
          <w:p>
            <w:pPr>
              <w:jc w:val="center"/>
              <w:spacing w:after="0"/>
              <w:rPr>
                <w:sz w:val="20"/>
                <w:szCs w:val="20"/>
                <w:color w:val="auto"/>
              </w:rPr>
            </w:pPr>
            <w:r>
              <w:rPr>
                <w:rFonts w:ascii="Arial" w:cs="Arial" w:eastAsia="Arial" w:hAnsi="Arial"/>
                <w:sz w:val="13"/>
                <w:szCs w:val="13"/>
                <w:color w:val="auto"/>
                <w:w w:val="95"/>
              </w:rPr>
              <w:t>$233,542</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$934,167</w:t>
            </w: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$1,868,333</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20" w:type="dxa"/>
            <w:vAlign w:val="bottom"/>
            <w:shd w:val="clear" w:color="auto" w:fill="F4F6F6"/>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3</w:t>
            </w:r>
          </w:p>
        </w:tc>
        <w:tc>
          <w:tcPr>
            <w:tcW w:w="76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820" w:type="dxa"/>
            <w:vAlign w:val="bottom"/>
            <w:shd w:val="clear" w:color="auto" w:fill="F4F6F6"/>
          </w:tcPr>
          <w:p>
            <w:pPr>
              <w:spacing w:after="0"/>
              <w:rPr>
                <w:sz w:val="5"/>
                <w:szCs w:val="5"/>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820" w:type="dxa"/>
            <w:vAlign w:val="bottom"/>
            <w:shd w:val="clear" w:color="auto" w:fill="F4F6F6"/>
          </w:tcPr>
          <w:p>
            <w:pPr>
              <w:spacing w:after="0"/>
              <w:rPr>
                <w:sz w:val="7"/>
                <w:szCs w:val="7"/>
                <w:color w:val="auto"/>
              </w:rPr>
            </w:pPr>
          </w:p>
        </w:tc>
        <w:tc>
          <w:tcPr>
            <w:tcW w:w="640" w:type="dxa"/>
            <w:vAlign w:val="bottom"/>
            <w:vMerge w:val="continue"/>
            <w:shd w:val="clear" w:color="auto" w:fill="F4F6F6"/>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3,605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7,209</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12,616</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$1,277,100</w:t>
            </w:r>
          </w:p>
        </w:tc>
        <w:tc>
          <w:tcPr>
            <w:tcW w:w="0" w:type="dxa"/>
            <w:vAlign w:val="bottom"/>
          </w:tcPr>
          <w:p>
            <w:pPr>
              <w:spacing w:after="0"/>
              <w:rPr>
                <w:sz w:val="1"/>
                <w:szCs w:val="1"/>
                <w:color w:val="auto"/>
              </w:rPr>
            </w:pPr>
          </w:p>
        </w:tc>
      </w:tr>
      <w:tr>
        <w:trPr>
          <w:trHeight w:val="134"/>
        </w:trPr>
        <w:tc>
          <w:tcPr>
            <w:tcW w:w="820" w:type="dxa"/>
            <w:vAlign w:val="bottom"/>
            <w:shd w:val="clear" w:color="auto" w:fill="F4F6F6"/>
          </w:tcPr>
          <w:p>
            <w:pPr>
              <w:spacing w:after="0"/>
              <w:rPr>
                <w:sz w:val="11"/>
                <w:szCs w:val="11"/>
                <w:color w:val="auto"/>
              </w:rPr>
            </w:pPr>
          </w:p>
        </w:tc>
        <w:tc>
          <w:tcPr>
            <w:tcW w:w="640" w:type="dxa"/>
            <w:vAlign w:val="bottom"/>
            <w:shd w:val="clear" w:color="auto" w:fill="F4F6F6"/>
          </w:tcPr>
          <w:p>
            <w:pPr>
              <w:jc w:val="center"/>
              <w:spacing w:after="0" w:line="134" w:lineRule="exact"/>
              <w:rPr>
                <w:sz w:val="20"/>
                <w:szCs w:val="20"/>
                <w:color w:val="auto"/>
              </w:rPr>
            </w:pPr>
            <w:r>
              <w:rPr>
                <w:rFonts w:ascii="Arial" w:cs="Arial" w:eastAsia="Arial" w:hAnsi="Arial"/>
                <w:sz w:val="13"/>
                <w:szCs w:val="13"/>
                <w:color w:val="auto"/>
                <w:w w:val="92"/>
              </w:rPr>
              <w:t>2022 PA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shd w:val="clear" w:color="auto" w:fill="F4F6F6"/>
          </w:tcPr>
          <w:p>
            <w:pPr>
              <w:spacing w:after="0"/>
              <w:rPr>
                <w:sz w:val="8"/>
                <w:szCs w:val="8"/>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4,455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8,910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15,593</w:t>
            </w:r>
          </w:p>
        </w:tc>
        <w:tc>
          <w:tcPr>
            <w:tcW w:w="7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$1,155,000</w:t>
            </w:r>
          </w:p>
        </w:tc>
        <w:tc>
          <w:tcPr>
            <w:tcW w:w="0" w:type="dxa"/>
            <w:vAlign w:val="bottom"/>
          </w:tcPr>
          <w:p>
            <w:pPr>
              <w:spacing w:after="0"/>
              <w:rPr>
                <w:sz w:val="1"/>
                <w:szCs w:val="1"/>
                <w:color w:val="auto"/>
              </w:rPr>
            </w:pPr>
          </w:p>
        </w:tc>
      </w:tr>
      <w:tr>
        <w:trPr>
          <w:trHeight w:val="92"/>
        </w:trPr>
        <w:tc>
          <w:tcPr>
            <w:tcW w:w="820" w:type="dxa"/>
            <w:vAlign w:val="bottom"/>
            <w:shd w:val="clear" w:color="auto" w:fill="F4F6F6"/>
          </w:tcPr>
          <w:p>
            <w:pPr>
              <w:spacing w:after="0"/>
              <w:rPr>
                <w:sz w:val="7"/>
                <w:szCs w:val="7"/>
                <w:color w:val="auto"/>
              </w:rPr>
            </w:pPr>
          </w:p>
        </w:tc>
        <w:tc>
          <w:tcPr>
            <w:tcW w:w="640" w:type="dxa"/>
            <w:vAlign w:val="bottom"/>
            <w:vMerge w:val="continue"/>
            <w:shd w:val="clear" w:color="auto" w:fill="F4F6F6"/>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820" w:type="dxa"/>
            <w:vAlign w:val="bottom"/>
            <w:shd w:val="clear" w:color="auto" w:fill="F4F6F6"/>
          </w:tcPr>
          <w:p>
            <w:pPr>
              <w:spacing w:after="0"/>
              <w:rPr>
                <w:sz w:val="13"/>
                <w:szCs w:val="13"/>
                <w:color w:val="auto"/>
              </w:rPr>
            </w:pPr>
          </w:p>
        </w:tc>
        <w:tc>
          <w:tcPr>
            <w:tcW w:w="6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2022 SVA</w:t>
            </w: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5</w:t>
            </w: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820" w:type="dxa"/>
            <w:vAlign w:val="bottom"/>
            <w:shd w:val="clear" w:color="auto" w:fill="F4F6F6"/>
          </w:tcPr>
          <w:p>
            <w:pPr>
              <w:spacing w:after="0"/>
              <w:rPr>
                <w:sz w:val="7"/>
                <w:szCs w:val="7"/>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vMerge w:val="continue"/>
          </w:tcPr>
          <w:p>
            <w:pPr>
              <w:spacing w:after="0"/>
              <w:rPr>
                <w:sz w:val="7"/>
                <w:szCs w:val="7"/>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shd w:val="clear" w:color="auto" w:fill="F4F6F6"/>
          </w:tcPr>
          <w:p>
            <w:pPr>
              <w:spacing w:after="0"/>
              <w:rPr>
                <w:sz w:val="7"/>
                <w:szCs w:val="7"/>
                <w:color w:val="auto"/>
              </w:rPr>
            </w:pPr>
          </w:p>
        </w:tc>
        <w:tc>
          <w:tcPr>
            <w:tcW w:w="800" w:type="dxa"/>
            <w:vAlign w:val="bottom"/>
            <w:shd w:val="clear" w:color="auto" w:fill="F4F6F6"/>
          </w:tcPr>
          <w:p>
            <w:pPr>
              <w:spacing w:after="0"/>
              <w:rPr>
                <w:sz w:val="7"/>
                <w:szCs w:val="7"/>
                <w:color w:val="auto"/>
              </w:rPr>
            </w:pPr>
          </w:p>
        </w:tc>
        <w:tc>
          <w:tcPr>
            <w:tcW w:w="760" w:type="dxa"/>
            <w:vAlign w:val="bottom"/>
            <w:shd w:val="clear" w:color="auto" w:fill="F4F6F6"/>
          </w:tcPr>
          <w:p>
            <w:pPr>
              <w:spacing w:after="0"/>
              <w:rPr>
                <w:sz w:val="7"/>
                <w:szCs w:val="7"/>
                <w:color w:val="auto"/>
              </w:rPr>
            </w:pP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3,210</w:t>
            </w: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6,420</w:t>
            </w: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11,235</w:t>
            </w:r>
          </w:p>
        </w:tc>
        <w:tc>
          <w:tcPr>
            <w:tcW w:w="700" w:type="dxa"/>
            <w:vAlign w:val="bottom"/>
            <w:shd w:val="clear" w:color="auto" w:fill="F4F6F6"/>
          </w:tcPr>
          <w:p>
            <w:pPr>
              <w:spacing w:after="0"/>
              <w:rPr>
                <w:sz w:val="7"/>
                <w:szCs w:val="7"/>
                <w:color w:val="auto"/>
              </w:rPr>
            </w:pP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$1,155,000</w:t>
            </w:r>
          </w:p>
        </w:tc>
        <w:tc>
          <w:tcPr>
            <w:tcW w:w="0" w:type="dxa"/>
            <w:vAlign w:val="bottom"/>
          </w:tcPr>
          <w:p>
            <w:pPr>
              <w:spacing w:after="0"/>
              <w:rPr>
                <w:sz w:val="1"/>
                <w:szCs w:val="1"/>
                <w:color w:val="auto"/>
              </w:rPr>
            </w:pPr>
          </w:p>
        </w:tc>
      </w:tr>
      <w:tr>
        <w:trPr>
          <w:trHeight w:val="92"/>
        </w:trPr>
        <w:tc>
          <w:tcPr>
            <w:tcW w:w="820" w:type="dxa"/>
            <w:vAlign w:val="bottom"/>
            <w:shd w:val="clear" w:color="auto" w:fill="F4F6F6"/>
          </w:tcPr>
          <w:p>
            <w:pPr>
              <w:spacing w:after="0"/>
              <w:rPr>
                <w:sz w:val="7"/>
                <w:szCs w:val="7"/>
                <w:color w:val="auto"/>
              </w:rPr>
            </w:pPr>
          </w:p>
        </w:tc>
        <w:tc>
          <w:tcPr>
            <w:tcW w:w="640" w:type="dxa"/>
            <w:vAlign w:val="bottom"/>
            <w:vMerge w:val="continue"/>
            <w:shd w:val="clear" w:color="auto" w:fill="F4F6F6"/>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shd w:val="clear" w:color="auto" w:fill="F4F6F6"/>
          </w:tcPr>
          <w:p>
            <w:pPr>
              <w:spacing w:after="0"/>
              <w:rPr>
                <w:sz w:val="7"/>
                <w:szCs w:val="7"/>
                <w:color w:val="auto"/>
              </w:rPr>
            </w:pPr>
          </w:p>
        </w:tc>
        <w:tc>
          <w:tcPr>
            <w:tcW w:w="840" w:type="dxa"/>
            <w:vAlign w:val="bottom"/>
            <w:vMerge w:val="continue"/>
            <w:shd w:val="clear" w:color="auto" w:fill="F4F6F6"/>
          </w:tcPr>
          <w:p>
            <w:pPr>
              <w:spacing w:after="0"/>
              <w:rPr>
                <w:sz w:val="7"/>
                <w:szCs w:val="7"/>
                <w:color w:val="auto"/>
              </w:rPr>
            </w:pPr>
          </w:p>
        </w:tc>
        <w:tc>
          <w:tcPr>
            <w:tcW w:w="600" w:type="dxa"/>
            <w:vAlign w:val="bottom"/>
            <w:shd w:val="clear" w:color="auto" w:fill="F4F6F6"/>
          </w:tcPr>
          <w:p>
            <w:pPr>
              <w:spacing w:after="0"/>
              <w:rPr>
                <w:sz w:val="7"/>
                <w:szCs w:val="7"/>
                <w:color w:val="auto"/>
              </w:rPr>
            </w:pPr>
          </w:p>
        </w:tc>
        <w:tc>
          <w:tcPr>
            <w:tcW w:w="800" w:type="dxa"/>
            <w:vAlign w:val="bottom"/>
            <w:shd w:val="clear" w:color="auto" w:fill="F4F6F6"/>
          </w:tcPr>
          <w:p>
            <w:pPr>
              <w:spacing w:after="0"/>
              <w:rPr>
                <w:sz w:val="7"/>
                <w:szCs w:val="7"/>
                <w:color w:val="auto"/>
              </w:rPr>
            </w:pPr>
          </w:p>
        </w:tc>
        <w:tc>
          <w:tcPr>
            <w:tcW w:w="760" w:type="dxa"/>
            <w:vAlign w:val="bottom"/>
            <w:shd w:val="clear" w:color="auto" w:fill="F4F6F6"/>
          </w:tcPr>
          <w:p>
            <w:pPr>
              <w:spacing w:after="0"/>
              <w:rPr>
                <w:sz w:val="7"/>
                <w:szCs w:val="7"/>
                <w:color w:val="auto"/>
              </w:rPr>
            </w:pPr>
          </w:p>
        </w:tc>
        <w:tc>
          <w:tcPr>
            <w:tcW w:w="680" w:type="dxa"/>
            <w:vAlign w:val="bottom"/>
            <w:vMerge w:val="continue"/>
            <w:shd w:val="clear" w:color="auto" w:fill="F4F6F6"/>
          </w:tcPr>
          <w:p>
            <w:pPr>
              <w:spacing w:after="0"/>
              <w:rPr>
                <w:sz w:val="7"/>
                <w:szCs w:val="7"/>
                <w:color w:val="auto"/>
              </w:rPr>
            </w:pPr>
          </w:p>
        </w:tc>
        <w:tc>
          <w:tcPr>
            <w:tcW w:w="660" w:type="dxa"/>
            <w:vAlign w:val="bottom"/>
            <w:vMerge w:val="continue"/>
            <w:shd w:val="clear" w:color="auto" w:fill="F4F6F6"/>
          </w:tcPr>
          <w:p>
            <w:pPr>
              <w:spacing w:after="0"/>
              <w:rPr>
                <w:sz w:val="7"/>
                <w:szCs w:val="7"/>
                <w:color w:val="auto"/>
              </w:rPr>
            </w:pPr>
          </w:p>
        </w:tc>
        <w:tc>
          <w:tcPr>
            <w:tcW w:w="660" w:type="dxa"/>
            <w:vAlign w:val="bottom"/>
            <w:vMerge w:val="continue"/>
            <w:shd w:val="clear" w:color="auto" w:fill="F4F6F6"/>
          </w:tcPr>
          <w:p>
            <w:pPr>
              <w:spacing w:after="0"/>
              <w:rPr>
                <w:sz w:val="7"/>
                <w:szCs w:val="7"/>
                <w:color w:val="auto"/>
              </w:rPr>
            </w:pPr>
          </w:p>
        </w:tc>
        <w:tc>
          <w:tcPr>
            <w:tcW w:w="700" w:type="dxa"/>
            <w:vAlign w:val="bottom"/>
            <w:shd w:val="clear" w:color="auto" w:fill="F4F6F6"/>
          </w:tcPr>
          <w:p>
            <w:pPr>
              <w:spacing w:after="0"/>
              <w:rPr>
                <w:sz w:val="7"/>
                <w:szCs w:val="7"/>
                <w:color w:val="auto"/>
              </w:rPr>
            </w:pPr>
          </w:p>
        </w:tc>
        <w:tc>
          <w:tcPr>
            <w:tcW w:w="740" w:type="dxa"/>
            <w:vAlign w:val="bottom"/>
            <w:vMerge w:val="continue"/>
            <w:shd w:val="clear" w:color="auto" w:fill="F4F6F6"/>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820" w:type="dxa"/>
            <w:vAlign w:val="bottom"/>
            <w:shd w:val="clear" w:color="auto" w:fill="F4F6F6"/>
          </w:tcPr>
          <w:p>
            <w:pPr>
              <w:spacing w:after="0"/>
              <w:rPr>
                <w:sz w:val="13"/>
                <w:szCs w:val="13"/>
                <w:color w:val="auto"/>
              </w:rPr>
            </w:pPr>
          </w:p>
        </w:tc>
        <w:tc>
          <w:tcPr>
            <w:tcW w:w="6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2022 RVA</w:t>
            </w:r>
          </w:p>
        </w:tc>
        <w:tc>
          <w:tcPr>
            <w:tcW w:w="200" w:type="dxa"/>
            <w:vAlign w:val="bottom"/>
          </w:tcPr>
          <w:p>
            <w:pPr>
              <w:spacing w:after="0"/>
              <w:rPr>
                <w:sz w:val="13"/>
                <w:szCs w:val="13"/>
                <w:color w:val="auto"/>
              </w:rPr>
            </w:pPr>
          </w:p>
        </w:tc>
        <w:tc>
          <w:tcPr>
            <w:tcW w:w="760" w:type="dxa"/>
            <w:vAlign w:val="bottom"/>
            <w:vMerge w:val="continue"/>
            <w:shd w:val="clear" w:color="auto" w:fill="F4F6F6"/>
          </w:tcPr>
          <w:p>
            <w:pPr>
              <w:spacing w:after="0"/>
              <w:rPr>
                <w:sz w:val="13"/>
                <w:szCs w:val="13"/>
                <w:color w:val="auto"/>
              </w:rPr>
            </w:pPr>
          </w:p>
        </w:tc>
        <w:tc>
          <w:tcPr>
            <w:tcW w:w="840" w:type="dxa"/>
            <w:vAlign w:val="bottom"/>
            <w:vMerge w:val="continue"/>
            <w:shd w:val="clear" w:color="auto" w:fill="F4F6F6"/>
          </w:tcPr>
          <w:p>
            <w:pPr>
              <w:spacing w:after="0"/>
              <w:rPr>
                <w:sz w:val="13"/>
                <w:szCs w:val="13"/>
                <w:color w:val="auto"/>
              </w:rPr>
            </w:pPr>
          </w:p>
        </w:tc>
        <w:tc>
          <w:tcPr>
            <w:tcW w:w="600" w:type="dxa"/>
            <w:vAlign w:val="bottom"/>
            <w:shd w:val="clear" w:color="auto" w:fill="F4F6F6"/>
          </w:tcPr>
          <w:p>
            <w:pPr>
              <w:spacing w:after="0"/>
              <w:rPr>
                <w:sz w:val="13"/>
                <w:szCs w:val="13"/>
                <w:color w:val="auto"/>
              </w:rPr>
            </w:pPr>
          </w:p>
        </w:tc>
        <w:tc>
          <w:tcPr>
            <w:tcW w:w="80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680" w:type="dxa"/>
            <w:vAlign w:val="bottom"/>
            <w:vMerge w:val="continue"/>
            <w:shd w:val="clear" w:color="auto" w:fill="F4F6F6"/>
          </w:tcPr>
          <w:p>
            <w:pPr>
              <w:spacing w:after="0"/>
              <w:rPr>
                <w:sz w:val="13"/>
                <w:szCs w:val="13"/>
                <w:color w:val="auto"/>
              </w:rPr>
            </w:pPr>
          </w:p>
        </w:tc>
        <w:tc>
          <w:tcPr>
            <w:tcW w:w="660" w:type="dxa"/>
            <w:vAlign w:val="bottom"/>
            <w:vMerge w:val="continue"/>
            <w:shd w:val="clear" w:color="auto" w:fill="F4F6F6"/>
          </w:tcPr>
          <w:p>
            <w:pPr>
              <w:spacing w:after="0"/>
              <w:rPr>
                <w:sz w:val="13"/>
                <w:szCs w:val="13"/>
                <w:color w:val="auto"/>
              </w:rPr>
            </w:pPr>
          </w:p>
        </w:tc>
        <w:tc>
          <w:tcPr>
            <w:tcW w:w="660" w:type="dxa"/>
            <w:vAlign w:val="bottom"/>
            <w:vMerge w:val="continue"/>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vMerge w:val="continue"/>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20" w:type="dxa"/>
            <w:vAlign w:val="bottom"/>
            <w:tcBorders>
              <w:bottom w:val="single" w:sz="8" w:color="C8C9CB"/>
            </w:tcBorders>
            <w:shd w:val="clear" w:color="auto" w:fill="F4F6F6"/>
          </w:tcPr>
          <w:p>
            <w:pPr>
              <w:spacing w:after="0"/>
              <w:rPr>
                <w:sz w:val="19"/>
                <w:szCs w:val="19"/>
                <w:color w:val="auto"/>
              </w:rPr>
            </w:pPr>
          </w:p>
        </w:tc>
        <w:tc>
          <w:tcPr>
            <w:tcW w:w="640" w:type="dxa"/>
            <w:vAlign w:val="bottom"/>
            <w:tcBorders>
              <w:bottom w:val="single" w:sz="8" w:color="C8C9CB"/>
            </w:tcBorders>
            <w:shd w:val="clear" w:color="auto" w:fill="F4F6F6"/>
          </w:tcPr>
          <w:p>
            <w:pPr>
              <w:spacing w:after="0"/>
              <w:rPr>
                <w:sz w:val="19"/>
                <w:szCs w:val="19"/>
                <w:color w:val="auto"/>
              </w:rPr>
            </w:pPr>
          </w:p>
        </w:tc>
        <w:tc>
          <w:tcPr>
            <w:tcW w:w="200" w:type="dxa"/>
            <w:vAlign w:val="bottom"/>
            <w:tcBorders>
              <w:bottom w:val="single" w:sz="8" w:color="C8C9CB"/>
            </w:tcBorders>
          </w:tcPr>
          <w:p>
            <w:pPr>
              <w:spacing w:after="0"/>
              <w:rPr>
                <w:sz w:val="19"/>
                <w:szCs w:val="19"/>
                <w:color w:val="auto"/>
              </w:rPr>
            </w:pPr>
          </w:p>
        </w:tc>
        <w:tc>
          <w:tcPr>
            <w:tcW w:w="760" w:type="dxa"/>
            <w:vAlign w:val="bottom"/>
            <w:tcBorders>
              <w:bottom w:val="single" w:sz="8" w:color="C8C9CB"/>
            </w:tcBorders>
            <w:shd w:val="clear" w:color="auto" w:fill="F4F6F6"/>
          </w:tcPr>
          <w:p>
            <w:pPr>
              <w:spacing w:after="0"/>
              <w:rPr>
                <w:sz w:val="19"/>
                <w:szCs w:val="19"/>
                <w:color w:val="auto"/>
              </w:rPr>
            </w:pPr>
          </w:p>
        </w:tc>
        <w:tc>
          <w:tcPr>
            <w:tcW w:w="840" w:type="dxa"/>
            <w:vAlign w:val="bottom"/>
            <w:tcBorders>
              <w:bottom w:val="single" w:sz="8" w:color="C8C9CB"/>
            </w:tcBorders>
            <w:shd w:val="clear" w:color="auto" w:fill="F4F6F6"/>
          </w:tcPr>
          <w:p>
            <w:pPr>
              <w:spacing w:after="0"/>
              <w:rPr>
                <w:sz w:val="19"/>
                <w:szCs w:val="19"/>
                <w:color w:val="auto"/>
              </w:rPr>
            </w:pPr>
          </w:p>
        </w:tc>
        <w:tc>
          <w:tcPr>
            <w:tcW w:w="600" w:type="dxa"/>
            <w:vAlign w:val="bottom"/>
            <w:tcBorders>
              <w:bottom w:val="single" w:sz="8" w:color="C8C9CB"/>
            </w:tcBorders>
            <w:shd w:val="clear" w:color="auto" w:fill="F4F6F6"/>
          </w:tcPr>
          <w:p>
            <w:pPr>
              <w:spacing w:after="0"/>
              <w:rPr>
                <w:sz w:val="19"/>
                <w:szCs w:val="19"/>
                <w:color w:val="auto"/>
              </w:rPr>
            </w:pPr>
          </w:p>
        </w:tc>
        <w:tc>
          <w:tcPr>
            <w:tcW w:w="800" w:type="dxa"/>
            <w:vAlign w:val="bottom"/>
            <w:tcBorders>
              <w:bottom w:val="single" w:sz="8" w:color="C8C9CB"/>
            </w:tcBorders>
            <w:shd w:val="clear" w:color="auto" w:fill="F4F6F6"/>
          </w:tcPr>
          <w:p>
            <w:pPr>
              <w:spacing w:after="0"/>
              <w:rPr>
                <w:sz w:val="19"/>
                <w:szCs w:val="19"/>
                <w:color w:val="auto"/>
              </w:rPr>
            </w:pPr>
          </w:p>
        </w:tc>
        <w:tc>
          <w:tcPr>
            <w:tcW w:w="760" w:type="dxa"/>
            <w:vAlign w:val="bottom"/>
            <w:tcBorders>
              <w:bottom w:val="single" w:sz="8" w:color="C8C9CB"/>
            </w:tcBorders>
            <w:shd w:val="clear" w:color="auto" w:fill="F4F6F6"/>
          </w:tcPr>
          <w:p>
            <w:pPr>
              <w:spacing w:after="0"/>
              <w:rPr>
                <w:sz w:val="19"/>
                <w:szCs w:val="19"/>
                <w:color w:val="auto"/>
              </w:rPr>
            </w:pPr>
          </w:p>
        </w:tc>
        <w:tc>
          <w:tcPr>
            <w:tcW w:w="680" w:type="dxa"/>
            <w:vAlign w:val="bottom"/>
            <w:tcBorders>
              <w:bottom w:val="single" w:sz="8" w:color="C8C9CB"/>
            </w:tcBorders>
            <w:shd w:val="clear" w:color="auto" w:fill="F4F6F6"/>
          </w:tcPr>
          <w:p>
            <w:pPr>
              <w:spacing w:after="0"/>
              <w:rPr>
                <w:sz w:val="19"/>
                <w:szCs w:val="19"/>
                <w:color w:val="auto"/>
              </w:rPr>
            </w:pPr>
          </w:p>
        </w:tc>
        <w:tc>
          <w:tcPr>
            <w:tcW w:w="660" w:type="dxa"/>
            <w:vAlign w:val="bottom"/>
            <w:tcBorders>
              <w:bottom w:val="single" w:sz="8" w:color="C8C9CB"/>
            </w:tcBorders>
            <w:shd w:val="clear" w:color="auto" w:fill="F4F6F6"/>
          </w:tcPr>
          <w:p>
            <w:pPr>
              <w:spacing w:after="0"/>
              <w:rPr>
                <w:sz w:val="19"/>
                <w:szCs w:val="19"/>
                <w:color w:val="auto"/>
              </w:rPr>
            </w:pPr>
          </w:p>
        </w:tc>
        <w:tc>
          <w:tcPr>
            <w:tcW w:w="660" w:type="dxa"/>
            <w:vAlign w:val="bottom"/>
            <w:tcBorders>
              <w:bottom w:val="single" w:sz="8" w:color="C8C9CB"/>
            </w:tcBorders>
            <w:shd w:val="clear" w:color="auto" w:fill="F4F6F6"/>
          </w:tcPr>
          <w:p>
            <w:pPr>
              <w:spacing w:after="0"/>
              <w:rPr>
                <w:sz w:val="19"/>
                <w:szCs w:val="19"/>
                <w:color w:val="auto"/>
              </w:rPr>
            </w:pPr>
          </w:p>
        </w:tc>
        <w:tc>
          <w:tcPr>
            <w:tcW w:w="70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8C9CB"/>
            </w:tcBorders>
            <w:shd w:val="clear" w:color="auto" w:fill="F4F6F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20"/>
                <w:szCs w:val="20"/>
                <w:color w:val="auto"/>
              </w:rPr>
            </w:pPr>
            <w:r>
              <w:rPr>
                <w:rFonts w:ascii="Arial" w:cs="Arial" w:eastAsia="Arial" w:hAnsi="Arial"/>
                <w:sz w:val="12"/>
                <w:szCs w:val="12"/>
                <w:color w:val="auto"/>
                <w:w w:val="98"/>
              </w:rPr>
              <w:t>Dr. Skovronsky</w:t>
            </w:r>
          </w:p>
        </w:tc>
        <w:tc>
          <w:tcPr>
            <w:tcW w:w="640" w:type="dxa"/>
            <w:vAlign w:val="bottom"/>
          </w:tcPr>
          <w:p>
            <w:pPr>
              <w:spacing w:after="0"/>
              <w:rPr>
                <w:sz w:val="18"/>
                <w:szCs w:val="18"/>
                <w:color w:val="auto"/>
              </w:rPr>
            </w:pPr>
          </w:p>
        </w:tc>
        <w:tc>
          <w:tcPr>
            <w:tcW w:w="960" w:type="dxa"/>
            <w:vAlign w:val="bottom"/>
            <w:gridSpan w:val="2"/>
          </w:tcPr>
          <w:p>
            <w:pPr>
              <w:jc w:val="center"/>
              <w:ind w:left="151"/>
              <w:spacing w:after="0"/>
              <w:rPr>
                <w:sz w:val="20"/>
                <w:szCs w:val="20"/>
                <w:color w:val="auto"/>
              </w:rPr>
            </w:pPr>
            <w:r>
              <w:rPr>
                <w:rFonts w:ascii="Arial" w:cs="Arial" w:eastAsia="Arial" w:hAnsi="Arial"/>
                <w:sz w:val="8"/>
                <w:szCs w:val="8"/>
                <w:color w:val="auto"/>
                <w:w w:val="8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600" w:type="dxa"/>
            <w:vAlign w:val="bottom"/>
          </w:tcPr>
          <w:p>
            <w:pPr>
              <w:jc w:val="center"/>
              <w:spacing w:after="0"/>
              <w:rPr>
                <w:sz w:val="20"/>
                <w:szCs w:val="20"/>
                <w:color w:val="auto"/>
              </w:rPr>
            </w:pPr>
            <w:r>
              <w:rPr>
                <w:rFonts w:ascii="Arial" w:cs="Arial" w:eastAsia="Arial" w:hAnsi="Arial"/>
                <w:sz w:val="13"/>
                <w:szCs w:val="13"/>
                <w:color w:val="auto"/>
                <w:w w:val="95"/>
              </w:rPr>
              <w:t>$233,542</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$934,167</w:t>
            </w: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$1,868,333</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3</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4,479</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8,957</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15,675</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$1,586,700</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92"/>
              </w:rPr>
              <w:t>2022 PA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4</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5,535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11,070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19,373</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$1,435,000</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92"/>
              </w:rPr>
              <w:t>2022 SVA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5</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3,989</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7,977</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13,960</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8"/>
              </w:rPr>
              <w:t>$1,435,000</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2022 RVA</w:t>
            </w:r>
          </w:p>
        </w:tc>
        <w:tc>
          <w:tcPr>
            <w:tcW w:w="9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20" w:type="dxa"/>
            <w:vAlign w:val="bottom"/>
            <w:tcBorders>
              <w:bottom w:val="single" w:sz="8" w:color="C8C9CB"/>
            </w:tcBorders>
          </w:tcPr>
          <w:p>
            <w:pPr>
              <w:spacing w:after="0"/>
              <w:rPr>
                <w:sz w:val="19"/>
                <w:szCs w:val="19"/>
                <w:color w:val="auto"/>
              </w:rPr>
            </w:pPr>
          </w:p>
        </w:tc>
        <w:tc>
          <w:tcPr>
            <w:tcW w:w="640" w:type="dxa"/>
            <w:vAlign w:val="bottom"/>
            <w:tcBorders>
              <w:bottom w:val="single" w:sz="8" w:color="C8C9CB"/>
            </w:tcBorders>
          </w:tcPr>
          <w:p>
            <w:pPr>
              <w:spacing w:after="0"/>
              <w:rPr>
                <w:sz w:val="19"/>
                <w:szCs w:val="19"/>
                <w:color w:val="auto"/>
              </w:rPr>
            </w:pPr>
          </w:p>
        </w:tc>
        <w:tc>
          <w:tcPr>
            <w:tcW w:w="200" w:type="dxa"/>
            <w:vAlign w:val="bottom"/>
            <w:tcBorders>
              <w:bottom w:val="single" w:sz="8" w:color="C8C9CB"/>
            </w:tcBorders>
          </w:tcPr>
          <w:p>
            <w:pPr>
              <w:spacing w:after="0"/>
              <w:rPr>
                <w:sz w:val="19"/>
                <w:szCs w:val="19"/>
                <w:color w:val="auto"/>
              </w:rPr>
            </w:pPr>
          </w:p>
        </w:tc>
        <w:tc>
          <w:tcPr>
            <w:tcW w:w="760" w:type="dxa"/>
            <w:vAlign w:val="bottom"/>
            <w:tcBorders>
              <w:bottom w:val="single" w:sz="8" w:color="C8C9CB"/>
            </w:tcBorders>
          </w:tcPr>
          <w:p>
            <w:pPr>
              <w:spacing w:after="0"/>
              <w:rPr>
                <w:sz w:val="19"/>
                <w:szCs w:val="19"/>
                <w:color w:val="auto"/>
              </w:rPr>
            </w:pPr>
          </w:p>
        </w:tc>
        <w:tc>
          <w:tcPr>
            <w:tcW w:w="840" w:type="dxa"/>
            <w:vAlign w:val="bottom"/>
            <w:tcBorders>
              <w:bottom w:val="single" w:sz="8" w:color="C8C9CB"/>
            </w:tcBorders>
          </w:tcPr>
          <w:p>
            <w:pPr>
              <w:spacing w:after="0"/>
              <w:rPr>
                <w:sz w:val="19"/>
                <w:szCs w:val="19"/>
                <w:color w:val="auto"/>
              </w:rPr>
            </w:pPr>
          </w:p>
        </w:tc>
        <w:tc>
          <w:tcPr>
            <w:tcW w:w="600" w:type="dxa"/>
            <w:vAlign w:val="bottom"/>
            <w:tcBorders>
              <w:bottom w:val="single" w:sz="8" w:color="C8C9CB"/>
            </w:tcBorders>
          </w:tcPr>
          <w:p>
            <w:pPr>
              <w:spacing w:after="0"/>
              <w:rPr>
                <w:sz w:val="19"/>
                <w:szCs w:val="19"/>
                <w:color w:val="auto"/>
              </w:rPr>
            </w:pPr>
          </w:p>
        </w:tc>
        <w:tc>
          <w:tcPr>
            <w:tcW w:w="800" w:type="dxa"/>
            <w:vAlign w:val="bottom"/>
            <w:tcBorders>
              <w:bottom w:val="single" w:sz="8" w:color="C8C9CB"/>
            </w:tcBorders>
          </w:tcPr>
          <w:p>
            <w:pPr>
              <w:spacing w:after="0"/>
              <w:rPr>
                <w:sz w:val="19"/>
                <w:szCs w:val="19"/>
                <w:color w:val="auto"/>
              </w:rPr>
            </w:pPr>
          </w:p>
        </w:tc>
        <w:tc>
          <w:tcPr>
            <w:tcW w:w="760" w:type="dxa"/>
            <w:vAlign w:val="bottom"/>
            <w:tcBorders>
              <w:bottom w:val="single" w:sz="8" w:color="C8C9CB"/>
            </w:tcBorders>
          </w:tcPr>
          <w:p>
            <w:pPr>
              <w:spacing w:after="0"/>
              <w:rPr>
                <w:sz w:val="19"/>
                <w:szCs w:val="19"/>
                <w:color w:val="auto"/>
              </w:rPr>
            </w:pPr>
          </w:p>
        </w:tc>
        <w:tc>
          <w:tcPr>
            <w:tcW w:w="680" w:type="dxa"/>
            <w:vAlign w:val="bottom"/>
            <w:tcBorders>
              <w:bottom w:val="single" w:sz="8" w:color="C8C9CB"/>
            </w:tcBorders>
          </w:tcPr>
          <w:p>
            <w:pPr>
              <w:spacing w:after="0"/>
              <w:rPr>
                <w:sz w:val="19"/>
                <w:szCs w:val="19"/>
                <w:color w:val="auto"/>
              </w:rPr>
            </w:pPr>
          </w:p>
        </w:tc>
        <w:tc>
          <w:tcPr>
            <w:tcW w:w="660" w:type="dxa"/>
            <w:vAlign w:val="bottom"/>
            <w:tcBorders>
              <w:bottom w:val="single" w:sz="8" w:color="C8C9CB"/>
            </w:tcBorders>
          </w:tcPr>
          <w:p>
            <w:pPr>
              <w:spacing w:after="0"/>
              <w:rPr>
                <w:sz w:val="19"/>
                <w:szCs w:val="19"/>
                <w:color w:val="auto"/>
              </w:rPr>
            </w:pPr>
          </w:p>
        </w:tc>
        <w:tc>
          <w:tcPr>
            <w:tcW w:w="660" w:type="dxa"/>
            <w:vAlign w:val="bottom"/>
            <w:tcBorders>
              <w:bottom w:val="single" w:sz="8" w:color="C8C9CB"/>
            </w:tcBorders>
          </w:tcPr>
          <w:p>
            <w:pPr>
              <w:spacing w:after="0"/>
              <w:rPr>
                <w:sz w:val="19"/>
                <w:szCs w:val="19"/>
                <w:color w:val="auto"/>
              </w:rPr>
            </w:pPr>
          </w:p>
        </w:tc>
        <w:tc>
          <w:tcPr>
            <w:tcW w:w="70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8C9CB"/>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shd w:val="clear" w:color="auto" w:fill="F4F6F6"/>
          </w:tcPr>
          <w:p>
            <w:pPr>
              <w:spacing w:after="0"/>
              <w:rPr>
                <w:sz w:val="20"/>
                <w:szCs w:val="20"/>
                <w:color w:val="auto"/>
              </w:rPr>
            </w:pPr>
            <w:r>
              <w:rPr>
                <w:rFonts w:ascii="Arial" w:cs="Arial" w:eastAsia="Arial" w:hAnsi="Arial"/>
                <w:sz w:val="12"/>
                <w:szCs w:val="12"/>
                <w:color w:val="auto"/>
              </w:rPr>
              <w:t>Ms. Hakim</w:t>
            </w:r>
          </w:p>
        </w:tc>
        <w:tc>
          <w:tcPr>
            <w:tcW w:w="640" w:type="dxa"/>
            <w:vAlign w:val="bottom"/>
          </w:tcPr>
          <w:p>
            <w:pPr>
              <w:spacing w:after="0"/>
              <w:rPr>
                <w:sz w:val="15"/>
                <w:szCs w:val="15"/>
                <w:color w:val="auto"/>
              </w:rPr>
            </w:pPr>
          </w:p>
        </w:tc>
        <w:tc>
          <w:tcPr>
            <w:tcW w:w="960" w:type="dxa"/>
            <w:vAlign w:val="bottom"/>
            <w:gridSpan w:val="2"/>
          </w:tcPr>
          <w:p>
            <w:pPr>
              <w:jc w:val="center"/>
              <w:ind w:left="131"/>
              <w:spacing w:after="0"/>
              <w:rPr>
                <w:sz w:val="20"/>
                <w:szCs w:val="20"/>
                <w:color w:val="auto"/>
              </w:rPr>
            </w:pPr>
            <w:r>
              <w:rPr>
                <w:rFonts w:ascii="Arial" w:cs="Arial" w:eastAsia="Arial" w:hAnsi="Arial"/>
                <w:sz w:val="9"/>
                <w:szCs w:val="9"/>
                <w:color w:val="auto"/>
                <w:w w:val="9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95"/>
              </w:rPr>
              <w:t>$142,083</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5"/>
              </w:rPr>
              <w:t>$568,333</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8"/>
              </w:rPr>
              <w:t>$1,136,667</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20" w:type="dxa"/>
            <w:vAlign w:val="bottom"/>
            <w:vMerge w:val="continue"/>
            <w:shd w:val="clear" w:color="auto" w:fill="F4F6F6"/>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3</w:t>
            </w: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20" w:type="dxa"/>
            <w:vAlign w:val="bottom"/>
            <w:shd w:val="clear" w:color="auto" w:fill="F4F6F6"/>
          </w:tcPr>
          <w:p>
            <w:pPr>
              <w:spacing w:after="0"/>
              <w:rPr>
                <w:sz w:val="5"/>
                <w:szCs w:val="5"/>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820" w:type="dxa"/>
            <w:vAlign w:val="bottom"/>
            <w:shd w:val="clear" w:color="auto" w:fill="F4F6F6"/>
          </w:tcPr>
          <w:p>
            <w:pPr>
              <w:spacing w:after="0"/>
              <w:rPr>
                <w:sz w:val="7"/>
                <w:szCs w:val="7"/>
                <w:color w:val="auto"/>
              </w:rPr>
            </w:pPr>
          </w:p>
        </w:tc>
        <w:tc>
          <w:tcPr>
            <w:tcW w:w="640" w:type="dxa"/>
            <w:vAlign w:val="bottom"/>
            <w:vMerge w:val="continue"/>
            <w:shd w:val="clear" w:color="auto" w:fill="F4F6F6"/>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10/21/2019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2,185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4,369</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7,646</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$774,000</w:t>
            </w:r>
          </w:p>
        </w:tc>
        <w:tc>
          <w:tcPr>
            <w:tcW w:w="0" w:type="dxa"/>
            <w:vAlign w:val="bottom"/>
          </w:tcPr>
          <w:p>
            <w:pPr>
              <w:spacing w:after="0"/>
              <w:rPr>
                <w:sz w:val="1"/>
                <w:szCs w:val="1"/>
                <w:color w:val="auto"/>
              </w:rPr>
            </w:pPr>
          </w:p>
        </w:tc>
      </w:tr>
      <w:tr>
        <w:trPr>
          <w:trHeight w:val="134"/>
        </w:trPr>
        <w:tc>
          <w:tcPr>
            <w:tcW w:w="820" w:type="dxa"/>
            <w:vAlign w:val="bottom"/>
            <w:shd w:val="clear" w:color="auto" w:fill="F4F6F6"/>
          </w:tcPr>
          <w:p>
            <w:pPr>
              <w:spacing w:after="0"/>
              <w:rPr>
                <w:sz w:val="11"/>
                <w:szCs w:val="11"/>
                <w:color w:val="auto"/>
              </w:rPr>
            </w:pPr>
          </w:p>
        </w:tc>
        <w:tc>
          <w:tcPr>
            <w:tcW w:w="640" w:type="dxa"/>
            <w:vAlign w:val="bottom"/>
            <w:shd w:val="clear" w:color="auto" w:fill="F4F6F6"/>
          </w:tcPr>
          <w:p>
            <w:pPr>
              <w:jc w:val="center"/>
              <w:spacing w:after="0" w:line="134" w:lineRule="exact"/>
              <w:rPr>
                <w:sz w:val="20"/>
                <w:szCs w:val="20"/>
                <w:color w:val="auto"/>
              </w:rPr>
            </w:pPr>
            <w:r>
              <w:rPr>
                <w:rFonts w:ascii="Arial" w:cs="Arial" w:eastAsia="Arial" w:hAnsi="Arial"/>
                <w:sz w:val="13"/>
                <w:szCs w:val="13"/>
                <w:color w:val="auto"/>
                <w:w w:val="92"/>
              </w:rPr>
              <w:t>2022 PA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shd w:val="clear" w:color="auto" w:fill="F4F6F6"/>
          </w:tcPr>
          <w:p>
            <w:pPr>
              <w:spacing w:after="0"/>
              <w:rPr>
                <w:sz w:val="8"/>
                <w:szCs w:val="8"/>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10/21/2019</w:t>
            </w: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2,700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5,400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9,450</w:t>
            </w:r>
          </w:p>
        </w:tc>
        <w:tc>
          <w:tcPr>
            <w:tcW w:w="7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$700,000</w:t>
            </w:r>
          </w:p>
        </w:tc>
        <w:tc>
          <w:tcPr>
            <w:tcW w:w="0" w:type="dxa"/>
            <w:vAlign w:val="bottom"/>
          </w:tcPr>
          <w:p>
            <w:pPr>
              <w:spacing w:after="0"/>
              <w:rPr>
                <w:sz w:val="1"/>
                <w:szCs w:val="1"/>
                <w:color w:val="auto"/>
              </w:rPr>
            </w:pPr>
          </w:p>
        </w:tc>
      </w:tr>
      <w:tr>
        <w:trPr>
          <w:trHeight w:val="92"/>
        </w:trPr>
        <w:tc>
          <w:tcPr>
            <w:tcW w:w="820" w:type="dxa"/>
            <w:vAlign w:val="bottom"/>
            <w:shd w:val="clear" w:color="auto" w:fill="F4F6F6"/>
          </w:tcPr>
          <w:p>
            <w:pPr>
              <w:spacing w:after="0"/>
              <w:rPr>
                <w:sz w:val="7"/>
                <w:szCs w:val="7"/>
                <w:color w:val="auto"/>
              </w:rPr>
            </w:pPr>
          </w:p>
        </w:tc>
        <w:tc>
          <w:tcPr>
            <w:tcW w:w="640" w:type="dxa"/>
            <w:vAlign w:val="bottom"/>
            <w:vMerge w:val="continue"/>
            <w:shd w:val="clear" w:color="auto" w:fill="F4F6F6"/>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820" w:type="dxa"/>
            <w:vAlign w:val="bottom"/>
            <w:shd w:val="clear" w:color="auto" w:fill="F4F6F6"/>
          </w:tcPr>
          <w:p>
            <w:pPr>
              <w:spacing w:after="0"/>
              <w:rPr>
                <w:sz w:val="13"/>
                <w:szCs w:val="13"/>
                <w:color w:val="auto"/>
              </w:rPr>
            </w:pPr>
          </w:p>
        </w:tc>
        <w:tc>
          <w:tcPr>
            <w:tcW w:w="6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2022 SVA</w:t>
            </w: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5</w:t>
            </w: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820" w:type="dxa"/>
            <w:vAlign w:val="bottom"/>
            <w:shd w:val="clear" w:color="auto" w:fill="F4F6F6"/>
          </w:tcPr>
          <w:p>
            <w:pPr>
              <w:spacing w:after="0"/>
              <w:rPr>
                <w:sz w:val="7"/>
                <w:szCs w:val="7"/>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vMerge w:val="continue"/>
          </w:tcPr>
          <w:p>
            <w:pPr>
              <w:spacing w:after="0"/>
              <w:rPr>
                <w:sz w:val="7"/>
                <w:szCs w:val="7"/>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10/21/2019</w:t>
            </w:r>
          </w:p>
        </w:tc>
        <w:tc>
          <w:tcPr>
            <w:tcW w:w="600" w:type="dxa"/>
            <w:vAlign w:val="bottom"/>
            <w:shd w:val="clear" w:color="auto" w:fill="F4F6F6"/>
          </w:tcPr>
          <w:p>
            <w:pPr>
              <w:spacing w:after="0"/>
              <w:rPr>
                <w:sz w:val="7"/>
                <w:szCs w:val="7"/>
                <w:color w:val="auto"/>
              </w:rPr>
            </w:pPr>
          </w:p>
        </w:tc>
        <w:tc>
          <w:tcPr>
            <w:tcW w:w="800" w:type="dxa"/>
            <w:vAlign w:val="bottom"/>
            <w:shd w:val="clear" w:color="auto" w:fill="F4F6F6"/>
          </w:tcPr>
          <w:p>
            <w:pPr>
              <w:spacing w:after="0"/>
              <w:rPr>
                <w:sz w:val="7"/>
                <w:szCs w:val="7"/>
                <w:color w:val="auto"/>
              </w:rPr>
            </w:pPr>
          </w:p>
        </w:tc>
        <w:tc>
          <w:tcPr>
            <w:tcW w:w="760" w:type="dxa"/>
            <w:vAlign w:val="bottom"/>
            <w:shd w:val="clear" w:color="auto" w:fill="F4F6F6"/>
          </w:tcPr>
          <w:p>
            <w:pPr>
              <w:spacing w:after="0"/>
              <w:rPr>
                <w:sz w:val="7"/>
                <w:szCs w:val="7"/>
                <w:color w:val="auto"/>
              </w:rPr>
            </w:pP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1,946</w:t>
            </w: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3,891</w:t>
            </w: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6,809</w:t>
            </w:r>
          </w:p>
        </w:tc>
        <w:tc>
          <w:tcPr>
            <w:tcW w:w="700" w:type="dxa"/>
            <w:vAlign w:val="bottom"/>
            <w:shd w:val="clear" w:color="auto" w:fill="F4F6F6"/>
          </w:tcPr>
          <w:p>
            <w:pPr>
              <w:spacing w:after="0"/>
              <w:rPr>
                <w:sz w:val="7"/>
                <w:szCs w:val="7"/>
                <w:color w:val="auto"/>
              </w:rPr>
            </w:pP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$700,000</w:t>
            </w:r>
          </w:p>
        </w:tc>
        <w:tc>
          <w:tcPr>
            <w:tcW w:w="0" w:type="dxa"/>
            <w:vAlign w:val="bottom"/>
          </w:tcPr>
          <w:p>
            <w:pPr>
              <w:spacing w:after="0"/>
              <w:rPr>
                <w:sz w:val="1"/>
                <w:szCs w:val="1"/>
                <w:color w:val="auto"/>
              </w:rPr>
            </w:pPr>
          </w:p>
        </w:tc>
      </w:tr>
      <w:tr>
        <w:trPr>
          <w:trHeight w:val="92"/>
        </w:trPr>
        <w:tc>
          <w:tcPr>
            <w:tcW w:w="820" w:type="dxa"/>
            <w:vAlign w:val="bottom"/>
            <w:shd w:val="clear" w:color="auto" w:fill="F4F6F6"/>
          </w:tcPr>
          <w:p>
            <w:pPr>
              <w:spacing w:after="0"/>
              <w:rPr>
                <w:sz w:val="7"/>
                <w:szCs w:val="7"/>
                <w:color w:val="auto"/>
              </w:rPr>
            </w:pPr>
          </w:p>
        </w:tc>
        <w:tc>
          <w:tcPr>
            <w:tcW w:w="640" w:type="dxa"/>
            <w:vAlign w:val="bottom"/>
            <w:vMerge w:val="continue"/>
            <w:shd w:val="clear" w:color="auto" w:fill="F4F6F6"/>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shd w:val="clear" w:color="auto" w:fill="F4F6F6"/>
          </w:tcPr>
          <w:p>
            <w:pPr>
              <w:spacing w:after="0"/>
              <w:rPr>
                <w:sz w:val="7"/>
                <w:szCs w:val="7"/>
                <w:color w:val="auto"/>
              </w:rPr>
            </w:pPr>
          </w:p>
        </w:tc>
        <w:tc>
          <w:tcPr>
            <w:tcW w:w="840" w:type="dxa"/>
            <w:vAlign w:val="bottom"/>
            <w:vMerge w:val="continue"/>
            <w:shd w:val="clear" w:color="auto" w:fill="F4F6F6"/>
          </w:tcPr>
          <w:p>
            <w:pPr>
              <w:spacing w:after="0"/>
              <w:rPr>
                <w:sz w:val="7"/>
                <w:szCs w:val="7"/>
                <w:color w:val="auto"/>
              </w:rPr>
            </w:pPr>
          </w:p>
        </w:tc>
        <w:tc>
          <w:tcPr>
            <w:tcW w:w="600" w:type="dxa"/>
            <w:vAlign w:val="bottom"/>
            <w:shd w:val="clear" w:color="auto" w:fill="F4F6F6"/>
          </w:tcPr>
          <w:p>
            <w:pPr>
              <w:spacing w:after="0"/>
              <w:rPr>
                <w:sz w:val="7"/>
                <w:szCs w:val="7"/>
                <w:color w:val="auto"/>
              </w:rPr>
            </w:pPr>
          </w:p>
        </w:tc>
        <w:tc>
          <w:tcPr>
            <w:tcW w:w="800" w:type="dxa"/>
            <w:vAlign w:val="bottom"/>
            <w:shd w:val="clear" w:color="auto" w:fill="F4F6F6"/>
          </w:tcPr>
          <w:p>
            <w:pPr>
              <w:spacing w:after="0"/>
              <w:rPr>
                <w:sz w:val="7"/>
                <w:szCs w:val="7"/>
                <w:color w:val="auto"/>
              </w:rPr>
            </w:pPr>
          </w:p>
        </w:tc>
        <w:tc>
          <w:tcPr>
            <w:tcW w:w="760" w:type="dxa"/>
            <w:vAlign w:val="bottom"/>
            <w:shd w:val="clear" w:color="auto" w:fill="F4F6F6"/>
          </w:tcPr>
          <w:p>
            <w:pPr>
              <w:spacing w:after="0"/>
              <w:rPr>
                <w:sz w:val="7"/>
                <w:szCs w:val="7"/>
                <w:color w:val="auto"/>
              </w:rPr>
            </w:pPr>
          </w:p>
        </w:tc>
        <w:tc>
          <w:tcPr>
            <w:tcW w:w="680" w:type="dxa"/>
            <w:vAlign w:val="bottom"/>
            <w:vMerge w:val="continue"/>
            <w:shd w:val="clear" w:color="auto" w:fill="F4F6F6"/>
          </w:tcPr>
          <w:p>
            <w:pPr>
              <w:spacing w:after="0"/>
              <w:rPr>
                <w:sz w:val="7"/>
                <w:szCs w:val="7"/>
                <w:color w:val="auto"/>
              </w:rPr>
            </w:pPr>
          </w:p>
        </w:tc>
        <w:tc>
          <w:tcPr>
            <w:tcW w:w="660" w:type="dxa"/>
            <w:vAlign w:val="bottom"/>
            <w:vMerge w:val="continue"/>
            <w:shd w:val="clear" w:color="auto" w:fill="F4F6F6"/>
          </w:tcPr>
          <w:p>
            <w:pPr>
              <w:spacing w:after="0"/>
              <w:rPr>
                <w:sz w:val="7"/>
                <w:szCs w:val="7"/>
                <w:color w:val="auto"/>
              </w:rPr>
            </w:pPr>
          </w:p>
        </w:tc>
        <w:tc>
          <w:tcPr>
            <w:tcW w:w="660" w:type="dxa"/>
            <w:vAlign w:val="bottom"/>
            <w:vMerge w:val="continue"/>
            <w:shd w:val="clear" w:color="auto" w:fill="F4F6F6"/>
          </w:tcPr>
          <w:p>
            <w:pPr>
              <w:spacing w:after="0"/>
              <w:rPr>
                <w:sz w:val="7"/>
                <w:szCs w:val="7"/>
                <w:color w:val="auto"/>
              </w:rPr>
            </w:pPr>
          </w:p>
        </w:tc>
        <w:tc>
          <w:tcPr>
            <w:tcW w:w="700" w:type="dxa"/>
            <w:vAlign w:val="bottom"/>
            <w:shd w:val="clear" w:color="auto" w:fill="F4F6F6"/>
          </w:tcPr>
          <w:p>
            <w:pPr>
              <w:spacing w:after="0"/>
              <w:rPr>
                <w:sz w:val="7"/>
                <w:szCs w:val="7"/>
                <w:color w:val="auto"/>
              </w:rPr>
            </w:pPr>
          </w:p>
        </w:tc>
        <w:tc>
          <w:tcPr>
            <w:tcW w:w="740" w:type="dxa"/>
            <w:vAlign w:val="bottom"/>
            <w:vMerge w:val="continue"/>
            <w:shd w:val="clear" w:color="auto" w:fill="F4F6F6"/>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820" w:type="dxa"/>
            <w:vAlign w:val="bottom"/>
            <w:shd w:val="clear" w:color="auto" w:fill="F4F6F6"/>
          </w:tcPr>
          <w:p>
            <w:pPr>
              <w:spacing w:after="0"/>
              <w:rPr>
                <w:sz w:val="13"/>
                <w:szCs w:val="13"/>
                <w:color w:val="auto"/>
              </w:rPr>
            </w:pPr>
          </w:p>
        </w:tc>
        <w:tc>
          <w:tcPr>
            <w:tcW w:w="6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2022 RVA</w:t>
            </w: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6</w:t>
            </w:r>
          </w:p>
        </w:tc>
        <w:tc>
          <w:tcPr>
            <w:tcW w:w="760" w:type="dxa"/>
            <w:vAlign w:val="bottom"/>
            <w:vMerge w:val="continue"/>
            <w:shd w:val="clear" w:color="auto" w:fill="F4F6F6"/>
          </w:tcPr>
          <w:p>
            <w:pPr>
              <w:spacing w:after="0"/>
              <w:rPr>
                <w:sz w:val="13"/>
                <w:szCs w:val="13"/>
                <w:color w:val="auto"/>
              </w:rPr>
            </w:pPr>
          </w:p>
        </w:tc>
        <w:tc>
          <w:tcPr>
            <w:tcW w:w="840" w:type="dxa"/>
            <w:vAlign w:val="bottom"/>
            <w:vMerge w:val="continue"/>
            <w:shd w:val="clear" w:color="auto" w:fill="F4F6F6"/>
          </w:tcPr>
          <w:p>
            <w:pPr>
              <w:spacing w:after="0"/>
              <w:rPr>
                <w:sz w:val="13"/>
                <w:szCs w:val="13"/>
                <w:color w:val="auto"/>
              </w:rPr>
            </w:pPr>
          </w:p>
        </w:tc>
        <w:tc>
          <w:tcPr>
            <w:tcW w:w="600" w:type="dxa"/>
            <w:vAlign w:val="bottom"/>
            <w:shd w:val="clear" w:color="auto" w:fill="F4F6F6"/>
          </w:tcPr>
          <w:p>
            <w:pPr>
              <w:spacing w:after="0"/>
              <w:rPr>
                <w:sz w:val="13"/>
                <w:szCs w:val="13"/>
                <w:color w:val="auto"/>
              </w:rPr>
            </w:pPr>
          </w:p>
        </w:tc>
        <w:tc>
          <w:tcPr>
            <w:tcW w:w="80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680" w:type="dxa"/>
            <w:vAlign w:val="bottom"/>
            <w:vMerge w:val="continue"/>
            <w:shd w:val="clear" w:color="auto" w:fill="F4F6F6"/>
          </w:tcPr>
          <w:p>
            <w:pPr>
              <w:spacing w:after="0"/>
              <w:rPr>
                <w:sz w:val="13"/>
                <w:szCs w:val="13"/>
                <w:color w:val="auto"/>
              </w:rPr>
            </w:pPr>
          </w:p>
        </w:tc>
        <w:tc>
          <w:tcPr>
            <w:tcW w:w="660" w:type="dxa"/>
            <w:vAlign w:val="bottom"/>
            <w:vMerge w:val="continue"/>
            <w:shd w:val="clear" w:color="auto" w:fill="F4F6F6"/>
          </w:tcPr>
          <w:p>
            <w:pPr>
              <w:spacing w:after="0"/>
              <w:rPr>
                <w:sz w:val="13"/>
                <w:szCs w:val="13"/>
                <w:color w:val="auto"/>
              </w:rPr>
            </w:pPr>
          </w:p>
        </w:tc>
        <w:tc>
          <w:tcPr>
            <w:tcW w:w="660" w:type="dxa"/>
            <w:vAlign w:val="bottom"/>
            <w:vMerge w:val="continue"/>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vMerge w:val="continue"/>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20" w:type="dxa"/>
            <w:vAlign w:val="bottom"/>
            <w:shd w:val="clear" w:color="auto" w:fill="F4F6F6"/>
          </w:tcPr>
          <w:p>
            <w:pPr>
              <w:spacing w:after="0"/>
              <w:rPr>
                <w:sz w:val="7"/>
                <w:szCs w:val="7"/>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RSU</w:t>
            </w:r>
          </w:p>
        </w:tc>
        <w:tc>
          <w:tcPr>
            <w:tcW w:w="200" w:type="dxa"/>
            <w:vAlign w:val="bottom"/>
            <w:vMerge w:val="continue"/>
          </w:tcPr>
          <w:p>
            <w:pPr>
              <w:spacing w:after="0"/>
              <w:rPr>
                <w:sz w:val="7"/>
                <w:szCs w:val="7"/>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3/1/2020</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10/21/2019</w:t>
            </w:r>
          </w:p>
        </w:tc>
        <w:tc>
          <w:tcPr>
            <w:tcW w:w="600" w:type="dxa"/>
            <w:vAlign w:val="bottom"/>
            <w:shd w:val="clear" w:color="auto" w:fill="F4F6F6"/>
          </w:tcPr>
          <w:p>
            <w:pPr>
              <w:spacing w:after="0"/>
              <w:rPr>
                <w:sz w:val="7"/>
                <w:szCs w:val="7"/>
                <w:color w:val="auto"/>
              </w:rPr>
            </w:pPr>
          </w:p>
        </w:tc>
        <w:tc>
          <w:tcPr>
            <w:tcW w:w="800" w:type="dxa"/>
            <w:vAlign w:val="bottom"/>
            <w:shd w:val="clear" w:color="auto" w:fill="F4F6F6"/>
          </w:tcPr>
          <w:p>
            <w:pPr>
              <w:spacing w:after="0"/>
              <w:rPr>
                <w:sz w:val="7"/>
                <w:szCs w:val="7"/>
                <w:color w:val="auto"/>
              </w:rPr>
            </w:pPr>
          </w:p>
        </w:tc>
        <w:tc>
          <w:tcPr>
            <w:tcW w:w="760" w:type="dxa"/>
            <w:vAlign w:val="bottom"/>
            <w:shd w:val="clear" w:color="auto" w:fill="F4F6F6"/>
          </w:tcPr>
          <w:p>
            <w:pPr>
              <w:spacing w:after="0"/>
              <w:rPr>
                <w:sz w:val="7"/>
                <w:szCs w:val="7"/>
                <w:color w:val="auto"/>
              </w:rPr>
            </w:pPr>
          </w:p>
        </w:tc>
        <w:tc>
          <w:tcPr>
            <w:tcW w:w="680" w:type="dxa"/>
            <w:vAlign w:val="bottom"/>
            <w:shd w:val="clear" w:color="auto" w:fill="F4F6F6"/>
          </w:tcPr>
          <w:p>
            <w:pPr>
              <w:spacing w:after="0"/>
              <w:rPr>
                <w:sz w:val="7"/>
                <w:szCs w:val="7"/>
                <w:color w:val="auto"/>
              </w:rPr>
            </w:pPr>
          </w:p>
        </w:tc>
        <w:tc>
          <w:tcPr>
            <w:tcW w:w="660" w:type="dxa"/>
            <w:vAlign w:val="bottom"/>
            <w:shd w:val="clear" w:color="auto" w:fill="F4F6F6"/>
          </w:tcPr>
          <w:p>
            <w:pPr>
              <w:spacing w:after="0"/>
              <w:rPr>
                <w:sz w:val="7"/>
                <w:szCs w:val="7"/>
                <w:color w:val="auto"/>
              </w:rPr>
            </w:pPr>
          </w:p>
        </w:tc>
        <w:tc>
          <w:tcPr>
            <w:tcW w:w="660" w:type="dxa"/>
            <w:vAlign w:val="bottom"/>
            <w:shd w:val="clear" w:color="auto" w:fill="F4F6F6"/>
          </w:tcPr>
          <w:p>
            <w:pPr>
              <w:spacing w:after="0"/>
              <w:rPr>
                <w:sz w:val="7"/>
                <w:szCs w:val="7"/>
                <w:color w:val="auto"/>
              </w:rPr>
            </w:pPr>
          </w:p>
        </w:tc>
        <w:tc>
          <w:tcPr>
            <w:tcW w:w="7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15,857</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$2,000,043</w:t>
            </w:r>
          </w:p>
        </w:tc>
        <w:tc>
          <w:tcPr>
            <w:tcW w:w="0" w:type="dxa"/>
            <w:vAlign w:val="bottom"/>
          </w:tcPr>
          <w:p>
            <w:pPr>
              <w:spacing w:after="0"/>
              <w:rPr>
                <w:sz w:val="1"/>
                <w:szCs w:val="1"/>
                <w:color w:val="auto"/>
              </w:rPr>
            </w:pPr>
          </w:p>
        </w:tc>
      </w:tr>
      <w:tr>
        <w:trPr>
          <w:trHeight w:val="253"/>
        </w:trPr>
        <w:tc>
          <w:tcPr>
            <w:tcW w:w="820" w:type="dxa"/>
            <w:vAlign w:val="bottom"/>
            <w:tcBorders>
              <w:bottom w:val="single" w:sz="8" w:color="D1D1D1"/>
            </w:tcBorders>
            <w:shd w:val="clear" w:color="auto" w:fill="F4F6F6"/>
          </w:tcPr>
          <w:p>
            <w:pPr>
              <w:spacing w:after="0"/>
              <w:rPr>
                <w:sz w:val="22"/>
                <w:szCs w:val="22"/>
                <w:color w:val="auto"/>
              </w:rPr>
            </w:pPr>
          </w:p>
        </w:tc>
        <w:tc>
          <w:tcPr>
            <w:tcW w:w="640" w:type="dxa"/>
            <w:vAlign w:val="bottom"/>
            <w:tcBorders>
              <w:bottom w:val="single" w:sz="8" w:color="D1D1D1"/>
            </w:tcBorders>
            <w:vMerge w:val="continue"/>
            <w:shd w:val="clear" w:color="auto" w:fill="F4F6F6"/>
          </w:tcPr>
          <w:p>
            <w:pPr>
              <w:spacing w:after="0"/>
              <w:rPr>
                <w:sz w:val="22"/>
                <w:szCs w:val="22"/>
                <w:color w:val="auto"/>
              </w:rPr>
            </w:pPr>
          </w:p>
        </w:tc>
        <w:tc>
          <w:tcPr>
            <w:tcW w:w="200" w:type="dxa"/>
            <w:vAlign w:val="bottom"/>
            <w:tcBorders>
              <w:bottom w:val="single" w:sz="8" w:color="D1D1D1"/>
            </w:tcBorders>
          </w:tcPr>
          <w:p>
            <w:pPr>
              <w:spacing w:after="0"/>
              <w:rPr>
                <w:sz w:val="22"/>
                <w:szCs w:val="22"/>
                <w:color w:val="auto"/>
              </w:rPr>
            </w:pPr>
          </w:p>
        </w:tc>
        <w:tc>
          <w:tcPr>
            <w:tcW w:w="760" w:type="dxa"/>
            <w:vAlign w:val="bottom"/>
            <w:tcBorders>
              <w:bottom w:val="single" w:sz="8" w:color="D1D1D1"/>
            </w:tcBorders>
            <w:vMerge w:val="continue"/>
            <w:shd w:val="clear" w:color="auto" w:fill="F4F6F6"/>
          </w:tcPr>
          <w:p>
            <w:pPr>
              <w:spacing w:after="0"/>
              <w:rPr>
                <w:sz w:val="22"/>
                <w:szCs w:val="22"/>
                <w:color w:val="auto"/>
              </w:rPr>
            </w:pPr>
          </w:p>
        </w:tc>
        <w:tc>
          <w:tcPr>
            <w:tcW w:w="840" w:type="dxa"/>
            <w:vAlign w:val="bottom"/>
            <w:tcBorders>
              <w:bottom w:val="single" w:sz="8" w:color="D1D1D1"/>
            </w:tcBorders>
            <w:vMerge w:val="continue"/>
            <w:shd w:val="clear" w:color="auto" w:fill="F4F6F6"/>
          </w:tcPr>
          <w:p>
            <w:pPr>
              <w:spacing w:after="0"/>
              <w:rPr>
                <w:sz w:val="22"/>
                <w:szCs w:val="22"/>
                <w:color w:val="auto"/>
              </w:rPr>
            </w:pPr>
          </w:p>
        </w:tc>
        <w:tc>
          <w:tcPr>
            <w:tcW w:w="600" w:type="dxa"/>
            <w:vAlign w:val="bottom"/>
            <w:tcBorders>
              <w:bottom w:val="single" w:sz="8" w:color="D1D1D1"/>
            </w:tcBorders>
            <w:shd w:val="clear" w:color="auto" w:fill="F4F6F6"/>
          </w:tcPr>
          <w:p>
            <w:pPr>
              <w:spacing w:after="0"/>
              <w:rPr>
                <w:sz w:val="22"/>
                <w:szCs w:val="22"/>
                <w:color w:val="auto"/>
              </w:rPr>
            </w:pPr>
          </w:p>
        </w:tc>
        <w:tc>
          <w:tcPr>
            <w:tcW w:w="800" w:type="dxa"/>
            <w:vAlign w:val="bottom"/>
            <w:tcBorders>
              <w:bottom w:val="single" w:sz="8" w:color="D1D1D1"/>
            </w:tcBorders>
            <w:shd w:val="clear" w:color="auto" w:fill="F4F6F6"/>
          </w:tcPr>
          <w:p>
            <w:pPr>
              <w:spacing w:after="0"/>
              <w:rPr>
                <w:sz w:val="22"/>
                <w:szCs w:val="22"/>
                <w:color w:val="auto"/>
              </w:rPr>
            </w:pPr>
          </w:p>
        </w:tc>
        <w:tc>
          <w:tcPr>
            <w:tcW w:w="760" w:type="dxa"/>
            <w:vAlign w:val="bottom"/>
            <w:tcBorders>
              <w:bottom w:val="single" w:sz="8" w:color="D1D1D1"/>
            </w:tcBorders>
            <w:shd w:val="clear" w:color="auto" w:fill="F4F6F6"/>
          </w:tcPr>
          <w:p>
            <w:pPr>
              <w:spacing w:after="0"/>
              <w:rPr>
                <w:sz w:val="22"/>
                <w:szCs w:val="22"/>
                <w:color w:val="auto"/>
              </w:rPr>
            </w:pPr>
          </w:p>
        </w:tc>
        <w:tc>
          <w:tcPr>
            <w:tcW w:w="680" w:type="dxa"/>
            <w:vAlign w:val="bottom"/>
            <w:tcBorders>
              <w:bottom w:val="single" w:sz="8" w:color="D1D1D1"/>
            </w:tcBorders>
            <w:shd w:val="clear" w:color="auto" w:fill="F4F6F6"/>
          </w:tcPr>
          <w:p>
            <w:pPr>
              <w:spacing w:after="0"/>
              <w:rPr>
                <w:sz w:val="22"/>
                <w:szCs w:val="22"/>
                <w:color w:val="auto"/>
              </w:rPr>
            </w:pPr>
          </w:p>
        </w:tc>
        <w:tc>
          <w:tcPr>
            <w:tcW w:w="660" w:type="dxa"/>
            <w:vAlign w:val="bottom"/>
            <w:tcBorders>
              <w:bottom w:val="single" w:sz="8" w:color="D1D1D1"/>
            </w:tcBorders>
            <w:shd w:val="clear" w:color="auto" w:fill="F4F6F6"/>
          </w:tcPr>
          <w:p>
            <w:pPr>
              <w:spacing w:after="0"/>
              <w:rPr>
                <w:sz w:val="22"/>
                <w:szCs w:val="22"/>
                <w:color w:val="auto"/>
              </w:rPr>
            </w:pPr>
          </w:p>
        </w:tc>
        <w:tc>
          <w:tcPr>
            <w:tcW w:w="660" w:type="dxa"/>
            <w:vAlign w:val="bottom"/>
            <w:tcBorders>
              <w:bottom w:val="single" w:sz="8" w:color="D1D1D1"/>
            </w:tcBorders>
            <w:shd w:val="clear" w:color="auto" w:fill="F4F6F6"/>
          </w:tcPr>
          <w:p>
            <w:pPr>
              <w:spacing w:after="0"/>
              <w:rPr>
                <w:sz w:val="22"/>
                <w:szCs w:val="22"/>
                <w:color w:val="auto"/>
              </w:rPr>
            </w:pPr>
          </w:p>
        </w:tc>
        <w:tc>
          <w:tcPr>
            <w:tcW w:w="700" w:type="dxa"/>
            <w:vAlign w:val="bottom"/>
            <w:tcBorders>
              <w:bottom w:val="single" w:sz="8" w:color="D1D1D1"/>
            </w:tcBorders>
            <w:vMerge w:val="continue"/>
            <w:shd w:val="clear" w:color="auto" w:fill="F4F6F6"/>
          </w:tcPr>
          <w:p>
            <w:pPr>
              <w:spacing w:after="0"/>
              <w:rPr>
                <w:sz w:val="22"/>
                <w:szCs w:val="22"/>
                <w:color w:val="auto"/>
              </w:rPr>
            </w:pPr>
          </w:p>
        </w:tc>
        <w:tc>
          <w:tcPr>
            <w:tcW w:w="740" w:type="dxa"/>
            <w:vAlign w:val="bottom"/>
            <w:tcBorders>
              <w:bottom w:val="single" w:sz="8" w:color="D1D1D1"/>
            </w:tcBorders>
            <w:vMerge w:val="continue"/>
            <w:shd w:val="clear" w:color="auto" w:fill="F4F6F6"/>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spacing w:after="0"/>
              <w:rPr>
                <w:sz w:val="20"/>
                <w:szCs w:val="20"/>
                <w:color w:val="auto"/>
              </w:rPr>
            </w:pPr>
            <w:r>
              <w:rPr>
                <w:rFonts w:ascii="Arial" w:cs="Arial" w:eastAsia="Arial" w:hAnsi="Arial"/>
                <w:sz w:val="12"/>
                <w:szCs w:val="12"/>
                <w:color w:val="auto"/>
              </w:rPr>
              <w:t>Mr. Zulueta</w:t>
            </w:r>
          </w:p>
        </w:tc>
        <w:tc>
          <w:tcPr>
            <w:tcW w:w="640" w:type="dxa"/>
            <w:vAlign w:val="bottom"/>
          </w:tcPr>
          <w:p>
            <w:pPr>
              <w:spacing w:after="0"/>
              <w:rPr>
                <w:sz w:val="15"/>
                <w:szCs w:val="15"/>
                <w:color w:val="auto"/>
              </w:rPr>
            </w:pPr>
          </w:p>
        </w:tc>
        <w:tc>
          <w:tcPr>
            <w:tcW w:w="960" w:type="dxa"/>
            <w:vAlign w:val="bottom"/>
            <w:gridSpan w:val="2"/>
          </w:tcPr>
          <w:p>
            <w:pPr>
              <w:jc w:val="center"/>
              <w:ind w:left="131"/>
              <w:spacing w:after="0"/>
              <w:rPr>
                <w:sz w:val="20"/>
                <w:szCs w:val="20"/>
                <w:color w:val="auto"/>
              </w:rPr>
            </w:pPr>
            <w:r>
              <w:rPr>
                <w:rFonts w:ascii="Arial" w:cs="Arial" w:eastAsia="Arial" w:hAnsi="Arial"/>
                <w:sz w:val="9"/>
                <w:szCs w:val="9"/>
                <w:color w:val="auto"/>
                <w:w w:val="9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95"/>
              </w:rPr>
              <w:t>$201,875</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5"/>
              </w:rPr>
              <w:t>$807,500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8"/>
              </w:rPr>
              <w:t>$1,615,000</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restart"/>
          </w:tcPr>
          <w:p>
            <w:pPr>
              <w:jc w:val="right"/>
              <w:ind w:right="91"/>
              <w:spacing w:after="0"/>
              <w:rPr>
                <w:sz w:val="20"/>
                <w:szCs w:val="20"/>
                <w:color w:val="auto"/>
              </w:rPr>
            </w:pPr>
            <w:r>
              <w:rPr>
                <w:rFonts w:ascii="Arial" w:cs="Arial" w:eastAsia="Arial" w:hAnsi="Arial"/>
                <w:sz w:val="8"/>
                <w:szCs w:val="8"/>
                <w:color w:val="auto"/>
                <w:w w:val="88"/>
              </w:rPr>
              <w:t>3</w:t>
            </w: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rPr>
              <w:t>2020-</w:t>
            </w: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2,458</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4,915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8,601</w:t>
            </w:r>
          </w:p>
        </w:tc>
        <w:tc>
          <w:tcPr>
            <w:tcW w:w="7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$870,750</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92"/>
              </w:rPr>
              <w:t>2022 PA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4</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3,038</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6,075</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10,631</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$787,500</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92"/>
              </w:rPr>
              <w:t>2022 SVA</w:t>
            </w: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2020-</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8"/>
              </w:rPr>
              <w:t>5</w:t>
            </w: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gridSpan w:val="2"/>
            <w:vMerge w:val="restart"/>
          </w:tcPr>
          <w:p>
            <w:pPr>
              <w:jc w:val="center"/>
              <w:ind w:left="151"/>
              <w:spacing w:after="0"/>
              <w:rPr>
                <w:sz w:val="20"/>
                <w:szCs w:val="20"/>
                <w:color w:val="auto"/>
              </w:rPr>
            </w:pPr>
            <w:r>
              <w:rPr>
                <w:rFonts w:ascii="Arial" w:cs="Arial" w:eastAsia="Arial" w:hAnsi="Arial"/>
                <w:sz w:val="13"/>
                <w:szCs w:val="13"/>
                <w:color w:val="auto"/>
                <w:w w:val="96"/>
              </w:rPr>
              <w:t>2/12/2020</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12/16/2019</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8"/>
              </w:rPr>
              <w:t>2,189</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4,377</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7,660</w:t>
            </w:r>
          </w:p>
        </w:tc>
        <w:tc>
          <w:tcPr>
            <w:tcW w:w="7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$787,500</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2022 RVA</w:t>
            </w:r>
          </w:p>
        </w:tc>
        <w:tc>
          <w:tcPr>
            <w:tcW w:w="9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-3623945</wp:posOffset>
            </wp:positionV>
            <wp:extent cx="5631815" cy="916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31815" cy="91694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-1789430</wp:posOffset>
            </wp:positionV>
            <wp:extent cx="5631815" cy="986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31815" cy="986155"/>
                    </a:xfrm>
                    <a:prstGeom prst="rect">
                      <a:avLst/>
                    </a:prstGeom>
                    <a:noFill/>
                  </pic:spPr>
                </pic:pic>
              </a:graphicData>
            </a:graphic>
          </wp:anchor>
        </w:drawing>
      </w:r>
    </w:p>
    <w:p>
      <w:pPr>
        <w:spacing w:after="0" w:line="44" w:lineRule="exact"/>
        <w:rPr>
          <w:sz w:val="20"/>
          <w:szCs w:val="20"/>
          <w:color w:val="auto"/>
        </w:rPr>
      </w:pPr>
    </w:p>
    <w:p>
      <w:pPr>
        <w:ind w:left="8973"/>
        <w:spacing w:after="0"/>
        <w:rPr>
          <w:sz w:val="20"/>
          <w:szCs w:val="20"/>
          <w:color w:val="auto"/>
        </w:rPr>
      </w:pPr>
      <w:r>
        <w:rPr>
          <w:rFonts w:ascii="Arial" w:cs="Arial" w:eastAsia="Arial" w:hAnsi="Arial"/>
          <w:sz w:val="13"/>
          <w:szCs w:val="13"/>
          <w:color w:val="auto"/>
        </w:rPr>
        <w:t>—</w:t>
      </w:r>
    </w:p>
    <w:p>
      <w:pPr>
        <w:spacing w:after="0" w:line="344" w:lineRule="exact"/>
        <w:rPr>
          <w:sz w:val="20"/>
          <w:szCs w:val="20"/>
          <w:color w:val="auto"/>
        </w:rPr>
      </w:pPr>
    </w:p>
    <w:p>
      <w:pPr>
        <w:jc w:val="both"/>
        <w:ind w:left="73" w:right="280" w:hanging="73"/>
        <w:spacing w:after="0" w:line="225" w:lineRule="auto"/>
        <w:tabs>
          <w:tab w:leader="none" w:pos="80"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These columns show the threshold, target, and maximum payouts for performance under the Bonus Plan. Bonus payouts range from 0 to 200 percent of target. The Bonus Plan payment for 2020 performance was 118 percent of target. Actual payouts are shown in the Summary Compensation Table in the column titled "Non-Equity Incentive Plan Compensation."</w:t>
      </w:r>
    </w:p>
    <w:p>
      <w:pPr>
        <w:spacing w:after="0" w:line="192" w:lineRule="exact"/>
        <w:rPr>
          <w:sz w:val="20"/>
          <w:szCs w:val="20"/>
          <w:color w:val="auto"/>
        </w:rPr>
      </w:pPr>
    </w:p>
    <w:p>
      <w:pPr>
        <w:ind w:left="93" w:hanging="93"/>
        <w:spacing w:after="0"/>
        <w:tabs>
          <w:tab w:leader="none" w:pos="93" w:val="left"/>
        </w:tabs>
        <w:numPr>
          <w:ilvl w:val="0"/>
          <w:numId w:val="109"/>
        </w:numPr>
        <w:rPr>
          <w:rFonts w:ascii="Arial" w:cs="Arial" w:eastAsia="Arial" w:hAnsi="Arial"/>
          <w:sz w:val="21"/>
          <w:szCs w:val="21"/>
          <w:color w:val="auto"/>
          <w:vertAlign w:val="superscript"/>
        </w:rPr>
      </w:pPr>
      <w:r>
        <w:rPr>
          <w:rFonts w:ascii="Arial" w:cs="Arial" w:eastAsia="Arial" w:hAnsi="Arial"/>
          <w:sz w:val="16"/>
          <w:szCs w:val="16"/>
          <w:color w:val="auto"/>
        </w:rPr>
        <w:t>To assure grant timing is not manipulated for employee gain, the annual grant date is established in advance by the Compensation Committee.</w:t>
      </w:r>
    </w:p>
    <w:p>
      <w:pPr>
        <w:spacing w:after="0" w:line="237" w:lineRule="exact"/>
        <w:rPr>
          <w:sz w:val="20"/>
          <w:szCs w:val="20"/>
          <w:color w:val="auto"/>
        </w:rPr>
      </w:pPr>
    </w:p>
    <w:p>
      <w:pPr>
        <w:ind w:left="73" w:right="40" w:hanging="73"/>
        <w:spacing w:after="0" w:line="216" w:lineRule="auto"/>
        <w:tabs>
          <w:tab w:leader="none" w:pos="80" w:val="left"/>
        </w:tabs>
        <w:numPr>
          <w:ilvl w:val="0"/>
          <w:numId w:val="110"/>
        </w:numPr>
        <w:rPr>
          <w:rFonts w:ascii="Arial" w:cs="Arial" w:eastAsia="Arial" w:hAnsi="Arial"/>
          <w:sz w:val="21"/>
          <w:szCs w:val="21"/>
          <w:color w:val="auto"/>
          <w:vertAlign w:val="superscript"/>
        </w:rPr>
      </w:pPr>
      <w:r>
        <w:rPr>
          <w:rFonts w:ascii="Arial" w:cs="Arial" w:eastAsia="Arial" w:hAnsi="Arial"/>
          <w:sz w:val="16"/>
          <w:szCs w:val="16"/>
          <w:color w:val="auto"/>
        </w:rPr>
        <w:t>This row shows the possible payouts for the 2020-2022 performance awards ranging from 0 to 175 percent of target. This performance award will pay out in February 2023.</w:t>
      </w:r>
    </w:p>
    <w:p>
      <w:pPr>
        <w:spacing w:after="0" w:line="238" w:lineRule="exact"/>
        <w:rPr>
          <w:sz w:val="20"/>
          <w:szCs w:val="20"/>
          <w:color w:val="auto"/>
        </w:rPr>
      </w:pPr>
    </w:p>
    <w:p>
      <w:pPr>
        <w:ind w:left="73" w:hanging="73"/>
        <w:spacing w:after="0" w:line="216" w:lineRule="auto"/>
        <w:tabs>
          <w:tab w:leader="none" w:pos="80"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This row shows the range of payouts for the 2020-2022 shareholder value awards. This shareholder value award will pay out in February 2023, with payouts ranging from 0 to 175 percent of target. We measure the fair value of the shareholder value award on the grant date using a Monte Carlo simulation model.</w:t>
      </w:r>
    </w:p>
    <w:p>
      <w:pPr>
        <w:spacing w:after="0" w:line="238" w:lineRule="exact"/>
        <w:rPr>
          <w:sz w:val="20"/>
          <w:szCs w:val="20"/>
          <w:color w:val="auto"/>
        </w:rPr>
      </w:pPr>
    </w:p>
    <w:p>
      <w:pPr>
        <w:ind w:left="73" w:right="80" w:hanging="73"/>
        <w:spacing w:after="0" w:line="216" w:lineRule="auto"/>
        <w:tabs>
          <w:tab w:leader="none" w:pos="80" w:val="left"/>
        </w:tabs>
        <w:numPr>
          <w:ilvl w:val="0"/>
          <w:numId w:val="112"/>
        </w:numPr>
        <w:rPr>
          <w:rFonts w:ascii="Arial" w:cs="Arial" w:eastAsia="Arial" w:hAnsi="Arial"/>
          <w:sz w:val="21"/>
          <w:szCs w:val="21"/>
          <w:color w:val="auto"/>
          <w:vertAlign w:val="superscript"/>
        </w:rPr>
      </w:pPr>
      <w:r>
        <w:rPr>
          <w:rFonts w:ascii="Arial" w:cs="Arial" w:eastAsia="Arial" w:hAnsi="Arial"/>
          <w:sz w:val="16"/>
          <w:szCs w:val="16"/>
          <w:color w:val="auto"/>
        </w:rPr>
        <w:t>This row shows the range of payouts for the 2020-2022 relative value awards. This relative value award will pay out in February 2023, with payouts ranging from 0 to 175 percent of target. We measure the fair value of the relative value award on the grant date using a Monte Carlo simulation model.</w:t>
      </w:r>
    </w:p>
    <w:p>
      <w:pPr>
        <w:sectPr>
          <w:pgSz w:w="11900" w:h="16838" w:orient="portrait"/>
          <w:cols w:equalWidth="0" w:num="1">
            <w:col w:w="11273"/>
          </w:cols>
          <w:pgMar w:left="247" w:top="10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2"/>
        <w:spacing w:after="0"/>
        <w:rPr>
          <w:sz w:val="20"/>
          <w:szCs w:val="20"/>
          <w:color w:val="auto"/>
        </w:rPr>
      </w:pPr>
      <w:r>
        <w:rPr>
          <w:rFonts w:ascii="Arial" w:cs="Arial" w:eastAsia="Arial" w:hAnsi="Arial"/>
          <w:sz w:val="15"/>
          <w:szCs w:val="15"/>
          <w:color w:val="auto"/>
        </w:rPr>
        <w:t>P65</w:t>
      </w:r>
    </w:p>
    <w:p>
      <w:pPr>
        <w:sectPr>
          <w:pgSz w:w="11900" w:h="16838" w:orient="portrait"/>
          <w:cols w:equalWidth="0" w:num="1">
            <w:col w:w="11273"/>
          </w:cols>
          <w:pgMar w:left="247" w:top="1031" w:right="379" w:bottom="1440" w:gutter="0" w:footer="0" w:header="0"/>
          <w:type w:val="continuous"/>
        </w:sectPr>
      </w:pPr>
    </w:p>
    <w:bookmarkStart w:id="70" w:name="page71"/>
    <w:bookmarkEnd w:id="70"/>
    <w:p>
      <w:pPr>
        <w:ind w:left="93" w:hanging="93"/>
        <w:spacing w:after="0"/>
        <w:tabs>
          <w:tab w:leader="none" w:pos="93" w:val="left"/>
        </w:tabs>
        <w:numPr>
          <w:ilvl w:val="0"/>
          <w:numId w:val="113"/>
        </w:numPr>
        <w:rPr>
          <w:rFonts w:ascii="Arial" w:cs="Arial" w:eastAsia="Arial" w:hAnsi="Arial"/>
          <w:sz w:val="21"/>
          <w:szCs w:val="21"/>
          <w:color w:val="auto"/>
          <w:vertAlign w:val="superscript"/>
        </w:rPr>
      </w:pPr>
      <w:r>
        <w:rPr>
          <w:rFonts w:ascii="Arial" w:cs="Arial" w:eastAsia="Arial" w:hAnsi="Arial"/>
          <w:sz w:val="16"/>
          <w:szCs w:val="16"/>
          <w:color w:val="auto"/>
        </w:rPr>
        <w:t>This grant was made outside of the normal annual cycle in 2020, and 7,928 units will vest on March 1, 2021 and 7,929 units will vest on March 1, 2022.</w:t>
      </w:r>
    </w:p>
    <w:p>
      <w:pPr>
        <w:spacing w:after="0" w:line="224" w:lineRule="exact"/>
        <w:rPr>
          <w:sz w:val="20"/>
          <w:szCs w:val="20"/>
          <w:color w:val="auto"/>
        </w:rPr>
      </w:pPr>
    </w:p>
    <w:p>
      <w:pPr>
        <w:ind w:left="73" w:hanging="73"/>
        <w:spacing w:after="0" w:line="214" w:lineRule="auto"/>
        <w:tabs>
          <w:tab w:leader="none" w:pos="80"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As a result of Mr. Smiley’s resignation as an officer on February 9, 2021, all of his 2020 plan-based awards were forfeited. Mr. Smiley will realize $0 from all grants disclosed in the Non-Equity Incentive Plan Awards and Equity Incentive Plan Awards columns. See the discussion of Mr. Smiley’s Separation Agreement under “Agreement with Former Chief Financial Officer”.</w:t>
      </w:r>
    </w:p>
    <w:p>
      <w:pPr>
        <w:spacing w:after="0" w:line="200" w:lineRule="exact"/>
        <w:rPr>
          <w:sz w:val="20"/>
          <w:szCs w:val="20"/>
          <w:color w:val="auto"/>
        </w:rPr>
      </w:pPr>
    </w:p>
    <w:p>
      <w:pPr>
        <w:spacing w:after="0" w:line="253" w:lineRule="exact"/>
        <w:rPr>
          <w:sz w:val="20"/>
          <w:szCs w:val="20"/>
          <w:color w:val="auto"/>
        </w:rPr>
      </w:pPr>
    </w:p>
    <w:p>
      <w:pPr>
        <w:ind w:left="73"/>
        <w:spacing w:after="0"/>
        <w:rPr>
          <w:sz w:val="20"/>
          <w:szCs w:val="20"/>
          <w:color w:val="auto"/>
        </w:rPr>
      </w:pPr>
      <w:r>
        <w:rPr>
          <w:rFonts w:ascii="Arial" w:cs="Arial" w:eastAsia="Arial" w:hAnsi="Arial"/>
          <w:sz w:val="20"/>
          <w:szCs w:val="20"/>
          <w:b w:val="1"/>
          <w:bCs w:val="1"/>
          <w:color w:val="auto"/>
        </w:rPr>
        <w:t>Outstanding Equity Awards at December 31, 2020</w:t>
      </w:r>
    </w:p>
    <w:p>
      <w:pPr>
        <w:spacing w:after="0" w:line="29" w:lineRule="exact"/>
        <w:rPr>
          <w:sz w:val="20"/>
          <w:szCs w:val="20"/>
          <w:color w:val="auto"/>
        </w:rPr>
      </w:pPr>
    </w:p>
    <w:p>
      <w:pPr>
        <w:ind w:left="73"/>
        <w:spacing w:after="0"/>
        <w:rPr>
          <w:sz w:val="20"/>
          <w:szCs w:val="20"/>
          <w:color w:val="auto"/>
        </w:rPr>
      </w:pPr>
      <w:r>
        <w:rPr>
          <w:rFonts w:ascii="Arial" w:cs="Arial" w:eastAsia="Arial" w:hAnsi="Arial"/>
          <w:sz w:val="16"/>
          <w:szCs w:val="16"/>
          <w:color w:val="auto"/>
        </w:rPr>
        <w:t>The 2020 closing stock price used to calculate the values in the table below was $168.84.</w:t>
      </w:r>
    </w:p>
    <w:p>
      <w:pPr>
        <w:spacing w:after="0" w:line="125" w:lineRule="exact"/>
        <w:rPr>
          <w:sz w:val="20"/>
          <w:szCs w:val="20"/>
          <w:color w:val="auto"/>
        </w:rPr>
      </w:pPr>
    </w:p>
    <w:tbl>
      <w:tblPr>
        <w:tblLayout w:type="fixed"/>
        <w:tblInd w:w="1213" w:type="dxa"/>
        <w:tblCellMar>
          <w:top w:w="0" w:type="dxa"/>
          <w:left w:w="0" w:type="dxa"/>
          <w:bottom w:w="0" w:type="dxa"/>
          <w:right w:w="0" w:type="dxa"/>
        </w:tblCellMar>
      </w:tblPr>
      <w:tr>
        <w:trPr>
          <w:trHeight w:val="216"/>
        </w:trPr>
        <w:tc>
          <w:tcPr>
            <w:tcW w:w="1660" w:type="dxa"/>
            <w:vAlign w:val="bottom"/>
            <w:shd w:val="clear" w:color="auto" w:fill="C8C9CB"/>
          </w:tcPr>
          <w:p>
            <w:pPr>
              <w:spacing w:after="0"/>
              <w:rPr>
                <w:sz w:val="18"/>
                <w:szCs w:val="18"/>
                <w:color w:val="auto"/>
              </w:rPr>
            </w:pPr>
          </w:p>
        </w:tc>
        <w:tc>
          <w:tcPr>
            <w:tcW w:w="1160" w:type="dxa"/>
            <w:vAlign w:val="bottom"/>
            <w:shd w:val="clear" w:color="auto" w:fill="C8C9CB"/>
          </w:tcPr>
          <w:p>
            <w:pPr>
              <w:spacing w:after="0"/>
              <w:rPr>
                <w:sz w:val="18"/>
                <w:szCs w:val="18"/>
                <w:color w:val="auto"/>
              </w:rPr>
            </w:pPr>
          </w:p>
        </w:tc>
        <w:tc>
          <w:tcPr>
            <w:tcW w:w="1500" w:type="dxa"/>
            <w:vAlign w:val="bottom"/>
            <w:shd w:val="clear" w:color="auto" w:fill="C8C9CB"/>
          </w:tcPr>
          <w:p>
            <w:pPr>
              <w:spacing w:after="0"/>
              <w:rPr>
                <w:sz w:val="18"/>
                <w:szCs w:val="18"/>
                <w:color w:val="auto"/>
              </w:rPr>
            </w:pPr>
          </w:p>
        </w:tc>
        <w:tc>
          <w:tcPr>
            <w:tcW w:w="1080" w:type="dxa"/>
            <w:vAlign w:val="bottom"/>
            <w:shd w:val="clear" w:color="auto" w:fill="C8C9CB"/>
          </w:tcPr>
          <w:p>
            <w:pPr>
              <w:spacing w:after="0"/>
              <w:rPr>
                <w:sz w:val="18"/>
                <w:szCs w:val="18"/>
                <w:color w:val="auto"/>
              </w:rPr>
            </w:pPr>
          </w:p>
        </w:tc>
        <w:tc>
          <w:tcPr>
            <w:tcW w:w="1460" w:type="dxa"/>
            <w:vAlign w:val="bottom"/>
            <w:shd w:val="clear" w:color="auto" w:fill="C8C9CB"/>
          </w:tcPr>
          <w:p>
            <w:pPr>
              <w:ind w:left="160"/>
              <w:spacing w:after="0"/>
              <w:rPr>
                <w:sz w:val="20"/>
                <w:szCs w:val="20"/>
                <w:color w:val="auto"/>
              </w:rPr>
            </w:pPr>
            <w:r>
              <w:rPr>
                <w:rFonts w:ascii="Arial" w:cs="Arial" w:eastAsia="Arial" w:hAnsi="Arial"/>
                <w:sz w:val="14"/>
                <w:szCs w:val="14"/>
                <w:b w:val="1"/>
                <w:bCs w:val="1"/>
                <w:color w:val="00ABE8"/>
              </w:rPr>
              <w:t>Stock Awards</w:t>
            </w:r>
          </w:p>
        </w:tc>
        <w:tc>
          <w:tcPr>
            <w:tcW w:w="2120" w:type="dxa"/>
            <w:vAlign w:val="bottom"/>
            <w:shd w:val="clear" w:color="auto" w:fill="C8C9CB"/>
          </w:tcPr>
          <w:p>
            <w:pPr>
              <w:spacing w:after="0"/>
              <w:rPr>
                <w:sz w:val="18"/>
                <w:szCs w:val="18"/>
                <w:color w:val="auto"/>
              </w:rPr>
            </w:pPr>
          </w:p>
        </w:tc>
      </w:tr>
      <w:tr>
        <w:trPr>
          <w:trHeight w:val="235"/>
        </w:trPr>
        <w:tc>
          <w:tcPr>
            <w:tcW w:w="1660" w:type="dxa"/>
            <w:vAlign w:val="bottom"/>
            <w:shd w:val="clear" w:color="auto" w:fill="C8C9CB"/>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20" w:type="dxa"/>
            <w:vAlign w:val="bottom"/>
          </w:tcPr>
          <w:p>
            <w:pPr>
              <w:jc w:val="center"/>
              <w:ind w:left="239"/>
              <w:spacing w:after="0"/>
              <w:rPr>
                <w:sz w:val="20"/>
                <w:szCs w:val="20"/>
                <w:color w:val="auto"/>
              </w:rPr>
            </w:pPr>
            <w:r>
              <w:rPr>
                <w:rFonts w:ascii="Arial" w:cs="Arial" w:eastAsia="Arial" w:hAnsi="Arial"/>
                <w:sz w:val="13"/>
                <w:szCs w:val="13"/>
                <w:b w:val="1"/>
                <w:bCs w:val="1"/>
                <w:color w:val="00ABE8"/>
                <w:w w:val="95"/>
              </w:rPr>
              <w:t>Equity</w:t>
            </w:r>
          </w:p>
        </w:tc>
      </w:tr>
      <w:tr>
        <w:trPr>
          <w:trHeight w:val="148"/>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5"/>
              </w:rPr>
              <w:t>Equity</w:t>
            </w:r>
          </w:p>
        </w:tc>
        <w:tc>
          <w:tcPr>
            <w:tcW w:w="2120" w:type="dxa"/>
            <w:vAlign w:val="bottom"/>
          </w:tcPr>
          <w:p>
            <w:pPr>
              <w:jc w:val="center"/>
              <w:ind w:left="199"/>
              <w:spacing w:after="0"/>
              <w:rPr>
                <w:sz w:val="20"/>
                <w:szCs w:val="20"/>
                <w:color w:val="auto"/>
              </w:rPr>
            </w:pPr>
            <w:r>
              <w:rPr>
                <w:rFonts w:ascii="Arial" w:cs="Arial" w:eastAsia="Arial" w:hAnsi="Arial"/>
                <w:sz w:val="13"/>
                <w:szCs w:val="13"/>
                <w:b w:val="1"/>
                <w:bCs w:val="1"/>
                <w:color w:val="00ABE8"/>
                <w:w w:val="95"/>
              </w:rPr>
              <w:t>Incentive</w:t>
            </w:r>
          </w:p>
        </w:tc>
      </w:tr>
      <w:tr>
        <w:trPr>
          <w:trHeight w:val="149"/>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8"/>
              </w:rPr>
              <w:t>Incentive Plan</w:t>
            </w:r>
          </w:p>
        </w:tc>
        <w:tc>
          <w:tcPr>
            <w:tcW w:w="2120" w:type="dxa"/>
            <w:vAlign w:val="bottom"/>
          </w:tcPr>
          <w:p>
            <w:pPr>
              <w:jc w:val="center"/>
              <w:ind w:left="199"/>
              <w:spacing w:after="0"/>
              <w:rPr>
                <w:sz w:val="20"/>
                <w:szCs w:val="20"/>
                <w:color w:val="auto"/>
              </w:rPr>
            </w:pPr>
            <w:r>
              <w:rPr>
                <w:rFonts w:ascii="Arial" w:cs="Arial" w:eastAsia="Arial" w:hAnsi="Arial"/>
                <w:sz w:val="13"/>
                <w:szCs w:val="13"/>
                <w:b w:val="1"/>
                <w:bCs w:val="1"/>
                <w:color w:val="00ABE8"/>
                <w:w w:val="94"/>
              </w:rPr>
              <w:t>Plan Awards:</w:t>
            </w:r>
          </w:p>
        </w:tc>
      </w:tr>
      <w:tr>
        <w:trPr>
          <w:trHeight w:val="148"/>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jc w:val="center"/>
              <w:ind w:left="97"/>
              <w:spacing w:after="0"/>
              <w:rPr>
                <w:sz w:val="20"/>
                <w:szCs w:val="20"/>
                <w:color w:val="auto"/>
              </w:rPr>
            </w:pPr>
            <w:r>
              <w:rPr>
                <w:rFonts w:ascii="Arial" w:cs="Arial" w:eastAsia="Arial" w:hAnsi="Arial"/>
                <w:sz w:val="13"/>
                <w:szCs w:val="13"/>
                <w:b w:val="1"/>
                <w:bCs w:val="1"/>
                <w:color w:val="00ABE8"/>
                <w:w w:val="95"/>
              </w:rPr>
              <w:t>Market</w:t>
            </w: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7"/>
              </w:rPr>
              <w:t>Awards:</w:t>
            </w:r>
          </w:p>
        </w:tc>
        <w:tc>
          <w:tcPr>
            <w:tcW w:w="2120" w:type="dxa"/>
            <w:vAlign w:val="bottom"/>
          </w:tcPr>
          <w:p>
            <w:pPr>
              <w:jc w:val="center"/>
              <w:ind w:left="199"/>
              <w:spacing w:after="0"/>
              <w:rPr>
                <w:sz w:val="20"/>
                <w:szCs w:val="20"/>
                <w:color w:val="auto"/>
              </w:rPr>
            </w:pPr>
            <w:r>
              <w:rPr>
                <w:rFonts w:ascii="Arial" w:cs="Arial" w:eastAsia="Arial" w:hAnsi="Arial"/>
                <w:sz w:val="13"/>
                <w:szCs w:val="13"/>
                <w:b w:val="1"/>
                <w:bCs w:val="1"/>
                <w:color w:val="00ABE8"/>
                <w:w w:val="99"/>
              </w:rPr>
              <w:t>Market or</w:t>
            </w:r>
          </w:p>
        </w:tc>
      </w:tr>
      <w:tr>
        <w:trPr>
          <w:trHeight w:val="148"/>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jc w:val="center"/>
              <w:ind w:left="97"/>
              <w:spacing w:after="0"/>
              <w:rPr>
                <w:sz w:val="20"/>
                <w:szCs w:val="20"/>
                <w:color w:val="auto"/>
              </w:rPr>
            </w:pPr>
            <w:r>
              <w:rPr>
                <w:rFonts w:ascii="Arial" w:cs="Arial" w:eastAsia="Arial" w:hAnsi="Arial"/>
                <w:sz w:val="13"/>
                <w:szCs w:val="13"/>
                <w:b w:val="1"/>
                <w:bCs w:val="1"/>
                <w:color w:val="00ABE8"/>
                <w:w w:val="94"/>
              </w:rPr>
              <w:t>Value of</w:t>
            </w: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5"/>
              </w:rPr>
              <w:t>Number of</w:t>
            </w:r>
          </w:p>
        </w:tc>
        <w:tc>
          <w:tcPr>
            <w:tcW w:w="2120" w:type="dxa"/>
            <w:vAlign w:val="bottom"/>
          </w:tcPr>
          <w:p>
            <w:pPr>
              <w:jc w:val="center"/>
              <w:ind w:left="239"/>
              <w:spacing w:after="0"/>
              <w:rPr>
                <w:sz w:val="20"/>
                <w:szCs w:val="20"/>
                <w:color w:val="auto"/>
              </w:rPr>
            </w:pPr>
            <w:r>
              <w:rPr>
                <w:rFonts w:ascii="Arial" w:cs="Arial" w:eastAsia="Arial" w:hAnsi="Arial"/>
                <w:sz w:val="13"/>
                <w:szCs w:val="13"/>
                <w:b w:val="1"/>
                <w:bCs w:val="1"/>
                <w:color w:val="00ABE8"/>
                <w:w w:val="95"/>
              </w:rPr>
              <w:t>Payout Value</w:t>
            </w:r>
          </w:p>
        </w:tc>
      </w:tr>
      <w:tr>
        <w:trPr>
          <w:trHeight w:val="148"/>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jc w:val="center"/>
              <w:ind w:left="17"/>
              <w:spacing w:after="0"/>
              <w:rPr>
                <w:sz w:val="20"/>
                <w:szCs w:val="20"/>
                <w:color w:val="auto"/>
              </w:rPr>
            </w:pPr>
            <w:r>
              <w:rPr>
                <w:rFonts w:ascii="Arial" w:cs="Arial" w:eastAsia="Arial" w:hAnsi="Arial"/>
                <w:sz w:val="13"/>
                <w:szCs w:val="13"/>
                <w:b w:val="1"/>
                <w:bCs w:val="1"/>
                <w:color w:val="00ABE8"/>
                <w:w w:val="95"/>
              </w:rPr>
              <w:t>Number of</w:t>
            </w:r>
          </w:p>
        </w:tc>
        <w:tc>
          <w:tcPr>
            <w:tcW w:w="1080" w:type="dxa"/>
            <w:vAlign w:val="bottom"/>
          </w:tcPr>
          <w:p>
            <w:pPr>
              <w:jc w:val="center"/>
              <w:ind w:left="77"/>
              <w:spacing w:after="0"/>
              <w:rPr>
                <w:sz w:val="20"/>
                <w:szCs w:val="20"/>
                <w:color w:val="auto"/>
              </w:rPr>
            </w:pPr>
            <w:r>
              <w:rPr>
                <w:rFonts w:ascii="Arial" w:cs="Arial" w:eastAsia="Arial" w:hAnsi="Arial"/>
                <w:sz w:val="13"/>
                <w:szCs w:val="13"/>
                <w:b w:val="1"/>
                <w:bCs w:val="1"/>
                <w:color w:val="00ABE8"/>
                <w:w w:val="96"/>
              </w:rPr>
              <w:t>Shares or</w:t>
            </w: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5"/>
              </w:rPr>
              <w:t>Unearned Shares,</w:t>
            </w:r>
          </w:p>
        </w:tc>
        <w:tc>
          <w:tcPr>
            <w:tcW w:w="2120" w:type="dxa"/>
            <w:vAlign w:val="bottom"/>
          </w:tcPr>
          <w:p>
            <w:pPr>
              <w:jc w:val="center"/>
              <w:ind w:left="199"/>
              <w:spacing w:after="0"/>
              <w:rPr>
                <w:sz w:val="20"/>
                <w:szCs w:val="20"/>
                <w:color w:val="auto"/>
              </w:rPr>
            </w:pPr>
            <w:r>
              <w:rPr>
                <w:rFonts w:ascii="Arial" w:cs="Arial" w:eastAsia="Arial" w:hAnsi="Arial"/>
                <w:sz w:val="13"/>
                <w:szCs w:val="13"/>
                <w:b w:val="1"/>
                <w:bCs w:val="1"/>
                <w:color w:val="00ABE8"/>
                <w:w w:val="97"/>
              </w:rPr>
              <w:t>of Unearned</w:t>
            </w:r>
          </w:p>
        </w:tc>
      </w:tr>
      <w:tr>
        <w:trPr>
          <w:trHeight w:val="148"/>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jc w:val="center"/>
              <w:ind w:left="17"/>
              <w:spacing w:after="0"/>
              <w:rPr>
                <w:sz w:val="20"/>
                <w:szCs w:val="20"/>
                <w:color w:val="auto"/>
              </w:rPr>
            </w:pPr>
            <w:r>
              <w:rPr>
                <w:rFonts w:ascii="Arial" w:cs="Arial" w:eastAsia="Arial" w:hAnsi="Arial"/>
                <w:sz w:val="13"/>
                <w:szCs w:val="13"/>
                <w:b w:val="1"/>
                <w:bCs w:val="1"/>
                <w:color w:val="00ABE8"/>
                <w:w w:val="96"/>
              </w:rPr>
              <w:t>Shares or</w:t>
            </w:r>
          </w:p>
        </w:tc>
        <w:tc>
          <w:tcPr>
            <w:tcW w:w="1080" w:type="dxa"/>
            <w:vAlign w:val="bottom"/>
          </w:tcPr>
          <w:p>
            <w:pPr>
              <w:jc w:val="center"/>
              <w:ind w:left="97"/>
              <w:spacing w:after="0"/>
              <w:rPr>
                <w:sz w:val="20"/>
                <w:szCs w:val="20"/>
                <w:color w:val="auto"/>
              </w:rPr>
            </w:pPr>
            <w:r>
              <w:rPr>
                <w:rFonts w:ascii="Arial" w:cs="Arial" w:eastAsia="Arial" w:hAnsi="Arial"/>
                <w:sz w:val="13"/>
                <w:szCs w:val="13"/>
                <w:b w:val="1"/>
                <w:bCs w:val="1"/>
                <w:color w:val="00ABE8"/>
                <w:w w:val="99"/>
              </w:rPr>
              <w:t>Units of</w:t>
            </w: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4"/>
              </w:rPr>
              <w:t>Units,</w:t>
            </w:r>
          </w:p>
        </w:tc>
        <w:tc>
          <w:tcPr>
            <w:tcW w:w="2120" w:type="dxa"/>
            <w:vAlign w:val="bottom"/>
          </w:tcPr>
          <w:p>
            <w:pPr>
              <w:jc w:val="center"/>
              <w:ind w:left="219"/>
              <w:spacing w:after="0"/>
              <w:rPr>
                <w:sz w:val="20"/>
                <w:szCs w:val="20"/>
                <w:color w:val="auto"/>
              </w:rPr>
            </w:pPr>
            <w:r>
              <w:rPr>
                <w:rFonts w:ascii="Arial" w:cs="Arial" w:eastAsia="Arial" w:hAnsi="Arial"/>
                <w:sz w:val="13"/>
                <w:szCs w:val="13"/>
                <w:b w:val="1"/>
                <w:bCs w:val="1"/>
                <w:color w:val="00ABE8"/>
                <w:w w:val="96"/>
              </w:rPr>
              <w:t>Shares, Units,</w:t>
            </w:r>
          </w:p>
        </w:tc>
      </w:tr>
      <w:tr>
        <w:trPr>
          <w:trHeight w:val="149"/>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jc w:val="center"/>
              <w:ind w:left="17"/>
              <w:spacing w:after="0"/>
              <w:rPr>
                <w:sz w:val="20"/>
                <w:szCs w:val="20"/>
                <w:color w:val="auto"/>
              </w:rPr>
            </w:pPr>
            <w:r>
              <w:rPr>
                <w:rFonts w:ascii="Arial" w:cs="Arial" w:eastAsia="Arial" w:hAnsi="Arial"/>
                <w:sz w:val="13"/>
                <w:szCs w:val="13"/>
                <w:b w:val="1"/>
                <w:bCs w:val="1"/>
                <w:color w:val="00ABE8"/>
                <w:w w:val="98"/>
              </w:rPr>
              <w:t>Units of Stock</w:t>
            </w:r>
          </w:p>
        </w:tc>
        <w:tc>
          <w:tcPr>
            <w:tcW w:w="1080" w:type="dxa"/>
            <w:vAlign w:val="bottom"/>
          </w:tcPr>
          <w:p>
            <w:pPr>
              <w:jc w:val="center"/>
              <w:ind w:left="97"/>
              <w:spacing w:after="0"/>
              <w:rPr>
                <w:sz w:val="20"/>
                <w:szCs w:val="20"/>
                <w:color w:val="auto"/>
              </w:rPr>
            </w:pPr>
            <w:r>
              <w:rPr>
                <w:rFonts w:ascii="Arial" w:cs="Arial" w:eastAsia="Arial" w:hAnsi="Arial"/>
                <w:sz w:val="13"/>
                <w:szCs w:val="13"/>
                <w:b w:val="1"/>
                <w:bCs w:val="1"/>
                <w:color w:val="00ABE8"/>
                <w:w w:val="96"/>
              </w:rPr>
              <w:t>Stock That</w:t>
            </w:r>
          </w:p>
        </w:tc>
        <w:tc>
          <w:tcPr>
            <w:tcW w:w="1460" w:type="dxa"/>
            <w:vAlign w:val="bottom"/>
          </w:tcPr>
          <w:p>
            <w:pPr>
              <w:jc w:val="center"/>
              <w:ind w:left="156"/>
              <w:spacing w:after="0"/>
              <w:rPr>
                <w:sz w:val="20"/>
                <w:szCs w:val="20"/>
                <w:color w:val="auto"/>
              </w:rPr>
            </w:pPr>
            <w:r>
              <w:rPr>
                <w:rFonts w:ascii="Arial" w:cs="Arial" w:eastAsia="Arial" w:hAnsi="Arial"/>
                <w:sz w:val="13"/>
                <w:szCs w:val="13"/>
                <w:b w:val="1"/>
                <w:bCs w:val="1"/>
                <w:color w:val="00ABE8"/>
                <w:w w:val="96"/>
              </w:rPr>
              <w:t>or Other Rights</w:t>
            </w:r>
          </w:p>
        </w:tc>
        <w:tc>
          <w:tcPr>
            <w:tcW w:w="2120" w:type="dxa"/>
            <w:vAlign w:val="bottom"/>
          </w:tcPr>
          <w:p>
            <w:pPr>
              <w:jc w:val="center"/>
              <w:ind w:left="199"/>
              <w:spacing w:after="0"/>
              <w:rPr>
                <w:sz w:val="20"/>
                <w:szCs w:val="20"/>
                <w:color w:val="auto"/>
              </w:rPr>
            </w:pPr>
            <w:r>
              <w:rPr>
                <w:rFonts w:ascii="Arial" w:cs="Arial" w:eastAsia="Arial" w:hAnsi="Arial"/>
                <w:sz w:val="13"/>
                <w:szCs w:val="13"/>
                <w:b w:val="1"/>
                <w:bCs w:val="1"/>
                <w:color w:val="00ABE8"/>
                <w:w w:val="98"/>
              </w:rPr>
              <w:t>or Other Rights</w:t>
            </w:r>
          </w:p>
        </w:tc>
      </w:tr>
      <w:tr>
        <w:trPr>
          <w:trHeight w:val="148"/>
        </w:trPr>
        <w:tc>
          <w:tcPr>
            <w:tcW w:w="1660" w:type="dxa"/>
            <w:vAlign w:val="bottom"/>
            <w:shd w:val="clear" w:color="auto" w:fill="C8C9CB"/>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jc w:val="center"/>
              <w:ind w:left="17"/>
              <w:spacing w:after="0"/>
              <w:rPr>
                <w:sz w:val="20"/>
                <w:szCs w:val="20"/>
                <w:color w:val="auto"/>
              </w:rPr>
            </w:pPr>
            <w:r>
              <w:rPr>
                <w:rFonts w:ascii="Arial" w:cs="Arial" w:eastAsia="Arial" w:hAnsi="Arial"/>
                <w:sz w:val="13"/>
                <w:szCs w:val="13"/>
                <w:b w:val="1"/>
                <w:bCs w:val="1"/>
                <w:color w:val="00ABE8"/>
                <w:w w:val="98"/>
              </w:rPr>
              <w:t>That Have Not</w:t>
            </w:r>
          </w:p>
        </w:tc>
        <w:tc>
          <w:tcPr>
            <w:tcW w:w="1080" w:type="dxa"/>
            <w:vAlign w:val="bottom"/>
          </w:tcPr>
          <w:p>
            <w:pPr>
              <w:jc w:val="center"/>
              <w:ind w:left="97"/>
              <w:spacing w:after="0"/>
              <w:rPr>
                <w:sz w:val="20"/>
                <w:szCs w:val="20"/>
                <w:color w:val="auto"/>
              </w:rPr>
            </w:pPr>
            <w:r>
              <w:rPr>
                <w:rFonts w:ascii="Arial" w:cs="Arial" w:eastAsia="Arial" w:hAnsi="Arial"/>
                <w:sz w:val="13"/>
                <w:szCs w:val="13"/>
                <w:b w:val="1"/>
                <w:bCs w:val="1"/>
                <w:color w:val="00ABE8"/>
                <w:w w:val="99"/>
              </w:rPr>
              <w:t>Have Not</w:t>
            </w: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8"/>
              </w:rPr>
              <w:t>That Have Not</w:t>
            </w:r>
          </w:p>
        </w:tc>
        <w:tc>
          <w:tcPr>
            <w:tcW w:w="2120" w:type="dxa"/>
            <w:vAlign w:val="bottom"/>
          </w:tcPr>
          <w:p>
            <w:pPr>
              <w:jc w:val="center"/>
              <w:ind w:left="199"/>
              <w:spacing w:after="0"/>
              <w:rPr>
                <w:sz w:val="20"/>
                <w:szCs w:val="20"/>
                <w:color w:val="auto"/>
              </w:rPr>
            </w:pPr>
            <w:r>
              <w:rPr>
                <w:rFonts w:ascii="Arial" w:cs="Arial" w:eastAsia="Arial" w:hAnsi="Arial"/>
                <w:sz w:val="13"/>
                <w:szCs w:val="13"/>
                <w:b w:val="1"/>
                <w:bCs w:val="1"/>
                <w:color w:val="00ABE8"/>
                <w:w w:val="98"/>
              </w:rPr>
              <w:t>That Have Not</w:t>
            </w:r>
          </w:p>
        </w:tc>
      </w:tr>
      <w:tr>
        <w:trPr>
          <w:trHeight w:val="177"/>
        </w:trPr>
        <w:tc>
          <w:tcPr>
            <w:tcW w:w="1660" w:type="dxa"/>
            <w:vAlign w:val="bottom"/>
            <w:tcBorders>
              <w:bottom w:val="single" w:sz="8" w:color="C8C9CB"/>
            </w:tcBorders>
            <w:shd w:val="clear" w:color="auto" w:fill="C8C9CB"/>
          </w:tcPr>
          <w:p>
            <w:pPr>
              <w:ind w:left="60"/>
              <w:spacing w:after="0"/>
              <w:rPr>
                <w:sz w:val="20"/>
                <w:szCs w:val="20"/>
                <w:color w:val="auto"/>
              </w:rPr>
            </w:pPr>
            <w:r>
              <w:rPr>
                <w:rFonts w:ascii="Arial" w:cs="Arial" w:eastAsia="Arial" w:hAnsi="Arial"/>
                <w:sz w:val="13"/>
                <w:szCs w:val="13"/>
                <w:b w:val="1"/>
                <w:bCs w:val="1"/>
                <w:color w:val="00ABE8"/>
              </w:rPr>
              <w:t>Name</w:t>
            </w:r>
          </w:p>
        </w:tc>
        <w:tc>
          <w:tcPr>
            <w:tcW w:w="1160" w:type="dxa"/>
            <w:vAlign w:val="bottom"/>
          </w:tcPr>
          <w:p>
            <w:pPr>
              <w:ind w:left="420"/>
              <w:spacing w:after="0"/>
              <w:rPr>
                <w:sz w:val="20"/>
                <w:szCs w:val="20"/>
                <w:color w:val="auto"/>
              </w:rPr>
            </w:pPr>
            <w:r>
              <w:rPr>
                <w:rFonts w:ascii="Arial" w:cs="Arial" w:eastAsia="Arial" w:hAnsi="Arial"/>
                <w:sz w:val="13"/>
                <w:szCs w:val="13"/>
                <w:b w:val="1"/>
                <w:bCs w:val="1"/>
                <w:color w:val="00ABE8"/>
              </w:rPr>
              <w:t>Award</w:t>
            </w:r>
          </w:p>
        </w:tc>
        <w:tc>
          <w:tcPr>
            <w:tcW w:w="1500" w:type="dxa"/>
            <w:vAlign w:val="bottom"/>
          </w:tcPr>
          <w:p>
            <w:pPr>
              <w:jc w:val="center"/>
              <w:ind w:left="37"/>
              <w:spacing w:after="0"/>
              <w:rPr>
                <w:sz w:val="20"/>
                <w:szCs w:val="20"/>
                <w:color w:val="auto"/>
              </w:rPr>
            </w:pPr>
            <w:r>
              <w:rPr>
                <w:rFonts w:ascii="Arial" w:cs="Arial" w:eastAsia="Arial" w:hAnsi="Arial"/>
                <w:sz w:val="13"/>
                <w:szCs w:val="13"/>
                <w:b w:val="1"/>
                <w:bCs w:val="1"/>
                <w:color w:val="00ABE8"/>
                <w:w w:val="96"/>
              </w:rPr>
              <w:t>Vested (#)</w:t>
            </w:r>
          </w:p>
        </w:tc>
        <w:tc>
          <w:tcPr>
            <w:tcW w:w="1080" w:type="dxa"/>
            <w:vAlign w:val="bottom"/>
          </w:tcPr>
          <w:p>
            <w:pPr>
              <w:jc w:val="center"/>
              <w:ind w:left="137"/>
              <w:spacing w:after="0"/>
              <w:rPr>
                <w:sz w:val="20"/>
                <w:szCs w:val="20"/>
                <w:color w:val="auto"/>
              </w:rPr>
            </w:pPr>
            <w:r>
              <w:rPr>
                <w:rFonts w:ascii="Arial" w:cs="Arial" w:eastAsia="Arial" w:hAnsi="Arial"/>
                <w:sz w:val="13"/>
                <w:szCs w:val="13"/>
                <w:b w:val="1"/>
                <w:bCs w:val="1"/>
                <w:color w:val="00ABE8"/>
                <w:w w:val="96"/>
              </w:rPr>
              <w:t>Vested ($)</w:t>
            </w:r>
          </w:p>
        </w:tc>
        <w:tc>
          <w:tcPr>
            <w:tcW w:w="1460" w:type="dxa"/>
            <w:vAlign w:val="bottom"/>
          </w:tcPr>
          <w:p>
            <w:pPr>
              <w:jc w:val="center"/>
              <w:ind w:left="136"/>
              <w:spacing w:after="0"/>
              <w:rPr>
                <w:sz w:val="20"/>
                <w:szCs w:val="20"/>
                <w:color w:val="auto"/>
              </w:rPr>
            </w:pPr>
            <w:r>
              <w:rPr>
                <w:rFonts w:ascii="Arial" w:cs="Arial" w:eastAsia="Arial" w:hAnsi="Arial"/>
                <w:sz w:val="13"/>
                <w:szCs w:val="13"/>
                <w:b w:val="1"/>
                <w:bCs w:val="1"/>
                <w:color w:val="00ABE8"/>
                <w:w w:val="93"/>
              </w:rPr>
              <w:t>Vested (#)</w:t>
            </w:r>
          </w:p>
        </w:tc>
        <w:tc>
          <w:tcPr>
            <w:tcW w:w="2120" w:type="dxa"/>
            <w:vAlign w:val="bottom"/>
          </w:tcPr>
          <w:p>
            <w:pPr>
              <w:jc w:val="center"/>
              <w:ind w:left="239"/>
              <w:spacing w:after="0"/>
              <w:rPr>
                <w:sz w:val="20"/>
                <w:szCs w:val="20"/>
                <w:color w:val="auto"/>
              </w:rPr>
            </w:pPr>
            <w:r>
              <w:rPr>
                <w:rFonts w:ascii="Arial" w:cs="Arial" w:eastAsia="Arial" w:hAnsi="Arial"/>
                <w:sz w:val="13"/>
                <w:szCs w:val="13"/>
                <w:b w:val="1"/>
                <w:bCs w:val="1"/>
                <w:color w:val="00ABE8"/>
                <w:w w:val="93"/>
              </w:rPr>
              <w:t>Vested ($)</w:t>
            </w:r>
          </w:p>
        </w:tc>
      </w:tr>
      <w:tr>
        <w:trPr>
          <w:trHeight w:val="64"/>
        </w:trPr>
        <w:tc>
          <w:tcPr>
            <w:tcW w:w="1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120" w:type="dxa"/>
            <w:vAlign w:val="bottom"/>
          </w:tcPr>
          <w:p>
            <w:pPr>
              <w:jc w:val="right"/>
              <w:ind w:right="1919"/>
              <w:spacing w:after="0" w:line="65" w:lineRule="exact"/>
              <w:rPr>
                <w:sz w:val="20"/>
                <w:szCs w:val="20"/>
                <w:color w:val="auto"/>
              </w:rPr>
            </w:pPr>
            <w:r>
              <w:rPr>
                <w:rFonts w:ascii="Arial" w:cs="Arial" w:eastAsia="Arial" w:hAnsi="Arial"/>
                <w:sz w:val="7"/>
                <w:szCs w:val="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-1068705</wp:posOffset>
            </wp:positionV>
            <wp:extent cx="4646295" cy="1028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46295" cy="1028700"/>
                    </a:xfrm>
                    <a:prstGeom prst="rect">
                      <a:avLst/>
                    </a:prstGeom>
                    <a:noFill/>
                  </pic:spPr>
                </pic:pic>
              </a:graphicData>
            </a:graphic>
          </wp:anchor>
        </w:drawing>
      </w:r>
    </w:p>
    <w:p>
      <w:pPr>
        <w:sectPr>
          <w:pgSz w:w="11900" w:h="16838" w:orient="portrait"/>
          <w:cols w:equalWidth="0" w:num="1">
            <w:col w:w="11193"/>
          </w:cols>
          <w:pgMar w:left="247" w:top="864" w:right="459" w:bottom="1440" w:gutter="0" w:footer="0" w:header="0"/>
        </w:sectPr>
      </w:pPr>
    </w:p>
    <w:p>
      <w:pPr>
        <w:spacing w:after="0" w:line="92" w:lineRule="exact"/>
        <w:rPr>
          <w:sz w:val="20"/>
          <w:szCs w:val="20"/>
          <w:color w:val="auto"/>
        </w:rPr>
      </w:pPr>
    </w:p>
    <w:tbl>
      <w:tblPr>
        <w:tblLayout w:type="fixed"/>
        <w:tblInd w:w="1233" w:type="dxa"/>
        <w:tblCellMar>
          <w:top w:w="0" w:type="dxa"/>
          <w:left w:w="0" w:type="dxa"/>
          <w:bottom w:w="0" w:type="dxa"/>
          <w:right w:w="0" w:type="dxa"/>
        </w:tblCellMar>
      </w:tblPr>
      <w:tr>
        <w:trPr>
          <w:trHeight w:val="152"/>
        </w:trPr>
        <w:tc>
          <w:tcPr>
            <w:tcW w:w="1160" w:type="dxa"/>
            <w:vAlign w:val="bottom"/>
          </w:tcPr>
          <w:p>
            <w:pPr>
              <w:spacing w:after="0"/>
              <w:rPr>
                <w:sz w:val="20"/>
                <w:szCs w:val="20"/>
                <w:color w:val="auto"/>
              </w:rPr>
            </w:pPr>
            <w:r>
              <w:rPr>
                <w:rFonts w:ascii="Arial" w:cs="Arial" w:eastAsia="Arial" w:hAnsi="Arial"/>
                <w:sz w:val="13"/>
                <w:szCs w:val="13"/>
                <w:color w:val="auto"/>
              </w:rPr>
              <w:t>Mr. Ricks</w:t>
            </w:r>
          </w:p>
        </w:tc>
        <w:tc>
          <w:tcPr>
            <w:tcW w:w="1880" w:type="dxa"/>
            <w:vAlign w:val="bottom"/>
          </w:tcPr>
          <w:p>
            <w:pPr>
              <w:jc w:val="center"/>
              <w:ind w:left="217"/>
              <w:spacing w:after="0"/>
              <w:rPr>
                <w:sz w:val="20"/>
                <w:szCs w:val="20"/>
                <w:color w:val="auto"/>
              </w:rPr>
            </w:pPr>
            <w:r>
              <w:rPr>
                <w:rFonts w:ascii="Arial" w:cs="Arial" w:eastAsia="Arial" w:hAnsi="Arial"/>
                <w:sz w:val="13"/>
                <w:szCs w:val="13"/>
                <w:color w:val="auto"/>
                <w:w w:val="95"/>
              </w:rPr>
              <w:t>2020-2022 SVA</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80" w:type="dxa"/>
            <w:vAlign w:val="bottom"/>
          </w:tcPr>
          <w:p>
            <w:pPr>
              <w:jc w:val="center"/>
              <w:ind w:left="217"/>
              <w:spacing w:after="0"/>
              <w:rPr>
                <w:sz w:val="20"/>
                <w:szCs w:val="20"/>
                <w:color w:val="auto"/>
              </w:rPr>
            </w:pPr>
            <w:r>
              <w:rPr>
                <w:rFonts w:ascii="Arial" w:cs="Arial" w:eastAsia="Arial" w:hAnsi="Arial"/>
                <w:sz w:val="13"/>
                <w:szCs w:val="13"/>
                <w:color w:val="auto"/>
                <w:w w:val="95"/>
              </w:rPr>
              <w:t>2019-2021 SVA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80" w:type="dxa"/>
            <w:vAlign w:val="bottom"/>
          </w:tcPr>
          <w:p>
            <w:pPr>
              <w:jc w:val="center"/>
              <w:ind w:left="217"/>
              <w:spacing w:after="0"/>
              <w:rPr>
                <w:sz w:val="20"/>
                <w:szCs w:val="20"/>
                <w:color w:val="auto"/>
              </w:rPr>
            </w:pPr>
            <w:r>
              <w:rPr>
                <w:rFonts w:ascii="Arial" w:cs="Arial" w:eastAsia="Arial" w:hAnsi="Arial"/>
                <w:sz w:val="13"/>
                <w:szCs w:val="13"/>
                <w:color w:val="auto"/>
                <w:w w:val="95"/>
              </w:rPr>
              <w:t>2020-2022 RVA</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80" w:type="dxa"/>
            <w:vAlign w:val="bottom"/>
          </w:tcPr>
          <w:p>
            <w:pPr>
              <w:jc w:val="center"/>
              <w:ind w:left="217"/>
              <w:spacing w:after="0"/>
              <w:rPr>
                <w:sz w:val="20"/>
                <w:szCs w:val="20"/>
                <w:color w:val="auto"/>
              </w:rPr>
            </w:pPr>
            <w:r>
              <w:rPr>
                <w:rFonts w:ascii="Arial" w:cs="Arial" w:eastAsia="Arial" w:hAnsi="Arial"/>
                <w:sz w:val="13"/>
                <w:szCs w:val="13"/>
                <w:color w:val="auto"/>
                <w:w w:val="96"/>
              </w:rPr>
              <w:t>2020-2022 PA</w:t>
            </w:r>
          </w:p>
        </w:tc>
        <w:tc>
          <w:tcPr>
            <w:tcW w:w="1180" w:type="dxa"/>
            <w:vAlign w:val="bottom"/>
            <w:vMerge w:val="restart"/>
          </w:tcPr>
          <w:p>
            <w:pPr>
              <w:jc w:val="right"/>
              <w:spacing w:after="0"/>
              <w:rPr>
                <w:sz w:val="20"/>
                <w:szCs w:val="20"/>
                <w:color w:val="auto"/>
              </w:rPr>
            </w:pPr>
            <w:r>
              <w:rPr>
                <w:rFonts w:ascii="Arial" w:cs="Arial" w:eastAsia="Arial" w:hAnsi="Arial"/>
                <w:sz w:val="8"/>
                <w:szCs w:val="8"/>
                <w:color w:val="auto"/>
              </w:rPr>
              <w:t>5</w:t>
            </w:r>
          </w:p>
        </w:tc>
        <w:tc>
          <w:tcPr>
            <w:tcW w:w="0" w:type="dxa"/>
            <w:vAlign w:val="bottom"/>
          </w:tcPr>
          <w:p>
            <w:pPr>
              <w:spacing w:after="0"/>
              <w:rPr>
                <w:sz w:val="1"/>
                <w:szCs w:val="1"/>
                <w:color w:val="auto"/>
              </w:rPr>
            </w:pPr>
          </w:p>
        </w:tc>
      </w:tr>
      <w:tr>
        <w:trPr>
          <w:trHeight w:val="64"/>
        </w:trPr>
        <w:tc>
          <w:tcPr>
            <w:tcW w:w="1160" w:type="dxa"/>
            <w:vAlign w:val="bottom"/>
          </w:tcPr>
          <w:p>
            <w:pPr>
              <w:spacing w:after="0"/>
              <w:rPr>
                <w:sz w:val="5"/>
                <w:szCs w:val="5"/>
                <w:color w:val="auto"/>
              </w:rPr>
            </w:pPr>
          </w:p>
        </w:tc>
        <w:tc>
          <w:tcPr>
            <w:tcW w:w="1880" w:type="dxa"/>
            <w:vAlign w:val="bottom"/>
            <w:vMerge w:val="restart"/>
          </w:tcPr>
          <w:p>
            <w:pPr>
              <w:jc w:val="center"/>
              <w:ind w:left="217"/>
              <w:spacing w:after="0"/>
              <w:rPr>
                <w:sz w:val="20"/>
                <w:szCs w:val="20"/>
                <w:color w:val="auto"/>
              </w:rPr>
            </w:pPr>
            <w:r>
              <w:rPr>
                <w:rFonts w:ascii="Arial" w:cs="Arial" w:eastAsia="Arial" w:hAnsi="Arial"/>
                <w:sz w:val="13"/>
                <w:szCs w:val="13"/>
                <w:color w:val="auto"/>
                <w:w w:val="96"/>
              </w:rPr>
              <w:t>2019-2021 PA</w:t>
            </w: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180" w:type="dxa"/>
            <w:vAlign w:val="bottom"/>
          </w:tcPr>
          <w:p>
            <w:pPr>
              <w:jc w:val="right"/>
              <w:ind w:right="368"/>
              <w:spacing w:after="0" w:line="134" w:lineRule="exact"/>
              <w:rPr>
                <w:sz w:val="20"/>
                <w:szCs w:val="20"/>
                <w:color w:val="auto"/>
              </w:rPr>
            </w:pPr>
            <w:r>
              <w:rPr>
                <w:rFonts w:ascii="Arial" w:cs="Arial" w:eastAsia="Arial" w:hAnsi="Arial"/>
                <w:sz w:val="13"/>
                <w:szCs w:val="13"/>
                <w:color w:val="auto"/>
              </w:rPr>
              <w:t>56,205</w:t>
            </w:r>
          </w:p>
        </w:tc>
        <w:tc>
          <w:tcPr>
            <w:tcW w:w="0" w:type="dxa"/>
            <w:vAlign w:val="bottom"/>
          </w:tcPr>
          <w:p>
            <w:pPr>
              <w:spacing w:after="0"/>
              <w:rPr>
                <w:sz w:val="1"/>
                <w:szCs w:val="1"/>
                <w:color w:val="auto"/>
              </w:rPr>
            </w:pPr>
          </w:p>
        </w:tc>
      </w:tr>
      <w:tr>
        <w:trPr>
          <w:trHeight w:val="82"/>
        </w:trPr>
        <w:tc>
          <w:tcPr>
            <w:tcW w:w="1160" w:type="dxa"/>
            <w:vAlign w:val="bottom"/>
          </w:tcPr>
          <w:p>
            <w:pPr>
              <w:spacing w:after="0"/>
              <w:rPr>
                <w:sz w:val="7"/>
                <w:szCs w:val="7"/>
                <w:color w:val="auto"/>
              </w:rPr>
            </w:pPr>
          </w:p>
        </w:tc>
        <w:tc>
          <w:tcPr>
            <w:tcW w:w="1880" w:type="dxa"/>
            <w:vAlign w:val="bottom"/>
            <w:vMerge w:val="restart"/>
          </w:tcPr>
          <w:p>
            <w:pPr>
              <w:jc w:val="center"/>
              <w:ind w:left="217"/>
              <w:spacing w:after="0"/>
              <w:rPr>
                <w:sz w:val="20"/>
                <w:szCs w:val="20"/>
                <w:color w:val="auto"/>
              </w:rPr>
            </w:pPr>
            <w:r>
              <w:rPr>
                <w:rFonts w:ascii="Arial" w:cs="Arial" w:eastAsia="Arial" w:hAnsi="Arial"/>
                <w:sz w:val="13"/>
                <w:szCs w:val="13"/>
                <w:color w:val="auto"/>
                <w:w w:val="96"/>
              </w:rPr>
              <w:t>2018-2020 PA</w:t>
            </w:r>
          </w:p>
        </w:tc>
        <w:tc>
          <w:tcPr>
            <w:tcW w:w="1180" w:type="dxa"/>
            <w:vAlign w:val="bottom"/>
          </w:tcPr>
          <w:p>
            <w:pPr>
              <w:jc w:val="right"/>
              <w:spacing w:after="0" w:line="82" w:lineRule="exact"/>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180" w:type="dxa"/>
            <w:vAlign w:val="bottom"/>
          </w:tcPr>
          <w:p>
            <w:pPr>
              <w:jc w:val="right"/>
              <w:ind w:right="368"/>
              <w:spacing w:after="0" w:line="134" w:lineRule="exact"/>
              <w:rPr>
                <w:sz w:val="20"/>
                <w:szCs w:val="20"/>
                <w:color w:val="auto"/>
              </w:rPr>
            </w:pPr>
            <w:r>
              <w:rPr>
                <w:rFonts w:ascii="Arial" w:cs="Arial" w:eastAsia="Arial" w:hAnsi="Arial"/>
                <w:sz w:val="13"/>
                <w:szCs w:val="13"/>
                <w:color w:val="auto"/>
              </w:rPr>
              <w:t>75,387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59,063</w:t>
      </w:r>
    </w:p>
    <w:p>
      <w:pPr>
        <w:jc w:val="right"/>
        <w:spacing w:after="0" w:line="202" w:lineRule="auto"/>
        <w:rPr>
          <w:sz w:val="20"/>
          <w:szCs w:val="20"/>
          <w:color w:val="auto"/>
        </w:rPr>
      </w:pPr>
      <w:r>
        <w:rPr>
          <w:rFonts w:ascii="Arial" w:cs="Arial" w:eastAsia="Arial" w:hAnsi="Arial"/>
          <w:sz w:val="7"/>
          <w:szCs w:val="7"/>
          <w:color w:val="auto"/>
        </w:rPr>
        <w:t>2</w:t>
      </w:r>
    </w:p>
    <w:p>
      <w:pPr>
        <w:ind w:left="1400"/>
        <w:spacing w:after="0" w:line="216" w:lineRule="auto"/>
        <w:rPr>
          <w:sz w:val="20"/>
          <w:szCs w:val="20"/>
          <w:color w:val="auto"/>
        </w:rPr>
      </w:pPr>
      <w:r>
        <w:rPr>
          <w:rFonts w:ascii="Arial" w:cs="Arial" w:eastAsia="Arial" w:hAnsi="Arial"/>
          <w:sz w:val="13"/>
          <w:szCs w:val="13"/>
          <w:color w:val="auto"/>
        </w:rPr>
        <w:t>123,088</w:t>
      </w:r>
    </w:p>
    <w:p>
      <w:pPr>
        <w:jc w:val="right"/>
        <w:spacing w:after="0" w:line="213" w:lineRule="auto"/>
        <w:rPr>
          <w:sz w:val="20"/>
          <w:szCs w:val="20"/>
          <w:color w:val="auto"/>
        </w:rPr>
      </w:pPr>
      <w:r>
        <w:rPr>
          <w:rFonts w:ascii="Arial" w:cs="Arial" w:eastAsia="Arial" w:hAnsi="Arial"/>
          <w:sz w:val="8"/>
          <w:szCs w:val="8"/>
          <w:color w:val="auto"/>
        </w:rPr>
        <w:t>3</w:t>
      </w:r>
    </w:p>
    <w:p>
      <w:pPr>
        <w:ind w:left="1440"/>
        <w:spacing w:after="0" w:line="216" w:lineRule="auto"/>
        <w:rPr>
          <w:sz w:val="20"/>
          <w:szCs w:val="20"/>
          <w:color w:val="auto"/>
        </w:rPr>
      </w:pPr>
      <w:r>
        <w:rPr>
          <w:rFonts w:ascii="Arial" w:cs="Arial" w:eastAsia="Arial" w:hAnsi="Arial"/>
          <w:sz w:val="13"/>
          <w:szCs w:val="13"/>
          <w:color w:val="auto"/>
        </w:rPr>
        <w:t>24,319</w:t>
      </w:r>
    </w:p>
    <w:p>
      <w:pPr>
        <w:jc w:val="right"/>
        <w:spacing w:after="0" w:line="212" w:lineRule="auto"/>
        <w:rPr>
          <w:sz w:val="20"/>
          <w:szCs w:val="20"/>
          <w:color w:val="auto"/>
        </w:rPr>
      </w:pPr>
      <w:r>
        <w:rPr>
          <w:rFonts w:ascii="Arial" w:cs="Arial" w:eastAsia="Arial" w:hAnsi="Arial"/>
          <w:sz w:val="8"/>
          <w:szCs w:val="8"/>
          <w:color w:val="auto"/>
        </w:rPr>
        <w:t>4</w:t>
      </w:r>
    </w:p>
    <w:p>
      <w:pPr>
        <w:ind w:left="1440"/>
        <w:spacing w:after="0"/>
        <w:rPr>
          <w:sz w:val="20"/>
          <w:szCs w:val="20"/>
          <w:color w:val="auto"/>
        </w:rPr>
      </w:pPr>
      <w:r>
        <w:rPr>
          <w:rFonts w:ascii="Arial" w:cs="Arial" w:eastAsia="Arial" w:hAnsi="Arial"/>
          <w:sz w:val="13"/>
          <w:szCs w:val="13"/>
          <w:color w:val="auto"/>
        </w:rPr>
        <w:t>47,786</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$9,489,652</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$12,728,341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40"/>
        <w:spacing w:after="0"/>
        <w:rPr>
          <w:sz w:val="20"/>
          <w:szCs w:val="20"/>
          <w:color w:val="auto"/>
        </w:rPr>
      </w:pPr>
      <w:r>
        <w:rPr>
          <w:rFonts w:ascii="Arial" w:cs="Arial" w:eastAsia="Arial" w:hAnsi="Arial"/>
          <w:sz w:val="13"/>
          <w:szCs w:val="13"/>
          <w:color w:val="auto"/>
        </w:rPr>
        <w:t>$9,972,197</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$20,782,178</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3"/>
          <w:szCs w:val="13"/>
          <w:color w:val="auto"/>
        </w:rPr>
        <w:t>$4,106,020</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$8,068,188</w:t>
      </w:r>
    </w:p>
    <w:p>
      <w:pPr>
        <w:spacing w:after="0" w:line="417" w:lineRule="exact"/>
        <w:rPr>
          <w:sz w:val="20"/>
          <w:szCs w:val="20"/>
          <w:color w:val="auto"/>
        </w:rPr>
      </w:pPr>
    </w:p>
    <w:p>
      <w:pPr>
        <w:sectPr>
          <w:pgSz w:w="11900" w:h="16838" w:orient="portrait"/>
          <w:cols w:equalWidth="0" w:num="3">
            <w:col w:w="5453" w:space="360"/>
            <w:col w:w="2400" w:space="720"/>
            <w:col w:w="2260"/>
          </w:cols>
          <w:pgMar w:left="247" w:top="864" w:right="459" w:bottom="1440" w:gutter="0" w:footer="0" w:header="0"/>
          <w:type w:val="continuous"/>
        </w:sectPr>
      </w:pPr>
    </w:p>
    <w:tbl>
      <w:tblPr>
        <w:tblLayout w:type="fixed"/>
        <w:tblInd w:w="1213" w:type="dxa"/>
        <w:tblCellMar>
          <w:top w:w="0" w:type="dxa"/>
          <w:left w:w="0" w:type="dxa"/>
          <w:bottom w:w="0" w:type="dxa"/>
          <w:right w:w="0" w:type="dxa"/>
        </w:tblCellMar>
      </w:tblPr>
      <w:tr>
        <w:trPr>
          <w:trHeight w:val="34"/>
        </w:trPr>
        <w:tc>
          <w:tcPr>
            <w:tcW w:w="1660" w:type="dxa"/>
            <w:vAlign w:val="bottom"/>
          </w:tcPr>
          <w:p>
            <w:pPr>
              <w:spacing w:after="0"/>
              <w:rPr>
                <w:sz w:val="2"/>
                <w:szCs w:val="2"/>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8</w:t>
            </w: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00" w:type="dxa"/>
            <w:vAlign w:val="bottom"/>
            <w:vMerge w:val="restart"/>
          </w:tcPr>
          <w:p>
            <w:pPr>
              <w:jc w:val="right"/>
              <w:ind w:right="1928"/>
              <w:spacing w:after="0"/>
              <w:rPr>
                <w:sz w:val="20"/>
                <w:szCs w:val="20"/>
                <w:color w:val="auto"/>
              </w:rPr>
            </w:pPr>
            <w:r>
              <w:rPr>
                <w:rFonts w:ascii="Arial" w:cs="Arial" w:eastAsia="Arial" w:hAnsi="Arial"/>
                <w:sz w:val="8"/>
                <w:szCs w:val="8"/>
                <w:color w:val="auto"/>
              </w:rPr>
              <w:t>1</w:t>
            </w:r>
          </w:p>
        </w:tc>
        <w:tc>
          <w:tcPr>
            <w:tcW w:w="0" w:type="dxa"/>
            <w:vAlign w:val="bottom"/>
          </w:tcPr>
          <w:p>
            <w:pPr>
              <w:spacing w:after="0" w:line="20" w:lineRule="exact"/>
              <w:rPr>
                <w:sz w:val="1"/>
                <w:szCs w:val="1"/>
                <w:color w:val="auto"/>
              </w:rPr>
            </w:pPr>
          </w:p>
        </w:tc>
      </w:tr>
      <w:tr>
        <w:trPr>
          <w:trHeight w:val="65"/>
        </w:trPr>
        <w:tc>
          <w:tcPr>
            <w:tcW w:w="1660" w:type="dxa"/>
            <w:vAlign w:val="bottom"/>
            <w:shd w:val="clear" w:color="auto" w:fill="F4F6F6"/>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F4F6F6"/>
          </w:tcPr>
          <w:p>
            <w:pPr>
              <w:ind w:left="20"/>
              <w:spacing w:after="0"/>
              <w:rPr>
                <w:sz w:val="20"/>
                <w:szCs w:val="20"/>
                <w:color w:val="auto"/>
              </w:rPr>
            </w:pPr>
            <w:r>
              <w:rPr>
                <w:rFonts w:ascii="Arial" w:cs="Arial" w:eastAsia="Arial" w:hAnsi="Arial"/>
                <w:sz w:val="13"/>
                <w:szCs w:val="13"/>
                <w:color w:val="auto"/>
              </w:rPr>
              <w:t>Mr. Smiley</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2020-2022 SVA</w:t>
            </w:r>
          </w:p>
        </w:tc>
        <w:tc>
          <w:tcPr>
            <w:tcW w:w="1080" w:type="dxa"/>
            <w:vAlign w:val="bottom"/>
          </w:tcPr>
          <w:p>
            <w:pPr>
              <w:spacing w:after="0"/>
              <w:rPr>
                <w:sz w:val="19"/>
                <w:szCs w:val="19"/>
                <w:color w:val="auto"/>
              </w:rPr>
            </w:pPr>
          </w:p>
        </w:tc>
        <w:tc>
          <w:tcPr>
            <w:tcW w:w="2500" w:type="dxa"/>
            <w:vAlign w:val="bottom"/>
            <w:gridSpan w:val="2"/>
          </w:tcPr>
          <w:p>
            <w:pPr>
              <w:jc w:val="center"/>
              <w:ind w:left="1543"/>
              <w:spacing w:after="0"/>
              <w:rPr>
                <w:sz w:val="20"/>
                <w:szCs w:val="20"/>
                <w:color w:val="auto"/>
              </w:rPr>
            </w:pPr>
            <w:r>
              <w:rPr>
                <w:rFonts w:ascii="Arial" w:cs="Arial" w:eastAsia="Arial" w:hAnsi="Arial"/>
                <w:sz w:val="13"/>
                <w:szCs w:val="13"/>
                <w:color w:val="auto"/>
                <w:w w:val="95"/>
              </w:rPr>
              <w:t>15,593</w:t>
            </w:r>
          </w:p>
        </w:tc>
        <w:tc>
          <w:tcPr>
            <w:tcW w:w="2300" w:type="dxa"/>
            <w:vAlign w:val="bottom"/>
          </w:tcPr>
          <w:p>
            <w:pPr>
              <w:jc w:val="center"/>
              <w:ind w:left="428"/>
              <w:spacing w:after="0"/>
              <w:rPr>
                <w:sz w:val="20"/>
                <w:szCs w:val="20"/>
                <w:color w:val="auto"/>
              </w:rPr>
            </w:pPr>
            <w:r>
              <w:rPr>
                <w:rFonts w:ascii="Arial" w:cs="Arial" w:eastAsia="Arial" w:hAnsi="Arial"/>
                <w:sz w:val="13"/>
                <w:szCs w:val="13"/>
                <w:color w:val="auto"/>
                <w:w w:val="95"/>
              </w:rPr>
              <w:t>$2,632,722</w:t>
            </w:r>
          </w:p>
        </w:tc>
        <w:tc>
          <w:tcPr>
            <w:tcW w:w="0" w:type="dxa"/>
            <w:vAlign w:val="bottom"/>
          </w:tcPr>
          <w:p>
            <w:pPr>
              <w:spacing w:after="0"/>
              <w:rPr>
                <w:sz w:val="1"/>
                <w:szCs w:val="1"/>
                <w:color w:val="auto"/>
              </w:rPr>
            </w:pPr>
          </w:p>
        </w:tc>
      </w:tr>
      <w:tr>
        <w:trPr>
          <w:trHeight w:val="34"/>
        </w:trPr>
        <w:tc>
          <w:tcPr>
            <w:tcW w:w="1660" w:type="dxa"/>
            <w:vAlign w:val="bottom"/>
            <w:shd w:val="clear" w:color="auto" w:fill="F4F6F6"/>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vMerge w:val="restart"/>
          </w:tcPr>
          <w:p>
            <w:pPr>
              <w:jc w:val="right"/>
              <w:ind w:right="120"/>
              <w:spacing w:after="0" w:line="82" w:lineRule="exact"/>
              <w:rPr>
                <w:sz w:val="20"/>
                <w:szCs w:val="20"/>
                <w:color w:val="auto"/>
              </w:rPr>
            </w:pPr>
            <w:r>
              <w:rPr>
                <w:rFonts w:ascii="Arial" w:cs="Arial" w:eastAsia="Arial" w:hAnsi="Arial"/>
                <w:sz w:val="8"/>
                <w:szCs w:val="8"/>
                <w:color w:val="auto"/>
                <w:w w:val="88"/>
              </w:rPr>
              <w:t>8</w:t>
            </w: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00" w:type="dxa"/>
            <w:vAlign w:val="bottom"/>
            <w:vMerge w:val="restart"/>
          </w:tcPr>
          <w:p>
            <w:pPr>
              <w:jc w:val="right"/>
              <w:ind w:right="1928"/>
              <w:spacing w:after="0" w:line="82" w:lineRule="exact"/>
              <w:rPr>
                <w:sz w:val="20"/>
                <w:szCs w:val="20"/>
                <w:color w:val="auto"/>
              </w:rPr>
            </w:pPr>
            <w:r>
              <w:rPr>
                <w:rFonts w:ascii="Arial" w:cs="Arial" w:eastAsia="Arial" w:hAnsi="Arial"/>
                <w:sz w:val="8"/>
                <w:szCs w:val="8"/>
                <w:color w:val="auto"/>
              </w:rPr>
              <w:t>2</w:t>
            </w:r>
          </w:p>
        </w:tc>
        <w:tc>
          <w:tcPr>
            <w:tcW w:w="0" w:type="dxa"/>
            <w:vAlign w:val="bottom"/>
          </w:tcPr>
          <w:p>
            <w:pPr>
              <w:spacing w:after="0" w:line="20" w:lineRule="exact"/>
              <w:rPr>
                <w:sz w:val="1"/>
                <w:szCs w:val="1"/>
                <w:color w:val="auto"/>
              </w:rPr>
            </w:pPr>
          </w:p>
        </w:tc>
      </w:tr>
      <w:tr>
        <w:trPr>
          <w:trHeight w:val="48"/>
        </w:trPr>
        <w:tc>
          <w:tcPr>
            <w:tcW w:w="1660" w:type="dxa"/>
            <w:vAlign w:val="bottom"/>
            <w:shd w:val="clear" w:color="auto" w:fill="F4F6F6"/>
          </w:tcPr>
          <w:p>
            <w:pPr>
              <w:spacing w:after="0"/>
              <w:rPr>
                <w:sz w:val="4"/>
                <w:szCs w:val="4"/>
                <w:color w:val="auto"/>
              </w:rPr>
            </w:pPr>
          </w:p>
        </w:tc>
        <w:tc>
          <w:tcPr>
            <w:tcW w:w="12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2019-2021 SVA</w:t>
            </w:r>
          </w:p>
        </w:tc>
        <w:tc>
          <w:tcPr>
            <w:tcW w:w="2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5"/>
              </w:rPr>
              <w:t>31,651</w:t>
            </w: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F4F6F6"/>
          </w:tcPr>
          <w:p>
            <w:pPr>
              <w:spacing w:after="0"/>
              <w:rPr>
                <w:sz w:val="11"/>
                <w:szCs w:val="11"/>
                <w:color w:val="auto"/>
              </w:rPr>
            </w:pPr>
          </w:p>
        </w:tc>
        <w:tc>
          <w:tcPr>
            <w:tcW w:w="1220" w:type="dxa"/>
            <w:vAlign w:val="bottom"/>
            <w:vMerge w:val="continue"/>
            <w:shd w:val="clear" w:color="auto" w:fill="F4F6F6"/>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$5,343,955</w:t>
            </w:r>
          </w:p>
        </w:tc>
        <w:tc>
          <w:tcPr>
            <w:tcW w:w="0" w:type="dxa"/>
            <w:vAlign w:val="bottom"/>
          </w:tcPr>
          <w:p>
            <w:pPr>
              <w:spacing w:after="0"/>
              <w:rPr>
                <w:sz w:val="1"/>
                <w:szCs w:val="1"/>
                <w:color w:val="auto"/>
              </w:rPr>
            </w:pPr>
          </w:p>
        </w:tc>
      </w:tr>
      <w:tr>
        <w:trPr>
          <w:trHeight w:val="82"/>
        </w:trPr>
        <w:tc>
          <w:tcPr>
            <w:tcW w:w="1660" w:type="dxa"/>
            <w:vAlign w:val="bottom"/>
            <w:shd w:val="clear" w:color="auto" w:fill="F4F6F6"/>
          </w:tcPr>
          <w:p>
            <w:pPr>
              <w:spacing w:after="0"/>
              <w:rPr>
                <w:sz w:val="7"/>
                <w:szCs w:val="7"/>
                <w:color w:val="auto"/>
              </w:rPr>
            </w:pPr>
          </w:p>
        </w:tc>
        <w:tc>
          <w:tcPr>
            <w:tcW w:w="12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2020-2022 RVA</w:t>
            </w:r>
          </w:p>
        </w:tc>
        <w:tc>
          <w:tcPr>
            <w:tcW w:w="220" w:type="dxa"/>
            <w:vAlign w:val="bottom"/>
          </w:tcPr>
          <w:p>
            <w:pPr>
              <w:jc w:val="right"/>
              <w:ind w:right="120"/>
              <w:spacing w:after="0" w:line="82" w:lineRule="exact"/>
              <w:rPr>
                <w:sz w:val="20"/>
                <w:szCs w:val="20"/>
                <w:color w:val="auto"/>
              </w:rPr>
            </w:pPr>
            <w:r>
              <w:rPr>
                <w:rFonts w:ascii="Arial" w:cs="Arial" w:eastAsia="Arial" w:hAnsi="Arial"/>
                <w:sz w:val="8"/>
                <w:szCs w:val="8"/>
                <w:color w:val="auto"/>
                <w:w w:val="88"/>
              </w:rPr>
              <w:t>8</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6,420</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34"/>
        </w:trPr>
        <w:tc>
          <w:tcPr>
            <w:tcW w:w="1660" w:type="dxa"/>
            <w:vAlign w:val="bottom"/>
            <w:shd w:val="clear" w:color="auto" w:fill="F4F6F6"/>
          </w:tcPr>
          <w:p>
            <w:pPr>
              <w:spacing w:after="0"/>
              <w:rPr>
                <w:sz w:val="11"/>
                <w:szCs w:val="11"/>
                <w:color w:val="auto"/>
              </w:rPr>
            </w:pPr>
          </w:p>
        </w:tc>
        <w:tc>
          <w:tcPr>
            <w:tcW w:w="1220" w:type="dxa"/>
            <w:vAlign w:val="bottom"/>
            <w:vMerge w:val="continue"/>
            <w:shd w:val="clear" w:color="auto" w:fill="F4F6F6"/>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$1,083,953</w:t>
            </w:r>
          </w:p>
        </w:tc>
        <w:tc>
          <w:tcPr>
            <w:tcW w:w="0" w:type="dxa"/>
            <w:vAlign w:val="bottom"/>
          </w:tcPr>
          <w:p>
            <w:pPr>
              <w:spacing w:after="0"/>
              <w:rPr>
                <w:sz w:val="1"/>
                <w:szCs w:val="1"/>
                <w:color w:val="auto"/>
              </w:rPr>
            </w:pPr>
          </w:p>
        </w:tc>
      </w:tr>
      <w:tr>
        <w:trPr>
          <w:trHeight w:val="62"/>
        </w:trPr>
        <w:tc>
          <w:tcPr>
            <w:tcW w:w="1660" w:type="dxa"/>
            <w:vAlign w:val="bottom"/>
            <w:tcBorders>
              <w:bottom w:val="single" w:sz="8" w:color="F4F6F6"/>
            </w:tcBorders>
            <w:shd w:val="clear" w:color="auto" w:fill="F4F6F6"/>
          </w:tcPr>
          <w:p>
            <w:pPr>
              <w:spacing w:after="0"/>
              <w:rPr>
                <w:sz w:val="5"/>
                <w:szCs w:val="5"/>
                <w:color w:val="auto"/>
              </w:rPr>
            </w:pPr>
          </w:p>
        </w:tc>
        <w:tc>
          <w:tcPr>
            <w:tcW w:w="1220" w:type="dxa"/>
            <w:vAlign w:val="bottom"/>
            <w:tcBorders>
              <w:bottom w:val="single" w:sz="8" w:color="F4F6F6"/>
            </w:tcBorders>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2020-2022 PA</w:t>
            </w:r>
          </w:p>
        </w:tc>
        <w:tc>
          <w:tcPr>
            <w:tcW w:w="220" w:type="dxa"/>
            <w:vAlign w:val="bottom"/>
          </w:tcPr>
          <w:p>
            <w:pPr>
              <w:jc w:val="right"/>
              <w:ind w:right="120"/>
              <w:spacing w:after="0" w:line="62" w:lineRule="exact"/>
              <w:rPr>
                <w:sz w:val="20"/>
                <w:szCs w:val="20"/>
                <w:color w:val="auto"/>
              </w:rPr>
            </w:pPr>
            <w:r>
              <w:rPr>
                <w:rFonts w:ascii="Arial" w:cs="Arial" w:eastAsia="Arial" w:hAnsi="Arial"/>
                <w:sz w:val="7"/>
                <w:szCs w:val="7"/>
                <w:color w:val="auto"/>
              </w:rPr>
              <w:t>8</w:t>
            </w:r>
          </w:p>
        </w:tc>
        <w:tc>
          <w:tcPr>
            <w:tcW w:w="1080" w:type="dxa"/>
            <w:vAlign w:val="bottom"/>
            <w:tcBorders>
              <w:bottom w:val="single" w:sz="8" w:color="F4F6F6"/>
            </w:tcBorders>
          </w:tcPr>
          <w:p>
            <w:pPr>
              <w:spacing w:after="0"/>
              <w:rPr>
                <w:sz w:val="5"/>
                <w:szCs w:val="5"/>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5"/>
              </w:rPr>
              <w:t>12,616</w:t>
            </w:r>
          </w:p>
        </w:tc>
        <w:tc>
          <w:tcPr>
            <w:tcW w:w="2300" w:type="dxa"/>
            <w:vAlign w:val="bottom"/>
          </w:tcPr>
          <w:p>
            <w:pPr>
              <w:jc w:val="right"/>
              <w:ind w:right="1928"/>
              <w:spacing w:after="0" w:line="62" w:lineRule="exact"/>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34"/>
        </w:trPr>
        <w:tc>
          <w:tcPr>
            <w:tcW w:w="1660" w:type="dxa"/>
            <w:vAlign w:val="bottom"/>
            <w:shd w:val="clear" w:color="auto" w:fill="F4F6F6"/>
          </w:tcPr>
          <w:p>
            <w:pPr>
              <w:spacing w:after="0"/>
              <w:rPr>
                <w:sz w:val="11"/>
                <w:szCs w:val="11"/>
                <w:color w:val="auto"/>
              </w:rPr>
            </w:pPr>
          </w:p>
        </w:tc>
        <w:tc>
          <w:tcPr>
            <w:tcW w:w="1220" w:type="dxa"/>
            <w:vAlign w:val="bottom"/>
            <w:vMerge w:val="continue"/>
            <w:shd w:val="clear" w:color="auto" w:fill="F4F6F6"/>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shd w:val="clear" w:color="auto" w:fill="F4F6F6"/>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$2,130,085</w:t>
            </w:r>
          </w:p>
        </w:tc>
        <w:tc>
          <w:tcPr>
            <w:tcW w:w="0" w:type="dxa"/>
            <w:vAlign w:val="bottom"/>
          </w:tcPr>
          <w:p>
            <w:pPr>
              <w:spacing w:after="0"/>
              <w:rPr>
                <w:sz w:val="1"/>
                <w:szCs w:val="1"/>
                <w:color w:val="auto"/>
              </w:rPr>
            </w:pPr>
          </w:p>
        </w:tc>
      </w:tr>
      <w:tr>
        <w:trPr>
          <w:trHeight w:val="98"/>
        </w:trPr>
        <w:tc>
          <w:tcPr>
            <w:tcW w:w="1660" w:type="dxa"/>
            <w:vAlign w:val="bottom"/>
            <w:shd w:val="clear" w:color="auto" w:fill="F4F6F6"/>
          </w:tcPr>
          <w:p>
            <w:pPr>
              <w:spacing w:after="0"/>
              <w:rPr>
                <w:sz w:val="8"/>
                <w:szCs w:val="8"/>
                <w:color w:val="auto"/>
              </w:rPr>
            </w:pPr>
          </w:p>
        </w:tc>
        <w:tc>
          <w:tcPr>
            <w:tcW w:w="12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2019-2021 PA</w:t>
            </w:r>
          </w:p>
        </w:tc>
        <w:tc>
          <w:tcPr>
            <w:tcW w:w="220" w:type="dxa"/>
            <w:vAlign w:val="bottom"/>
          </w:tcPr>
          <w:p>
            <w:pPr>
              <w:jc w:val="right"/>
              <w:ind w:right="120"/>
              <w:spacing w:after="0"/>
              <w:rPr>
                <w:sz w:val="20"/>
                <w:szCs w:val="20"/>
                <w:color w:val="auto"/>
              </w:rPr>
            </w:pPr>
            <w:r>
              <w:rPr>
                <w:rFonts w:ascii="Arial" w:cs="Arial" w:eastAsia="Arial" w:hAnsi="Arial"/>
                <w:sz w:val="8"/>
                <w:szCs w:val="8"/>
                <w:color w:val="auto"/>
                <w:w w:val="88"/>
              </w:rPr>
              <w:t>8</w:t>
            </w:r>
          </w:p>
        </w:tc>
        <w:tc>
          <w:tcPr>
            <w:tcW w:w="1080" w:type="dxa"/>
            <w:vAlign w:val="bottom"/>
            <w:vMerge w:val="restart"/>
            <w:shd w:val="clear" w:color="auto" w:fill="F4F6F6"/>
          </w:tcPr>
          <w:p>
            <w:pPr>
              <w:jc w:val="right"/>
              <w:ind w:right="297"/>
              <w:spacing w:after="0"/>
              <w:rPr>
                <w:sz w:val="20"/>
                <w:szCs w:val="20"/>
                <w:color w:val="auto"/>
              </w:rPr>
            </w:pPr>
            <w:r>
              <w:rPr>
                <w:rFonts w:ascii="Arial" w:cs="Arial" w:eastAsia="Arial" w:hAnsi="Arial"/>
                <w:sz w:val="13"/>
                <w:szCs w:val="13"/>
                <w:color w:val="auto"/>
              </w:rPr>
              <w:t>14,453</w:t>
            </w:r>
          </w:p>
        </w:tc>
        <w:tc>
          <w:tcPr>
            <w:tcW w:w="200" w:type="dxa"/>
            <w:vAlign w:val="bottom"/>
          </w:tcPr>
          <w:p>
            <w:pPr>
              <w:jc w:val="right"/>
              <w:ind w:right="83"/>
              <w:spacing w:after="0"/>
              <w:rPr>
                <w:sz w:val="20"/>
                <w:szCs w:val="20"/>
                <w:color w:val="auto"/>
              </w:rPr>
            </w:pPr>
            <w:r>
              <w:rPr>
                <w:rFonts w:ascii="Arial" w:cs="Arial" w:eastAsia="Arial" w:hAnsi="Arial"/>
                <w:sz w:val="8"/>
                <w:szCs w:val="8"/>
                <w:color w:val="auto"/>
                <w:w w:val="88"/>
              </w:rPr>
              <w:t>5</w:t>
            </w:r>
          </w:p>
        </w:tc>
        <w:tc>
          <w:tcPr>
            <w:tcW w:w="2300" w:type="dxa"/>
            <w:vAlign w:val="bottom"/>
            <w:vMerge w:val="restart"/>
          </w:tcPr>
          <w:p>
            <w:pPr>
              <w:jc w:val="right"/>
              <w:ind w:right="1337"/>
              <w:spacing w:after="0"/>
              <w:rPr>
                <w:sz w:val="20"/>
                <w:szCs w:val="20"/>
                <w:color w:val="auto"/>
              </w:rPr>
            </w:pPr>
            <w:r>
              <w:rPr>
                <w:rFonts w:ascii="Arial" w:cs="Arial" w:eastAsia="Arial" w:hAnsi="Arial"/>
                <w:sz w:val="13"/>
                <w:szCs w:val="13"/>
                <w:color w:val="auto"/>
              </w:rPr>
              <w:t>$2,440,245</w:t>
            </w: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F4F6F6"/>
          </w:tcPr>
          <w:p>
            <w:pPr>
              <w:spacing w:after="0"/>
              <w:rPr>
                <w:sz w:val="11"/>
                <w:szCs w:val="11"/>
                <w:color w:val="auto"/>
              </w:rPr>
            </w:pPr>
          </w:p>
        </w:tc>
        <w:tc>
          <w:tcPr>
            <w:tcW w:w="1220" w:type="dxa"/>
            <w:vAlign w:val="bottom"/>
            <w:vMerge w:val="continue"/>
            <w:shd w:val="clear" w:color="auto" w:fill="F4F6F6"/>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continue"/>
            <w:shd w:val="clear" w:color="auto" w:fill="F4F6F6"/>
          </w:tcPr>
          <w:p>
            <w:pPr>
              <w:spacing w:after="0"/>
              <w:rPr>
                <w:sz w:val="11"/>
                <w:szCs w:val="11"/>
                <w:color w:val="auto"/>
              </w:rPr>
            </w:pPr>
          </w:p>
        </w:tc>
        <w:tc>
          <w:tcPr>
            <w:tcW w:w="200" w:type="dxa"/>
            <w:vAlign w:val="bottom"/>
            <w:vMerge w:val="restart"/>
          </w:tcPr>
          <w:p>
            <w:pPr>
              <w:jc w:val="right"/>
              <w:ind w:right="83"/>
              <w:spacing w:after="0"/>
              <w:rPr>
                <w:sz w:val="20"/>
                <w:szCs w:val="20"/>
                <w:color w:val="auto"/>
              </w:rPr>
            </w:pPr>
            <w:r>
              <w:rPr>
                <w:rFonts w:ascii="Arial" w:cs="Arial" w:eastAsia="Arial" w:hAnsi="Arial"/>
                <w:sz w:val="8"/>
                <w:szCs w:val="8"/>
                <w:color w:val="auto"/>
                <w:w w:val="88"/>
              </w:rPr>
              <w:t>6</w:t>
            </w:r>
          </w:p>
        </w:tc>
        <w:tc>
          <w:tcPr>
            <w:tcW w:w="2300" w:type="dxa"/>
            <w:vAlign w:val="bottom"/>
            <w:vMerge w:val="continue"/>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F4F6F6"/>
          </w:tcPr>
          <w:p>
            <w:pPr>
              <w:spacing w:after="0"/>
              <w:rPr>
                <w:sz w:val="7"/>
                <w:szCs w:val="7"/>
                <w:color w:val="auto"/>
              </w:rPr>
            </w:pPr>
          </w:p>
        </w:tc>
        <w:tc>
          <w:tcPr>
            <w:tcW w:w="12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2018-2020 PA</w:t>
            </w:r>
          </w:p>
        </w:tc>
        <w:tc>
          <w:tcPr>
            <w:tcW w:w="220" w:type="dxa"/>
            <w:vAlign w:val="bottom"/>
          </w:tcPr>
          <w:p>
            <w:pPr>
              <w:spacing w:after="0"/>
              <w:rPr>
                <w:sz w:val="7"/>
                <w:szCs w:val="7"/>
                <w:color w:val="auto"/>
              </w:rPr>
            </w:pPr>
          </w:p>
        </w:tc>
        <w:tc>
          <w:tcPr>
            <w:tcW w:w="1080" w:type="dxa"/>
            <w:vAlign w:val="bottom"/>
            <w:vMerge w:val="restart"/>
            <w:shd w:val="clear" w:color="auto" w:fill="F4F6F6"/>
          </w:tcPr>
          <w:p>
            <w:pPr>
              <w:jc w:val="right"/>
              <w:ind w:right="297"/>
              <w:spacing w:after="0"/>
              <w:rPr>
                <w:sz w:val="20"/>
                <w:szCs w:val="20"/>
                <w:color w:val="auto"/>
              </w:rPr>
            </w:pPr>
            <w:r>
              <w:rPr>
                <w:rFonts w:ascii="Arial" w:cs="Arial" w:eastAsia="Arial" w:hAnsi="Arial"/>
                <w:sz w:val="13"/>
                <w:szCs w:val="13"/>
                <w:color w:val="auto"/>
              </w:rPr>
              <w:t>19,266</w:t>
            </w:r>
          </w:p>
        </w:tc>
        <w:tc>
          <w:tcPr>
            <w:tcW w:w="200" w:type="dxa"/>
            <w:vAlign w:val="bottom"/>
            <w:vMerge w:val="continue"/>
          </w:tcPr>
          <w:p>
            <w:pPr>
              <w:spacing w:after="0"/>
              <w:rPr>
                <w:sz w:val="7"/>
                <w:szCs w:val="7"/>
                <w:color w:val="auto"/>
              </w:rPr>
            </w:pPr>
          </w:p>
        </w:tc>
        <w:tc>
          <w:tcPr>
            <w:tcW w:w="2300" w:type="dxa"/>
            <w:vAlign w:val="bottom"/>
            <w:vMerge w:val="restart"/>
          </w:tcPr>
          <w:p>
            <w:pPr>
              <w:jc w:val="right"/>
              <w:ind w:right="1337"/>
              <w:spacing w:after="0"/>
              <w:rPr>
                <w:sz w:val="20"/>
                <w:szCs w:val="20"/>
                <w:color w:val="auto"/>
              </w:rPr>
            </w:pPr>
            <w:r>
              <w:rPr>
                <w:rFonts w:ascii="Arial" w:cs="Arial" w:eastAsia="Arial" w:hAnsi="Arial"/>
                <w:sz w:val="13"/>
                <w:szCs w:val="13"/>
                <w:color w:val="auto"/>
              </w:rPr>
              <w:t>$3,252,871</w:t>
            </w:r>
          </w:p>
        </w:tc>
        <w:tc>
          <w:tcPr>
            <w:tcW w:w="2300" w:type="dxa"/>
            <w:vAlign w:val="bottom"/>
            <w:vMerge w:val="restart"/>
          </w:tcPr>
          <w:p>
            <w:pPr>
              <w:jc w:val="right"/>
              <w:ind w:right="1928"/>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51"/>
        </w:trPr>
        <w:tc>
          <w:tcPr>
            <w:tcW w:w="1660" w:type="dxa"/>
            <w:vAlign w:val="bottom"/>
            <w:shd w:val="clear" w:color="auto" w:fill="F4F6F6"/>
          </w:tcPr>
          <w:p>
            <w:pPr>
              <w:spacing w:after="0"/>
              <w:rPr>
                <w:sz w:val="13"/>
                <w:szCs w:val="13"/>
                <w:color w:val="auto"/>
              </w:rPr>
            </w:pPr>
          </w:p>
        </w:tc>
        <w:tc>
          <w:tcPr>
            <w:tcW w:w="1220" w:type="dxa"/>
            <w:vAlign w:val="bottom"/>
            <w:vMerge w:val="continue"/>
            <w:shd w:val="clear" w:color="auto" w:fill="F4F6F6"/>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shd w:val="clear" w:color="auto" w:fill="F4F6F6"/>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66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2020-2022 SVA</w:t>
            </w:r>
          </w:p>
        </w:tc>
        <w:tc>
          <w:tcPr>
            <w:tcW w:w="1080" w:type="dxa"/>
            <w:vAlign w:val="bottom"/>
          </w:tcPr>
          <w:p>
            <w:pPr>
              <w:spacing w:after="0"/>
              <w:rPr>
                <w:sz w:val="19"/>
                <w:szCs w:val="19"/>
                <w:color w:val="auto"/>
              </w:rPr>
            </w:pPr>
          </w:p>
        </w:tc>
        <w:tc>
          <w:tcPr>
            <w:tcW w:w="2500" w:type="dxa"/>
            <w:vAlign w:val="bottom"/>
            <w:gridSpan w:val="2"/>
          </w:tcPr>
          <w:p>
            <w:pPr>
              <w:jc w:val="center"/>
              <w:ind w:left="1543"/>
              <w:spacing w:after="0"/>
              <w:rPr>
                <w:sz w:val="20"/>
                <w:szCs w:val="20"/>
                <w:color w:val="auto"/>
              </w:rPr>
            </w:pPr>
            <w:r>
              <w:rPr>
                <w:rFonts w:ascii="Arial" w:cs="Arial" w:eastAsia="Arial" w:hAnsi="Arial"/>
                <w:sz w:val="13"/>
                <w:szCs w:val="13"/>
                <w:color w:val="auto"/>
                <w:w w:val="95"/>
              </w:rPr>
              <w:t>19,373</w:t>
            </w:r>
          </w:p>
        </w:tc>
        <w:tc>
          <w:tcPr>
            <w:tcW w:w="2300" w:type="dxa"/>
            <w:vAlign w:val="bottom"/>
          </w:tcPr>
          <w:p>
            <w:pPr>
              <w:jc w:val="center"/>
              <w:ind w:left="428"/>
              <w:spacing w:after="0"/>
              <w:rPr>
                <w:sz w:val="20"/>
                <w:szCs w:val="20"/>
                <w:color w:val="auto"/>
              </w:rPr>
            </w:pPr>
            <w:r>
              <w:rPr>
                <w:rFonts w:ascii="Arial" w:cs="Arial" w:eastAsia="Arial" w:hAnsi="Arial"/>
                <w:sz w:val="13"/>
                <w:szCs w:val="13"/>
                <w:color w:val="auto"/>
                <w:w w:val="95"/>
              </w:rPr>
              <w:t>$3,270,937</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5"/>
              </w:rPr>
              <w:t>2019-2021 SVA</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5"/>
              </w:rPr>
              <w:t>41,029</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$6,927,336</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5"/>
              </w:rPr>
              <w:t>2020-2022 RVA</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7,977</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$1,346,837</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2020-2022 PA</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5"/>
              </w:rPr>
              <w:t>15,675</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$2,646,567</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2019-2021 PA</w:t>
            </w:r>
          </w:p>
        </w:tc>
        <w:tc>
          <w:tcPr>
            <w:tcW w:w="1080" w:type="dxa"/>
            <w:vAlign w:val="bottom"/>
            <w:vMerge w:val="restart"/>
          </w:tcPr>
          <w:p>
            <w:pPr>
              <w:jc w:val="right"/>
              <w:ind w:right="297"/>
              <w:spacing w:after="0"/>
              <w:rPr>
                <w:sz w:val="20"/>
                <w:szCs w:val="20"/>
                <w:color w:val="auto"/>
              </w:rPr>
            </w:pPr>
            <w:r>
              <w:rPr>
                <w:rFonts w:ascii="Arial" w:cs="Arial" w:eastAsia="Arial" w:hAnsi="Arial"/>
                <w:sz w:val="13"/>
                <w:szCs w:val="13"/>
                <w:color w:val="auto"/>
              </w:rPr>
              <w:t>18,735</w:t>
            </w:r>
          </w:p>
        </w:tc>
        <w:tc>
          <w:tcPr>
            <w:tcW w:w="200" w:type="dxa"/>
            <w:vAlign w:val="bottom"/>
          </w:tcPr>
          <w:p>
            <w:pPr>
              <w:jc w:val="right"/>
              <w:ind w:right="83"/>
              <w:spacing w:after="0" w:line="82" w:lineRule="exact"/>
              <w:rPr>
                <w:sz w:val="20"/>
                <w:szCs w:val="20"/>
                <w:color w:val="auto"/>
              </w:rPr>
            </w:pPr>
            <w:r>
              <w:rPr>
                <w:rFonts w:ascii="Arial" w:cs="Arial" w:eastAsia="Arial" w:hAnsi="Arial"/>
                <w:sz w:val="8"/>
                <w:szCs w:val="8"/>
                <w:color w:val="auto"/>
                <w:w w:val="88"/>
              </w:rPr>
              <w:t>5</w:t>
            </w:r>
          </w:p>
        </w:tc>
        <w:tc>
          <w:tcPr>
            <w:tcW w:w="23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500" w:type="dxa"/>
            <w:vAlign w:val="bottom"/>
            <w:gridSpan w:val="2"/>
          </w:tcPr>
          <w:p>
            <w:pPr>
              <w:jc w:val="right"/>
              <w:ind w:right="1337"/>
              <w:spacing w:after="0"/>
              <w:rPr>
                <w:sz w:val="20"/>
                <w:szCs w:val="20"/>
                <w:color w:val="auto"/>
              </w:rPr>
            </w:pPr>
            <w:r>
              <w:rPr>
                <w:rFonts w:ascii="Arial" w:cs="Arial" w:eastAsia="Arial" w:hAnsi="Arial"/>
                <w:sz w:val="13"/>
                <w:szCs w:val="13"/>
                <w:color w:val="auto"/>
              </w:rPr>
              <w:t>$3,163,217</w:t>
            </w:r>
          </w:p>
        </w:tc>
        <w:tc>
          <w:tcPr>
            <w:tcW w:w="2300" w:type="dxa"/>
            <w:vAlign w:val="bottom"/>
            <w:vMerge w:val="restart"/>
          </w:tcPr>
          <w:p>
            <w:pPr>
              <w:jc w:val="right"/>
              <w:ind w:right="1928"/>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56"/>
        </w:trPr>
        <w:tc>
          <w:tcPr>
            <w:tcW w:w="1660" w:type="dxa"/>
            <w:vAlign w:val="bottom"/>
            <w:vMerge w:val="restart"/>
            <w:shd w:val="clear" w:color="auto" w:fill="F4F6F6"/>
          </w:tcPr>
          <w:p>
            <w:pPr>
              <w:ind w:left="20"/>
              <w:spacing w:after="0"/>
              <w:rPr>
                <w:sz w:val="20"/>
                <w:szCs w:val="20"/>
                <w:color w:val="auto"/>
              </w:rPr>
            </w:pPr>
            <w:r>
              <w:rPr>
                <w:rFonts w:ascii="Arial" w:cs="Arial" w:eastAsia="Arial" w:hAnsi="Arial"/>
                <w:sz w:val="13"/>
                <w:szCs w:val="13"/>
                <w:color w:val="auto"/>
              </w:rPr>
              <w:t>Ms. Hakim</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5"/>
              </w:rPr>
              <w:t>2020-2022 SVA</w:t>
            </w:r>
          </w:p>
        </w:tc>
        <w:tc>
          <w:tcPr>
            <w:tcW w:w="1080" w:type="dxa"/>
            <w:vAlign w:val="bottom"/>
          </w:tcPr>
          <w:p>
            <w:pPr>
              <w:spacing w:after="0"/>
              <w:rPr>
                <w:sz w:val="4"/>
                <w:szCs w:val="4"/>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9,450</w:t>
            </w: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shd w:val="clear" w:color="auto" w:fill="F4F6F6"/>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$1,595,538</w:t>
            </w:r>
          </w:p>
        </w:tc>
        <w:tc>
          <w:tcPr>
            <w:tcW w:w="0" w:type="dxa"/>
            <w:vAlign w:val="bottom"/>
          </w:tcPr>
          <w:p>
            <w:pPr>
              <w:spacing w:after="0"/>
              <w:rPr>
                <w:sz w:val="1"/>
                <w:szCs w:val="1"/>
                <w:color w:val="auto"/>
              </w:rPr>
            </w:pPr>
          </w:p>
        </w:tc>
      </w:tr>
      <w:tr>
        <w:trPr>
          <w:trHeight w:val="34"/>
        </w:trPr>
        <w:tc>
          <w:tcPr>
            <w:tcW w:w="1660" w:type="dxa"/>
            <w:vAlign w:val="bottom"/>
            <w:shd w:val="clear" w:color="auto" w:fill="F4F6F6"/>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00" w:type="dxa"/>
            <w:vAlign w:val="bottom"/>
            <w:vMerge w:val="restart"/>
          </w:tcPr>
          <w:p>
            <w:pPr>
              <w:jc w:val="right"/>
              <w:ind w:right="1928"/>
              <w:spacing w:after="0" w:line="82" w:lineRule="exact"/>
              <w:rPr>
                <w:sz w:val="20"/>
                <w:szCs w:val="20"/>
                <w:color w:val="auto"/>
              </w:rPr>
            </w:pPr>
            <w:r>
              <w:rPr>
                <w:rFonts w:ascii="Arial" w:cs="Arial" w:eastAsia="Arial" w:hAnsi="Arial"/>
                <w:sz w:val="8"/>
                <w:szCs w:val="8"/>
                <w:color w:val="auto"/>
              </w:rPr>
              <w:t>3</w:t>
            </w:r>
          </w:p>
        </w:tc>
        <w:tc>
          <w:tcPr>
            <w:tcW w:w="0" w:type="dxa"/>
            <w:vAlign w:val="bottom"/>
          </w:tcPr>
          <w:p>
            <w:pPr>
              <w:spacing w:after="0" w:line="20" w:lineRule="exact"/>
              <w:rPr>
                <w:sz w:val="1"/>
                <w:szCs w:val="1"/>
                <w:color w:val="auto"/>
              </w:rPr>
            </w:pPr>
          </w:p>
        </w:tc>
      </w:tr>
      <w:tr>
        <w:trPr>
          <w:trHeight w:val="48"/>
        </w:trPr>
        <w:tc>
          <w:tcPr>
            <w:tcW w:w="1660" w:type="dxa"/>
            <w:vAlign w:val="bottom"/>
            <w:shd w:val="clear" w:color="auto" w:fill="F4F6F6"/>
          </w:tcPr>
          <w:p>
            <w:pPr>
              <w:spacing w:after="0"/>
              <w:rPr>
                <w:sz w:val="4"/>
                <w:szCs w:val="4"/>
                <w:color w:val="auto"/>
              </w:rPr>
            </w:pPr>
          </w:p>
        </w:tc>
        <w:tc>
          <w:tcPr>
            <w:tcW w:w="12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2020-2022 RVA</w:t>
            </w: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3,891</w:t>
            </w: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F4F6F6"/>
          </w:tcPr>
          <w:p>
            <w:pPr>
              <w:spacing w:after="0"/>
              <w:rPr>
                <w:sz w:val="11"/>
                <w:szCs w:val="11"/>
                <w:color w:val="auto"/>
              </w:rPr>
            </w:pPr>
          </w:p>
        </w:tc>
        <w:tc>
          <w:tcPr>
            <w:tcW w:w="1220" w:type="dxa"/>
            <w:vAlign w:val="bottom"/>
            <w:vMerge w:val="continue"/>
            <w:shd w:val="clear" w:color="auto" w:fill="F4F6F6"/>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9"/>
              </w:rPr>
              <w:t>$656,956</w:t>
            </w:r>
          </w:p>
        </w:tc>
        <w:tc>
          <w:tcPr>
            <w:tcW w:w="0" w:type="dxa"/>
            <w:vAlign w:val="bottom"/>
          </w:tcPr>
          <w:p>
            <w:pPr>
              <w:spacing w:after="0"/>
              <w:rPr>
                <w:sz w:val="1"/>
                <w:szCs w:val="1"/>
                <w:color w:val="auto"/>
              </w:rPr>
            </w:pPr>
          </w:p>
        </w:tc>
      </w:tr>
      <w:tr>
        <w:trPr>
          <w:trHeight w:val="62"/>
        </w:trPr>
        <w:tc>
          <w:tcPr>
            <w:tcW w:w="1660" w:type="dxa"/>
            <w:vAlign w:val="bottom"/>
            <w:tcBorders>
              <w:bottom w:val="single" w:sz="8" w:color="F4F6F6"/>
            </w:tcBorders>
            <w:shd w:val="clear" w:color="auto" w:fill="F4F6F6"/>
          </w:tcPr>
          <w:p>
            <w:pPr>
              <w:spacing w:after="0"/>
              <w:rPr>
                <w:sz w:val="5"/>
                <w:szCs w:val="5"/>
                <w:color w:val="auto"/>
              </w:rPr>
            </w:pPr>
          </w:p>
        </w:tc>
        <w:tc>
          <w:tcPr>
            <w:tcW w:w="1220" w:type="dxa"/>
            <w:vAlign w:val="bottom"/>
            <w:tcBorders>
              <w:bottom w:val="single" w:sz="8" w:color="F4F6F6"/>
            </w:tcBorders>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2020-2022 PA</w:t>
            </w:r>
          </w:p>
        </w:tc>
        <w:tc>
          <w:tcPr>
            <w:tcW w:w="220" w:type="dxa"/>
            <w:vAlign w:val="bottom"/>
            <w:tcBorders>
              <w:bottom w:val="single" w:sz="8" w:color="F4F6F6"/>
            </w:tcBorders>
          </w:tcPr>
          <w:p>
            <w:pPr>
              <w:spacing w:after="0"/>
              <w:rPr>
                <w:sz w:val="5"/>
                <w:szCs w:val="5"/>
                <w:color w:val="auto"/>
              </w:rPr>
            </w:pPr>
          </w:p>
        </w:tc>
        <w:tc>
          <w:tcPr>
            <w:tcW w:w="1080" w:type="dxa"/>
            <w:vAlign w:val="bottom"/>
          </w:tcPr>
          <w:p>
            <w:pPr>
              <w:spacing w:after="0"/>
              <w:rPr>
                <w:sz w:val="5"/>
                <w:szCs w:val="5"/>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7,646</w:t>
            </w:r>
          </w:p>
        </w:tc>
        <w:tc>
          <w:tcPr>
            <w:tcW w:w="2300" w:type="dxa"/>
            <w:vAlign w:val="bottom"/>
          </w:tcPr>
          <w:p>
            <w:pPr>
              <w:jc w:val="right"/>
              <w:ind w:right="1928"/>
              <w:spacing w:after="0" w:line="62" w:lineRule="exact"/>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34"/>
        </w:trPr>
        <w:tc>
          <w:tcPr>
            <w:tcW w:w="1660" w:type="dxa"/>
            <w:vAlign w:val="bottom"/>
            <w:shd w:val="clear" w:color="auto" w:fill="F4F6F6"/>
          </w:tcPr>
          <w:p>
            <w:pPr>
              <w:spacing w:after="0"/>
              <w:rPr>
                <w:sz w:val="11"/>
                <w:szCs w:val="11"/>
                <w:color w:val="auto"/>
              </w:rPr>
            </w:pPr>
          </w:p>
        </w:tc>
        <w:tc>
          <w:tcPr>
            <w:tcW w:w="1220" w:type="dxa"/>
            <w:vAlign w:val="bottom"/>
            <w:vMerge w:val="continue"/>
            <w:shd w:val="clear" w:color="auto" w:fill="F4F6F6"/>
          </w:tcPr>
          <w:p>
            <w:pPr>
              <w:spacing w:after="0"/>
              <w:rPr>
                <w:sz w:val="11"/>
                <w:szCs w:val="11"/>
                <w:color w:val="auto"/>
              </w:rPr>
            </w:pPr>
          </w:p>
        </w:tc>
        <w:tc>
          <w:tcPr>
            <w:tcW w:w="220" w:type="dxa"/>
            <w:vAlign w:val="bottom"/>
            <w:shd w:val="clear" w:color="auto" w:fill="F4F6F6"/>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$1,290,951</w:t>
            </w:r>
          </w:p>
        </w:tc>
        <w:tc>
          <w:tcPr>
            <w:tcW w:w="0" w:type="dxa"/>
            <w:vAlign w:val="bottom"/>
          </w:tcPr>
          <w:p>
            <w:pPr>
              <w:spacing w:after="0"/>
              <w:rPr>
                <w:sz w:val="1"/>
                <w:szCs w:val="1"/>
                <w:color w:val="auto"/>
              </w:rPr>
            </w:pPr>
          </w:p>
        </w:tc>
      </w:tr>
      <w:tr>
        <w:trPr>
          <w:trHeight w:val="82"/>
        </w:trPr>
        <w:tc>
          <w:tcPr>
            <w:tcW w:w="1660" w:type="dxa"/>
            <w:vAlign w:val="bottom"/>
            <w:shd w:val="clear" w:color="auto" w:fill="F4F6F6"/>
          </w:tcPr>
          <w:p>
            <w:pPr>
              <w:spacing w:after="0"/>
              <w:rPr>
                <w:sz w:val="7"/>
                <w:szCs w:val="7"/>
                <w:color w:val="auto"/>
              </w:rPr>
            </w:pPr>
          </w:p>
        </w:tc>
        <w:tc>
          <w:tcPr>
            <w:tcW w:w="12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RSU</w:t>
            </w:r>
          </w:p>
        </w:tc>
        <w:tc>
          <w:tcPr>
            <w:tcW w:w="220" w:type="dxa"/>
            <w:vAlign w:val="bottom"/>
            <w:shd w:val="clear" w:color="auto" w:fill="F4F6F6"/>
          </w:tcPr>
          <w:p>
            <w:pPr>
              <w:spacing w:after="0"/>
              <w:rPr>
                <w:sz w:val="7"/>
                <w:szCs w:val="7"/>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3"/>
                <w:szCs w:val="13"/>
                <w:color w:val="auto"/>
              </w:rPr>
              <w:t>15,857</w:t>
            </w:r>
          </w:p>
        </w:tc>
        <w:tc>
          <w:tcPr>
            <w:tcW w:w="200" w:type="dxa"/>
            <w:vAlign w:val="bottom"/>
          </w:tcPr>
          <w:p>
            <w:pPr>
              <w:jc w:val="right"/>
              <w:ind w:right="83"/>
              <w:spacing w:after="0" w:line="82" w:lineRule="exact"/>
              <w:rPr>
                <w:sz w:val="20"/>
                <w:szCs w:val="20"/>
                <w:color w:val="auto"/>
              </w:rPr>
            </w:pPr>
            <w:r>
              <w:rPr>
                <w:rFonts w:ascii="Arial" w:cs="Arial" w:eastAsia="Arial" w:hAnsi="Arial"/>
                <w:sz w:val="8"/>
                <w:szCs w:val="8"/>
                <w:color w:val="auto"/>
                <w:w w:val="88"/>
              </w:rPr>
              <w:t>7</w:t>
            </w:r>
          </w:p>
        </w:tc>
        <w:tc>
          <w:tcPr>
            <w:tcW w:w="23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F4F6F6"/>
          </w:tcPr>
          <w:p>
            <w:pPr>
              <w:spacing w:after="0"/>
              <w:rPr>
                <w:sz w:val="14"/>
                <w:szCs w:val="14"/>
                <w:color w:val="auto"/>
              </w:rPr>
            </w:pPr>
          </w:p>
        </w:tc>
        <w:tc>
          <w:tcPr>
            <w:tcW w:w="1220" w:type="dxa"/>
            <w:vAlign w:val="bottom"/>
            <w:vMerge w:val="continue"/>
            <w:shd w:val="clear" w:color="auto" w:fill="F4F6F6"/>
          </w:tcPr>
          <w:p>
            <w:pPr>
              <w:spacing w:after="0"/>
              <w:rPr>
                <w:sz w:val="14"/>
                <w:szCs w:val="14"/>
                <w:color w:val="auto"/>
              </w:rPr>
            </w:pPr>
          </w:p>
        </w:tc>
        <w:tc>
          <w:tcPr>
            <w:tcW w:w="220" w:type="dxa"/>
            <w:vAlign w:val="bottom"/>
            <w:shd w:val="clear" w:color="auto" w:fill="F4F6F6"/>
          </w:tcPr>
          <w:p>
            <w:pPr>
              <w:spacing w:after="0"/>
              <w:rPr>
                <w:sz w:val="14"/>
                <w:szCs w:val="14"/>
                <w:color w:val="auto"/>
              </w:rPr>
            </w:pPr>
          </w:p>
        </w:tc>
        <w:tc>
          <w:tcPr>
            <w:tcW w:w="1080" w:type="dxa"/>
            <w:vAlign w:val="bottom"/>
            <w:vMerge w:val="continue"/>
          </w:tcPr>
          <w:p>
            <w:pPr>
              <w:spacing w:after="0"/>
              <w:rPr>
                <w:sz w:val="14"/>
                <w:szCs w:val="14"/>
                <w:color w:val="auto"/>
              </w:rPr>
            </w:pPr>
          </w:p>
        </w:tc>
        <w:tc>
          <w:tcPr>
            <w:tcW w:w="2500" w:type="dxa"/>
            <w:vAlign w:val="bottom"/>
            <w:gridSpan w:val="2"/>
          </w:tcPr>
          <w:p>
            <w:pPr>
              <w:jc w:val="right"/>
              <w:ind w:right="1337"/>
              <w:spacing w:after="0"/>
              <w:rPr>
                <w:sz w:val="20"/>
                <w:szCs w:val="20"/>
                <w:color w:val="auto"/>
              </w:rPr>
            </w:pPr>
            <w:r>
              <w:rPr>
                <w:rFonts w:ascii="Arial" w:cs="Arial" w:eastAsia="Arial" w:hAnsi="Arial"/>
                <w:sz w:val="13"/>
                <w:szCs w:val="13"/>
                <w:color w:val="auto"/>
              </w:rPr>
              <w:t>$2,677,296</w:t>
            </w:r>
          </w:p>
        </w:tc>
        <w:tc>
          <w:tcPr>
            <w:tcW w:w="2300" w:type="dxa"/>
            <w:vAlign w:val="bottom"/>
            <w:vMerge w:val="restart"/>
          </w:tcPr>
          <w:p>
            <w:pPr>
              <w:jc w:val="right"/>
              <w:ind w:right="1928"/>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48"/>
        </w:trPr>
        <w:tc>
          <w:tcPr>
            <w:tcW w:w="1660" w:type="dxa"/>
            <w:vAlign w:val="bottom"/>
            <w:vMerge w:val="restart"/>
          </w:tcPr>
          <w:p>
            <w:pPr>
              <w:ind w:left="20"/>
              <w:spacing w:after="0"/>
              <w:rPr>
                <w:sz w:val="20"/>
                <w:szCs w:val="20"/>
                <w:color w:val="auto"/>
              </w:rPr>
            </w:pPr>
            <w:r>
              <w:rPr>
                <w:rFonts w:ascii="Arial" w:cs="Arial" w:eastAsia="Arial" w:hAnsi="Arial"/>
                <w:sz w:val="13"/>
                <w:szCs w:val="13"/>
                <w:color w:val="auto"/>
              </w:rPr>
              <w:t>Mr. Zulueta</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5"/>
              </w:rPr>
              <w:t>2020-2022 SVA</w:t>
            </w:r>
          </w:p>
        </w:tc>
        <w:tc>
          <w:tcPr>
            <w:tcW w:w="1080" w:type="dxa"/>
            <w:vAlign w:val="bottom"/>
          </w:tcPr>
          <w:p>
            <w:pPr>
              <w:spacing w:after="0"/>
              <w:rPr>
                <w:sz w:val="4"/>
                <w:szCs w:val="4"/>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5"/>
              </w:rPr>
              <w:t>10,631</w:t>
            </w: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$1,794,938</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5"/>
              </w:rPr>
              <w:t>2019-2021 SVA</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5"/>
              </w:rPr>
              <w:t>23,445</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$3,958,454</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5"/>
              </w:rPr>
              <w:t>2020-2022 RVA</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7,660</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$1,293,314</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2020-2022 PA</w:t>
            </w:r>
          </w:p>
        </w:tc>
        <w:tc>
          <w:tcPr>
            <w:tcW w:w="1080" w:type="dxa"/>
            <w:vAlign w:val="bottom"/>
          </w:tcPr>
          <w:p>
            <w:pPr>
              <w:spacing w:after="0"/>
              <w:rPr>
                <w:sz w:val="7"/>
                <w:szCs w:val="7"/>
                <w:color w:val="auto"/>
              </w:rPr>
            </w:pPr>
          </w:p>
        </w:tc>
        <w:tc>
          <w:tcPr>
            <w:tcW w:w="2500" w:type="dxa"/>
            <w:vAlign w:val="bottom"/>
            <w:gridSpan w:val="2"/>
            <w:vMerge w:val="restart"/>
          </w:tcPr>
          <w:p>
            <w:pPr>
              <w:jc w:val="center"/>
              <w:ind w:left="1543"/>
              <w:spacing w:after="0"/>
              <w:rPr>
                <w:sz w:val="20"/>
                <w:szCs w:val="20"/>
                <w:color w:val="auto"/>
              </w:rPr>
            </w:pPr>
            <w:r>
              <w:rPr>
                <w:rFonts w:ascii="Arial" w:cs="Arial" w:eastAsia="Arial" w:hAnsi="Arial"/>
                <w:sz w:val="13"/>
                <w:szCs w:val="13"/>
                <w:color w:val="auto"/>
                <w:w w:val="92"/>
              </w:rPr>
              <w:t>8,601</w:t>
            </w:r>
          </w:p>
        </w:tc>
        <w:tc>
          <w:tcPr>
            <w:tcW w:w="2300" w:type="dxa"/>
            <w:vAlign w:val="bottom"/>
          </w:tcPr>
          <w:p>
            <w:pPr>
              <w:jc w:val="right"/>
              <w:ind w:right="1928"/>
              <w:spacing w:after="0" w:line="82" w:lineRule="exact"/>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300" w:type="dxa"/>
            <w:vAlign w:val="bottom"/>
          </w:tcPr>
          <w:p>
            <w:pPr>
              <w:jc w:val="center"/>
              <w:ind w:left="428"/>
              <w:spacing w:after="0" w:line="134" w:lineRule="exact"/>
              <w:rPr>
                <w:sz w:val="20"/>
                <w:szCs w:val="20"/>
                <w:color w:val="auto"/>
              </w:rPr>
            </w:pPr>
            <w:r>
              <w:rPr>
                <w:rFonts w:ascii="Arial" w:cs="Arial" w:eastAsia="Arial" w:hAnsi="Arial"/>
                <w:sz w:val="13"/>
                <w:szCs w:val="13"/>
                <w:color w:val="auto"/>
                <w:w w:val="95"/>
              </w:rPr>
              <w:t>$1,452,193</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2019-2021 PA</w:t>
            </w:r>
          </w:p>
        </w:tc>
        <w:tc>
          <w:tcPr>
            <w:tcW w:w="1080" w:type="dxa"/>
            <w:vAlign w:val="bottom"/>
            <w:vMerge w:val="restart"/>
          </w:tcPr>
          <w:p>
            <w:pPr>
              <w:jc w:val="right"/>
              <w:ind w:right="297"/>
              <w:spacing w:after="0"/>
              <w:rPr>
                <w:sz w:val="20"/>
                <w:szCs w:val="20"/>
                <w:color w:val="auto"/>
              </w:rPr>
            </w:pPr>
            <w:r>
              <w:rPr>
                <w:rFonts w:ascii="Arial" w:cs="Arial" w:eastAsia="Arial" w:hAnsi="Arial"/>
                <w:sz w:val="13"/>
                <w:szCs w:val="13"/>
                <w:color w:val="auto"/>
              </w:rPr>
              <w:t>10,706</w:t>
            </w:r>
          </w:p>
        </w:tc>
        <w:tc>
          <w:tcPr>
            <w:tcW w:w="200" w:type="dxa"/>
            <w:vAlign w:val="bottom"/>
          </w:tcPr>
          <w:p>
            <w:pPr>
              <w:jc w:val="right"/>
              <w:ind w:right="83"/>
              <w:spacing w:after="0" w:line="82" w:lineRule="exact"/>
              <w:rPr>
                <w:sz w:val="20"/>
                <w:szCs w:val="20"/>
                <w:color w:val="auto"/>
              </w:rPr>
            </w:pPr>
            <w:r>
              <w:rPr>
                <w:rFonts w:ascii="Arial" w:cs="Arial" w:eastAsia="Arial" w:hAnsi="Arial"/>
                <w:sz w:val="8"/>
                <w:szCs w:val="8"/>
                <w:color w:val="auto"/>
                <w:w w:val="88"/>
              </w:rPr>
              <w:t>5</w:t>
            </w:r>
          </w:p>
        </w:tc>
        <w:tc>
          <w:tcPr>
            <w:tcW w:w="23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500" w:type="dxa"/>
            <w:vAlign w:val="bottom"/>
            <w:gridSpan w:val="2"/>
          </w:tcPr>
          <w:p>
            <w:pPr>
              <w:jc w:val="right"/>
              <w:ind w:right="1337"/>
              <w:spacing w:after="0" w:line="134" w:lineRule="exact"/>
              <w:rPr>
                <w:sz w:val="20"/>
                <w:szCs w:val="20"/>
                <w:color w:val="auto"/>
              </w:rPr>
            </w:pPr>
            <w:r>
              <w:rPr>
                <w:rFonts w:ascii="Arial" w:cs="Arial" w:eastAsia="Arial" w:hAnsi="Arial"/>
                <w:sz w:val="13"/>
                <w:szCs w:val="13"/>
                <w:color w:val="auto"/>
              </w:rPr>
              <w:t>$1,807,601</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2018-2020 PA</w:t>
            </w:r>
          </w:p>
        </w:tc>
        <w:tc>
          <w:tcPr>
            <w:tcW w:w="1080" w:type="dxa"/>
            <w:vAlign w:val="bottom"/>
            <w:vMerge w:val="restart"/>
          </w:tcPr>
          <w:p>
            <w:pPr>
              <w:jc w:val="right"/>
              <w:ind w:right="297"/>
              <w:spacing w:after="0"/>
              <w:rPr>
                <w:sz w:val="20"/>
                <w:szCs w:val="20"/>
                <w:color w:val="auto"/>
              </w:rPr>
            </w:pPr>
            <w:r>
              <w:rPr>
                <w:rFonts w:ascii="Arial" w:cs="Arial" w:eastAsia="Arial" w:hAnsi="Arial"/>
                <w:sz w:val="13"/>
                <w:szCs w:val="13"/>
                <w:color w:val="auto"/>
              </w:rPr>
              <w:t>16,754</w:t>
            </w:r>
          </w:p>
        </w:tc>
        <w:tc>
          <w:tcPr>
            <w:tcW w:w="200" w:type="dxa"/>
            <w:vAlign w:val="bottom"/>
          </w:tcPr>
          <w:p>
            <w:pPr>
              <w:jc w:val="right"/>
              <w:ind w:right="83"/>
              <w:spacing w:after="0" w:line="82" w:lineRule="exact"/>
              <w:rPr>
                <w:sz w:val="20"/>
                <w:szCs w:val="20"/>
                <w:color w:val="auto"/>
              </w:rPr>
            </w:pPr>
            <w:r>
              <w:rPr>
                <w:rFonts w:ascii="Arial" w:cs="Arial" w:eastAsia="Arial" w:hAnsi="Arial"/>
                <w:sz w:val="8"/>
                <w:szCs w:val="8"/>
                <w:color w:val="auto"/>
                <w:w w:val="88"/>
              </w:rPr>
              <w:t>6</w:t>
            </w:r>
          </w:p>
        </w:tc>
        <w:tc>
          <w:tcPr>
            <w:tcW w:w="23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660" w:type="dxa"/>
            <w:vAlign w:val="bottom"/>
            <w:tcBorders>
              <w:bottom w:val="single" w:sz="8" w:color="F4F6F6"/>
            </w:tcBorders>
          </w:tcPr>
          <w:p>
            <w:pPr>
              <w:spacing w:after="0"/>
              <w:rPr>
                <w:sz w:val="14"/>
                <w:szCs w:val="14"/>
                <w:color w:val="auto"/>
              </w:rPr>
            </w:pPr>
          </w:p>
        </w:tc>
        <w:tc>
          <w:tcPr>
            <w:tcW w:w="1440" w:type="dxa"/>
            <w:vAlign w:val="bottom"/>
            <w:tcBorders>
              <w:bottom w:val="single" w:sz="8" w:color="F4F6F6"/>
            </w:tcBorders>
            <w:gridSpan w:val="2"/>
            <w:vMerge w:val="continue"/>
          </w:tcPr>
          <w:p>
            <w:pPr>
              <w:spacing w:after="0"/>
              <w:rPr>
                <w:sz w:val="14"/>
                <w:szCs w:val="14"/>
                <w:color w:val="auto"/>
              </w:rPr>
            </w:pPr>
          </w:p>
        </w:tc>
        <w:tc>
          <w:tcPr>
            <w:tcW w:w="1080" w:type="dxa"/>
            <w:vAlign w:val="bottom"/>
            <w:tcBorders>
              <w:bottom w:val="single" w:sz="8" w:color="F4F6F6"/>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Borders>
              <w:bottom w:val="single" w:sz="8" w:color="F4F6F6"/>
            </w:tcBorders>
          </w:tcPr>
          <w:p>
            <w:pPr>
              <w:jc w:val="right"/>
              <w:ind w:right="1337"/>
              <w:spacing w:after="0"/>
              <w:rPr>
                <w:sz w:val="20"/>
                <w:szCs w:val="20"/>
                <w:color w:val="auto"/>
              </w:rPr>
            </w:pPr>
            <w:r>
              <w:rPr>
                <w:rFonts w:ascii="Arial" w:cs="Arial" w:eastAsia="Arial" w:hAnsi="Arial"/>
                <w:sz w:val="13"/>
                <w:szCs w:val="13"/>
                <w:color w:val="auto"/>
              </w:rPr>
              <w:t>$2,828,745</w:t>
            </w:r>
          </w:p>
        </w:tc>
        <w:tc>
          <w:tcPr>
            <w:tcW w:w="2300" w:type="dxa"/>
            <w:vAlign w:val="bottom"/>
            <w:tcBorders>
              <w:bottom w:val="single" w:sz="8" w:color="F4F6F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-3025140</wp:posOffset>
            </wp:positionV>
            <wp:extent cx="5700395" cy="891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89154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-1379220</wp:posOffset>
            </wp:positionV>
            <wp:extent cx="5700395"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548640"/>
                    </a:xfrm>
                    <a:prstGeom prst="rect">
                      <a:avLst/>
                    </a:prstGeom>
                    <a:noFill/>
                  </pic:spPr>
                </pic:pic>
              </a:graphicData>
            </a:graphic>
          </wp:anchor>
        </w:drawing>
      </w:r>
    </w:p>
    <w:p>
      <w:pPr>
        <w:spacing w:after="0" w:line="306" w:lineRule="exact"/>
        <w:rPr>
          <w:sz w:val="20"/>
          <w:szCs w:val="20"/>
          <w:color w:val="auto"/>
        </w:rPr>
      </w:pPr>
    </w:p>
    <w:p>
      <w:pPr>
        <w:ind w:left="73" w:right="40" w:hanging="73"/>
        <w:spacing w:after="0" w:line="230" w:lineRule="auto"/>
        <w:tabs>
          <w:tab w:leader="none" w:pos="80"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Shareholder value awards granted for the 2020-2022 performance period will vest on December 31, 2022. The number of shares reported reflects the maximum payout, which will be made if the average closing stock price in November and December 2022 is over $187.17. Actual payouts may vary from 0 to 175 percent of target. Net shares from any payout must be held by executive officers for a minimum of one year. Had the performance period ended December 31, 2020, the payout would have been at 100 percent of target.</w:t>
      </w:r>
    </w:p>
    <w:p>
      <w:pPr>
        <w:spacing w:after="0" w:line="239" w:lineRule="exact"/>
        <w:rPr>
          <w:sz w:val="20"/>
          <w:szCs w:val="20"/>
          <w:color w:val="auto"/>
        </w:rPr>
      </w:pPr>
    </w:p>
    <w:p>
      <w:pPr>
        <w:ind w:left="73" w:right="40" w:hanging="73"/>
        <w:spacing w:after="0" w:line="230" w:lineRule="auto"/>
        <w:tabs>
          <w:tab w:leader="none" w:pos="80"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Shareholder value awards granted for the 2019-2021 performance period will vest on December 31, 2021. The number of shares reported reflects the maximum payout, which will be made if the average closing stock price in November and December 2021 is over $162.02. Actual payouts may vary from 0 to 180 percent of target. Net shares from any payout must be held by executive officers for a minimum of one year. Had the performance period ended December 31, 2020, the payout would have been 125 percent of target.</w:t>
      </w:r>
    </w:p>
    <w:p>
      <w:pPr>
        <w:sectPr>
          <w:pgSz w:w="11900" w:h="16838" w:orient="portrait"/>
          <w:cols w:equalWidth="0" w:num="1">
            <w:col w:w="11193"/>
          </w:cols>
          <w:pgMar w:left="247" w:top="86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2"/>
        <w:spacing w:after="0"/>
        <w:rPr>
          <w:sz w:val="20"/>
          <w:szCs w:val="20"/>
          <w:color w:val="auto"/>
        </w:rPr>
      </w:pPr>
      <w:r>
        <w:rPr>
          <w:rFonts w:ascii="Arial" w:cs="Arial" w:eastAsia="Arial" w:hAnsi="Arial"/>
          <w:sz w:val="15"/>
          <w:szCs w:val="15"/>
          <w:color w:val="auto"/>
        </w:rPr>
        <w:t>P66</w:t>
      </w:r>
    </w:p>
    <w:p>
      <w:pPr>
        <w:sectPr>
          <w:pgSz w:w="11900" w:h="16838" w:orient="portrait"/>
          <w:cols w:equalWidth="0" w:num="1">
            <w:col w:w="11193"/>
          </w:cols>
          <w:pgMar w:left="247" w:top="864" w:right="459" w:bottom="1440" w:gutter="0" w:footer="0" w:header="0"/>
          <w:type w:val="continuous"/>
        </w:sectPr>
      </w:pPr>
    </w:p>
    <w:bookmarkStart w:id="71" w:name="page72"/>
    <w:bookmarkEnd w:id="71"/>
    <w:p>
      <w:pPr>
        <w:ind w:left="73" w:right="20" w:hanging="73"/>
        <w:spacing w:after="0" w:line="230" w:lineRule="auto"/>
        <w:tabs>
          <w:tab w:leader="none" w:pos="80"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Relative value awards granted for the 2020-2022 performance period will vest on December 31, 2022. The number of shares reported reflects the target payout, which will be paid if Lilly's absolute TSR is at or up to 5.9 percentage points above the actual peer median TSR. Net shares from any payout must be held by executive officers for a minimum of one year. Had the performance period ended December 31, 2020, the payout would have been at 160 percent of target.</w:t>
      </w:r>
    </w:p>
    <w:p>
      <w:pPr>
        <w:spacing w:after="0" w:line="239" w:lineRule="exact"/>
        <w:rPr>
          <w:sz w:val="20"/>
          <w:szCs w:val="20"/>
          <w:color w:val="auto"/>
        </w:rPr>
      </w:pPr>
    </w:p>
    <w:p>
      <w:pPr>
        <w:ind w:left="73" w:hanging="73"/>
        <w:spacing w:after="0" w:line="233" w:lineRule="auto"/>
        <w:tabs>
          <w:tab w:leader="none" w:pos="8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This number represents the maximum value of performance award shares that could pay out for the 2020-2022 performance awards, provided performance goals are met. Once the combined cumulative EPS result and associated payout level are determined at the end of the 2020-2021 performance period, the associated number of shares will be granted as restricted stock units, vesting in February 2022. Actual payouts may vary from 0 to 175 percent of target. The number of shares recorded in the table reflects the payout if the combined cumulative EPS for 2020 and 2021 is at least $14.68 under the revised 2020-2022 performance award grid (see "Compensation Discussion and Analysis—Performance Goals for 2020 Incentive Programs—2020-2022 Performance Award").</w:t>
      </w:r>
    </w:p>
    <w:p>
      <w:pPr>
        <w:spacing w:after="0" w:line="239" w:lineRule="exact"/>
        <w:rPr>
          <w:sz w:val="20"/>
          <w:szCs w:val="20"/>
          <w:color w:val="auto"/>
        </w:rPr>
      </w:pPr>
    </w:p>
    <w:p>
      <w:pPr>
        <w:jc w:val="both"/>
        <w:ind w:left="73" w:hanging="73"/>
        <w:spacing w:after="0" w:line="230" w:lineRule="auto"/>
        <w:tabs>
          <w:tab w:leader="none" w:pos="80"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The performance period ended December 31, 2020, for the 2019-2021 performance award, resulting in the issuance of restricted stock units for 150 percent of target shares for Mr. Ricks, Dr. Skovronsky, and Mr. Zulueta. These restricted stock units will vest in February 2022. As a result of Mr. Smiley’s resignation as an officer on February 9, 2021, the Compensation Committee cancelled his 2019-2021 performance award. See the discussion of Mr. Smiley’s Separation Agreement under “Agreement with Former Chief Financial Officer”.</w:t>
      </w:r>
    </w:p>
    <w:p>
      <w:pPr>
        <w:spacing w:after="0" w:line="192" w:lineRule="exact"/>
        <w:rPr>
          <w:sz w:val="20"/>
          <w:szCs w:val="20"/>
          <w:color w:val="auto"/>
        </w:rPr>
      </w:pPr>
    </w:p>
    <w:p>
      <w:pPr>
        <w:ind w:left="93" w:hanging="93"/>
        <w:spacing w:after="0"/>
        <w:tabs>
          <w:tab w:leader="none" w:pos="93" w:val="left"/>
        </w:tabs>
        <w:numPr>
          <w:ilvl w:val="0"/>
          <w:numId w:val="120"/>
        </w:numPr>
        <w:rPr>
          <w:rFonts w:ascii="Arial" w:cs="Arial" w:eastAsia="Arial" w:hAnsi="Arial"/>
          <w:sz w:val="21"/>
          <w:szCs w:val="21"/>
          <w:color w:val="auto"/>
          <w:vertAlign w:val="superscript"/>
        </w:rPr>
      </w:pPr>
      <w:r>
        <w:rPr>
          <w:rFonts w:ascii="Arial" w:cs="Arial" w:eastAsia="Arial" w:hAnsi="Arial"/>
          <w:sz w:val="16"/>
          <w:szCs w:val="16"/>
          <w:color w:val="auto"/>
        </w:rPr>
        <w:t>Restricted stock units vested from the 2018-2020 performance award on February 1, 2021.</w:t>
      </w:r>
    </w:p>
    <w:p>
      <w:pPr>
        <w:spacing w:after="0" w:line="237" w:lineRule="exact"/>
        <w:rPr>
          <w:sz w:val="20"/>
          <w:szCs w:val="20"/>
          <w:color w:val="auto"/>
        </w:rPr>
      </w:pPr>
    </w:p>
    <w:p>
      <w:pPr>
        <w:ind w:left="73" w:right="440" w:hanging="73"/>
        <w:spacing w:after="0" w:line="216" w:lineRule="auto"/>
        <w:tabs>
          <w:tab w:leader="none" w:pos="80" w:val="left"/>
        </w:tabs>
        <w:numPr>
          <w:ilvl w:val="0"/>
          <w:numId w:val="121"/>
        </w:numPr>
        <w:rPr>
          <w:rFonts w:ascii="Arial" w:cs="Arial" w:eastAsia="Arial" w:hAnsi="Arial"/>
          <w:sz w:val="21"/>
          <w:szCs w:val="21"/>
          <w:color w:val="auto"/>
          <w:vertAlign w:val="superscript"/>
        </w:rPr>
      </w:pPr>
      <w:r>
        <w:rPr>
          <w:rFonts w:ascii="Arial" w:cs="Arial" w:eastAsia="Arial" w:hAnsi="Arial"/>
          <w:sz w:val="16"/>
          <w:szCs w:val="16"/>
          <w:color w:val="auto"/>
        </w:rPr>
        <w:t>This grant was made outside of the normal annual cycle in 2020. A total of 7,928 units will vest on March 1, 2021, and 7,929 units will vest on March 1, 2022.</w:t>
      </w:r>
    </w:p>
    <w:p>
      <w:pPr>
        <w:spacing w:after="0" w:line="225" w:lineRule="exact"/>
        <w:rPr>
          <w:sz w:val="20"/>
          <w:szCs w:val="20"/>
          <w:color w:val="auto"/>
        </w:rPr>
      </w:pPr>
    </w:p>
    <w:p>
      <w:pPr>
        <w:ind w:left="73" w:right="380" w:hanging="73"/>
        <w:spacing w:after="0" w:line="218" w:lineRule="auto"/>
        <w:tabs>
          <w:tab w:leader="none" w:pos="80"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As a result of Mr. Smiley’s resignation as an officer on February 9, 2021, the Compensation Committee cancelled his 2019 and 2020 equity awards; therefore, Mr. Smiley will realize $0 from his 2020-2022 shareholder value award, 2019-2021 shareholder value award, 2020-2022 relative value award, 2020-2022 performance award, and 2019-2021 performance award. See the discussion of Mr. Smiley’s Separation Agreement under “Agreement with Former Chief Financial Officer”.</w:t>
      </w:r>
    </w:p>
    <w:p>
      <w:pPr>
        <w:spacing w:after="0" w:line="200" w:lineRule="exact"/>
        <w:rPr>
          <w:sz w:val="20"/>
          <w:szCs w:val="20"/>
          <w:color w:val="auto"/>
        </w:rPr>
      </w:pPr>
    </w:p>
    <w:p>
      <w:pPr>
        <w:spacing w:after="0" w:line="251" w:lineRule="exact"/>
        <w:rPr>
          <w:sz w:val="20"/>
          <w:szCs w:val="20"/>
          <w:color w:val="auto"/>
        </w:rPr>
      </w:pPr>
    </w:p>
    <w:p>
      <w:pPr>
        <w:ind w:left="73"/>
        <w:spacing w:after="0"/>
        <w:rPr>
          <w:sz w:val="20"/>
          <w:szCs w:val="20"/>
          <w:color w:val="auto"/>
        </w:rPr>
      </w:pPr>
      <w:r>
        <w:rPr>
          <w:rFonts w:ascii="Arial" w:cs="Arial" w:eastAsia="Arial" w:hAnsi="Arial"/>
          <w:sz w:val="20"/>
          <w:szCs w:val="20"/>
          <w:b w:val="1"/>
          <w:bCs w:val="1"/>
          <w:color w:val="auto"/>
        </w:rPr>
        <w:t>Options Exercised and Stock Vested in 2020</w:t>
      </w:r>
    </w:p>
    <w:p>
      <w:pPr>
        <w:spacing w:after="0" w:line="149" w:lineRule="exact"/>
        <w:rPr>
          <w:sz w:val="20"/>
          <w:szCs w:val="20"/>
          <w:color w:val="auto"/>
        </w:rPr>
      </w:pPr>
    </w:p>
    <w:tbl>
      <w:tblPr>
        <w:tblLayout w:type="fixed"/>
        <w:tblInd w:w="73" w:type="dxa"/>
        <w:tblCellMar>
          <w:top w:w="0" w:type="dxa"/>
          <w:left w:w="0" w:type="dxa"/>
          <w:bottom w:w="0" w:type="dxa"/>
          <w:right w:w="0" w:type="dxa"/>
        </w:tblCellMar>
      </w:tblPr>
      <w:tr>
        <w:trPr>
          <w:trHeight w:val="243"/>
        </w:trPr>
        <w:tc>
          <w:tcPr>
            <w:tcW w:w="1120" w:type="dxa"/>
            <w:vAlign w:val="bottom"/>
            <w:shd w:val="clear" w:color="auto" w:fill="C8C9CB"/>
          </w:tcPr>
          <w:p>
            <w:pPr>
              <w:spacing w:after="0"/>
              <w:rPr>
                <w:sz w:val="21"/>
                <w:szCs w:val="21"/>
                <w:color w:val="auto"/>
              </w:rPr>
            </w:pPr>
          </w:p>
        </w:tc>
        <w:tc>
          <w:tcPr>
            <w:tcW w:w="3080" w:type="dxa"/>
            <w:vAlign w:val="bottom"/>
            <w:gridSpan w:val="2"/>
            <w:shd w:val="clear" w:color="auto" w:fill="C8C9CB"/>
          </w:tcPr>
          <w:p>
            <w:pPr>
              <w:ind w:left="1060"/>
              <w:spacing w:after="0"/>
              <w:rPr>
                <w:sz w:val="20"/>
                <w:szCs w:val="20"/>
                <w:color w:val="auto"/>
              </w:rPr>
            </w:pPr>
            <w:r>
              <w:rPr>
                <w:rFonts w:ascii="Arial" w:cs="Arial" w:eastAsia="Arial" w:hAnsi="Arial"/>
                <w:sz w:val="13"/>
                <w:szCs w:val="13"/>
                <w:b w:val="1"/>
                <w:bCs w:val="1"/>
                <w:color w:val="00ABE8"/>
              </w:rPr>
              <w:t>Option Awards</w:t>
            </w:r>
          </w:p>
        </w:tc>
        <w:tc>
          <w:tcPr>
            <w:tcW w:w="140" w:type="dxa"/>
            <w:vAlign w:val="bottom"/>
            <w:shd w:val="clear" w:color="auto" w:fill="C8C9CB"/>
          </w:tcPr>
          <w:p>
            <w:pPr>
              <w:spacing w:after="0"/>
              <w:rPr>
                <w:sz w:val="21"/>
                <w:szCs w:val="21"/>
                <w:color w:val="auto"/>
              </w:rPr>
            </w:pPr>
          </w:p>
        </w:tc>
        <w:tc>
          <w:tcPr>
            <w:tcW w:w="3360" w:type="dxa"/>
            <w:vAlign w:val="bottom"/>
            <w:gridSpan w:val="3"/>
            <w:shd w:val="clear" w:color="auto" w:fill="C8C9CB"/>
          </w:tcPr>
          <w:p>
            <w:pPr>
              <w:ind w:left="1240"/>
              <w:spacing w:after="0"/>
              <w:rPr>
                <w:sz w:val="20"/>
                <w:szCs w:val="20"/>
                <w:color w:val="auto"/>
              </w:rPr>
            </w:pPr>
            <w:r>
              <w:rPr>
                <w:rFonts w:ascii="Arial" w:cs="Arial" w:eastAsia="Arial" w:hAnsi="Arial"/>
                <w:sz w:val="13"/>
                <w:szCs w:val="13"/>
                <w:b w:val="1"/>
                <w:bCs w:val="1"/>
                <w:color w:val="00ABE8"/>
              </w:rPr>
              <w:t>Stock Awards</w:t>
            </w:r>
          </w:p>
        </w:tc>
        <w:tc>
          <w:tcPr>
            <w:tcW w:w="0" w:type="dxa"/>
            <w:vAlign w:val="bottom"/>
          </w:tcPr>
          <w:p>
            <w:pPr>
              <w:spacing w:after="0"/>
              <w:rPr>
                <w:sz w:val="1"/>
                <w:szCs w:val="1"/>
                <w:color w:val="auto"/>
              </w:rPr>
            </w:pPr>
          </w:p>
        </w:tc>
      </w:tr>
      <w:tr>
        <w:trPr>
          <w:trHeight w:val="357"/>
        </w:trPr>
        <w:tc>
          <w:tcPr>
            <w:tcW w:w="1120" w:type="dxa"/>
            <w:vAlign w:val="bottom"/>
            <w:shd w:val="clear" w:color="auto" w:fill="C8C9CB"/>
          </w:tcPr>
          <w:p>
            <w:pPr>
              <w:spacing w:after="0"/>
              <w:rPr>
                <w:sz w:val="24"/>
                <w:szCs w:val="24"/>
                <w:color w:val="auto"/>
              </w:rPr>
            </w:pPr>
          </w:p>
        </w:tc>
        <w:tc>
          <w:tcPr>
            <w:tcW w:w="16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rPr>
              <w:t>Number of Shares</w:t>
            </w:r>
          </w:p>
        </w:tc>
        <w:tc>
          <w:tcPr>
            <w:tcW w:w="142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rPr>
              <w:t>Value Realized</w:t>
            </w:r>
          </w:p>
        </w:tc>
        <w:tc>
          <w:tcPr>
            <w:tcW w:w="140" w:type="dxa"/>
            <w:vAlign w:val="bottom"/>
            <w:shd w:val="clear" w:color="auto" w:fill="C8C9CB"/>
          </w:tcPr>
          <w:p>
            <w:pPr>
              <w:spacing w:after="0"/>
              <w:rPr>
                <w:sz w:val="24"/>
                <w:szCs w:val="24"/>
                <w:color w:val="auto"/>
              </w:rPr>
            </w:pPr>
          </w:p>
        </w:tc>
        <w:tc>
          <w:tcPr>
            <w:tcW w:w="1720" w:type="dxa"/>
            <w:vAlign w:val="bottom"/>
            <w:gridSpan w:val="2"/>
            <w:shd w:val="clear" w:color="auto" w:fill="C8C9CB"/>
          </w:tcPr>
          <w:p>
            <w:pPr>
              <w:jc w:val="right"/>
              <w:ind w:right="246"/>
              <w:spacing w:after="0"/>
              <w:rPr>
                <w:sz w:val="20"/>
                <w:szCs w:val="20"/>
                <w:color w:val="auto"/>
              </w:rPr>
            </w:pPr>
            <w:r>
              <w:rPr>
                <w:rFonts w:ascii="Arial" w:cs="Arial" w:eastAsia="Arial" w:hAnsi="Arial"/>
                <w:sz w:val="13"/>
                <w:szCs w:val="13"/>
                <w:b w:val="1"/>
                <w:bCs w:val="1"/>
                <w:color w:val="00ABE8"/>
              </w:rPr>
              <w:t>Number of Shares</w:t>
            </w:r>
          </w:p>
        </w:tc>
        <w:tc>
          <w:tcPr>
            <w:tcW w:w="1640" w:type="dxa"/>
            <w:vAlign w:val="bottom"/>
            <w:shd w:val="clear" w:color="auto" w:fill="C8C9CB"/>
          </w:tcPr>
          <w:p>
            <w:pPr>
              <w:ind w:left="360"/>
              <w:spacing w:after="0"/>
              <w:rPr>
                <w:sz w:val="20"/>
                <w:szCs w:val="20"/>
                <w:color w:val="auto"/>
              </w:rPr>
            </w:pPr>
            <w:r>
              <w:rPr>
                <w:rFonts w:ascii="Arial" w:cs="Arial" w:eastAsia="Arial" w:hAnsi="Arial"/>
                <w:sz w:val="13"/>
                <w:szCs w:val="13"/>
                <w:b w:val="1"/>
                <w:bCs w:val="1"/>
                <w:color w:val="00ABE8"/>
              </w:rPr>
              <w:t>Value Realized</w:t>
            </w:r>
          </w:p>
        </w:tc>
        <w:tc>
          <w:tcPr>
            <w:tcW w:w="0" w:type="dxa"/>
            <w:vAlign w:val="bottom"/>
          </w:tcPr>
          <w:p>
            <w:pPr>
              <w:spacing w:after="0"/>
              <w:rPr>
                <w:sz w:val="1"/>
                <w:szCs w:val="1"/>
                <w:color w:val="auto"/>
              </w:rPr>
            </w:pPr>
          </w:p>
        </w:tc>
      </w:tr>
      <w:tr>
        <w:trPr>
          <w:trHeight w:val="211"/>
        </w:trPr>
        <w:tc>
          <w:tcPr>
            <w:tcW w:w="1120" w:type="dxa"/>
            <w:vAlign w:val="bottom"/>
            <w:shd w:val="clear" w:color="auto" w:fill="C8C9CB"/>
          </w:tcPr>
          <w:p>
            <w:pPr>
              <w:ind w:left="20"/>
              <w:spacing w:after="0"/>
              <w:rPr>
                <w:sz w:val="20"/>
                <w:szCs w:val="20"/>
                <w:color w:val="auto"/>
              </w:rPr>
            </w:pPr>
            <w:r>
              <w:rPr>
                <w:rFonts w:ascii="Arial" w:cs="Arial" w:eastAsia="Arial" w:hAnsi="Arial"/>
                <w:sz w:val="13"/>
                <w:szCs w:val="13"/>
                <w:b w:val="1"/>
                <w:bCs w:val="1"/>
                <w:color w:val="00ABE8"/>
              </w:rPr>
              <w:t>Name</w:t>
            </w:r>
          </w:p>
        </w:tc>
        <w:tc>
          <w:tcPr>
            <w:tcW w:w="16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rPr>
              <w:t>Acquired on Exercise (#)</w:t>
            </w:r>
          </w:p>
        </w:tc>
        <w:tc>
          <w:tcPr>
            <w:tcW w:w="1420" w:type="dxa"/>
            <w:vAlign w:val="bottom"/>
            <w:tcBorders>
              <w:bottom w:val="single" w:sz="8" w:color="C8C9CB"/>
            </w:tcBorders>
            <w:shd w:val="clear" w:color="auto" w:fill="C8C9CB"/>
          </w:tcPr>
          <w:p>
            <w:pPr>
              <w:jc w:val="center"/>
              <w:spacing w:after="0"/>
              <w:rPr>
                <w:sz w:val="20"/>
                <w:szCs w:val="20"/>
                <w:color w:val="auto"/>
              </w:rPr>
            </w:pPr>
            <w:r>
              <w:rPr>
                <w:rFonts w:ascii="Arial" w:cs="Arial" w:eastAsia="Arial" w:hAnsi="Arial"/>
                <w:sz w:val="13"/>
                <w:szCs w:val="13"/>
                <w:b w:val="1"/>
                <w:bCs w:val="1"/>
                <w:color w:val="00ABE8"/>
              </w:rPr>
              <w:t>on Exercise ($)</w:t>
            </w:r>
          </w:p>
        </w:tc>
        <w:tc>
          <w:tcPr>
            <w:tcW w:w="140" w:type="dxa"/>
            <w:vAlign w:val="bottom"/>
            <w:shd w:val="clear" w:color="auto" w:fill="C8C9CB"/>
          </w:tcPr>
          <w:p>
            <w:pPr>
              <w:spacing w:after="0"/>
              <w:rPr>
                <w:sz w:val="18"/>
                <w:szCs w:val="18"/>
                <w:color w:val="auto"/>
              </w:rPr>
            </w:pPr>
          </w:p>
        </w:tc>
        <w:tc>
          <w:tcPr>
            <w:tcW w:w="1720" w:type="dxa"/>
            <w:vAlign w:val="bottom"/>
            <w:gridSpan w:val="2"/>
            <w:shd w:val="clear" w:color="auto" w:fill="C8C9CB"/>
          </w:tcPr>
          <w:p>
            <w:pPr>
              <w:jc w:val="right"/>
              <w:ind w:right="46"/>
              <w:spacing w:after="0"/>
              <w:rPr>
                <w:sz w:val="20"/>
                <w:szCs w:val="20"/>
                <w:color w:val="auto"/>
              </w:rPr>
            </w:pPr>
            <w:r>
              <w:rPr>
                <w:rFonts w:ascii="Arial" w:cs="Arial" w:eastAsia="Arial" w:hAnsi="Arial"/>
                <w:sz w:val="13"/>
                <w:szCs w:val="13"/>
                <w:b w:val="1"/>
                <w:bCs w:val="1"/>
                <w:color w:val="00ABE8"/>
              </w:rPr>
              <w:t>Acquired on Vesting (#)</w:t>
            </w:r>
          </w:p>
        </w:tc>
        <w:tc>
          <w:tcPr>
            <w:tcW w:w="1640" w:type="dxa"/>
            <w:vAlign w:val="bottom"/>
            <w:shd w:val="clear" w:color="auto" w:fill="C8C9CB"/>
          </w:tcPr>
          <w:p>
            <w:pPr>
              <w:ind w:left="360"/>
              <w:spacing w:after="0"/>
              <w:rPr>
                <w:sz w:val="20"/>
                <w:szCs w:val="20"/>
                <w:color w:val="auto"/>
              </w:rPr>
            </w:pPr>
            <w:r>
              <w:rPr>
                <w:rFonts w:ascii="Arial" w:cs="Arial" w:eastAsia="Arial" w:hAnsi="Arial"/>
                <w:sz w:val="13"/>
                <w:szCs w:val="13"/>
                <w:b w:val="1"/>
                <w:bCs w:val="1"/>
                <w:color w:val="00ABE8"/>
              </w:rPr>
              <w:t>on Vesting ($)</w:t>
            </w:r>
            <w:r>
              <w:rPr>
                <w:rFonts w:ascii="Arial" w:cs="Arial" w:eastAsia="Arial" w:hAnsi="Arial"/>
                <w:sz w:val="17"/>
                <w:szCs w:val="17"/>
                <w:b w:val="1"/>
                <w:bCs w:val="1"/>
                <w:color w:val="00ABE8"/>
                <w:vertAlign w:val="superscript"/>
              </w:rPr>
              <w:t>1</w:t>
            </w:r>
          </w:p>
        </w:tc>
        <w:tc>
          <w:tcPr>
            <w:tcW w:w="0" w:type="dxa"/>
            <w:vAlign w:val="bottom"/>
          </w:tcPr>
          <w:p>
            <w:pPr>
              <w:spacing w:after="0"/>
              <w:rPr>
                <w:sz w:val="1"/>
                <w:szCs w:val="1"/>
                <w:color w:val="auto"/>
              </w:rPr>
            </w:pPr>
          </w:p>
        </w:tc>
      </w:tr>
      <w:tr>
        <w:trPr>
          <w:trHeight w:val="252"/>
        </w:trPr>
        <w:tc>
          <w:tcPr>
            <w:tcW w:w="1120" w:type="dxa"/>
            <w:vAlign w:val="bottom"/>
            <w:vMerge w:val="restart"/>
          </w:tcPr>
          <w:p>
            <w:pPr>
              <w:ind w:left="20"/>
              <w:spacing w:after="0"/>
              <w:rPr>
                <w:sz w:val="20"/>
                <w:szCs w:val="20"/>
                <w:color w:val="auto"/>
              </w:rPr>
            </w:pPr>
            <w:r>
              <w:rPr>
                <w:rFonts w:ascii="Arial" w:cs="Arial" w:eastAsia="Arial" w:hAnsi="Arial"/>
                <w:sz w:val="14"/>
                <w:szCs w:val="14"/>
                <w:color w:val="auto"/>
              </w:rPr>
              <w:t>Mr. Ricks</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69,350</w:t>
            </w:r>
          </w:p>
        </w:tc>
        <w:tc>
          <w:tcPr>
            <w:tcW w:w="440" w:type="dxa"/>
            <w:vAlign w:val="bottom"/>
          </w:tcPr>
          <w:p>
            <w:pPr>
              <w:jc w:val="right"/>
              <w:ind w:right="306"/>
              <w:spacing w:after="0" w:line="120" w:lineRule="exact"/>
              <w:rPr>
                <w:sz w:val="20"/>
                <w:szCs w:val="20"/>
                <w:color w:val="auto"/>
              </w:rPr>
            </w:pPr>
            <w:r>
              <w:rPr>
                <w:rFonts w:ascii="Arial" w:cs="Arial" w:eastAsia="Arial" w:hAnsi="Arial"/>
                <w:sz w:val="11"/>
                <w:szCs w:val="11"/>
                <w:color w:val="auto"/>
                <w:w w:val="97"/>
              </w:rPr>
              <w:t>2</w:t>
            </w:r>
          </w:p>
        </w:tc>
        <w:tc>
          <w:tcPr>
            <w:tcW w:w="1640" w:type="dxa"/>
            <w:vAlign w:val="bottom"/>
          </w:tcPr>
          <w:p>
            <w:pPr>
              <w:jc w:val="center"/>
              <w:spacing w:after="0"/>
              <w:rPr>
                <w:sz w:val="20"/>
                <w:szCs w:val="20"/>
                <w:color w:val="auto"/>
              </w:rPr>
            </w:pPr>
            <w:r>
              <w:rPr>
                <w:rFonts w:ascii="Arial" w:cs="Arial" w:eastAsia="Arial" w:hAnsi="Arial"/>
                <w:sz w:val="14"/>
                <w:szCs w:val="14"/>
                <w:color w:val="auto"/>
              </w:rPr>
              <w:t>$9,684,034</w:t>
            </w: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vMerge w:val="restart"/>
          </w:tcPr>
          <w:p>
            <w:pPr>
              <w:jc w:val="right"/>
              <w:ind w:right="306"/>
              <w:spacing w:after="0"/>
              <w:rPr>
                <w:sz w:val="20"/>
                <w:szCs w:val="20"/>
                <w:color w:val="auto"/>
              </w:rPr>
            </w:pPr>
            <w:r>
              <w:rPr>
                <w:rFonts w:ascii="Arial" w:cs="Arial" w:eastAsia="Arial" w:hAnsi="Arial"/>
                <w:sz w:val="11"/>
                <w:szCs w:val="11"/>
                <w:color w:val="auto"/>
                <w:w w:val="97"/>
              </w:rPr>
              <w:t>3</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235,865</w:t>
            </w:r>
          </w:p>
        </w:tc>
        <w:tc>
          <w:tcPr>
            <w:tcW w:w="440" w:type="dxa"/>
            <w:vAlign w:val="bottom"/>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$48,533,941</w:t>
            </w:r>
          </w:p>
        </w:tc>
        <w:tc>
          <w:tcPr>
            <w:tcW w:w="0" w:type="dxa"/>
            <w:vAlign w:val="bottom"/>
          </w:tcPr>
          <w:p>
            <w:pPr>
              <w:spacing w:after="0"/>
              <w:rPr>
                <w:sz w:val="1"/>
                <w:szCs w:val="1"/>
                <w:color w:val="auto"/>
              </w:rPr>
            </w:pPr>
          </w:p>
        </w:tc>
      </w:tr>
      <w:tr>
        <w:trPr>
          <w:trHeight w:val="270"/>
        </w:trPr>
        <w:tc>
          <w:tcPr>
            <w:tcW w:w="112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Mr. Smiley</w:t>
            </w:r>
          </w:p>
        </w:tc>
        <w:tc>
          <w:tcPr>
            <w:tcW w:w="166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rPr>
              <w:t>0</w:t>
            </w:r>
          </w:p>
        </w:tc>
        <w:tc>
          <w:tcPr>
            <w:tcW w:w="142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F4F6F6"/>
          </w:tcPr>
          <w:p>
            <w:pPr>
              <w:spacing w:after="0"/>
              <w:rPr>
                <w:sz w:val="23"/>
                <w:szCs w:val="23"/>
                <w:color w:val="auto"/>
              </w:rPr>
            </w:pPr>
          </w:p>
        </w:tc>
        <w:tc>
          <w:tcPr>
            <w:tcW w:w="12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45,207</w:t>
            </w:r>
          </w:p>
        </w:tc>
        <w:tc>
          <w:tcPr>
            <w:tcW w:w="440" w:type="dxa"/>
            <w:vAlign w:val="bottom"/>
            <w:shd w:val="clear" w:color="auto" w:fill="F4F6F6"/>
          </w:tcPr>
          <w:p>
            <w:pPr>
              <w:jc w:val="right"/>
              <w:ind w:right="306"/>
              <w:spacing w:after="0"/>
              <w:rPr>
                <w:sz w:val="20"/>
                <w:szCs w:val="20"/>
                <w:color w:val="auto"/>
              </w:rPr>
            </w:pPr>
            <w:r>
              <w:rPr>
                <w:rFonts w:ascii="Arial" w:cs="Arial" w:eastAsia="Arial" w:hAnsi="Arial"/>
                <w:sz w:val="11"/>
                <w:szCs w:val="11"/>
                <w:color w:val="auto"/>
                <w:w w:val="97"/>
              </w:rPr>
              <w:t>3</w:t>
            </w:r>
          </w:p>
        </w:tc>
        <w:tc>
          <w:tcPr>
            <w:tcW w:w="164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$9,302,244</w:t>
            </w:r>
          </w:p>
        </w:tc>
        <w:tc>
          <w:tcPr>
            <w:tcW w:w="0" w:type="dxa"/>
            <w:vAlign w:val="bottom"/>
          </w:tcPr>
          <w:p>
            <w:pPr>
              <w:spacing w:after="0"/>
              <w:rPr>
                <w:sz w:val="1"/>
                <w:szCs w:val="1"/>
                <w:color w:val="auto"/>
              </w:rPr>
            </w:pPr>
          </w:p>
        </w:tc>
      </w:tr>
      <w:tr>
        <w:trPr>
          <w:trHeight w:val="83"/>
        </w:trPr>
        <w:tc>
          <w:tcPr>
            <w:tcW w:w="1120" w:type="dxa"/>
            <w:vAlign w:val="bottom"/>
            <w:vMerge w:val="continue"/>
            <w:shd w:val="clear" w:color="auto" w:fill="F4F6F6"/>
          </w:tcPr>
          <w:p>
            <w:pPr>
              <w:spacing w:after="0"/>
              <w:rPr>
                <w:sz w:val="7"/>
                <w:szCs w:val="7"/>
                <w:color w:val="auto"/>
              </w:rPr>
            </w:pPr>
          </w:p>
        </w:tc>
        <w:tc>
          <w:tcPr>
            <w:tcW w:w="1660" w:type="dxa"/>
            <w:vAlign w:val="bottom"/>
            <w:vMerge w:val="continue"/>
            <w:shd w:val="clear" w:color="auto" w:fill="F4F6F6"/>
          </w:tcPr>
          <w:p>
            <w:pPr>
              <w:spacing w:after="0"/>
              <w:rPr>
                <w:sz w:val="7"/>
                <w:szCs w:val="7"/>
                <w:color w:val="auto"/>
              </w:rPr>
            </w:pPr>
          </w:p>
        </w:tc>
        <w:tc>
          <w:tcPr>
            <w:tcW w:w="1420" w:type="dxa"/>
            <w:vAlign w:val="bottom"/>
            <w:vMerge w:val="continue"/>
            <w:shd w:val="clear" w:color="auto" w:fill="F4F6F6"/>
          </w:tcPr>
          <w:p>
            <w:pPr>
              <w:spacing w:after="0"/>
              <w:rPr>
                <w:sz w:val="7"/>
                <w:szCs w:val="7"/>
                <w:color w:val="auto"/>
              </w:rPr>
            </w:pPr>
          </w:p>
        </w:tc>
        <w:tc>
          <w:tcPr>
            <w:tcW w:w="140" w:type="dxa"/>
            <w:vAlign w:val="bottom"/>
            <w:shd w:val="clear" w:color="auto" w:fill="F4F6F6"/>
          </w:tcPr>
          <w:p>
            <w:pPr>
              <w:spacing w:after="0"/>
              <w:rPr>
                <w:sz w:val="7"/>
                <w:szCs w:val="7"/>
                <w:color w:val="auto"/>
              </w:rPr>
            </w:pPr>
          </w:p>
        </w:tc>
        <w:tc>
          <w:tcPr>
            <w:tcW w:w="128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7,947</w:t>
            </w:r>
          </w:p>
        </w:tc>
        <w:tc>
          <w:tcPr>
            <w:tcW w:w="440" w:type="dxa"/>
            <w:vAlign w:val="bottom"/>
            <w:vMerge w:val="restart"/>
            <w:shd w:val="clear" w:color="auto" w:fill="F4F6F6"/>
          </w:tcPr>
          <w:p>
            <w:pPr>
              <w:jc w:val="right"/>
              <w:ind w:right="306"/>
              <w:spacing w:after="0"/>
              <w:rPr>
                <w:sz w:val="20"/>
                <w:szCs w:val="20"/>
                <w:color w:val="auto"/>
              </w:rPr>
            </w:pPr>
            <w:r>
              <w:rPr>
                <w:rFonts w:ascii="Arial" w:cs="Arial" w:eastAsia="Arial" w:hAnsi="Arial"/>
                <w:sz w:val="11"/>
                <w:szCs w:val="11"/>
                <w:color w:val="auto"/>
                <w:w w:val="97"/>
              </w:rPr>
              <w:t>4</w:t>
            </w:r>
          </w:p>
        </w:tc>
        <w:tc>
          <w:tcPr>
            <w:tcW w:w="164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rPr>
              <w:t>$1,176,315</w:t>
            </w:r>
          </w:p>
        </w:tc>
        <w:tc>
          <w:tcPr>
            <w:tcW w:w="0" w:type="dxa"/>
            <w:vAlign w:val="bottom"/>
          </w:tcPr>
          <w:p>
            <w:pPr>
              <w:spacing w:after="0"/>
              <w:rPr>
                <w:sz w:val="1"/>
                <w:szCs w:val="1"/>
                <w:color w:val="auto"/>
              </w:rPr>
            </w:pPr>
          </w:p>
        </w:tc>
      </w:tr>
      <w:tr>
        <w:trPr>
          <w:trHeight w:val="174"/>
        </w:trPr>
        <w:tc>
          <w:tcPr>
            <w:tcW w:w="1120" w:type="dxa"/>
            <w:vAlign w:val="bottom"/>
            <w:shd w:val="clear" w:color="auto" w:fill="F4F6F6"/>
          </w:tcPr>
          <w:p>
            <w:pPr>
              <w:spacing w:after="0"/>
              <w:rPr>
                <w:sz w:val="15"/>
                <w:szCs w:val="15"/>
                <w:color w:val="auto"/>
              </w:rPr>
            </w:pPr>
          </w:p>
        </w:tc>
        <w:tc>
          <w:tcPr>
            <w:tcW w:w="1660" w:type="dxa"/>
            <w:vAlign w:val="bottom"/>
            <w:shd w:val="clear" w:color="auto" w:fill="F4F6F6"/>
          </w:tcPr>
          <w:p>
            <w:pPr>
              <w:spacing w:after="0"/>
              <w:rPr>
                <w:sz w:val="15"/>
                <w:szCs w:val="15"/>
                <w:color w:val="auto"/>
              </w:rPr>
            </w:pPr>
          </w:p>
        </w:tc>
        <w:tc>
          <w:tcPr>
            <w:tcW w:w="1420" w:type="dxa"/>
            <w:vAlign w:val="bottom"/>
            <w:shd w:val="clear" w:color="auto" w:fill="F4F6F6"/>
          </w:tcPr>
          <w:p>
            <w:pPr>
              <w:spacing w:after="0"/>
              <w:rPr>
                <w:sz w:val="15"/>
                <w:szCs w:val="15"/>
                <w:color w:val="auto"/>
              </w:rPr>
            </w:pPr>
          </w:p>
        </w:tc>
        <w:tc>
          <w:tcPr>
            <w:tcW w:w="140" w:type="dxa"/>
            <w:vAlign w:val="bottom"/>
            <w:shd w:val="clear" w:color="auto" w:fill="F4F6F6"/>
          </w:tcPr>
          <w:p>
            <w:pPr>
              <w:spacing w:after="0"/>
              <w:rPr>
                <w:sz w:val="15"/>
                <w:szCs w:val="15"/>
                <w:color w:val="auto"/>
              </w:rPr>
            </w:pPr>
          </w:p>
        </w:tc>
        <w:tc>
          <w:tcPr>
            <w:tcW w:w="1280" w:type="dxa"/>
            <w:vAlign w:val="bottom"/>
            <w:vMerge w:val="continue"/>
            <w:shd w:val="clear" w:color="auto" w:fill="F4F6F6"/>
          </w:tcPr>
          <w:p>
            <w:pPr>
              <w:spacing w:after="0"/>
              <w:rPr>
                <w:sz w:val="15"/>
                <w:szCs w:val="15"/>
                <w:color w:val="auto"/>
              </w:rPr>
            </w:pPr>
          </w:p>
        </w:tc>
        <w:tc>
          <w:tcPr>
            <w:tcW w:w="440" w:type="dxa"/>
            <w:vAlign w:val="bottom"/>
            <w:vMerge w:val="continue"/>
            <w:shd w:val="clear" w:color="auto" w:fill="F4F6F6"/>
          </w:tcPr>
          <w:p>
            <w:pPr>
              <w:spacing w:after="0"/>
              <w:rPr>
                <w:sz w:val="15"/>
                <w:szCs w:val="15"/>
                <w:color w:val="auto"/>
              </w:rPr>
            </w:pPr>
          </w:p>
        </w:tc>
        <w:tc>
          <w:tcPr>
            <w:tcW w:w="1640" w:type="dxa"/>
            <w:vAlign w:val="bottom"/>
            <w:vMerge w:val="continue"/>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660" w:type="dxa"/>
            <w:vAlign w:val="bottom"/>
          </w:tcPr>
          <w:p>
            <w:pPr>
              <w:jc w:val="center"/>
              <w:spacing w:after="0"/>
              <w:rPr>
                <w:sz w:val="20"/>
                <w:szCs w:val="20"/>
                <w:color w:val="auto"/>
              </w:rPr>
            </w:pPr>
            <w:r>
              <w:rPr>
                <w:rFonts w:ascii="Arial" w:cs="Arial" w:eastAsia="Arial" w:hAnsi="Arial"/>
                <w:sz w:val="14"/>
                <w:szCs w:val="14"/>
                <w:color w:val="auto"/>
              </w:rPr>
              <w:t>0</w:t>
            </w:r>
          </w:p>
        </w:tc>
        <w:tc>
          <w:tcPr>
            <w:tcW w:w="1420" w:type="dxa"/>
            <w:vAlign w:val="bottom"/>
          </w:tcPr>
          <w:p>
            <w:pPr>
              <w:jc w:val="center"/>
              <w:spacing w:after="0"/>
              <w:rPr>
                <w:sz w:val="20"/>
                <w:szCs w:val="20"/>
                <w:color w:val="auto"/>
              </w:rPr>
            </w:pPr>
            <w:r>
              <w:rPr>
                <w:rFonts w:ascii="Arial" w:cs="Arial" w:eastAsia="Arial" w:hAnsi="Arial"/>
                <w:sz w:val="14"/>
                <w:szCs w:val="14"/>
                <w:color w:val="auto"/>
              </w:rPr>
              <w:t>$0</w:t>
            </w:r>
          </w:p>
        </w:tc>
        <w:tc>
          <w:tcPr>
            <w:tcW w:w="1860" w:type="dxa"/>
            <w:vAlign w:val="bottom"/>
            <w:gridSpan w:val="3"/>
          </w:tcPr>
          <w:p>
            <w:pPr>
              <w:jc w:val="right"/>
              <w:ind w:right="306"/>
              <w:spacing w:after="0"/>
              <w:rPr>
                <w:sz w:val="20"/>
                <w:szCs w:val="20"/>
                <w:color w:val="auto"/>
              </w:rPr>
            </w:pPr>
            <w:r>
              <w:rPr>
                <w:rFonts w:ascii="Arial" w:cs="Arial" w:eastAsia="Arial" w:hAnsi="Arial"/>
                <w:sz w:val="14"/>
                <w:szCs w:val="14"/>
                <w:color w:val="auto"/>
              </w:rPr>
              <w:t xml:space="preserve">33,692 </w:t>
            </w:r>
            <w:r>
              <w:rPr>
                <w:rFonts w:ascii="Arial" w:cs="Arial" w:eastAsia="Arial" w:hAnsi="Arial"/>
                <w:sz w:val="21"/>
                <w:szCs w:val="21"/>
                <w:color w:val="auto"/>
                <w:vertAlign w:val="superscript"/>
              </w:rPr>
              <w:t>3</w:t>
            </w:r>
          </w:p>
        </w:tc>
        <w:tc>
          <w:tcPr>
            <w:tcW w:w="1640" w:type="dxa"/>
            <w:vAlign w:val="bottom"/>
          </w:tcPr>
          <w:p>
            <w:pPr>
              <w:jc w:val="center"/>
              <w:spacing w:after="0"/>
              <w:rPr>
                <w:sz w:val="20"/>
                <w:szCs w:val="20"/>
                <w:color w:val="auto"/>
              </w:rPr>
            </w:pPr>
            <w:r>
              <w:rPr>
                <w:rFonts w:ascii="Arial" w:cs="Arial" w:eastAsia="Arial" w:hAnsi="Arial"/>
                <w:sz w:val="14"/>
                <w:szCs w:val="14"/>
                <w:color w:val="auto"/>
              </w:rPr>
              <w:t>$6,932,803</w:t>
            </w:r>
          </w:p>
        </w:tc>
        <w:tc>
          <w:tcPr>
            <w:tcW w:w="0" w:type="dxa"/>
            <w:vAlign w:val="bottom"/>
          </w:tcPr>
          <w:p>
            <w:pPr>
              <w:spacing w:after="0"/>
              <w:rPr>
                <w:sz w:val="1"/>
                <w:szCs w:val="1"/>
                <w:color w:val="auto"/>
              </w:rPr>
            </w:pPr>
          </w:p>
        </w:tc>
      </w:tr>
      <w:tr>
        <w:trPr>
          <w:trHeight w:val="270"/>
        </w:trPr>
        <w:tc>
          <w:tcPr>
            <w:tcW w:w="1120" w:type="dxa"/>
            <w:vAlign w:val="bottom"/>
            <w:tcBorders>
              <w:bottom w:val="single" w:sz="8" w:color="F4F6F6"/>
            </w:tcBorders>
            <w:shd w:val="clear" w:color="auto" w:fill="F4F6F6"/>
          </w:tcPr>
          <w:p>
            <w:pPr>
              <w:ind w:left="20"/>
              <w:spacing w:after="0"/>
              <w:rPr>
                <w:sz w:val="20"/>
                <w:szCs w:val="20"/>
                <w:color w:val="auto"/>
              </w:rPr>
            </w:pPr>
            <w:r>
              <w:rPr>
                <w:rFonts w:ascii="Arial" w:cs="Arial" w:eastAsia="Arial" w:hAnsi="Arial"/>
                <w:sz w:val="14"/>
                <w:szCs w:val="14"/>
                <w:color w:val="auto"/>
              </w:rPr>
              <w:t>Ms. Hakim</w:t>
            </w:r>
            <w:r>
              <w:rPr>
                <w:rFonts w:ascii="Arial" w:cs="Arial" w:eastAsia="Arial" w:hAnsi="Arial"/>
                <w:sz w:val="18"/>
                <w:szCs w:val="18"/>
                <w:color w:val="auto"/>
                <w:vertAlign w:val="superscript"/>
              </w:rPr>
              <w:t>5</w:t>
            </w:r>
          </w:p>
        </w:tc>
        <w:tc>
          <w:tcPr>
            <w:tcW w:w="1660" w:type="dxa"/>
            <w:vAlign w:val="bottom"/>
            <w:tcBorders>
              <w:bottom w:val="single" w:sz="8" w:color="F4F6F6"/>
            </w:tcBorders>
            <w:shd w:val="clear" w:color="auto" w:fill="F4F6F6"/>
          </w:tcPr>
          <w:p>
            <w:pPr>
              <w:jc w:val="center"/>
              <w:spacing w:after="0"/>
              <w:rPr>
                <w:sz w:val="20"/>
                <w:szCs w:val="20"/>
                <w:color w:val="auto"/>
              </w:rPr>
            </w:pPr>
            <w:r>
              <w:rPr>
                <w:rFonts w:ascii="Arial" w:cs="Arial" w:eastAsia="Arial" w:hAnsi="Arial"/>
                <w:sz w:val="14"/>
                <w:szCs w:val="14"/>
                <w:color w:val="auto"/>
              </w:rPr>
              <w:t>0</w:t>
            </w:r>
          </w:p>
        </w:tc>
        <w:tc>
          <w:tcPr>
            <w:tcW w:w="1420" w:type="dxa"/>
            <w:vAlign w:val="bottom"/>
            <w:tcBorders>
              <w:bottom w:val="single" w:sz="8" w:color="F4F6F6"/>
            </w:tcBorders>
            <w:shd w:val="clear" w:color="auto" w:fill="F4F6F6"/>
          </w:tcPr>
          <w:p>
            <w:pPr>
              <w:jc w:val="center"/>
              <w:spacing w:after="0"/>
              <w:rPr>
                <w:sz w:val="20"/>
                <w:szCs w:val="20"/>
                <w:color w:val="auto"/>
              </w:rPr>
            </w:pPr>
            <w:r>
              <w:rPr>
                <w:rFonts w:ascii="Arial" w:cs="Arial" w:eastAsia="Arial" w:hAnsi="Arial"/>
                <w:sz w:val="14"/>
                <w:szCs w:val="14"/>
                <w:color w:val="auto"/>
              </w:rPr>
              <w:t>$0</w:t>
            </w:r>
          </w:p>
        </w:tc>
        <w:tc>
          <w:tcPr>
            <w:tcW w:w="140" w:type="dxa"/>
            <w:vAlign w:val="bottom"/>
            <w:tcBorders>
              <w:bottom w:val="single" w:sz="8" w:color="F4F6F6"/>
            </w:tcBorders>
            <w:shd w:val="clear" w:color="auto" w:fill="F4F6F6"/>
          </w:tcPr>
          <w:p>
            <w:pPr>
              <w:spacing w:after="0"/>
              <w:rPr>
                <w:sz w:val="23"/>
                <w:szCs w:val="23"/>
                <w:color w:val="auto"/>
              </w:rPr>
            </w:pPr>
          </w:p>
        </w:tc>
        <w:tc>
          <w:tcPr>
            <w:tcW w:w="12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F4F6F6"/>
          </w:tcPr>
          <w:p>
            <w:pPr>
              <w:spacing w:after="0"/>
              <w:rPr>
                <w:sz w:val="23"/>
                <w:szCs w:val="23"/>
                <w:color w:val="auto"/>
              </w:rPr>
            </w:pPr>
          </w:p>
        </w:tc>
        <w:tc>
          <w:tcPr>
            <w:tcW w:w="1640" w:type="dxa"/>
            <w:vAlign w:val="bottom"/>
            <w:tcBorders>
              <w:bottom w:val="single" w:sz="8" w:color="F4F6F6"/>
            </w:tcBorders>
            <w:shd w:val="clear" w:color="auto" w:fill="F4F6F6"/>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8"/>
        </w:trPr>
        <w:tc>
          <w:tcPr>
            <w:tcW w:w="1120" w:type="dxa"/>
            <w:vAlign w:val="bottom"/>
            <w:vMerge w:val="restart"/>
          </w:tcPr>
          <w:p>
            <w:pPr>
              <w:ind w:left="20"/>
              <w:spacing w:after="0"/>
              <w:rPr>
                <w:sz w:val="20"/>
                <w:szCs w:val="20"/>
                <w:color w:val="auto"/>
              </w:rPr>
            </w:pPr>
            <w:r>
              <w:rPr>
                <w:rFonts w:ascii="Arial" w:cs="Arial" w:eastAsia="Arial" w:hAnsi="Arial"/>
                <w:sz w:val="14"/>
                <w:szCs w:val="14"/>
                <w:color w:val="auto"/>
              </w:rPr>
              <w:t>Mr. Zulueta</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16,317</w:t>
            </w:r>
          </w:p>
        </w:tc>
        <w:tc>
          <w:tcPr>
            <w:tcW w:w="440" w:type="dxa"/>
            <w:vAlign w:val="bottom"/>
          </w:tcPr>
          <w:p>
            <w:pPr>
              <w:jc w:val="right"/>
              <w:ind w:right="306"/>
              <w:spacing w:after="0" w:line="120" w:lineRule="exact"/>
              <w:rPr>
                <w:sz w:val="20"/>
                <w:szCs w:val="20"/>
                <w:color w:val="auto"/>
              </w:rPr>
            </w:pPr>
            <w:r>
              <w:rPr>
                <w:rFonts w:ascii="Arial" w:cs="Arial" w:eastAsia="Arial" w:hAnsi="Arial"/>
                <w:sz w:val="11"/>
                <w:szCs w:val="11"/>
                <w:color w:val="auto"/>
                <w:w w:val="97"/>
              </w:rPr>
              <w:t>2</w:t>
            </w:r>
          </w:p>
        </w:tc>
        <w:tc>
          <w:tcPr>
            <w:tcW w:w="1640" w:type="dxa"/>
            <w:vAlign w:val="bottom"/>
          </w:tcPr>
          <w:p>
            <w:pPr>
              <w:jc w:val="center"/>
              <w:spacing w:after="0"/>
              <w:rPr>
                <w:sz w:val="20"/>
                <w:szCs w:val="20"/>
                <w:color w:val="auto"/>
              </w:rPr>
            </w:pPr>
            <w:r>
              <w:rPr>
                <w:rFonts w:ascii="Arial" w:cs="Arial" w:eastAsia="Arial" w:hAnsi="Arial"/>
                <w:sz w:val="14"/>
                <w:szCs w:val="14"/>
                <w:color w:val="auto"/>
              </w:rPr>
              <w:t>$2,278,506</w:t>
            </w: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color w:val="auto"/>
              </w:rPr>
              <w:t>52,414</w:t>
            </w:r>
          </w:p>
        </w:tc>
        <w:tc>
          <w:tcPr>
            <w:tcW w:w="440" w:type="dxa"/>
            <w:vAlign w:val="bottom"/>
            <w:vMerge w:val="restart"/>
          </w:tcPr>
          <w:p>
            <w:pPr>
              <w:jc w:val="right"/>
              <w:ind w:right="306"/>
              <w:spacing w:after="0"/>
              <w:rPr>
                <w:sz w:val="20"/>
                <w:szCs w:val="20"/>
                <w:color w:val="auto"/>
              </w:rPr>
            </w:pPr>
            <w:r>
              <w:rPr>
                <w:rFonts w:ascii="Arial" w:cs="Arial" w:eastAsia="Arial" w:hAnsi="Arial"/>
                <w:sz w:val="11"/>
                <w:szCs w:val="11"/>
                <w:color w:val="auto"/>
                <w:w w:val="97"/>
              </w:rPr>
              <w:t>3</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$10,785,229</w:t>
            </w:r>
          </w:p>
        </w:tc>
        <w:tc>
          <w:tcPr>
            <w:tcW w:w="0" w:type="dxa"/>
            <w:vAlign w:val="bottom"/>
          </w:tcPr>
          <w:p>
            <w:pPr>
              <w:spacing w:after="0"/>
              <w:rPr>
                <w:sz w:val="1"/>
                <w:szCs w:val="1"/>
                <w:color w:val="auto"/>
              </w:rPr>
            </w:pPr>
          </w:p>
        </w:tc>
      </w:tr>
      <w:tr>
        <w:trPr>
          <w:trHeight w:val="160"/>
        </w:trPr>
        <w:tc>
          <w:tcPr>
            <w:tcW w:w="1120" w:type="dxa"/>
            <w:vAlign w:val="bottom"/>
            <w:tcBorders>
              <w:bottom w:val="single" w:sz="8" w:color="BFBFBF"/>
            </w:tcBorders>
          </w:tcPr>
          <w:p>
            <w:pPr>
              <w:spacing w:after="0"/>
              <w:rPr>
                <w:sz w:val="13"/>
                <w:szCs w:val="13"/>
                <w:color w:val="auto"/>
              </w:rPr>
            </w:pPr>
          </w:p>
        </w:tc>
        <w:tc>
          <w:tcPr>
            <w:tcW w:w="1660" w:type="dxa"/>
            <w:vAlign w:val="bottom"/>
            <w:tcBorders>
              <w:bottom w:val="single" w:sz="8" w:color="BFBFBF"/>
            </w:tcBorders>
          </w:tcPr>
          <w:p>
            <w:pPr>
              <w:spacing w:after="0"/>
              <w:rPr>
                <w:sz w:val="13"/>
                <w:szCs w:val="13"/>
                <w:color w:val="auto"/>
              </w:rPr>
            </w:pPr>
          </w:p>
        </w:tc>
        <w:tc>
          <w:tcPr>
            <w:tcW w:w="1420" w:type="dxa"/>
            <w:vAlign w:val="bottom"/>
            <w:tcBorders>
              <w:bottom w:val="single" w:sz="8" w:color="BFBFBF"/>
            </w:tcBorders>
          </w:tcPr>
          <w:p>
            <w:pPr>
              <w:spacing w:after="0"/>
              <w:rPr>
                <w:sz w:val="13"/>
                <w:szCs w:val="13"/>
                <w:color w:val="auto"/>
              </w:rPr>
            </w:pPr>
          </w:p>
        </w:tc>
        <w:tc>
          <w:tcPr>
            <w:tcW w:w="1420" w:type="dxa"/>
            <w:vAlign w:val="bottom"/>
            <w:tcBorders>
              <w:bottom w:val="single" w:sz="8" w:color="BFBFBF"/>
            </w:tcBorders>
            <w:gridSpan w:val="2"/>
            <w:vMerge w:val="continue"/>
          </w:tcPr>
          <w:p>
            <w:pPr>
              <w:spacing w:after="0"/>
              <w:rPr>
                <w:sz w:val="13"/>
                <w:szCs w:val="13"/>
                <w:color w:val="auto"/>
              </w:rPr>
            </w:pPr>
          </w:p>
        </w:tc>
        <w:tc>
          <w:tcPr>
            <w:tcW w:w="440" w:type="dxa"/>
            <w:vAlign w:val="bottom"/>
            <w:tcBorders>
              <w:bottom w:val="single" w:sz="8" w:color="BFBFBF"/>
            </w:tcBorders>
            <w:vMerge w:val="continue"/>
          </w:tcPr>
          <w:p>
            <w:pPr>
              <w:spacing w:after="0"/>
              <w:rPr>
                <w:sz w:val="13"/>
                <w:szCs w:val="13"/>
                <w:color w:val="auto"/>
              </w:rPr>
            </w:pPr>
          </w:p>
        </w:tc>
        <w:tc>
          <w:tcPr>
            <w:tcW w:w="1640" w:type="dxa"/>
            <w:vAlign w:val="bottom"/>
            <w:tcBorders>
              <w:bottom w:val="single" w:sz="8" w:color="BFBFBF"/>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93" w:hanging="93"/>
        <w:spacing w:after="0"/>
        <w:tabs>
          <w:tab w:leader="none" w:pos="93" w:val="left"/>
        </w:tabs>
        <w:numPr>
          <w:ilvl w:val="0"/>
          <w:numId w:val="123"/>
        </w:numPr>
        <w:rPr>
          <w:rFonts w:ascii="Arial" w:cs="Arial" w:eastAsia="Arial" w:hAnsi="Arial"/>
          <w:sz w:val="21"/>
          <w:szCs w:val="21"/>
          <w:color w:val="auto"/>
          <w:vertAlign w:val="superscript"/>
        </w:rPr>
      </w:pPr>
      <w:r>
        <w:rPr>
          <w:rFonts w:ascii="Arial" w:cs="Arial" w:eastAsia="Arial" w:hAnsi="Arial"/>
          <w:sz w:val="16"/>
          <w:szCs w:val="16"/>
          <w:color w:val="auto"/>
        </w:rPr>
        <w:t>Amounts reflect the market value of Lilly stock on the day value is realized.</w:t>
      </w:r>
    </w:p>
    <w:p>
      <w:pPr>
        <w:spacing w:after="0" w:line="191" w:lineRule="exact"/>
        <w:rPr>
          <w:sz w:val="20"/>
          <w:szCs w:val="20"/>
          <w:color w:val="auto"/>
        </w:rPr>
      </w:pPr>
    </w:p>
    <w:p>
      <w:pPr>
        <w:ind w:left="93" w:hanging="93"/>
        <w:spacing w:after="0"/>
        <w:tabs>
          <w:tab w:leader="none" w:pos="93"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Restricted stock units resulting from the 2017-2019 performance award that vested in February 2020.</w:t>
      </w:r>
    </w:p>
    <w:p>
      <w:pPr>
        <w:spacing w:after="0" w:line="237" w:lineRule="exact"/>
        <w:rPr>
          <w:sz w:val="20"/>
          <w:szCs w:val="20"/>
          <w:color w:val="auto"/>
        </w:rPr>
      </w:pPr>
    </w:p>
    <w:p>
      <w:pPr>
        <w:ind w:left="73" w:right="40" w:hanging="73"/>
        <w:spacing w:after="0" w:line="235" w:lineRule="auto"/>
        <w:tabs>
          <w:tab w:leader="none" w:pos="80" w:val="left"/>
        </w:tabs>
        <w:numPr>
          <w:ilvl w:val="0"/>
          <w:numId w:val="125"/>
        </w:numPr>
        <w:rPr>
          <w:rFonts w:ascii="Arial" w:cs="Arial" w:eastAsia="Arial" w:hAnsi="Arial"/>
          <w:sz w:val="21"/>
          <w:szCs w:val="21"/>
          <w:color w:val="auto"/>
          <w:vertAlign w:val="superscript"/>
        </w:rPr>
      </w:pPr>
      <w:r>
        <w:rPr>
          <w:rFonts w:ascii="Arial" w:cs="Arial" w:eastAsia="Arial" w:hAnsi="Arial"/>
          <w:sz w:val="16"/>
          <w:szCs w:val="16"/>
          <w:color w:val="auto"/>
        </w:rPr>
        <w:t>Payout of the 2018-2020 shareholder value award at 150 percent of target, adjusted by Lilly’s three-year cumulative TSR (92.2 percent) relative to its peer companies’ median cumulative TSR of 23.5 percent, resulting in a maximum TSR modifier of 20 percent and a final payout of 180 percent of target. Since Dr. Skovronsky was not an executive officer when the 2018-2020 shareholder value award was granted, his award was not subject to the TSR modifier. As a result, his payout multiple was 150 percent of target. As a result of Mr. Smiley’s resignation as an officer on February 9, 2021, the Compensation Committee exercised its discretion to reduce his 2018–2020 shareholder value award payout by 25 percent. See the discussion of Mr. Smiley’s Separation Agreement under “Agreement with Former Chief Financial Officer”.</w:t>
      </w:r>
    </w:p>
    <w:p>
      <w:pPr>
        <w:spacing w:after="0" w:line="193" w:lineRule="exact"/>
        <w:rPr>
          <w:sz w:val="20"/>
          <w:szCs w:val="20"/>
          <w:color w:val="auto"/>
        </w:rPr>
      </w:pPr>
    </w:p>
    <w:p>
      <w:pPr>
        <w:ind w:left="113" w:hanging="113"/>
        <w:spacing w:after="0"/>
        <w:tabs>
          <w:tab w:leader="none" w:pos="113"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This grant was made in 2010 before Mr. Smiley became an executive officer.</w:t>
      </w:r>
    </w:p>
    <w:p>
      <w:pPr>
        <w:spacing w:after="0" w:line="191" w:lineRule="exact"/>
        <w:rPr>
          <w:sz w:val="20"/>
          <w:szCs w:val="20"/>
          <w:color w:val="auto"/>
        </w:rPr>
      </w:pPr>
    </w:p>
    <w:p>
      <w:pPr>
        <w:ind w:left="113" w:hanging="113"/>
        <w:spacing w:after="0"/>
        <w:tabs>
          <w:tab w:leader="none" w:pos="113" w:val="left"/>
        </w:tabs>
        <w:numPr>
          <w:ilvl w:val="0"/>
          <w:numId w:val="127"/>
        </w:numPr>
        <w:rPr>
          <w:rFonts w:ascii="Arial" w:cs="Arial" w:eastAsia="Arial" w:hAnsi="Arial"/>
          <w:sz w:val="21"/>
          <w:szCs w:val="21"/>
          <w:color w:val="auto"/>
          <w:vertAlign w:val="superscript"/>
        </w:rPr>
      </w:pPr>
      <w:r>
        <w:rPr>
          <w:rFonts w:ascii="Arial" w:cs="Arial" w:eastAsia="Arial" w:hAnsi="Arial"/>
          <w:sz w:val="16"/>
          <w:szCs w:val="16"/>
          <w:color w:val="auto"/>
        </w:rPr>
        <w:t>Ms. Hakim joined Lilly in 2020 and had no option exercise or stock awards vest during 2020.</w:t>
      </w:r>
    </w:p>
    <w:p>
      <w:pPr>
        <w:sectPr>
          <w:pgSz w:w="11900" w:h="16838" w:orient="portrait"/>
          <w:cols w:equalWidth="0" w:num="1">
            <w:col w:w="11313"/>
          </w:cols>
          <w:pgMar w:left="247"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P67</w:t>
      </w:r>
    </w:p>
    <w:p>
      <w:pPr>
        <w:sectPr>
          <w:pgSz w:w="11900" w:h="16838" w:orient="portrait"/>
          <w:cols w:equalWidth="0" w:num="1">
            <w:col w:w="11313"/>
          </w:cols>
          <w:pgMar w:left="247" w:top="911"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Retirement Benefits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We provide retirement income to eligible U.S. employees, including executive officers, through the following plans:</w:t>
      </w:r>
    </w:p>
    <w:p>
      <w:pPr>
        <w:spacing w:after="0" w:line="59" w:lineRule="exact"/>
        <w:rPr>
          <w:sz w:val="20"/>
          <w:szCs w:val="20"/>
          <w:color w:val="auto"/>
        </w:rPr>
      </w:pPr>
    </w:p>
    <w:p>
      <w:pPr>
        <w:ind w:left="340" w:hanging="332"/>
        <w:spacing w:after="0" w:line="246" w:lineRule="auto"/>
        <w:tabs>
          <w:tab w:leader="none" w:pos="30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See the "All Other Compensation" column in the Summary Compensation Table for information about company contributions under the 401(k) Plan for the named executive officers.</w:t>
      </w:r>
    </w:p>
    <w:p>
      <w:pPr>
        <w:spacing w:after="0" w:line="2" w:lineRule="exact"/>
        <w:rPr>
          <w:rFonts w:ascii="Arial" w:cs="Arial" w:eastAsia="Arial" w:hAnsi="Arial"/>
          <w:sz w:val="16"/>
          <w:szCs w:val="16"/>
          <w:color w:val="auto"/>
        </w:rPr>
      </w:pPr>
    </w:p>
    <w:p>
      <w:pPr>
        <w:ind w:left="340" w:right="240" w:hanging="332"/>
        <w:spacing w:after="0" w:line="260" w:lineRule="auto"/>
        <w:tabs>
          <w:tab w:leader="none" w:pos="30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Retirement Plan, a tax-qualified defined benefit plan that provides monthly benefits to retirees. See the Pension Benefits in 2020 table below for additional information about the value of these pension benefits.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Sections 401 and 415 of the Internal Revenue Code generally limit the amount of annual pension that can be paid from a tax-qualified plan ($230,000 in 2020 and 2021) as well as the amount of annual earnings that can be used to calculate a pension benefit ($285,000 in 2020 and $290,000 in 2021). However, since 1975 the company has maintained a nonqualified pension plan that pays eligible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2 to the Nonqualified Deferred Compensation in 2020 table.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benefits that the named executive officers have accrued under the Retirement Plan and the nonqualified pension plan.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Benefits in 2020</w:t>
      </w:r>
    </w:p>
    <w:p>
      <w:pPr>
        <w:spacing w:after="0" w:line="149" w:lineRule="exact"/>
        <w:rPr>
          <w:sz w:val="20"/>
          <w:szCs w:val="20"/>
          <w:color w:val="auto"/>
        </w:rPr>
      </w:pPr>
    </w:p>
    <w:tbl>
      <w:tblPr>
        <w:tblLayout w:type="fixed"/>
        <w:tblInd w:w="1060" w:type="dxa"/>
        <w:tblCellMar>
          <w:top w:w="0" w:type="dxa"/>
          <w:left w:w="0" w:type="dxa"/>
          <w:bottom w:w="0" w:type="dxa"/>
          <w:right w:w="0" w:type="dxa"/>
        </w:tblCellMar>
      </w:tblPr>
      <w:tr>
        <w:trPr>
          <w:trHeight w:val="175"/>
        </w:trPr>
        <w:tc>
          <w:tcPr>
            <w:tcW w:w="1720" w:type="dxa"/>
            <w:vAlign w:val="bottom"/>
            <w:shd w:val="clear" w:color="auto" w:fill="C8C9CB"/>
          </w:tcPr>
          <w:p>
            <w:pPr>
              <w:spacing w:after="0"/>
              <w:rPr>
                <w:sz w:val="15"/>
                <w:szCs w:val="15"/>
                <w:color w:val="auto"/>
              </w:rPr>
            </w:pPr>
          </w:p>
        </w:tc>
        <w:tc>
          <w:tcPr>
            <w:tcW w:w="1980" w:type="dxa"/>
            <w:vAlign w:val="bottom"/>
            <w:shd w:val="clear" w:color="auto" w:fill="C8C9CB"/>
          </w:tcPr>
          <w:p>
            <w:pPr>
              <w:spacing w:after="0"/>
              <w:rPr>
                <w:sz w:val="15"/>
                <w:szCs w:val="15"/>
                <w:color w:val="auto"/>
              </w:rPr>
            </w:pPr>
          </w:p>
        </w:tc>
        <w:tc>
          <w:tcPr>
            <w:tcW w:w="17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Number of Years of</w:t>
            </w:r>
          </w:p>
        </w:tc>
        <w:tc>
          <w:tcPr>
            <w:tcW w:w="1880" w:type="dxa"/>
            <w:vAlign w:val="bottom"/>
            <w:shd w:val="clear" w:color="auto" w:fill="C8C9CB"/>
          </w:tcPr>
          <w:p>
            <w:pPr>
              <w:jc w:val="right"/>
              <w:ind w:right="308"/>
              <w:spacing w:after="0"/>
              <w:rPr>
                <w:sz w:val="20"/>
                <w:szCs w:val="20"/>
                <w:color w:val="auto"/>
              </w:rPr>
            </w:pPr>
            <w:r>
              <w:rPr>
                <w:rFonts w:ascii="Arial" w:cs="Arial" w:eastAsia="Arial" w:hAnsi="Arial"/>
                <w:sz w:val="14"/>
                <w:szCs w:val="14"/>
                <w:b w:val="1"/>
                <w:bCs w:val="1"/>
                <w:color w:val="00ABE8"/>
              </w:rPr>
              <w:t>Present Value of</w:t>
            </w:r>
          </w:p>
        </w:tc>
        <w:tc>
          <w:tcPr>
            <w:tcW w:w="17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Payments During</w:t>
            </w:r>
          </w:p>
        </w:tc>
      </w:tr>
      <w:tr>
        <w:trPr>
          <w:trHeight w:val="203"/>
        </w:trPr>
        <w:tc>
          <w:tcPr>
            <w:tcW w:w="17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1980" w:type="dxa"/>
            <w:vAlign w:val="bottom"/>
            <w:shd w:val="clear" w:color="auto" w:fill="C8C9CB"/>
          </w:tcPr>
          <w:p>
            <w:pPr>
              <w:jc w:val="right"/>
              <w:ind w:right="768"/>
              <w:spacing w:after="0"/>
              <w:rPr>
                <w:sz w:val="20"/>
                <w:szCs w:val="20"/>
                <w:color w:val="auto"/>
              </w:rPr>
            </w:pPr>
            <w:r>
              <w:rPr>
                <w:rFonts w:ascii="Arial" w:cs="Arial" w:eastAsia="Arial" w:hAnsi="Arial"/>
                <w:sz w:val="14"/>
                <w:szCs w:val="14"/>
                <w:b w:val="1"/>
                <w:bCs w:val="1"/>
                <w:color w:val="00ABE8"/>
              </w:rPr>
              <w:t>Plan</w:t>
            </w:r>
          </w:p>
        </w:tc>
        <w:tc>
          <w:tcPr>
            <w:tcW w:w="17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Credited Service</w:t>
            </w:r>
          </w:p>
        </w:tc>
        <w:tc>
          <w:tcPr>
            <w:tcW w:w="1880" w:type="dxa"/>
            <w:vAlign w:val="bottom"/>
            <w:shd w:val="clear" w:color="auto" w:fill="C8C9CB"/>
          </w:tcPr>
          <w:p>
            <w:pPr>
              <w:jc w:val="right"/>
              <w:ind w:right="8"/>
              <w:spacing w:after="0" w:line="202" w:lineRule="exact"/>
              <w:rPr>
                <w:sz w:val="20"/>
                <w:szCs w:val="20"/>
                <w:color w:val="auto"/>
              </w:rPr>
            </w:pPr>
            <w:r>
              <w:rPr>
                <w:rFonts w:ascii="Arial" w:cs="Arial" w:eastAsia="Arial" w:hAnsi="Arial"/>
                <w:sz w:val="14"/>
                <w:szCs w:val="14"/>
                <w:b w:val="1"/>
                <w:bCs w:val="1"/>
                <w:color w:val="00ABE8"/>
              </w:rPr>
              <w:t xml:space="preserve">Accumulated Benefit ($) </w:t>
            </w:r>
            <w:r>
              <w:rPr>
                <w:rFonts w:ascii="Arial" w:cs="Arial" w:eastAsia="Arial" w:hAnsi="Arial"/>
                <w:sz w:val="18"/>
                <w:szCs w:val="18"/>
                <w:b w:val="1"/>
                <w:bCs w:val="1"/>
                <w:color w:val="00ABE8"/>
                <w:vertAlign w:val="superscript"/>
              </w:rPr>
              <w:t>1</w:t>
            </w:r>
          </w:p>
        </w:tc>
        <w:tc>
          <w:tcPr>
            <w:tcW w:w="17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 ($)</w:t>
            </w:r>
          </w:p>
        </w:tc>
      </w:tr>
      <w:tr>
        <w:trPr>
          <w:trHeight w:val="217"/>
        </w:trPr>
        <w:tc>
          <w:tcPr>
            <w:tcW w:w="1720" w:type="dxa"/>
            <w:vAlign w:val="bottom"/>
          </w:tcPr>
          <w:p>
            <w:pPr>
              <w:ind w:left="20"/>
              <w:spacing w:after="0"/>
              <w:rPr>
                <w:sz w:val="20"/>
                <w:szCs w:val="20"/>
                <w:color w:val="auto"/>
              </w:rPr>
            </w:pPr>
            <w:r>
              <w:rPr>
                <w:rFonts w:ascii="Arial" w:cs="Arial" w:eastAsia="Arial" w:hAnsi="Arial"/>
                <w:sz w:val="14"/>
                <w:szCs w:val="14"/>
                <w:color w:val="auto"/>
              </w:rPr>
              <w:t>Mr. Ricks</w:t>
            </w: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(pre-2010)</w:t>
            </w:r>
          </w:p>
        </w:tc>
        <w:tc>
          <w:tcPr>
            <w:tcW w:w="1760" w:type="dxa"/>
            <w:vAlign w:val="bottom"/>
          </w:tcPr>
          <w:p>
            <w:pPr>
              <w:jc w:val="center"/>
              <w:spacing w:after="0"/>
              <w:rPr>
                <w:sz w:val="20"/>
                <w:szCs w:val="20"/>
                <w:color w:val="auto"/>
              </w:rPr>
            </w:pPr>
            <w:r>
              <w:rPr>
                <w:rFonts w:ascii="Arial" w:cs="Arial" w:eastAsia="Arial" w:hAnsi="Arial"/>
                <w:sz w:val="14"/>
                <w:szCs w:val="14"/>
                <w:color w:val="auto"/>
              </w:rPr>
              <w:t>14</w:t>
            </w:r>
          </w:p>
        </w:tc>
        <w:tc>
          <w:tcPr>
            <w:tcW w:w="1880" w:type="dxa"/>
            <w:vAlign w:val="bottom"/>
          </w:tcPr>
          <w:p>
            <w:pPr>
              <w:jc w:val="right"/>
              <w:spacing w:after="0"/>
              <w:rPr>
                <w:sz w:val="20"/>
                <w:szCs w:val="20"/>
                <w:color w:val="auto"/>
              </w:rPr>
            </w:pPr>
            <w:r>
              <w:rPr>
                <w:rFonts w:ascii="Arial" w:cs="Arial" w:eastAsia="Arial" w:hAnsi="Arial"/>
                <w:sz w:val="14"/>
                <w:szCs w:val="14"/>
                <w:color w:val="auto"/>
              </w:rPr>
              <w:t>$823,571</w:t>
            </w:r>
          </w:p>
        </w:tc>
        <w:tc>
          <w:tcPr>
            <w:tcW w:w="17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760" w:type="dxa"/>
            <w:vAlign w:val="bottom"/>
          </w:tcPr>
          <w:p>
            <w:pPr>
              <w:jc w:val="center"/>
              <w:spacing w:after="0"/>
              <w:rPr>
                <w:sz w:val="20"/>
                <w:szCs w:val="20"/>
                <w:color w:val="auto"/>
              </w:rPr>
            </w:pPr>
            <w:r>
              <w:rPr>
                <w:rFonts w:ascii="Arial" w:cs="Arial" w:eastAsia="Arial" w:hAnsi="Arial"/>
                <w:sz w:val="14"/>
                <w:szCs w:val="14"/>
                <w:color w:val="auto"/>
              </w:rPr>
              <w:t>11</w:t>
            </w:r>
          </w:p>
        </w:tc>
        <w:tc>
          <w:tcPr>
            <w:tcW w:w="1880" w:type="dxa"/>
            <w:vAlign w:val="bottom"/>
          </w:tcPr>
          <w:p>
            <w:pPr>
              <w:jc w:val="right"/>
              <w:spacing w:after="0"/>
              <w:rPr>
                <w:sz w:val="20"/>
                <w:szCs w:val="20"/>
                <w:color w:val="auto"/>
              </w:rPr>
            </w:pPr>
            <w:r>
              <w:rPr>
                <w:rFonts w:ascii="Arial" w:cs="Arial" w:eastAsia="Arial" w:hAnsi="Arial"/>
                <w:sz w:val="14"/>
                <w:szCs w:val="14"/>
                <w:color w:val="auto"/>
              </w:rPr>
              <w:t>$418,590</w:t>
            </w:r>
          </w:p>
        </w:tc>
        <w:tc>
          <w:tcPr>
            <w:tcW w:w="17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(pre-2010)</w:t>
            </w:r>
          </w:p>
        </w:tc>
        <w:tc>
          <w:tcPr>
            <w:tcW w:w="1760" w:type="dxa"/>
            <w:vAlign w:val="bottom"/>
          </w:tcPr>
          <w:p>
            <w:pPr>
              <w:jc w:val="center"/>
              <w:spacing w:after="0"/>
              <w:rPr>
                <w:sz w:val="20"/>
                <w:szCs w:val="20"/>
                <w:color w:val="auto"/>
              </w:rPr>
            </w:pPr>
            <w:r>
              <w:rPr>
                <w:rFonts w:ascii="Arial" w:cs="Arial" w:eastAsia="Arial" w:hAnsi="Arial"/>
                <w:sz w:val="14"/>
                <w:szCs w:val="14"/>
                <w:color w:val="auto"/>
              </w:rPr>
              <w:t>14</w:t>
            </w:r>
          </w:p>
        </w:tc>
        <w:tc>
          <w:tcPr>
            <w:tcW w:w="1880" w:type="dxa"/>
            <w:vAlign w:val="bottom"/>
          </w:tcPr>
          <w:p>
            <w:pPr>
              <w:jc w:val="right"/>
              <w:spacing w:after="0"/>
              <w:rPr>
                <w:sz w:val="20"/>
                <w:szCs w:val="20"/>
                <w:color w:val="auto"/>
              </w:rPr>
            </w:pPr>
            <w:r>
              <w:rPr>
                <w:rFonts w:ascii="Arial" w:cs="Arial" w:eastAsia="Arial" w:hAnsi="Arial"/>
                <w:sz w:val="14"/>
                <w:szCs w:val="14"/>
                <w:color w:val="auto"/>
              </w:rPr>
              <w:t>$10,268,800</w:t>
            </w:r>
          </w:p>
        </w:tc>
        <w:tc>
          <w:tcPr>
            <w:tcW w:w="17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760" w:type="dxa"/>
            <w:vAlign w:val="bottom"/>
          </w:tcPr>
          <w:p>
            <w:pPr>
              <w:jc w:val="center"/>
              <w:spacing w:after="0"/>
              <w:rPr>
                <w:sz w:val="20"/>
                <w:szCs w:val="20"/>
                <w:color w:val="auto"/>
              </w:rPr>
            </w:pPr>
            <w:r>
              <w:rPr>
                <w:rFonts w:ascii="Arial" w:cs="Arial" w:eastAsia="Arial" w:hAnsi="Arial"/>
                <w:sz w:val="14"/>
                <w:szCs w:val="14"/>
                <w:color w:val="auto"/>
              </w:rPr>
              <w:t>11</w:t>
            </w:r>
          </w:p>
        </w:tc>
        <w:tc>
          <w:tcPr>
            <w:tcW w:w="1880" w:type="dxa"/>
            <w:vAlign w:val="bottom"/>
          </w:tcPr>
          <w:p>
            <w:pPr>
              <w:jc w:val="right"/>
              <w:spacing w:after="0"/>
              <w:rPr>
                <w:sz w:val="20"/>
                <w:szCs w:val="20"/>
                <w:color w:val="auto"/>
              </w:rPr>
            </w:pPr>
            <w:r>
              <w:rPr>
                <w:rFonts w:ascii="Arial" w:cs="Arial" w:eastAsia="Arial" w:hAnsi="Arial"/>
                <w:sz w:val="14"/>
                <w:szCs w:val="14"/>
                <w:color w:val="auto"/>
              </w:rPr>
              <w:t>$5,131,598</w:t>
            </w:r>
          </w:p>
        </w:tc>
        <w:tc>
          <w:tcPr>
            <w:tcW w:w="1780" w:type="dxa"/>
            <w:vAlign w:val="bottom"/>
          </w:tcPr>
          <w:p>
            <w:pPr>
              <w:spacing w:after="0"/>
              <w:rPr>
                <w:sz w:val="18"/>
                <w:szCs w:val="18"/>
                <w:color w:val="auto"/>
              </w:rPr>
            </w:pPr>
          </w:p>
        </w:tc>
      </w:tr>
      <w:tr>
        <w:trPr>
          <w:trHeight w:val="215"/>
        </w:trPr>
        <w:tc>
          <w:tcPr>
            <w:tcW w:w="1720" w:type="dxa"/>
            <w:vAlign w:val="bottom"/>
            <w:tcBorders>
              <w:bottom w:val="single" w:sz="8" w:color="C8C9CB"/>
            </w:tcBorders>
          </w:tcPr>
          <w:p>
            <w:pPr>
              <w:spacing w:after="0"/>
              <w:rPr>
                <w:sz w:val="18"/>
                <w:szCs w:val="18"/>
                <w:color w:val="auto"/>
              </w:rPr>
            </w:pPr>
          </w:p>
        </w:tc>
        <w:tc>
          <w:tcPr>
            <w:tcW w:w="19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C8C9CB"/>
            </w:tcBorders>
          </w:tcPr>
          <w:p>
            <w:pPr>
              <w:spacing w:after="0"/>
              <w:rPr>
                <w:sz w:val="18"/>
                <w:szCs w:val="18"/>
                <w:color w:val="auto"/>
              </w:rPr>
            </w:pPr>
          </w:p>
        </w:tc>
        <w:tc>
          <w:tcPr>
            <w:tcW w:w="18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$16,642,559</w:t>
            </w:r>
          </w:p>
        </w:tc>
        <w:tc>
          <w:tcPr>
            <w:tcW w:w="1780" w:type="dxa"/>
            <w:vAlign w:val="bottom"/>
            <w:tcBorders>
              <w:bottom w:val="single" w:sz="8" w:color="C8C9CB"/>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1720" w:type="dxa"/>
            <w:vAlign w:val="bottom"/>
            <w:shd w:val="clear" w:color="auto" w:fill="F4F6F6"/>
          </w:tcPr>
          <w:p>
            <w:pPr>
              <w:ind w:left="20"/>
              <w:spacing w:after="0"/>
              <w:rPr>
                <w:sz w:val="20"/>
                <w:szCs w:val="20"/>
                <w:color w:val="auto"/>
              </w:rPr>
            </w:pPr>
            <w:r>
              <w:rPr>
                <w:rFonts w:ascii="Arial" w:cs="Arial" w:eastAsia="Arial" w:hAnsi="Arial"/>
                <w:sz w:val="14"/>
                <w:szCs w:val="14"/>
                <w:color w:val="auto"/>
              </w:rPr>
              <w:t>Mr. Smiley</w:t>
            </w: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(pre-2010)</w:t>
            </w:r>
          </w:p>
        </w:tc>
        <w:tc>
          <w:tcPr>
            <w:tcW w:w="17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14</w:t>
            </w:r>
          </w:p>
        </w:tc>
        <w:tc>
          <w:tcPr>
            <w:tcW w:w="1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$893,634</w:t>
            </w:r>
          </w:p>
        </w:tc>
        <w:tc>
          <w:tcPr>
            <w:tcW w:w="1780" w:type="dxa"/>
            <w:vAlign w:val="bottom"/>
            <w:shd w:val="clear" w:color="auto" w:fill="F4F6F6"/>
          </w:tcPr>
          <w:p>
            <w:pPr>
              <w:spacing w:after="0"/>
              <w:rPr>
                <w:sz w:val="17"/>
                <w:szCs w:val="17"/>
                <w:color w:val="auto"/>
              </w:rPr>
            </w:pPr>
          </w:p>
        </w:tc>
      </w:tr>
      <w:tr>
        <w:trPr>
          <w:trHeight w:val="216"/>
        </w:trPr>
        <w:tc>
          <w:tcPr>
            <w:tcW w:w="1720" w:type="dxa"/>
            <w:vAlign w:val="bottom"/>
            <w:shd w:val="clear" w:color="auto" w:fill="F4F6F6"/>
          </w:tcPr>
          <w:p>
            <w:pPr>
              <w:spacing w:after="0"/>
              <w:rPr>
                <w:sz w:val="18"/>
                <w:szCs w:val="18"/>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(post-2009)</w:t>
            </w:r>
          </w:p>
        </w:tc>
        <w:tc>
          <w:tcPr>
            <w:tcW w:w="17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11</w:t>
            </w:r>
          </w:p>
        </w:tc>
        <w:tc>
          <w:tcPr>
            <w:tcW w:w="1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$384,747</w:t>
            </w:r>
          </w:p>
        </w:tc>
        <w:tc>
          <w:tcPr>
            <w:tcW w:w="1780" w:type="dxa"/>
            <w:vAlign w:val="bottom"/>
            <w:shd w:val="clear" w:color="auto" w:fill="F4F6F6"/>
          </w:tcPr>
          <w:p>
            <w:pPr>
              <w:spacing w:after="0"/>
              <w:rPr>
                <w:sz w:val="18"/>
                <w:szCs w:val="18"/>
                <w:color w:val="auto"/>
              </w:rPr>
            </w:pPr>
          </w:p>
        </w:tc>
      </w:tr>
      <w:tr>
        <w:trPr>
          <w:trHeight w:val="216"/>
        </w:trPr>
        <w:tc>
          <w:tcPr>
            <w:tcW w:w="1720" w:type="dxa"/>
            <w:vAlign w:val="bottom"/>
            <w:shd w:val="clear" w:color="auto" w:fill="F4F6F6"/>
          </w:tcPr>
          <w:p>
            <w:pPr>
              <w:spacing w:after="0"/>
              <w:rPr>
                <w:sz w:val="18"/>
                <w:szCs w:val="18"/>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(post-2009)</w:t>
            </w:r>
          </w:p>
        </w:tc>
        <w:tc>
          <w:tcPr>
            <w:tcW w:w="17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14</w:t>
            </w:r>
          </w:p>
        </w:tc>
        <w:tc>
          <w:tcPr>
            <w:tcW w:w="1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$4,150,530</w:t>
            </w:r>
          </w:p>
        </w:tc>
        <w:tc>
          <w:tcPr>
            <w:tcW w:w="1780" w:type="dxa"/>
            <w:vAlign w:val="bottom"/>
            <w:shd w:val="clear" w:color="auto" w:fill="F4F6F6"/>
          </w:tcPr>
          <w:p>
            <w:pPr>
              <w:spacing w:after="0"/>
              <w:rPr>
                <w:sz w:val="18"/>
                <w:szCs w:val="18"/>
                <w:color w:val="auto"/>
              </w:rPr>
            </w:pPr>
          </w:p>
        </w:tc>
      </w:tr>
      <w:tr>
        <w:trPr>
          <w:trHeight w:val="216"/>
        </w:trPr>
        <w:tc>
          <w:tcPr>
            <w:tcW w:w="1720" w:type="dxa"/>
            <w:vAlign w:val="bottom"/>
            <w:shd w:val="clear" w:color="auto" w:fill="F4F6F6"/>
          </w:tcPr>
          <w:p>
            <w:pPr>
              <w:spacing w:after="0"/>
              <w:rPr>
                <w:sz w:val="18"/>
                <w:szCs w:val="18"/>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nonqualified plan (post-2009)</w:t>
            </w:r>
          </w:p>
        </w:tc>
        <w:tc>
          <w:tcPr>
            <w:tcW w:w="17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11</w:t>
            </w:r>
          </w:p>
        </w:tc>
        <w:tc>
          <w:tcPr>
            <w:tcW w:w="1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$1,763,977</w:t>
            </w:r>
          </w:p>
        </w:tc>
        <w:tc>
          <w:tcPr>
            <w:tcW w:w="1780" w:type="dxa"/>
            <w:vAlign w:val="bottom"/>
            <w:shd w:val="clear" w:color="auto" w:fill="F4F6F6"/>
          </w:tcPr>
          <w:p>
            <w:pPr>
              <w:spacing w:after="0"/>
              <w:rPr>
                <w:sz w:val="18"/>
                <w:szCs w:val="18"/>
                <w:color w:val="auto"/>
              </w:rPr>
            </w:pPr>
          </w:p>
        </w:tc>
      </w:tr>
      <w:tr>
        <w:trPr>
          <w:trHeight w:val="216"/>
        </w:trPr>
        <w:tc>
          <w:tcPr>
            <w:tcW w:w="1720" w:type="dxa"/>
            <w:vAlign w:val="bottom"/>
            <w:tcBorders>
              <w:bottom w:val="single" w:sz="8" w:color="C8C9CB"/>
            </w:tcBorders>
            <w:shd w:val="clear" w:color="auto" w:fill="F4F6F6"/>
          </w:tcPr>
          <w:p>
            <w:pPr>
              <w:spacing w:after="0"/>
              <w:rPr>
                <w:sz w:val="18"/>
                <w:szCs w:val="18"/>
                <w:color w:val="auto"/>
              </w:rPr>
            </w:pPr>
          </w:p>
        </w:tc>
        <w:tc>
          <w:tcPr>
            <w:tcW w:w="19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C8C9CB"/>
            </w:tcBorders>
            <w:shd w:val="clear" w:color="auto" w:fill="F4F6F6"/>
          </w:tcPr>
          <w:p>
            <w:pPr>
              <w:spacing w:after="0"/>
              <w:rPr>
                <w:sz w:val="18"/>
                <w:szCs w:val="18"/>
                <w:color w:val="auto"/>
              </w:rPr>
            </w:pPr>
          </w:p>
        </w:tc>
        <w:tc>
          <w:tcPr>
            <w:tcW w:w="18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$7,192,888</w:t>
            </w:r>
          </w:p>
        </w:tc>
        <w:tc>
          <w:tcPr>
            <w:tcW w:w="178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$0</w:t>
            </w:r>
          </w:p>
        </w:tc>
      </w:tr>
      <w:tr>
        <w:trPr>
          <w:trHeight w:val="198"/>
        </w:trPr>
        <w:tc>
          <w:tcPr>
            <w:tcW w:w="17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760" w:type="dxa"/>
            <w:vAlign w:val="bottom"/>
          </w:tcPr>
          <w:p>
            <w:pPr>
              <w:jc w:val="center"/>
              <w:spacing w:after="0"/>
              <w:rPr>
                <w:sz w:val="20"/>
                <w:szCs w:val="20"/>
                <w:color w:val="auto"/>
              </w:rPr>
            </w:pPr>
            <w:r>
              <w:rPr>
                <w:rFonts w:ascii="Arial" w:cs="Arial" w:eastAsia="Arial" w:hAnsi="Arial"/>
                <w:sz w:val="14"/>
                <w:szCs w:val="14"/>
                <w:color w:val="auto"/>
              </w:rPr>
              <w:t>8</w:t>
            </w:r>
          </w:p>
        </w:tc>
        <w:tc>
          <w:tcPr>
            <w:tcW w:w="1880" w:type="dxa"/>
            <w:vAlign w:val="bottom"/>
          </w:tcPr>
          <w:p>
            <w:pPr>
              <w:jc w:val="right"/>
              <w:spacing w:after="0"/>
              <w:rPr>
                <w:sz w:val="20"/>
                <w:szCs w:val="20"/>
                <w:color w:val="auto"/>
              </w:rPr>
            </w:pPr>
            <w:r>
              <w:rPr>
                <w:rFonts w:ascii="Arial" w:cs="Arial" w:eastAsia="Arial" w:hAnsi="Arial"/>
                <w:sz w:val="14"/>
                <w:szCs w:val="14"/>
                <w:color w:val="auto"/>
              </w:rPr>
              <w:t>$267,910</w:t>
            </w:r>
          </w:p>
        </w:tc>
        <w:tc>
          <w:tcPr>
            <w:tcW w:w="178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760" w:type="dxa"/>
            <w:vAlign w:val="bottom"/>
          </w:tcPr>
          <w:p>
            <w:pPr>
              <w:jc w:val="center"/>
              <w:spacing w:after="0"/>
              <w:rPr>
                <w:sz w:val="20"/>
                <w:szCs w:val="20"/>
                <w:color w:val="auto"/>
              </w:rPr>
            </w:pPr>
            <w:r>
              <w:rPr>
                <w:rFonts w:ascii="Arial" w:cs="Arial" w:eastAsia="Arial" w:hAnsi="Arial"/>
                <w:sz w:val="14"/>
                <w:szCs w:val="14"/>
                <w:color w:val="auto"/>
              </w:rPr>
              <w:t>8</w:t>
            </w:r>
          </w:p>
        </w:tc>
        <w:tc>
          <w:tcPr>
            <w:tcW w:w="1880" w:type="dxa"/>
            <w:vAlign w:val="bottom"/>
          </w:tcPr>
          <w:p>
            <w:pPr>
              <w:jc w:val="right"/>
              <w:spacing w:after="0"/>
              <w:rPr>
                <w:sz w:val="20"/>
                <w:szCs w:val="20"/>
                <w:color w:val="auto"/>
              </w:rPr>
            </w:pPr>
            <w:r>
              <w:rPr>
                <w:rFonts w:ascii="Arial" w:cs="Arial" w:eastAsia="Arial" w:hAnsi="Arial"/>
                <w:sz w:val="14"/>
                <w:szCs w:val="14"/>
                <w:color w:val="auto"/>
              </w:rPr>
              <w:t>$1,360,479</w:t>
            </w:r>
          </w:p>
        </w:tc>
        <w:tc>
          <w:tcPr>
            <w:tcW w:w="1780" w:type="dxa"/>
            <w:vAlign w:val="bottom"/>
          </w:tcPr>
          <w:p>
            <w:pPr>
              <w:spacing w:after="0"/>
              <w:rPr>
                <w:sz w:val="18"/>
                <w:szCs w:val="18"/>
                <w:color w:val="auto"/>
              </w:rPr>
            </w:pPr>
          </w:p>
        </w:tc>
      </w:tr>
      <w:tr>
        <w:trPr>
          <w:trHeight w:val="214"/>
        </w:trPr>
        <w:tc>
          <w:tcPr>
            <w:tcW w:w="1720" w:type="dxa"/>
            <w:vAlign w:val="bottom"/>
            <w:tcBorders>
              <w:bottom w:val="single" w:sz="8" w:color="C8C9CB"/>
            </w:tcBorders>
          </w:tcPr>
          <w:p>
            <w:pPr>
              <w:spacing w:after="0"/>
              <w:rPr>
                <w:sz w:val="18"/>
                <w:szCs w:val="18"/>
                <w:color w:val="auto"/>
              </w:rPr>
            </w:pPr>
          </w:p>
        </w:tc>
        <w:tc>
          <w:tcPr>
            <w:tcW w:w="19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C8C9CB"/>
            </w:tcBorders>
          </w:tcPr>
          <w:p>
            <w:pPr>
              <w:spacing w:after="0"/>
              <w:rPr>
                <w:sz w:val="18"/>
                <w:szCs w:val="18"/>
                <w:color w:val="auto"/>
              </w:rPr>
            </w:pPr>
          </w:p>
        </w:tc>
        <w:tc>
          <w:tcPr>
            <w:tcW w:w="18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$1,628,389</w:t>
            </w:r>
          </w:p>
        </w:tc>
        <w:tc>
          <w:tcPr>
            <w:tcW w:w="1780" w:type="dxa"/>
            <w:vAlign w:val="bottom"/>
            <w:tcBorders>
              <w:bottom w:val="single" w:sz="8" w:color="C8C9CB"/>
            </w:tcBorders>
          </w:tcPr>
          <w:p>
            <w:pPr>
              <w:jc w:val="center"/>
              <w:spacing w:after="0"/>
              <w:rPr>
                <w:sz w:val="20"/>
                <w:szCs w:val="20"/>
                <w:color w:val="auto"/>
              </w:rPr>
            </w:pPr>
            <w:r>
              <w:rPr>
                <w:rFonts w:ascii="Arial" w:cs="Arial" w:eastAsia="Arial" w:hAnsi="Arial"/>
                <w:sz w:val="14"/>
                <w:szCs w:val="14"/>
                <w:color w:val="auto"/>
              </w:rPr>
              <w:t>$0</w:t>
            </w:r>
          </w:p>
        </w:tc>
      </w:tr>
      <w:tr>
        <w:trPr>
          <w:trHeight w:val="250"/>
        </w:trPr>
        <w:tc>
          <w:tcPr>
            <w:tcW w:w="1720" w:type="dxa"/>
            <w:vAlign w:val="bottom"/>
            <w:shd w:val="clear" w:color="auto" w:fill="F4F6F6"/>
          </w:tcPr>
          <w:p>
            <w:pPr>
              <w:ind w:left="20"/>
              <w:spacing w:after="0"/>
              <w:rPr>
                <w:sz w:val="20"/>
                <w:szCs w:val="20"/>
                <w:color w:val="auto"/>
              </w:rPr>
            </w:pPr>
            <w:r>
              <w:rPr>
                <w:rFonts w:ascii="Arial" w:cs="Arial" w:eastAsia="Arial" w:hAnsi="Arial"/>
                <w:sz w:val="14"/>
                <w:szCs w:val="14"/>
                <w:color w:val="auto"/>
              </w:rPr>
              <w:t>Ms. Hakim</w:t>
            </w: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(post-2009)</w:t>
            </w:r>
          </w:p>
        </w:tc>
        <w:tc>
          <w:tcPr>
            <w:tcW w:w="17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w:t>
            </w:r>
          </w:p>
        </w:tc>
        <w:tc>
          <w:tcPr>
            <w:tcW w:w="1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$34,177</w:t>
            </w:r>
          </w:p>
        </w:tc>
        <w:tc>
          <w:tcPr>
            <w:tcW w:w="1780" w:type="dxa"/>
            <w:vAlign w:val="bottom"/>
            <w:shd w:val="clear" w:color="auto" w:fill="F4F6F6"/>
          </w:tcPr>
          <w:p>
            <w:pPr>
              <w:spacing w:after="0"/>
              <w:rPr>
                <w:sz w:val="21"/>
                <w:szCs w:val="21"/>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nonqualified plan (post-2009)</w:t>
            </w:r>
          </w:p>
        </w:tc>
        <w:tc>
          <w:tcPr>
            <w:tcW w:w="17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w:t>
            </w:r>
          </w:p>
        </w:tc>
        <w:tc>
          <w:tcPr>
            <w:tcW w:w="1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$53,671</w:t>
            </w:r>
          </w:p>
        </w:tc>
        <w:tc>
          <w:tcPr>
            <w:tcW w:w="1780" w:type="dxa"/>
            <w:vAlign w:val="bottom"/>
            <w:shd w:val="clear" w:color="auto" w:fill="F4F6F6"/>
          </w:tcPr>
          <w:p>
            <w:pPr>
              <w:spacing w:after="0"/>
              <w:rPr>
                <w:sz w:val="23"/>
                <w:szCs w:val="23"/>
                <w:color w:val="auto"/>
              </w:rPr>
            </w:pPr>
          </w:p>
        </w:tc>
      </w:tr>
      <w:tr>
        <w:trPr>
          <w:trHeight w:val="216"/>
        </w:trPr>
        <w:tc>
          <w:tcPr>
            <w:tcW w:w="1720" w:type="dxa"/>
            <w:vAlign w:val="bottom"/>
            <w:tcBorders>
              <w:bottom w:val="single" w:sz="8" w:color="C8C9CB"/>
            </w:tcBorders>
            <w:shd w:val="clear" w:color="auto" w:fill="F4F6F6"/>
          </w:tcPr>
          <w:p>
            <w:pPr>
              <w:spacing w:after="0"/>
              <w:rPr>
                <w:sz w:val="18"/>
                <w:szCs w:val="18"/>
                <w:color w:val="auto"/>
              </w:rPr>
            </w:pPr>
          </w:p>
        </w:tc>
        <w:tc>
          <w:tcPr>
            <w:tcW w:w="19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C8C9CB"/>
            </w:tcBorders>
            <w:shd w:val="clear" w:color="auto" w:fill="F4F6F6"/>
          </w:tcPr>
          <w:p>
            <w:pPr>
              <w:spacing w:after="0"/>
              <w:rPr>
                <w:sz w:val="18"/>
                <w:szCs w:val="18"/>
                <w:color w:val="auto"/>
              </w:rPr>
            </w:pPr>
          </w:p>
        </w:tc>
        <w:tc>
          <w:tcPr>
            <w:tcW w:w="18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$87,848</w:t>
            </w:r>
          </w:p>
        </w:tc>
        <w:tc>
          <w:tcPr>
            <w:tcW w:w="178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$0</w:t>
            </w:r>
          </w:p>
        </w:tc>
      </w:tr>
      <w:tr>
        <w:trPr>
          <w:trHeight w:val="198"/>
        </w:trPr>
        <w:tc>
          <w:tcPr>
            <w:tcW w:w="1720" w:type="dxa"/>
            <w:vAlign w:val="bottom"/>
          </w:tcPr>
          <w:p>
            <w:pPr>
              <w:ind w:left="20"/>
              <w:spacing w:after="0"/>
              <w:rPr>
                <w:sz w:val="20"/>
                <w:szCs w:val="20"/>
                <w:color w:val="auto"/>
              </w:rPr>
            </w:pPr>
            <w:r>
              <w:rPr>
                <w:rFonts w:ascii="Arial" w:cs="Arial" w:eastAsia="Arial" w:hAnsi="Arial"/>
                <w:sz w:val="14"/>
                <w:szCs w:val="14"/>
                <w:color w:val="auto"/>
              </w:rPr>
              <w:t>Mr. Zulueta</w:t>
            </w: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(pre-2010)</w:t>
            </w:r>
          </w:p>
        </w:tc>
        <w:tc>
          <w:tcPr>
            <w:tcW w:w="1760" w:type="dxa"/>
            <w:vAlign w:val="bottom"/>
          </w:tcPr>
          <w:p>
            <w:pPr>
              <w:jc w:val="center"/>
              <w:spacing w:after="0"/>
              <w:rPr>
                <w:sz w:val="20"/>
                <w:szCs w:val="20"/>
                <w:color w:val="auto"/>
              </w:rPr>
            </w:pPr>
            <w:r>
              <w:rPr>
                <w:rFonts w:ascii="Arial" w:cs="Arial" w:eastAsia="Arial" w:hAnsi="Arial"/>
                <w:sz w:val="14"/>
                <w:szCs w:val="14"/>
                <w:color w:val="auto"/>
              </w:rPr>
              <w:t>15</w:t>
            </w:r>
          </w:p>
        </w:tc>
        <w:tc>
          <w:tcPr>
            <w:tcW w:w="1880" w:type="dxa"/>
            <w:vAlign w:val="bottom"/>
          </w:tcPr>
          <w:p>
            <w:pPr>
              <w:jc w:val="right"/>
              <w:spacing w:after="0"/>
              <w:rPr>
                <w:sz w:val="20"/>
                <w:szCs w:val="20"/>
                <w:color w:val="auto"/>
              </w:rPr>
            </w:pPr>
            <w:r>
              <w:rPr>
                <w:rFonts w:ascii="Arial" w:cs="Arial" w:eastAsia="Arial" w:hAnsi="Arial"/>
                <w:sz w:val="14"/>
                <w:szCs w:val="14"/>
                <w:color w:val="auto"/>
              </w:rPr>
              <w:t>$1,178,491</w:t>
            </w:r>
          </w:p>
        </w:tc>
        <w:tc>
          <w:tcPr>
            <w:tcW w:w="178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760" w:type="dxa"/>
            <w:vAlign w:val="bottom"/>
          </w:tcPr>
          <w:p>
            <w:pPr>
              <w:jc w:val="center"/>
              <w:spacing w:after="0"/>
              <w:rPr>
                <w:sz w:val="20"/>
                <w:szCs w:val="20"/>
                <w:color w:val="auto"/>
              </w:rPr>
            </w:pPr>
            <w:r>
              <w:rPr>
                <w:rFonts w:ascii="Arial" w:cs="Arial" w:eastAsia="Arial" w:hAnsi="Arial"/>
                <w:sz w:val="14"/>
                <w:szCs w:val="14"/>
                <w:color w:val="auto"/>
              </w:rPr>
              <w:t>10</w:t>
            </w:r>
          </w:p>
        </w:tc>
        <w:tc>
          <w:tcPr>
            <w:tcW w:w="1880" w:type="dxa"/>
            <w:vAlign w:val="bottom"/>
          </w:tcPr>
          <w:p>
            <w:pPr>
              <w:jc w:val="right"/>
              <w:spacing w:after="0"/>
              <w:rPr>
                <w:sz w:val="20"/>
                <w:szCs w:val="20"/>
                <w:color w:val="auto"/>
              </w:rPr>
            </w:pPr>
            <w:r>
              <w:rPr>
                <w:rFonts w:ascii="Arial" w:cs="Arial" w:eastAsia="Arial" w:hAnsi="Arial"/>
                <w:sz w:val="14"/>
                <w:szCs w:val="14"/>
                <w:color w:val="auto"/>
              </w:rPr>
              <w:t>$481,737</w:t>
            </w:r>
          </w:p>
        </w:tc>
        <w:tc>
          <w:tcPr>
            <w:tcW w:w="17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(pre-2010)</w:t>
            </w:r>
          </w:p>
        </w:tc>
        <w:tc>
          <w:tcPr>
            <w:tcW w:w="1760" w:type="dxa"/>
            <w:vAlign w:val="bottom"/>
          </w:tcPr>
          <w:p>
            <w:pPr>
              <w:jc w:val="center"/>
              <w:spacing w:after="0"/>
              <w:rPr>
                <w:sz w:val="20"/>
                <w:szCs w:val="20"/>
                <w:color w:val="auto"/>
              </w:rPr>
            </w:pPr>
            <w:r>
              <w:rPr>
                <w:rFonts w:ascii="Arial" w:cs="Arial" w:eastAsia="Arial" w:hAnsi="Arial"/>
                <w:sz w:val="14"/>
                <w:szCs w:val="14"/>
                <w:color w:val="auto"/>
              </w:rPr>
              <w:t>15</w:t>
            </w:r>
          </w:p>
        </w:tc>
        <w:tc>
          <w:tcPr>
            <w:tcW w:w="1880" w:type="dxa"/>
            <w:vAlign w:val="bottom"/>
          </w:tcPr>
          <w:p>
            <w:pPr>
              <w:jc w:val="right"/>
              <w:spacing w:after="0"/>
              <w:rPr>
                <w:sz w:val="20"/>
                <w:szCs w:val="20"/>
                <w:color w:val="auto"/>
              </w:rPr>
            </w:pPr>
            <w:r>
              <w:rPr>
                <w:rFonts w:ascii="Arial" w:cs="Arial" w:eastAsia="Arial" w:hAnsi="Arial"/>
                <w:sz w:val="14"/>
                <w:szCs w:val="14"/>
                <w:color w:val="auto"/>
              </w:rPr>
              <w:t>$7,161,311</w:t>
            </w:r>
          </w:p>
        </w:tc>
        <w:tc>
          <w:tcPr>
            <w:tcW w:w="17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760" w:type="dxa"/>
            <w:vAlign w:val="bottom"/>
          </w:tcPr>
          <w:p>
            <w:pPr>
              <w:jc w:val="center"/>
              <w:spacing w:after="0"/>
              <w:rPr>
                <w:sz w:val="20"/>
                <w:szCs w:val="20"/>
                <w:color w:val="auto"/>
              </w:rPr>
            </w:pPr>
            <w:r>
              <w:rPr>
                <w:rFonts w:ascii="Arial" w:cs="Arial" w:eastAsia="Arial" w:hAnsi="Arial"/>
                <w:sz w:val="14"/>
                <w:szCs w:val="14"/>
                <w:color w:val="auto"/>
              </w:rPr>
              <w:t>10</w:t>
            </w:r>
          </w:p>
        </w:tc>
        <w:tc>
          <w:tcPr>
            <w:tcW w:w="1880" w:type="dxa"/>
            <w:vAlign w:val="bottom"/>
          </w:tcPr>
          <w:p>
            <w:pPr>
              <w:jc w:val="right"/>
              <w:spacing w:after="0"/>
              <w:rPr>
                <w:sz w:val="20"/>
                <w:szCs w:val="20"/>
                <w:color w:val="auto"/>
              </w:rPr>
            </w:pPr>
            <w:r>
              <w:rPr>
                <w:rFonts w:ascii="Arial" w:cs="Arial" w:eastAsia="Arial" w:hAnsi="Arial"/>
                <w:sz w:val="14"/>
                <w:szCs w:val="14"/>
                <w:color w:val="auto"/>
              </w:rPr>
              <w:t>$2,060,636</w:t>
            </w:r>
          </w:p>
        </w:tc>
        <w:tc>
          <w:tcPr>
            <w:tcW w:w="1780" w:type="dxa"/>
            <w:vAlign w:val="bottom"/>
          </w:tcPr>
          <w:p>
            <w:pPr>
              <w:spacing w:after="0"/>
              <w:rPr>
                <w:sz w:val="18"/>
                <w:szCs w:val="18"/>
                <w:color w:val="auto"/>
              </w:rPr>
            </w:pPr>
          </w:p>
        </w:tc>
      </w:tr>
      <w:tr>
        <w:trPr>
          <w:trHeight w:val="268"/>
        </w:trPr>
        <w:tc>
          <w:tcPr>
            <w:tcW w:w="1720" w:type="dxa"/>
            <w:vAlign w:val="bottom"/>
            <w:tcBorders>
              <w:bottom w:val="single" w:sz="8" w:color="BFBFBF"/>
            </w:tcBorders>
          </w:tcPr>
          <w:p>
            <w:pPr>
              <w:spacing w:after="0"/>
              <w:rPr>
                <w:sz w:val="23"/>
                <w:szCs w:val="23"/>
                <w:color w:val="auto"/>
              </w:rPr>
            </w:pPr>
          </w:p>
        </w:tc>
        <w:tc>
          <w:tcPr>
            <w:tcW w:w="198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BFBFBF"/>
            </w:tcBorders>
          </w:tcPr>
          <w:p>
            <w:pPr>
              <w:spacing w:after="0"/>
              <w:rPr>
                <w:sz w:val="23"/>
                <w:szCs w:val="23"/>
                <w:color w:val="auto"/>
              </w:rPr>
            </w:pPr>
          </w:p>
        </w:tc>
        <w:tc>
          <w:tcPr>
            <w:tcW w:w="188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$10,882,175</w:t>
            </w:r>
          </w:p>
        </w:tc>
        <w:tc>
          <w:tcPr>
            <w:tcW w:w="178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P68</w:t>
      </w:r>
    </w:p>
    <w:p>
      <w:pPr>
        <w:sectPr>
          <w:pgSz w:w="11900" w:h="16838" w:orient="portrait"/>
          <w:cols w:equalWidth="0" w:num="1">
            <w:col w:w="11120"/>
          </w:cols>
          <w:pgMar w:left="320" w:top="881" w:right="459" w:bottom="1440" w:gutter="0" w:footer="0" w:header="0"/>
        </w:sectPr>
      </w:pPr>
    </w:p>
    <w:bookmarkStart w:id="73" w:name="page74"/>
    <w:bookmarkEnd w:id="73"/>
    <w:p>
      <w:pPr>
        <w:ind w:left="93" w:hanging="93"/>
        <w:spacing w:after="0"/>
        <w:tabs>
          <w:tab w:leader="none" w:pos="93"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The following standard actuarial assumptions were used to calculate the present value of each individual’s accumulated pension benefit:</w:t>
      </w:r>
    </w:p>
    <w:p>
      <w:pPr>
        <w:sectPr>
          <w:pgSz w:w="11900" w:h="16838" w:orient="portrait"/>
          <w:cols w:equalWidth="0" w:num="1">
            <w:col w:w="11273"/>
          </w:cols>
          <w:pgMar w:left="247" w:top="864" w:right="379" w:bottom="1440" w:gutter="0" w:footer="0" w:header="0"/>
        </w:sectPr>
      </w:pPr>
    </w:p>
    <w:p>
      <w:pPr>
        <w:spacing w:after="0" w:line="128" w:lineRule="exact"/>
        <w:rPr>
          <w:sz w:val="20"/>
          <w:szCs w:val="20"/>
          <w:color w:val="auto"/>
        </w:rPr>
      </w:pPr>
    </w:p>
    <w:p>
      <w:pPr>
        <w:ind w:left="313"/>
        <w:spacing w:after="0"/>
        <w:rPr>
          <w:sz w:val="20"/>
          <w:szCs w:val="20"/>
          <w:color w:val="auto"/>
        </w:rPr>
      </w:pPr>
      <w:r>
        <w:rPr>
          <w:rFonts w:ascii="Arial" w:cs="Arial" w:eastAsia="Arial" w:hAnsi="Arial"/>
          <w:sz w:val="14"/>
          <w:szCs w:val="14"/>
          <w:b w:val="1"/>
          <w:bCs w:val="1"/>
          <w:color w:val="00ABE8"/>
        </w:rPr>
        <w:t>Discount rate:</w:t>
      </w:r>
    </w:p>
    <w:p>
      <w:pPr>
        <w:spacing w:after="0" w:line="55" w:lineRule="exact"/>
        <w:rPr>
          <w:sz w:val="20"/>
          <w:szCs w:val="20"/>
          <w:color w:val="auto"/>
        </w:rPr>
      </w:pPr>
    </w:p>
    <w:p>
      <w:pPr>
        <w:ind w:left="313"/>
        <w:spacing w:after="0"/>
        <w:rPr>
          <w:sz w:val="20"/>
          <w:szCs w:val="20"/>
          <w:color w:val="auto"/>
        </w:rPr>
      </w:pPr>
      <w:r>
        <w:rPr>
          <w:rFonts w:ascii="Arial" w:cs="Arial" w:eastAsia="Arial" w:hAnsi="Arial"/>
          <w:sz w:val="14"/>
          <w:szCs w:val="14"/>
          <w:b w:val="1"/>
          <w:bCs w:val="1"/>
          <w:color w:val="00ABE8"/>
        </w:rPr>
        <w:t>Mortality (post-retirement decrement only):</w:t>
      </w:r>
    </w:p>
    <w:p>
      <w:pPr>
        <w:spacing w:after="0" w:line="55" w:lineRule="exact"/>
        <w:rPr>
          <w:sz w:val="20"/>
          <w:szCs w:val="20"/>
          <w:color w:val="auto"/>
        </w:rPr>
      </w:pPr>
    </w:p>
    <w:p>
      <w:pPr>
        <w:ind w:left="313"/>
        <w:spacing w:after="0"/>
        <w:rPr>
          <w:sz w:val="20"/>
          <w:szCs w:val="20"/>
          <w:color w:val="auto"/>
        </w:rPr>
      </w:pPr>
      <w:r>
        <w:rPr>
          <w:rFonts w:ascii="Arial" w:cs="Arial" w:eastAsia="Arial" w:hAnsi="Arial"/>
          <w:sz w:val="14"/>
          <w:szCs w:val="14"/>
          <w:b w:val="1"/>
          <w:bCs w:val="1"/>
          <w:color w:val="00ABE8"/>
        </w:rPr>
        <w:t>Pre-2010 joint and survivor benefit (% of pension):</w:t>
      </w:r>
    </w:p>
    <w:p>
      <w:pPr>
        <w:spacing w:after="0" w:line="55" w:lineRule="exact"/>
        <w:rPr>
          <w:sz w:val="20"/>
          <w:szCs w:val="20"/>
          <w:color w:val="auto"/>
        </w:rPr>
      </w:pPr>
    </w:p>
    <w:p>
      <w:pPr>
        <w:ind w:left="313"/>
        <w:spacing w:after="0"/>
        <w:rPr>
          <w:sz w:val="20"/>
          <w:szCs w:val="20"/>
          <w:color w:val="auto"/>
        </w:rPr>
      </w:pPr>
      <w:r>
        <w:rPr>
          <w:rFonts w:ascii="Arial" w:cs="Arial" w:eastAsia="Arial" w:hAnsi="Arial"/>
          <w:sz w:val="14"/>
          <w:szCs w:val="14"/>
          <w:b w:val="1"/>
          <w:bCs w:val="1"/>
          <w:color w:val="00ABE8"/>
        </w:rPr>
        <w:t>Post-2009 benefit payment form:</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2.85 percent for the qualified plan and 2.57 percent for nonqualified plan</w:t>
      </w:r>
    </w:p>
    <w:p>
      <w:pPr>
        <w:spacing w:after="0" w:line="55" w:lineRule="exact"/>
        <w:rPr>
          <w:sz w:val="20"/>
          <w:szCs w:val="20"/>
          <w:color w:val="auto"/>
        </w:rPr>
      </w:pPr>
    </w:p>
    <w:p>
      <w:pPr>
        <w:ind w:right="1580"/>
        <w:spacing w:after="0" w:line="360" w:lineRule="auto"/>
        <w:rPr>
          <w:sz w:val="20"/>
          <w:szCs w:val="20"/>
          <w:color w:val="auto"/>
        </w:rPr>
      </w:pPr>
      <w:r>
        <w:rPr>
          <w:rFonts w:ascii="Arial" w:cs="Arial" w:eastAsia="Arial" w:hAnsi="Arial"/>
          <w:sz w:val="14"/>
          <w:szCs w:val="14"/>
          <w:color w:val="auto"/>
        </w:rPr>
        <w:t>Private 2012 white collar table with generational projection using Scale MP-2020 50 percent until age 62; 25 percent thereafter Life annuity</w:t>
      </w:r>
    </w:p>
    <w:p>
      <w:pPr>
        <w:spacing w:after="0" w:line="278" w:lineRule="exact"/>
        <w:rPr>
          <w:sz w:val="20"/>
          <w:szCs w:val="20"/>
          <w:color w:val="auto"/>
        </w:rPr>
      </w:pPr>
    </w:p>
    <w:p>
      <w:pPr>
        <w:sectPr>
          <w:pgSz w:w="11900" w:h="16838" w:orient="portrait"/>
          <w:cols w:equalWidth="0" w:num="2">
            <w:col w:w="3853" w:space="720"/>
            <w:col w:w="6700"/>
          </w:cols>
          <w:pgMar w:left="247" w:top="864" w:right="379" w:bottom="1440" w:gutter="0" w:footer="0" w:header="0"/>
          <w:type w:val="continuous"/>
        </w:sectPr>
      </w:pPr>
    </w:p>
    <w:p>
      <w:pPr>
        <w:spacing w:after="0" w:line="5" w:lineRule="exact"/>
        <w:rPr>
          <w:sz w:val="20"/>
          <w:szCs w:val="20"/>
          <w:color w:val="auto"/>
        </w:rPr>
      </w:pPr>
    </w:p>
    <w:p>
      <w:pPr>
        <w:ind w:left="73"/>
        <w:spacing w:after="0" w:line="253" w:lineRule="auto"/>
        <w:rPr>
          <w:sz w:val="20"/>
          <w:szCs w:val="20"/>
          <w:color w:val="auto"/>
        </w:rPr>
      </w:pPr>
      <w:r>
        <w:rPr>
          <w:rFonts w:ascii="Arial" w:cs="Arial" w:eastAsia="Arial" w:hAnsi="Arial"/>
          <w:sz w:val="16"/>
          <w:szCs w:val="16"/>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10 calendar years of service (final average earnings).</w:t>
      </w:r>
    </w:p>
    <w:p>
      <w:pPr>
        <w:spacing w:after="0" w:line="200" w:lineRule="exact"/>
        <w:rPr>
          <w:sz w:val="20"/>
          <w:szCs w:val="20"/>
          <w:color w:val="auto"/>
        </w:rPr>
      </w:pPr>
    </w:p>
    <w:p>
      <w:pPr>
        <w:ind w:left="73"/>
        <w:spacing w:after="0" w:line="250" w:lineRule="auto"/>
        <w:rPr>
          <w:sz w:val="20"/>
          <w:szCs w:val="20"/>
          <w:color w:val="auto"/>
        </w:rPr>
      </w:pPr>
      <w:r>
        <w:rPr>
          <w:rFonts w:ascii="Arial" w:cs="Arial" w:eastAsia="Arial" w:hAnsi="Arial"/>
          <w:sz w:val="17"/>
          <w:szCs w:val="17"/>
          <w:b w:val="1"/>
          <w:bCs w:val="1"/>
          <w:color w:val="00ABE8"/>
        </w:rPr>
        <w:t xml:space="preserve">Post-2009 Plan Information: </w:t>
      </w:r>
      <w:r>
        <w:rPr>
          <w:rFonts w:ascii="Arial" w:cs="Arial" w:eastAsia="Arial" w:hAnsi="Arial"/>
          <w:sz w:val="16"/>
          <w:szCs w:val="16"/>
          <w:color w:val="000000"/>
        </w:rPr>
        <w:t>Following amendment of our Retirement Plan formulas, employees hired on or after February 1, 2008, have accrued</w:t>
      </w:r>
      <w:r>
        <w:rPr>
          <w:rFonts w:ascii="Arial" w:cs="Arial" w:eastAsia="Arial" w:hAnsi="Arial"/>
          <w:sz w:val="17"/>
          <w:szCs w:val="17"/>
          <w:b w:val="1"/>
          <w:bCs w:val="1"/>
          <w:color w:val="00ABE8"/>
        </w:rPr>
        <w:t xml:space="preserve"> </w:t>
      </w:r>
      <w:r>
        <w:rPr>
          <w:rFonts w:ascii="Arial" w:cs="Arial" w:eastAsia="Arial" w:hAnsi="Arial"/>
          <w:sz w:val="16"/>
          <w:szCs w:val="16"/>
          <w:color w:val="000000"/>
        </w:rPr>
        <w:t>retirement benefits only under the new plan formula. Employees hired before that date have accrued benefits under both the old and new plan formulas. All eligible employees, including those hired on or after February 1, 2008, can retire at age 65 with at least five years of service and receive an unreduced benefit. The annual benefit under the new plan formula is equal to 1.2 percent of final average earnings multiplied by years of service. Early retirement benefits under this plan formula are reduced six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three percent for each year from age 65 to age 60 and six percent for each year under age 60. Mr. Ricks, Mr. Smiley, and Mr. Zulueta are in this transition group.</w:t>
      </w:r>
    </w:p>
    <w:p>
      <w:pPr>
        <w:spacing w:after="0" w:line="400" w:lineRule="exact"/>
        <w:rPr>
          <w:sz w:val="20"/>
          <w:szCs w:val="20"/>
          <w:color w:val="auto"/>
        </w:rPr>
      </w:pPr>
    </w:p>
    <w:p>
      <w:pPr>
        <w:ind w:left="73" w:right="200"/>
        <w:spacing w:after="0" w:line="253" w:lineRule="auto"/>
        <w:rPr>
          <w:sz w:val="20"/>
          <w:szCs w:val="20"/>
          <w:color w:val="auto"/>
        </w:rPr>
      </w:pPr>
      <w:r>
        <w:rPr>
          <w:rFonts w:ascii="Arial" w:cs="Arial" w:eastAsia="Arial" w:hAnsi="Arial"/>
          <w:sz w:val="17"/>
          <w:szCs w:val="17"/>
          <w:b w:val="1"/>
          <w:bCs w:val="1"/>
          <w:color w:val="00ABE8"/>
        </w:rPr>
        <w:t xml:space="preserve">Pre-2010 Plan Information: </w:t>
      </w:r>
      <w:r>
        <w:rPr>
          <w:rFonts w:ascii="Arial" w:cs="Arial" w:eastAsia="Arial" w:hAnsi="Arial"/>
          <w:sz w:val="16"/>
          <w:szCs w:val="16"/>
          <w:color w:val="000000"/>
        </w:rPr>
        <w:t>Employees hired prior to February 1, 2008, accrued benefits under both plan formulas. For these employees, benefits that</w:t>
      </w:r>
      <w:r>
        <w:rPr>
          <w:rFonts w:ascii="Arial" w:cs="Arial" w:eastAsia="Arial" w:hAnsi="Arial"/>
          <w:sz w:val="17"/>
          <w:szCs w:val="17"/>
          <w:b w:val="1"/>
          <w:bCs w:val="1"/>
          <w:color w:val="00ABE8"/>
        </w:rPr>
        <w:t xml:space="preserve"> </w:t>
      </w:r>
      <w:r>
        <w:rPr>
          <w:rFonts w:ascii="Arial" w:cs="Arial" w:eastAsia="Arial" w:hAnsi="Arial"/>
          <w:sz w:val="16"/>
          <w:szCs w:val="16"/>
          <w:color w:val="000000"/>
        </w:rPr>
        <w:t>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42" w:lineRule="exact"/>
        <w:rPr>
          <w:sz w:val="20"/>
          <w:szCs w:val="20"/>
          <w:color w:val="auto"/>
        </w:rPr>
      </w:pPr>
    </w:p>
    <w:p>
      <w:pPr>
        <w:ind w:left="373" w:hanging="292"/>
        <w:spacing w:after="0"/>
        <w:tabs>
          <w:tab w:leader="none" w:pos="37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benefit for employees with between 80 and 90 points is reduced by three percent for each year before the earlier of 90 points or age 62.</w:t>
      </w:r>
    </w:p>
    <w:p>
      <w:pPr>
        <w:spacing w:after="0" w:line="5" w:lineRule="exact"/>
        <w:rPr>
          <w:rFonts w:ascii="Arial" w:cs="Arial" w:eastAsia="Arial" w:hAnsi="Arial"/>
          <w:sz w:val="16"/>
          <w:szCs w:val="16"/>
          <w:color w:val="auto"/>
        </w:rPr>
      </w:pPr>
    </w:p>
    <w:p>
      <w:pPr>
        <w:ind w:left="413" w:hanging="332"/>
        <w:spacing w:after="0" w:line="260" w:lineRule="auto"/>
        <w:tabs>
          <w:tab w:leader="none" w:pos="37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benefit for employees who have fewer than 80 points, but who reached age 55 and have at least 10 years of service, is reduced as described above and is further reduced by six percent for each year before the earlier of 80 points or age 65.</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20"/>
          <w:szCs w:val="20"/>
          <w:b w:val="1"/>
          <w:bCs w:val="1"/>
          <w:color w:val="auto"/>
        </w:rPr>
        <w:t>Nonqualified Deferred Compensation in 2020</w:t>
      </w:r>
    </w:p>
    <w:p>
      <w:pPr>
        <w:spacing w:after="0" w:line="135" w:lineRule="exact"/>
        <w:rPr>
          <w:sz w:val="20"/>
          <w:szCs w:val="20"/>
          <w:color w:val="auto"/>
        </w:rPr>
      </w:pPr>
    </w:p>
    <w:tbl>
      <w:tblPr>
        <w:tblLayout w:type="fixed"/>
        <w:tblInd w:w="1273" w:type="dxa"/>
        <w:tblCellMar>
          <w:top w:w="0" w:type="dxa"/>
          <w:left w:w="0" w:type="dxa"/>
          <w:bottom w:w="0" w:type="dxa"/>
          <w:right w:w="0" w:type="dxa"/>
        </w:tblCellMar>
      </w:tblPr>
      <w:tr>
        <w:trPr>
          <w:trHeight w:val="270"/>
        </w:trPr>
        <w:tc>
          <w:tcPr>
            <w:tcW w:w="960" w:type="dxa"/>
            <w:vAlign w:val="bottom"/>
            <w:shd w:val="clear" w:color="auto" w:fill="C8C9CB"/>
          </w:tcPr>
          <w:p>
            <w:pPr>
              <w:spacing w:after="0"/>
              <w:rPr>
                <w:sz w:val="23"/>
                <w:szCs w:val="23"/>
                <w:color w:val="auto"/>
              </w:rPr>
            </w:pPr>
          </w:p>
        </w:tc>
        <w:tc>
          <w:tcPr>
            <w:tcW w:w="1540" w:type="dxa"/>
            <w:vAlign w:val="bottom"/>
            <w:shd w:val="clear" w:color="auto" w:fill="C8C9CB"/>
          </w:tcPr>
          <w:p>
            <w:pPr>
              <w:spacing w:after="0"/>
              <w:rPr>
                <w:sz w:val="23"/>
                <w:szCs w:val="23"/>
                <w:color w:val="auto"/>
              </w:rPr>
            </w:pPr>
          </w:p>
        </w:tc>
        <w:tc>
          <w:tcPr>
            <w:tcW w:w="1280" w:type="dxa"/>
            <w:vAlign w:val="bottom"/>
            <w:shd w:val="clear" w:color="auto" w:fill="C8C9CB"/>
          </w:tcPr>
          <w:p>
            <w:pPr>
              <w:spacing w:after="0"/>
              <w:rPr>
                <w:sz w:val="23"/>
                <w:szCs w:val="23"/>
                <w:color w:val="auto"/>
              </w:rPr>
            </w:pPr>
          </w:p>
        </w:tc>
        <w:tc>
          <w:tcPr>
            <w:tcW w:w="1280" w:type="dxa"/>
            <w:vAlign w:val="bottom"/>
            <w:shd w:val="clear" w:color="auto" w:fill="C8C9CB"/>
          </w:tcPr>
          <w:p>
            <w:pPr>
              <w:spacing w:after="0"/>
              <w:rPr>
                <w:sz w:val="23"/>
                <w:szCs w:val="23"/>
                <w:color w:val="auto"/>
              </w:rPr>
            </w:pPr>
          </w:p>
        </w:tc>
        <w:tc>
          <w:tcPr>
            <w:tcW w:w="1260" w:type="dxa"/>
            <w:vAlign w:val="bottom"/>
            <w:shd w:val="clear" w:color="auto" w:fill="C8C9CB"/>
          </w:tcPr>
          <w:p>
            <w:pPr>
              <w:spacing w:after="0"/>
              <w:rPr>
                <w:sz w:val="23"/>
                <w:szCs w:val="23"/>
                <w:color w:val="auto"/>
              </w:rPr>
            </w:pP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Aggregate</w:t>
            </w:r>
          </w:p>
        </w:tc>
        <w:tc>
          <w:tcPr>
            <w:tcW w:w="1280" w:type="dxa"/>
            <w:vAlign w:val="bottom"/>
            <w:shd w:val="clear" w:color="auto" w:fill="C8C9CB"/>
          </w:tcPr>
          <w:p>
            <w:pPr>
              <w:spacing w:after="0"/>
              <w:rPr>
                <w:sz w:val="23"/>
                <w:szCs w:val="23"/>
                <w:color w:val="auto"/>
              </w:rPr>
            </w:pPr>
          </w:p>
        </w:tc>
      </w:tr>
      <w:tr>
        <w:trPr>
          <w:trHeight w:val="162"/>
        </w:trPr>
        <w:tc>
          <w:tcPr>
            <w:tcW w:w="960" w:type="dxa"/>
            <w:vAlign w:val="bottom"/>
            <w:shd w:val="clear" w:color="auto" w:fill="C8C9CB"/>
          </w:tcPr>
          <w:p>
            <w:pPr>
              <w:spacing w:after="0"/>
              <w:rPr>
                <w:sz w:val="14"/>
                <w:szCs w:val="14"/>
                <w:color w:val="auto"/>
              </w:rPr>
            </w:pPr>
          </w:p>
        </w:tc>
        <w:tc>
          <w:tcPr>
            <w:tcW w:w="1540" w:type="dxa"/>
            <w:vAlign w:val="bottom"/>
            <w:shd w:val="clear" w:color="auto" w:fill="C8C9CB"/>
          </w:tcPr>
          <w:p>
            <w:pPr>
              <w:spacing w:after="0"/>
              <w:rPr>
                <w:sz w:val="14"/>
                <w:szCs w:val="14"/>
                <w:color w:val="auto"/>
              </w:rPr>
            </w:pP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Executive</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Registrant</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Aggregate</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Withdrawals/</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Aggregate</w:t>
            </w:r>
          </w:p>
        </w:tc>
      </w:tr>
      <w:tr>
        <w:trPr>
          <w:trHeight w:val="162"/>
        </w:trPr>
        <w:tc>
          <w:tcPr>
            <w:tcW w:w="960" w:type="dxa"/>
            <w:vAlign w:val="bottom"/>
            <w:shd w:val="clear" w:color="auto" w:fill="C8C9CB"/>
          </w:tcPr>
          <w:p>
            <w:pPr>
              <w:spacing w:after="0"/>
              <w:rPr>
                <w:sz w:val="14"/>
                <w:szCs w:val="14"/>
                <w:color w:val="auto"/>
              </w:rPr>
            </w:pPr>
          </w:p>
        </w:tc>
        <w:tc>
          <w:tcPr>
            <w:tcW w:w="1540" w:type="dxa"/>
            <w:vAlign w:val="bottom"/>
            <w:shd w:val="clear" w:color="auto" w:fill="C8C9CB"/>
          </w:tcPr>
          <w:p>
            <w:pPr>
              <w:spacing w:after="0"/>
              <w:rPr>
                <w:sz w:val="14"/>
                <w:szCs w:val="14"/>
                <w:color w:val="auto"/>
              </w:rPr>
            </w:pP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Contributions in</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Contributions in</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Earnings in</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Distributions in</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Balance at Last</w:t>
            </w:r>
          </w:p>
        </w:tc>
      </w:tr>
      <w:tr>
        <w:trPr>
          <w:trHeight w:val="162"/>
        </w:trPr>
        <w:tc>
          <w:tcPr>
            <w:tcW w:w="960" w:type="dxa"/>
            <w:vAlign w:val="bottom"/>
            <w:shd w:val="clear" w:color="auto" w:fill="C8C9CB"/>
          </w:tcPr>
          <w:p>
            <w:pPr>
              <w:spacing w:after="0"/>
              <w:rPr>
                <w:sz w:val="14"/>
                <w:szCs w:val="14"/>
                <w:color w:val="auto"/>
              </w:rPr>
            </w:pPr>
          </w:p>
        </w:tc>
        <w:tc>
          <w:tcPr>
            <w:tcW w:w="1540" w:type="dxa"/>
            <w:vAlign w:val="bottom"/>
            <w:shd w:val="clear" w:color="auto" w:fill="C8C9CB"/>
          </w:tcPr>
          <w:p>
            <w:pPr>
              <w:spacing w:after="0"/>
              <w:rPr>
                <w:sz w:val="14"/>
                <w:szCs w:val="14"/>
                <w:color w:val="auto"/>
              </w:rPr>
            </w:pP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Fiscal Year End</w:t>
            </w:r>
          </w:p>
        </w:tc>
      </w:tr>
      <w:tr>
        <w:trPr>
          <w:trHeight w:val="202"/>
        </w:trPr>
        <w:tc>
          <w:tcPr>
            <w:tcW w:w="960" w:type="dxa"/>
            <w:vAlign w:val="bottom"/>
            <w:shd w:val="clear" w:color="auto" w:fill="C8C9CB"/>
          </w:tcPr>
          <w:p>
            <w:pPr>
              <w:spacing w:after="0"/>
              <w:rPr>
                <w:sz w:val="20"/>
                <w:szCs w:val="20"/>
                <w:color w:val="auto"/>
              </w:rPr>
            </w:pPr>
            <w:r>
              <w:rPr>
                <w:rFonts w:ascii="Arial" w:cs="Arial" w:eastAsia="Arial" w:hAnsi="Arial"/>
                <w:sz w:val="14"/>
                <w:szCs w:val="14"/>
                <w:b w:val="1"/>
                <w:bCs w:val="1"/>
                <w:color w:val="00ABE8"/>
              </w:rPr>
              <w:t>Name</w:t>
            </w:r>
          </w:p>
        </w:tc>
        <w:tc>
          <w:tcPr>
            <w:tcW w:w="1540" w:type="dxa"/>
            <w:vAlign w:val="bottom"/>
            <w:shd w:val="clear" w:color="auto" w:fill="C8C9CB"/>
          </w:tcPr>
          <w:p>
            <w:pPr>
              <w:jc w:val="right"/>
              <w:ind w:right="556"/>
              <w:spacing w:after="0"/>
              <w:rPr>
                <w:sz w:val="20"/>
                <w:szCs w:val="20"/>
                <w:color w:val="auto"/>
              </w:rPr>
            </w:pPr>
            <w:r>
              <w:rPr>
                <w:rFonts w:ascii="Arial" w:cs="Arial" w:eastAsia="Arial" w:hAnsi="Arial"/>
                <w:sz w:val="14"/>
                <w:szCs w:val="14"/>
                <w:b w:val="1"/>
                <w:bCs w:val="1"/>
                <w:color w:val="00ABE8"/>
              </w:rPr>
              <w:t>Plan</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t>
            </w:r>
            <w:r>
              <w:rPr>
                <w:rFonts w:ascii="Arial" w:cs="Arial" w:eastAsia="Arial" w:hAnsi="Arial"/>
                <w:sz w:val="9"/>
                <w:szCs w:val="9"/>
                <w:b w:val="1"/>
                <w:bCs w:val="1"/>
                <w:color w:val="00ABE8"/>
              </w:rPr>
              <w:t>1</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w w:val="99"/>
              </w:rPr>
              <w:t>($)</w:t>
            </w:r>
            <w:r>
              <w:rPr>
                <w:rFonts w:ascii="Arial" w:cs="Arial" w:eastAsia="Arial" w:hAnsi="Arial"/>
                <w:sz w:val="9"/>
                <w:szCs w:val="9"/>
                <w:b w:val="1"/>
                <w:bCs w:val="1"/>
                <w:color w:val="00ABE8"/>
                <w:w w:val="99"/>
              </w:rPr>
              <w:t>2</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w w:val="93"/>
              </w:rPr>
              <w:t>($)</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w w:val="99"/>
              </w:rPr>
              <w:t>($)</w:t>
            </w:r>
            <w:r>
              <w:rPr>
                <w:rFonts w:ascii="Arial" w:cs="Arial" w:eastAsia="Arial" w:hAnsi="Arial"/>
                <w:sz w:val="9"/>
                <w:szCs w:val="9"/>
                <w:b w:val="1"/>
                <w:bCs w:val="1"/>
                <w:color w:val="00ABE8"/>
                <w:w w:val="99"/>
              </w:rPr>
              <w:t>3</w:t>
            </w:r>
          </w:p>
        </w:tc>
      </w:tr>
      <w:tr>
        <w:trPr>
          <w:trHeight w:val="200"/>
        </w:trPr>
        <w:tc>
          <w:tcPr>
            <w:tcW w:w="960" w:type="dxa"/>
            <w:vAlign w:val="bottom"/>
          </w:tcPr>
          <w:p>
            <w:pPr>
              <w:spacing w:after="0"/>
              <w:rPr>
                <w:sz w:val="20"/>
                <w:szCs w:val="20"/>
                <w:color w:val="auto"/>
              </w:rPr>
            </w:pPr>
            <w:r>
              <w:rPr>
                <w:rFonts w:ascii="Arial" w:cs="Arial" w:eastAsia="Arial" w:hAnsi="Arial"/>
                <w:sz w:val="13"/>
                <w:szCs w:val="13"/>
                <w:color w:val="auto"/>
              </w:rPr>
              <w:t>Mr. Ricks</w:t>
            </w:r>
          </w:p>
        </w:tc>
        <w:tc>
          <w:tcPr>
            <w:tcW w:w="1540" w:type="dxa"/>
            <w:vAlign w:val="bottom"/>
          </w:tcPr>
          <w:p>
            <w:pPr>
              <w:jc w:val="right"/>
              <w:spacing w:after="0"/>
              <w:rPr>
                <w:sz w:val="20"/>
                <w:szCs w:val="20"/>
                <w:color w:val="auto"/>
              </w:rPr>
            </w:pPr>
            <w:r>
              <w:rPr>
                <w:rFonts w:ascii="Arial" w:cs="Arial" w:eastAsia="Arial" w:hAnsi="Arial"/>
                <w:sz w:val="13"/>
                <w:szCs w:val="13"/>
                <w:color w:val="auto"/>
              </w:rPr>
              <w:t>nonqualified savings</w:t>
            </w:r>
          </w:p>
        </w:tc>
        <w:tc>
          <w:tcPr>
            <w:tcW w:w="1280" w:type="dxa"/>
            <w:vAlign w:val="bottom"/>
          </w:tcPr>
          <w:p>
            <w:pPr>
              <w:jc w:val="center"/>
              <w:ind w:right="175"/>
              <w:spacing w:after="0"/>
              <w:rPr>
                <w:sz w:val="20"/>
                <w:szCs w:val="20"/>
                <w:color w:val="auto"/>
              </w:rPr>
            </w:pPr>
            <w:r>
              <w:rPr>
                <w:rFonts w:ascii="Arial" w:cs="Arial" w:eastAsia="Arial" w:hAnsi="Arial"/>
                <w:sz w:val="13"/>
                <w:szCs w:val="13"/>
                <w:color w:val="auto"/>
                <w:w w:val="93"/>
              </w:rPr>
              <w:t>$71,208</w:t>
            </w:r>
          </w:p>
        </w:tc>
        <w:tc>
          <w:tcPr>
            <w:tcW w:w="1280" w:type="dxa"/>
            <w:vAlign w:val="bottom"/>
          </w:tcPr>
          <w:p>
            <w:pPr>
              <w:jc w:val="center"/>
              <w:spacing w:after="0"/>
              <w:rPr>
                <w:sz w:val="20"/>
                <w:szCs w:val="20"/>
                <w:color w:val="auto"/>
              </w:rPr>
            </w:pPr>
            <w:r>
              <w:rPr>
                <w:rFonts w:ascii="Arial" w:cs="Arial" w:eastAsia="Arial" w:hAnsi="Arial"/>
                <w:sz w:val="13"/>
                <w:szCs w:val="13"/>
                <w:color w:val="auto"/>
                <w:w w:val="97"/>
              </w:rPr>
              <w:t>$71,208</w:t>
            </w:r>
          </w:p>
        </w:tc>
        <w:tc>
          <w:tcPr>
            <w:tcW w:w="1260" w:type="dxa"/>
            <w:vAlign w:val="bottom"/>
          </w:tcPr>
          <w:p>
            <w:pPr>
              <w:jc w:val="center"/>
              <w:ind w:right="195"/>
              <w:spacing w:after="0"/>
              <w:rPr>
                <w:sz w:val="20"/>
                <w:szCs w:val="20"/>
                <w:color w:val="auto"/>
              </w:rPr>
            </w:pPr>
            <w:r>
              <w:rPr>
                <w:rFonts w:ascii="Arial" w:cs="Arial" w:eastAsia="Arial" w:hAnsi="Arial"/>
                <w:sz w:val="13"/>
                <w:szCs w:val="13"/>
                <w:color w:val="auto"/>
                <w:w w:val="95"/>
              </w:rPr>
              <w:t>$402,166</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235"/>
              <w:spacing w:after="0"/>
              <w:rPr>
                <w:sz w:val="20"/>
                <w:szCs w:val="20"/>
                <w:color w:val="auto"/>
              </w:rPr>
            </w:pPr>
            <w:r>
              <w:rPr>
                <w:rFonts w:ascii="Arial" w:cs="Arial" w:eastAsia="Arial" w:hAnsi="Arial"/>
                <w:sz w:val="13"/>
                <w:szCs w:val="13"/>
                <w:color w:val="auto"/>
                <w:w w:val="95"/>
              </w:rPr>
              <w:t>$1,845,546</w:t>
            </w:r>
          </w:p>
        </w:tc>
      </w:tr>
      <w:tr>
        <w:trPr>
          <w:trHeight w:val="216"/>
        </w:trPr>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deferred compensation</w:t>
            </w:r>
          </w:p>
        </w:tc>
        <w:tc>
          <w:tcPr>
            <w:tcW w:w="1280" w:type="dxa"/>
            <w:vAlign w:val="bottom"/>
          </w:tcPr>
          <w:p>
            <w:pPr>
              <w:jc w:val="center"/>
              <w:ind w:right="155"/>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60" w:type="dxa"/>
            <w:vAlign w:val="bottom"/>
          </w:tcPr>
          <w:p>
            <w:pPr>
              <w:jc w:val="center"/>
              <w:ind w:right="215"/>
              <w:spacing w:after="0"/>
              <w:rPr>
                <w:sz w:val="20"/>
                <w:szCs w:val="20"/>
                <w:color w:val="auto"/>
              </w:rPr>
            </w:pPr>
            <w:r>
              <w:rPr>
                <w:rFonts w:ascii="Arial" w:cs="Arial" w:eastAsia="Arial" w:hAnsi="Arial"/>
                <w:sz w:val="13"/>
                <w:szCs w:val="13"/>
                <w:color w:val="auto"/>
                <w:w w:val="96"/>
              </w:rPr>
              <w:t>$0</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235"/>
              <w:spacing w:after="0"/>
              <w:rPr>
                <w:sz w:val="20"/>
                <w:szCs w:val="20"/>
                <w:color w:val="auto"/>
              </w:rPr>
            </w:pPr>
            <w:r>
              <w:rPr>
                <w:rFonts w:ascii="Arial" w:cs="Arial" w:eastAsia="Arial" w:hAnsi="Arial"/>
                <w:sz w:val="13"/>
                <w:szCs w:val="13"/>
                <w:color w:val="auto"/>
                <w:w w:val="96"/>
              </w:rPr>
              <w:t>$0</w:t>
            </w:r>
          </w:p>
        </w:tc>
      </w:tr>
      <w:tr>
        <w:trPr>
          <w:trHeight w:val="225"/>
        </w:trPr>
        <w:tc>
          <w:tcPr>
            <w:tcW w:w="960" w:type="dxa"/>
            <w:vAlign w:val="bottom"/>
            <w:tcBorders>
              <w:bottom w:val="single" w:sz="8" w:color="C8C9CB"/>
            </w:tcBorders>
          </w:tcPr>
          <w:p>
            <w:pPr>
              <w:spacing w:after="0"/>
              <w:rPr>
                <w:sz w:val="19"/>
                <w:szCs w:val="19"/>
                <w:color w:val="auto"/>
              </w:rPr>
            </w:pPr>
          </w:p>
        </w:tc>
        <w:tc>
          <w:tcPr>
            <w:tcW w:w="1540" w:type="dxa"/>
            <w:vAlign w:val="bottom"/>
            <w:tcBorders>
              <w:bottom w:val="single" w:sz="8" w:color="C8C9CB"/>
            </w:tcBorders>
          </w:tcPr>
          <w:p>
            <w:pPr>
              <w:jc w:val="right"/>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C8C9CB"/>
            </w:tcBorders>
          </w:tcPr>
          <w:p>
            <w:pPr>
              <w:jc w:val="center"/>
              <w:ind w:right="175"/>
              <w:spacing w:after="0"/>
              <w:rPr>
                <w:sz w:val="20"/>
                <w:szCs w:val="20"/>
                <w:color w:val="auto"/>
              </w:rPr>
            </w:pPr>
            <w:r>
              <w:rPr>
                <w:rFonts w:ascii="Arial" w:cs="Arial" w:eastAsia="Arial" w:hAnsi="Arial"/>
                <w:sz w:val="13"/>
                <w:szCs w:val="13"/>
                <w:color w:val="auto"/>
                <w:w w:val="93"/>
              </w:rPr>
              <w:t>$71,208</w:t>
            </w:r>
          </w:p>
        </w:tc>
        <w:tc>
          <w:tcPr>
            <w:tcW w:w="128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7"/>
              </w:rPr>
              <w:t>$71,208</w:t>
            </w:r>
          </w:p>
        </w:tc>
        <w:tc>
          <w:tcPr>
            <w:tcW w:w="1260" w:type="dxa"/>
            <w:vAlign w:val="bottom"/>
            <w:tcBorders>
              <w:bottom w:val="single" w:sz="8" w:color="C8C9CB"/>
            </w:tcBorders>
          </w:tcPr>
          <w:p>
            <w:pPr>
              <w:jc w:val="center"/>
              <w:ind w:right="195"/>
              <w:spacing w:after="0"/>
              <w:rPr>
                <w:sz w:val="20"/>
                <w:szCs w:val="20"/>
                <w:color w:val="auto"/>
              </w:rPr>
            </w:pPr>
            <w:r>
              <w:rPr>
                <w:rFonts w:ascii="Arial" w:cs="Arial" w:eastAsia="Arial" w:hAnsi="Arial"/>
                <w:sz w:val="13"/>
                <w:szCs w:val="13"/>
                <w:color w:val="auto"/>
                <w:w w:val="95"/>
              </w:rPr>
              <w:t>$402,166</w:t>
            </w:r>
          </w:p>
        </w:tc>
        <w:tc>
          <w:tcPr>
            <w:tcW w:w="12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tcPr>
          <w:p>
            <w:pPr>
              <w:jc w:val="center"/>
              <w:ind w:right="235"/>
              <w:spacing w:after="0"/>
              <w:rPr>
                <w:sz w:val="20"/>
                <w:szCs w:val="20"/>
                <w:color w:val="auto"/>
              </w:rPr>
            </w:pPr>
            <w:r>
              <w:rPr>
                <w:rFonts w:ascii="Arial" w:cs="Arial" w:eastAsia="Arial" w:hAnsi="Arial"/>
                <w:sz w:val="13"/>
                <w:szCs w:val="13"/>
                <w:color w:val="auto"/>
                <w:w w:val="95"/>
              </w:rPr>
              <w:t>$1,845,546</w:t>
            </w:r>
          </w:p>
        </w:tc>
      </w:tr>
      <w:tr>
        <w:trPr>
          <w:trHeight w:val="186"/>
        </w:trPr>
        <w:tc>
          <w:tcPr>
            <w:tcW w:w="960" w:type="dxa"/>
            <w:vAlign w:val="bottom"/>
            <w:shd w:val="clear" w:color="auto" w:fill="F4F6F6"/>
          </w:tcPr>
          <w:p>
            <w:pPr>
              <w:spacing w:after="0"/>
              <w:rPr>
                <w:sz w:val="20"/>
                <w:szCs w:val="20"/>
                <w:color w:val="auto"/>
              </w:rPr>
            </w:pPr>
            <w:r>
              <w:rPr>
                <w:rFonts w:ascii="Arial" w:cs="Arial" w:eastAsia="Arial" w:hAnsi="Arial"/>
                <w:sz w:val="13"/>
                <w:szCs w:val="13"/>
                <w:color w:val="auto"/>
              </w:rPr>
              <w:t>Mr. Smiley</w:t>
            </w: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nonqualified savings</w:t>
            </w:r>
          </w:p>
        </w:tc>
        <w:tc>
          <w:tcPr>
            <w:tcW w:w="1280" w:type="dxa"/>
            <w:vAlign w:val="bottom"/>
            <w:shd w:val="clear" w:color="auto" w:fill="F4F6F6"/>
          </w:tcPr>
          <w:p>
            <w:pPr>
              <w:jc w:val="center"/>
              <w:ind w:right="175"/>
              <w:spacing w:after="0"/>
              <w:rPr>
                <w:sz w:val="20"/>
                <w:szCs w:val="20"/>
                <w:color w:val="auto"/>
              </w:rPr>
            </w:pPr>
            <w:r>
              <w:rPr>
                <w:rFonts w:ascii="Arial" w:cs="Arial" w:eastAsia="Arial" w:hAnsi="Arial"/>
                <w:sz w:val="13"/>
                <w:szCs w:val="13"/>
                <w:color w:val="auto"/>
                <w:w w:val="93"/>
              </w:rPr>
              <w:t>$41,439</w:t>
            </w:r>
          </w:p>
        </w:tc>
        <w:tc>
          <w:tcPr>
            <w:tcW w:w="12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$41,439</w:t>
            </w:r>
          </w:p>
        </w:tc>
        <w:tc>
          <w:tcPr>
            <w:tcW w:w="1260" w:type="dxa"/>
            <w:vAlign w:val="bottom"/>
            <w:shd w:val="clear" w:color="auto" w:fill="F4F6F6"/>
          </w:tcPr>
          <w:p>
            <w:pPr>
              <w:jc w:val="center"/>
              <w:ind w:right="195"/>
              <w:spacing w:after="0"/>
              <w:rPr>
                <w:sz w:val="20"/>
                <w:szCs w:val="20"/>
                <w:color w:val="auto"/>
              </w:rPr>
            </w:pPr>
            <w:r>
              <w:rPr>
                <w:rFonts w:ascii="Arial" w:cs="Arial" w:eastAsia="Arial" w:hAnsi="Arial"/>
                <w:sz w:val="13"/>
                <w:szCs w:val="13"/>
                <w:color w:val="auto"/>
                <w:w w:val="95"/>
              </w:rPr>
              <w:t>$101,324</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235"/>
              <w:spacing w:after="0"/>
              <w:rPr>
                <w:sz w:val="20"/>
                <w:szCs w:val="20"/>
                <w:color w:val="auto"/>
              </w:rPr>
            </w:pPr>
            <w:r>
              <w:rPr>
                <w:rFonts w:ascii="Arial" w:cs="Arial" w:eastAsia="Arial" w:hAnsi="Arial"/>
                <w:sz w:val="13"/>
                <w:szCs w:val="13"/>
                <w:color w:val="auto"/>
                <w:w w:val="99"/>
              </w:rPr>
              <w:t>$613,038</w:t>
            </w:r>
          </w:p>
        </w:tc>
      </w:tr>
      <w:tr>
        <w:trPr>
          <w:trHeight w:val="216"/>
        </w:trPr>
        <w:tc>
          <w:tcPr>
            <w:tcW w:w="960" w:type="dxa"/>
            <w:vAlign w:val="bottom"/>
            <w:shd w:val="clear" w:color="auto" w:fill="F4F6F6"/>
          </w:tcPr>
          <w:p>
            <w:pPr>
              <w:spacing w:after="0"/>
              <w:rPr>
                <w:sz w:val="18"/>
                <w:szCs w:val="18"/>
                <w:color w:val="auto"/>
              </w:rPr>
            </w:pP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deferred compensation</w:t>
            </w:r>
          </w:p>
        </w:tc>
        <w:tc>
          <w:tcPr>
            <w:tcW w:w="128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60" w:type="dxa"/>
            <w:vAlign w:val="bottom"/>
            <w:shd w:val="clear" w:color="auto" w:fill="F4F6F6"/>
          </w:tcPr>
          <w:p>
            <w:pPr>
              <w:jc w:val="center"/>
              <w:ind w:right="215"/>
              <w:spacing w:after="0"/>
              <w:rPr>
                <w:sz w:val="20"/>
                <w:szCs w:val="20"/>
                <w:color w:val="auto"/>
              </w:rPr>
            </w:pPr>
            <w:r>
              <w:rPr>
                <w:rFonts w:ascii="Arial" w:cs="Arial" w:eastAsia="Arial" w:hAnsi="Arial"/>
                <w:sz w:val="13"/>
                <w:szCs w:val="13"/>
                <w:color w:val="auto"/>
                <w:w w:val="96"/>
              </w:rPr>
              <w:t>$0</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235"/>
              <w:spacing w:after="0"/>
              <w:rPr>
                <w:sz w:val="20"/>
                <w:szCs w:val="20"/>
                <w:color w:val="auto"/>
              </w:rPr>
            </w:pPr>
            <w:r>
              <w:rPr>
                <w:rFonts w:ascii="Arial" w:cs="Arial" w:eastAsia="Arial" w:hAnsi="Arial"/>
                <w:sz w:val="13"/>
                <w:szCs w:val="13"/>
                <w:color w:val="auto"/>
                <w:w w:val="96"/>
              </w:rPr>
              <w:t>$0</w:t>
            </w:r>
          </w:p>
        </w:tc>
      </w:tr>
      <w:tr>
        <w:trPr>
          <w:trHeight w:val="225"/>
        </w:trPr>
        <w:tc>
          <w:tcPr>
            <w:tcW w:w="960" w:type="dxa"/>
            <w:vAlign w:val="bottom"/>
            <w:tcBorders>
              <w:bottom w:val="single" w:sz="8" w:color="C8C9CB"/>
            </w:tcBorders>
            <w:shd w:val="clear" w:color="auto" w:fill="F4F6F6"/>
          </w:tcPr>
          <w:p>
            <w:pPr>
              <w:spacing w:after="0"/>
              <w:rPr>
                <w:sz w:val="19"/>
                <w:szCs w:val="19"/>
                <w:color w:val="auto"/>
              </w:rPr>
            </w:pPr>
          </w:p>
        </w:tc>
        <w:tc>
          <w:tcPr>
            <w:tcW w:w="15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C8C9CB"/>
            </w:tcBorders>
            <w:shd w:val="clear" w:color="auto" w:fill="F4F6F6"/>
          </w:tcPr>
          <w:p>
            <w:pPr>
              <w:jc w:val="center"/>
              <w:ind w:right="175"/>
              <w:spacing w:after="0"/>
              <w:rPr>
                <w:sz w:val="20"/>
                <w:szCs w:val="20"/>
                <w:color w:val="auto"/>
              </w:rPr>
            </w:pPr>
            <w:r>
              <w:rPr>
                <w:rFonts w:ascii="Arial" w:cs="Arial" w:eastAsia="Arial" w:hAnsi="Arial"/>
                <w:sz w:val="13"/>
                <w:szCs w:val="13"/>
                <w:color w:val="auto"/>
                <w:w w:val="93"/>
              </w:rPr>
              <w:t>$41,439</w:t>
            </w:r>
          </w:p>
        </w:tc>
        <w:tc>
          <w:tcPr>
            <w:tcW w:w="128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$41,439</w:t>
            </w:r>
          </w:p>
        </w:tc>
        <w:tc>
          <w:tcPr>
            <w:tcW w:w="1260" w:type="dxa"/>
            <w:vAlign w:val="bottom"/>
            <w:tcBorders>
              <w:bottom w:val="single" w:sz="8" w:color="C8C9CB"/>
            </w:tcBorders>
            <w:shd w:val="clear" w:color="auto" w:fill="F4F6F6"/>
          </w:tcPr>
          <w:p>
            <w:pPr>
              <w:jc w:val="center"/>
              <w:ind w:right="195"/>
              <w:spacing w:after="0"/>
              <w:rPr>
                <w:sz w:val="20"/>
                <w:szCs w:val="20"/>
                <w:color w:val="auto"/>
              </w:rPr>
            </w:pPr>
            <w:r>
              <w:rPr>
                <w:rFonts w:ascii="Arial" w:cs="Arial" w:eastAsia="Arial" w:hAnsi="Arial"/>
                <w:sz w:val="13"/>
                <w:szCs w:val="13"/>
                <w:color w:val="auto"/>
                <w:w w:val="95"/>
              </w:rPr>
              <w:t>$101,324</w:t>
            </w:r>
          </w:p>
        </w:tc>
        <w:tc>
          <w:tcPr>
            <w:tcW w:w="12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shd w:val="clear" w:color="auto" w:fill="F4F6F6"/>
          </w:tcPr>
          <w:p>
            <w:pPr>
              <w:jc w:val="center"/>
              <w:ind w:right="235"/>
              <w:spacing w:after="0"/>
              <w:rPr>
                <w:sz w:val="20"/>
                <w:szCs w:val="20"/>
                <w:color w:val="auto"/>
              </w:rPr>
            </w:pPr>
            <w:r>
              <w:rPr>
                <w:rFonts w:ascii="Arial" w:cs="Arial" w:eastAsia="Arial" w:hAnsi="Arial"/>
                <w:sz w:val="13"/>
                <w:szCs w:val="13"/>
                <w:color w:val="auto"/>
                <w:w w:val="99"/>
              </w:rPr>
              <w:t>$613,038</w:t>
            </w:r>
          </w:p>
        </w:tc>
      </w:tr>
      <w:tr>
        <w:trPr>
          <w:trHeight w:val="186"/>
        </w:trPr>
        <w:tc>
          <w:tcPr>
            <w:tcW w:w="960" w:type="dxa"/>
            <w:vAlign w:val="bottom"/>
          </w:tcPr>
          <w:p>
            <w:pPr>
              <w:spacing w:after="0"/>
              <w:rPr>
                <w:sz w:val="20"/>
                <w:szCs w:val="20"/>
                <w:color w:val="auto"/>
              </w:rPr>
            </w:pPr>
            <w:r>
              <w:rPr>
                <w:rFonts w:ascii="Arial" w:cs="Arial" w:eastAsia="Arial" w:hAnsi="Arial"/>
                <w:sz w:val="13"/>
                <w:szCs w:val="13"/>
                <w:color w:val="auto"/>
              </w:rPr>
              <w:t>Dr. Skovronsky</w:t>
            </w:r>
          </w:p>
        </w:tc>
        <w:tc>
          <w:tcPr>
            <w:tcW w:w="1540" w:type="dxa"/>
            <w:vAlign w:val="bottom"/>
          </w:tcPr>
          <w:p>
            <w:pPr>
              <w:jc w:val="right"/>
              <w:spacing w:after="0"/>
              <w:rPr>
                <w:sz w:val="20"/>
                <w:szCs w:val="20"/>
                <w:color w:val="auto"/>
              </w:rPr>
            </w:pPr>
            <w:r>
              <w:rPr>
                <w:rFonts w:ascii="Arial" w:cs="Arial" w:eastAsia="Arial" w:hAnsi="Arial"/>
                <w:sz w:val="13"/>
                <w:szCs w:val="13"/>
                <w:color w:val="auto"/>
              </w:rPr>
              <w:t>nonqualified savings</w:t>
            </w:r>
          </w:p>
        </w:tc>
        <w:tc>
          <w:tcPr>
            <w:tcW w:w="1280" w:type="dxa"/>
            <w:vAlign w:val="bottom"/>
          </w:tcPr>
          <w:p>
            <w:pPr>
              <w:jc w:val="center"/>
              <w:ind w:right="175"/>
              <w:spacing w:after="0"/>
              <w:rPr>
                <w:sz w:val="20"/>
                <w:szCs w:val="20"/>
                <w:color w:val="auto"/>
              </w:rPr>
            </w:pPr>
            <w:r>
              <w:rPr>
                <w:rFonts w:ascii="Arial" w:cs="Arial" w:eastAsia="Arial" w:hAnsi="Arial"/>
                <w:sz w:val="13"/>
                <w:szCs w:val="13"/>
                <w:color w:val="auto"/>
                <w:w w:val="93"/>
              </w:rPr>
              <w:t>$41,439</w:t>
            </w:r>
          </w:p>
        </w:tc>
        <w:tc>
          <w:tcPr>
            <w:tcW w:w="1280" w:type="dxa"/>
            <w:vAlign w:val="bottom"/>
          </w:tcPr>
          <w:p>
            <w:pPr>
              <w:jc w:val="center"/>
              <w:spacing w:after="0"/>
              <w:rPr>
                <w:sz w:val="20"/>
                <w:szCs w:val="20"/>
                <w:color w:val="auto"/>
              </w:rPr>
            </w:pPr>
            <w:r>
              <w:rPr>
                <w:rFonts w:ascii="Arial" w:cs="Arial" w:eastAsia="Arial" w:hAnsi="Arial"/>
                <w:sz w:val="13"/>
                <w:szCs w:val="13"/>
                <w:color w:val="auto"/>
                <w:w w:val="97"/>
              </w:rPr>
              <w:t>$41,439</w:t>
            </w:r>
          </w:p>
        </w:tc>
        <w:tc>
          <w:tcPr>
            <w:tcW w:w="1260" w:type="dxa"/>
            <w:vAlign w:val="bottom"/>
          </w:tcPr>
          <w:p>
            <w:pPr>
              <w:jc w:val="center"/>
              <w:ind w:right="195"/>
              <w:spacing w:after="0"/>
              <w:rPr>
                <w:sz w:val="20"/>
                <w:szCs w:val="20"/>
                <w:color w:val="auto"/>
              </w:rPr>
            </w:pPr>
            <w:r>
              <w:rPr>
                <w:rFonts w:ascii="Arial" w:cs="Arial" w:eastAsia="Arial" w:hAnsi="Arial"/>
                <w:sz w:val="13"/>
                <w:szCs w:val="13"/>
                <w:color w:val="auto"/>
                <w:w w:val="95"/>
              </w:rPr>
              <w:t>$110,789</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235"/>
              <w:spacing w:after="0"/>
              <w:rPr>
                <w:sz w:val="20"/>
                <w:szCs w:val="20"/>
                <w:color w:val="auto"/>
              </w:rPr>
            </w:pPr>
            <w:r>
              <w:rPr>
                <w:rFonts w:ascii="Arial" w:cs="Arial" w:eastAsia="Arial" w:hAnsi="Arial"/>
                <w:sz w:val="13"/>
                <w:szCs w:val="13"/>
                <w:color w:val="auto"/>
                <w:w w:val="99"/>
              </w:rPr>
              <w:t>$660,582</w:t>
            </w:r>
          </w:p>
        </w:tc>
      </w:tr>
      <w:tr>
        <w:trPr>
          <w:trHeight w:val="216"/>
        </w:trPr>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deferred compensation</w:t>
            </w:r>
          </w:p>
        </w:tc>
        <w:tc>
          <w:tcPr>
            <w:tcW w:w="1280" w:type="dxa"/>
            <w:vAlign w:val="bottom"/>
          </w:tcPr>
          <w:p>
            <w:pPr>
              <w:jc w:val="center"/>
              <w:ind w:right="155"/>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60" w:type="dxa"/>
            <w:vAlign w:val="bottom"/>
          </w:tcPr>
          <w:p>
            <w:pPr>
              <w:jc w:val="center"/>
              <w:ind w:right="215"/>
              <w:spacing w:after="0"/>
              <w:rPr>
                <w:sz w:val="20"/>
                <w:szCs w:val="20"/>
                <w:color w:val="auto"/>
              </w:rPr>
            </w:pPr>
            <w:r>
              <w:rPr>
                <w:rFonts w:ascii="Arial" w:cs="Arial" w:eastAsia="Arial" w:hAnsi="Arial"/>
                <w:sz w:val="13"/>
                <w:szCs w:val="13"/>
                <w:color w:val="auto"/>
                <w:w w:val="96"/>
              </w:rPr>
              <w:t>$0</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235"/>
              <w:spacing w:after="0"/>
              <w:rPr>
                <w:sz w:val="20"/>
                <w:szCs w:val="20"/>
                <w:color w:val="auto"/>
              </w:rPr>
            </w:pPr>
            <w:r>
              <w:rPr>
                <w:rFonts w:ascii="Arial" w:cs="Arial" w:eastAsia="Arial" w:hAnsi="Arial"/>
                <w:sz w:val="13"/>
                <w:szCs w:val="13"/>
                <w:color w:val="auto"/>
                <w:w w:val="96"/>
              </w:rPr>
              <w:t>$0</w:t>
            </w:r>
          </w:p>
        </w:tc>
      </w:tr>
      <w:tr>
        <w:trPr>
          <w:trHeight w:val="225"/>
        </w:trPr>
        <w:tc>
          <w:tcPr>
            <w:tcW w:w="960" w:type="dxa"/>
            <w:vAlign w:val="bottom"/>
            <w:tcBorders>
              <w:bottom w:val="single" w:sz="8" w:color="C8C9CB"/>
            </w:tcBorders>
          </w:tcPr>
          <w:p>
            <w:pPr>
              <w:spacing w:after="0"/>
              <w:rPr>
                <w:sz w:val="19"/>
                <w:szCs w:val="19"/>
                <w:color w:val="auto"/>
              </w:rPr>
            </w:pPr>
          </w:p>
        </w:tc>
        <w:tc>
          <w:tcPr>
            <w:tcW w:w="1540" w:type="dxa"/>
            <w:vAlign w:val="bottom"/>
            <w:tcBorders>
              <w:bottom w:val="single" w:sz="8" w:color="C8C9CB"/>
            </w:tcBorders>
          </w:tcPr>
          <w:p>
            <w:pPr>
              <w:jc w:val="right"/>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C8C9CB"/>
            </w:tcBorders>
          </w:tcPr>
          <w:p>
            <w:pPr>
              <w:jc w:val="center"/>
              <w:ind w:right="175"/>
              <w:spacing w:after="0"/>
              <w:rPr>
                <w:sz w:val="20"/>
                <w:szCs w:val="20"/>
                <w:color w:val="auto"/>
              </w:rPr>
            </w:pPr>
            <w:r>
              <w:rPr>
                <w:rFonts w:ascii="Arial" w:cs="Arial" w:eastAsia="Arial" w:hAnsi="Arial"/>
                <w:sz w:val="13"/>
                <w:szCs w:val="13"/>
                <w:color w:val="auto"/>
                <w:w w:val="93"/>
              </w:rPr>
              <w:t>$41,439</w:t>
            </w:r>
          </w:p>
        </w:tc>
        <w:tc>
          <w:tcPr>
            <w:tcW w:w="128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7"/>
              </w:rPr>
              <w:t>$41,439</w:t>
            </w:r>
          </w:p>
        </w:tc>
        <w:tc>
          <w:tcPr>
            <w:tcW w:w="1260" w:type="dxa"/>
            <w:vAlign w:val="bottom"/>
            <w:tcBorders>
              <w:bottom w:val="single" w:sz="8" w:color="C8C9CB"/>
            </w:tcBorders>
          </w:tcPr>
          <w:p>
            <w:pPr>
              <w:jc w:val="center"/>
              <w:ind w:right="195"/>
              <w:spacing w:after="0"/>
              <w:rPr>
                <w:sz w:val="20"/>
                <w:szCs w:val="20"/>
                <w:color w:val="auto"/>
              </w:rPr>
            </w:pPr>
            <w:r>
              <w:rPr>
                <w:rFonts w:ascii="Arial" w:cs="Arial" w:eastAsia="Arial" w:hAnsi="Arial"/>
                <w:sz w:val="13"/>
                <w:szCs w:val="13"/>
                <w:color w:val="auto"/>
                <w:w w:val="95"/>
              </w:rPr>
              <w:t>$110,789</w:t>
            </w:r>
          </w:p>
        </w:tc>
        <w:tc>
          <w:tcPr>
            <w:tcW w:w="12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tcPr>
          <w:p>
            <w:pPr>
              <w:jc w:val="center"/>
              <w:ind w:right="235"/>
              <w:spacing w:after="0"/>
              <w:rPr>
                <w:sz w:val="20"/>
                <w:szCs w:val="20"/>
                <w:color w:val="auto"/>
              </w:rPr>
            </w:pPr>
            <w:r>
              <w:rPr>
                <w:rFonts w:ascii="Arial" w:cs="Arial" w:eastAsia="Arial" w:hAnsi="Arial"/>
                <w:sz w:val="13"/>
                <w:szCs w:val="13"/>
                <w:color w:val="auto"/>
                <w:w w:val="99"/>
              </w:rPr>
              <w:t>$660,582</w:t>
            </w:r>
          </w:p>
        </w:tc>
      </w:tr>
      <w:tr>
        <w:trPr>
          <w:trHeight w:val="281"/>
        </w:trPr>
        <w:tc>
          <w:tcPr>
            <w:tcW w:w="960" w:type="dxa"/>
            <w:vAlign w:val="bottom"/>
            <w:shd w:val="clear" w:color="auto" w:fill="F4F6F6"/>
          </w:tcPr>
          <w:p>
            <w:pPr>
              <w:spacing w:after="0"/>
              <w:rPr>
                <w:sz w:val="20"/>
                <w:szCs w:val="20"/>
                <w:color w:val="auto"/>
              </w:rPr>
            </w:pPr>
            <w:r>
              <w:rPr>
                <w:rFonts w:ascii="Arial" w:cs="Arial" w:eastAsia="Arial" w:hAnsi="Arial"/>
                <w:sz w:val="13"/>
                <w:szCs w:val="13"/>
                <w:color w:val="auto"/>
              </w:rPr>
              <w:t>Ms. Hakim</w:t>
            </w: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nonqualified savings</w:t>
            </w:r>
          </w:p>
        </w:tc>
        <w:tc>
          <w:tcPr>
            <w:tcW w:w="1280" w:type="dxa"/>
            <w:vAlign w:val="bottom"/>
            <w:shd w:val="clear" w:color="auto" w:fill="F4F6F6"/>
          </w:tcPr>
          <w:p>
            <w:pPr>
              <w:jc w:val="center"/>
              <w:ind w:right="175"/>
              <w:spacing w:after="0"/>
              <w:rPr>
                <w:sz w:val="20"/>
                <w:szCs w:val="20"/>
                <w:color w:val="auto"/>
              </w:rPr>
            </w:pPr>
            <w:r>
              <w:rPr>
                <w:rFonts w:ascii="Arial" w:cs="Arial" w:eastAsia="Arial" w:hAnsi="Arial"/>
                <w:sz w:val="13"/>
                <w:szCs w:val="13"/>
                <w:color w:val="auto"/>
                <w:w w:val="93"/>
              </w:rPr>
              <w:t>$25,167</w:t>
            </w:r>
          </w:p>
        </w:tc>
        <w:tc>
          <w:tcPr>
            <w:tcW w:w="12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$25,167</w:t>
            </w:r>
          </w:p>
        </w:tc>
        <w:tc>
          <w:tcPr>
            <w:tcW w:w="1260" w:type="dxa"/>
            <w:vAlign w:val="bottom"/>
            <w:shd w:val="clear" w:color="auto" w:fill="F4F6F6"/>
          </w:tcPr>
          <w:p>
            <w:pPr>
              <w:jc w:val="center"/>
              <w:ind w:right="195"/>
              <w:spacing w:after="0"/>
              <w:rPr>
                <w:sz w:val="20"/>
                <w:szCs w:val="20"/>
                <w:color w:val="auto"/>
              </w:rPr>
            </w:pPr>
            <w:r>
              <w:rPr>
                <w:rFonts w:ascii="Arial" w:cs="Arial" w:eastAsia="Arial" w:hAnsi="Arial"/>
                <w:sz w:val="13"/>
                <w:szCs w:val="13"/>
                <w:color w:val="auto"/>
              </w:rPr>
              <w:t>$5,747</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235"/>
              <w:spacing w:after="0"/>
              <w:rPr>
                <w:sz w:val="20"/>
                <w:szCs w:val="20"/>
                <w:color w:val="auto"/>
              </w:rPr>
            </w:pPr>
            <w:r>
              <w:rPr>
                <w:rFonts w:ascii="Arial" w:cs="Arial" w:eastAsia="Arial" w:hAnsi="Arial"/>
                <w:sz w:val="13"/>
                <w:szCs w:val="13"/>
                <w:color w:val="auto"/>
                <w:w w:val="97"/>
              </w:rPr>
              <w:t>$56,082</w:t>
            </w:r>
          </w:p>
        </w:tc>
      </w:tr>
      <w:tr>
        <w:trPr>
          <w:trHeight w:val="216"/>
        </w:trPr>
        <w:tc>
          <w:tcPr>
            <w:tcW w:w="960" w:type="dxa"/>
            <w:vAlign w:val="bottom"/>
            <w:shd w:val="clear" w:color="auto" w:fill="F4F6F6"/>
          </w:tcPr>
          <w:p>
            <w:pPr>
              <w:spacing w:after="0"/>
              <w:rPr>
                <w:sz w:val="18"/>
                <w:szCs w:val="18"/>
                <w:color w:val="auto"/>
              </w:rPr>
            </w:pP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deferred compensation</w:t>
            </w:r>
          </w:p>
        </w:tc>
        <w:tc>
          <w:tcPr>
            <w:tcW w:w="128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60" w:type="dxa"/>
            <w:vAlign w:val="bottom"/>
            <w:shd w:val="clear" w:color="auto" w:fill="F4F6F6"/>
          </w:tcPr>
          <w:p>
            <w:pPr>
              <w:jc w:val="center"/>
              <w:ind w:right="215"/>
              <w:spacing w:after="0"/>
              <w:rPr>
                <w:sz w:val="20"/>
                <w:szCs w:val="20"/>
                <w:color w:val="auto"/>
              </w:rPr>
            </w:pPr>
            <w:r>
              <w:rPr>
                <w:rFonts w:ascii="Arial" w:cs="Arial" w:eastAsia="Arial" w:hAnsi="Arial"/>
                <w:sz w:val="13"/>
                <w:szCs w:val="13"/>
                <w:color w:val="auto"/>
                <w:w w:val="96"/>
              </w:rPr>
              <w:t>$0</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235"/>
              <w:spacing w:after="0"/>
              <w:rPr>
                <w:sz w:val="20"/>
                <w:szCs w:val="20"/>
                <w:color w:val="auto"/>
              </w:rPr>
            </w:pPr>
            <w:r>
              <w:rPr>
                <w:rFonts w:ascii="Arial" w:cs="Arial" w:eastAsia="Arial" w:hAnsi="Arial"/>
                <w:sz w:val="13"/>
                <w:szCs w:val="13"/>
                <w:color w:val="auto"/>
                <w:w w:val="96"/>
              </w:rPr>
              <w:t>$0</w:t>
            </w:r>
          </w:p>
        </w:tc>
      </w:tr>
      <w:tr>
        <w:trPr>
          <w:trHeight w:val="225"/>
        </w:trPr>
        <w:tc>
          <w:tcPr>
            <w:tcW w:w="960" w:type="dxa"/>
            <w:vAlign w:val="bottom"/>
            <w:tcBorders>
              <w:bottom w:val="single" w:sz="8" w:color="C8C9CB"/>
            </w:tcBorders>
            <w:shd w:val="clear" w:color="auto" w:fill="F4F6F6"/>
          </w:tcPr>
          <w:p>
            <w:pPr>
              <w:spacing w:after="0"/>
              <w:rPr>
                <w:sz w:val="19"/>
                <w:szCs w:val="19"/>
                <w:color w:val="auto"/>
              </w:rPr>
            </w:pPr>
          </w:p>
        </w:tc>
        <w:tc>
          <w:tcPr>
            <w:tcW w:w="15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C8C9CB"/>
            </w:tcBorders>
            <w:shd w:val="clear" w:color="auto" w:fill="F4F6F6"/>
          </w:tcPr>
          <w:p>
            <w:pPr>
              <w:jc w:val="center"/>
              <w:ind w:right="175"/>
              <w:spacing w:after="0"/>
              <w:rPr>
                <w:sz w:val="20"/>
                <w:szCs w:val="20"/>
                <w:color w:val="auto"/>
              </w:rPr>
            </w:pPr>
            <w:r>
              <w:rPr>
                <w:rFonts w:ascii="Arial" w:cs="Arial" w:eastAsia="Arial" w:hAnsi="Arial"/>
                <w:sz w:val="13"/>
                <w:szCs w:val="13"/>
                <w:color w:val="auto"/>
                <w:w w:val="93"/>
              </w:rPr>
              <w:t>$25,167</w:t>
            </w:r>
          </w:p>
        </w:tc>
        <w:tc>
          <w:tcPr>
            <w:tcW w:w="128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$25,167</w:t>
            </w:r>
          </w:p>
        </w:tc>
        <w:tc>
          <w:tcPr>
            <w:tcW w:w="1260" w:type="dxa"/>
            <w:vAlign w:val="bottom"/>
            <w:tcBorders>
              <w:bottom w:val="single" w:sz="8" w:color="C8C9CB"/>
            </w:tcBorders>
            <w:shd w:val="clear" w:color="auto" w:fill="F4F6F6"/>
          </w:tcPr>
          <w:p>
            <w:pPr>
              <w:jc w:val="center"/>
              <w:ind w:right="195"/>
              <w:spacing w:after="0"/>
              <w:rPr>
                <w:sz w:val="20"/>
                <w:szCs w:val="20"/>
                <w:color w:val="auto"/>
              </w:rPr>
            </w:pPr>
            <w:r>
              <w:rPr>
                <w:rFonts w:ascii="Arial" w:cs="Arial" w:eastAsia="Arial" w:hAnsi="Arial"/>
                <w:sz w:val="13"/>
                <w:szCs w:val="13"/>
                <w:color w:val="auto"/>
              </w:rPr>
              <w:t>$5,747</w:t>
            </w:r>
          </w:p>
        </w:tc>
        <w:tc>
          <w:tcPr>
            <w:tcW w:w="12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shd w:val="clear" w:color="auto" w:fill="F4F6F6"/>
          </w:tcPr>
          <w:p>
            <w:pPr>
              <w:jc w:val="center"/>
              <w:ind w:right="235"/>
              <w:spacing w:after="0"/>
              <w:rPr>
                <w:sz w:val="20"/>
                <w:szCs w:val="20"/>
                <w:color w:val="auto"/>
              </w:rPr>
            </w:pPr>
            <w:r>
              <w:rPr>
                <w:rFonts w:ascii="Arial" w:cs="Arial" w:eastAsia="Arial" w:hAnsi="Arial"/>
                <w:sz w:val="13"/>
                <w:szCs w:val="13"/>
                <w:color w:val="auto"/>
                <w:w w:val="97"/>
              </w:rPr>
              <w:t>$56,082</w:t>
            </w:r>
          </w:p>
        </w:tc>
      </w:tr>
      <w:tr>
        <w:trPr>
          <w:trHeight w:val="281"/>
        </w:trPr>
        <w:tc>
          <w:tcPr>
            <w:tcW w:w="960" w:type="dxa"/>
            <w:vAlign w:val="bottom"/>
          </w:tcPr>
          <w:p>
            <w:pPr>
              <w:spacing w:after="0"/>
              <w:rPr>
                <w:sz w:val="20"/>
                <w:szCs w:val="20"/>
                <w:color w:val="auto"/>
              </w:rPr>
            </w:pPr>
            <w:r>
              <w:rPr>
                <w:rFonts w:ascii="Arial" w:cs="Arial" w:eastAsia="Arial" w:hAnsi="Arial"/>
                <w:sz w:val="13"/>
                <w:szCs w:val="13"/>
                <w:color w:val="auto"/>
              </w:rPr>
              <w:t>Mr. Zulueta</w:t>
            </w:r>
          </w:p>
        </w:tc>
        <w:tc>
          <w:tcPr>
            <w:tcW w:w="1540" w:type="dxa"/>
            <w:vAlign w:val="bottom"/>
          </w:tcPr>
          <w:p>
            <w:pPr>
              <w:jc w:val="right"/>
              <w:spacing w:after="0"/>
              <w:rPr>
                <w:sz w:val="20"/>
                <w:szCs w:val="20"/>
                <w:color w:val="auto"/>
              </w:rPr>
            </w:pPr>
            <w:r>
              <w:rPr>
                <w:rFonts w:ascii="Arial" w:cs="Arial" w:eastAsia="Arial" w:hAnsi="Arial"/>
                <w:sz w:val="13"/>
                <w:szCs w:val="13"/>
                <w:color w:val="auto"/>
              </w:rPr>
              <w:t>nonqualified savings</w:t>
            </w:r>
          </w:p>
        </w:tc>
        <w:tc>
          <w:tcPr>
            <w:tcW w:w="1280" w:type="dxa"/>
            <w:vAlign w:val="bottom"/>
          </w:tcPr>
          <w:p>
            <w:pPr>
              <w:jc w:val="center"/>
              <w:ind w:right="175"/>
              <w:spacing w:after="0"/>
              <w:rPr>
                <w:sz w:val="20"/>
                <w:szCs w:val="20"/>
                <w:color w:val="auto"/>
              </w:rPr>
            </w:pPr>
            <w:r>
              <w:rPr>
                <w:rFonts w:ascii="Arial" w:cs="Arial" w:eastAsia="Arial" w:hAnsi="Arial"/>
                <w:sz w:val="13"/>
                <w:szCs w:val="13"/>
                <w:color w:val="auto"/>
                <w:w w:val="93"/>
              </w:rPr>
              <w:t>$33,508</w:t>
            </w:r>
          </w:p>
        </w:tc>
        <w:tc>
          <w:tcPr>
            <w:tcW w:w="1280" w:type="dxa"/>
            <w:vAlign w:val="bottom"/>
          </w:tcPr>
          <w:p>
            <w:pPr>
              <w:jc w:val="center"/>
              <w:spacing w:after="0"/>
              <w:rPr>
                <w:sz w:val="20"/>
                <w:szCs w:val="20"/>
                <w:color w:val="auto"/>
              </w:rPr>
            </w:pPr>
            <w:r>
              <w:rPr>
                <w:rFonts w:ascii="Arial" w:cs="Arial" w:eastAsia="Arial" w:hAnsi="Arial"/>
                <w:sz w:val="13"/>
                <w:szCs w:val="13"/>
                <w:color w:val="auto"/>
                <w:w w:val="97"/>
              </w:rPr>
              <w:t>$33,508</w:t>
            </w:r>
          </w:p>
        </w:tc>
        <w:tc>
          <w:tcPr>
            <w:tcW w:w="1260" w:type="dxa"/>
            <w:vAlign w:val="bottom"/>
          </w:tcPr>
          <w:p>
            <w:pPr>
              <w:jc w:val="center"/>
              <w:ind w:right="195"/>
              <w:spacing w:after="0"/>
              <w:rPr>
                <w:sz w:val="20"/>
                <w:szCs w:val="20"/>
                <w:color w:val="auto"/>
              </w:rPr>
            </w:pPr>
            <w:r>
              <w:rPr>
                <w:rFonts w:ascii="Arial" w:cs="Arial" w:eastAsia="Arial" w:hAnsi="Arial"/>
                <w:sz w:val="13"/>
                <w:szCs w:val="13"/>
                <w:color w:val="auto"/>
                <w:w w:val="95"/>
              </w:rPr>
              <w:t>$210,910</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235"/>
              <w:spacing w:after="0"/>
              <w:rPr>
                <w:sz w:val="20"/>
                <w:szCs w:val="20"/>
                <w:color w:val="auto"/>
              </w:rPr>
            </w:pPr>
            <w:r>
              <w:rPr>
                <w:rFonts w:ascii="Arial" w:cs="Arial" w:eastAsia="Arial" w:hAnsi="Arial"/>
                <w:sz w:val="13"/>
                <w:szCs w:val="13"/>
                <w:color w:val="auto"/>
                <w:w w:val="95"/>
              </w:rPr>
              <w:t>$1,401,325</w:t>
            </w:r>
          </w:p>
        </w:tc>
      </w:tr>
      <w:tr>
        <w:trPr>
          <w:trHeight w:val="216"/>
        </w:trPr>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deferred compensation</w:t>
            </w:r>
          </w:p>
        </w:tc>
        <w:tc>
          <w:tcPr>
            <w:tcW w:w="1280" w:type="dxa"/>
            <w:vAlign w:val="bottom"/>
          </w:tcPr>
          <w:p>
            <w:pPr>
              <w:jc w:val="center"/>
              <w:ind w:right="175"/>
              <w:spacing w:after="0"/>
              <w:rPr>
                <w:sz w:val="20"/>
                <w:szCs w:val="20"/>
                <w:color w:val="auto"/>
              </w:rPr>
            </w:pPr>
            <w:r>
              <w:rPr>
                <w:rFonts w:ascii="Arial" w:cs="Arial" w:eastAsia="Arial" w:hAnsi="Arial"/>
                <w:sz w:val="13"/>
                <w:szCs w:val="13"/>
                <w:color w:val="auto"/>
                <w:w w:val="95"/>
              </w:rPr>
              <w:t>$729,417</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60" w:type="dxa"/>
            <w:vAlign w:val="bottom"/>
          </w:tcPr>
          <w:p>
            <w:pPr>
              <w:jc w:val="center"/>
              <w:ind w:right="195"/>
              <w:spacing w:after="0"/>
              <w:rPr>
                <w:sz w:val="20"/>
                <w:szCs w:val="20"/>
                <w:color w:val="auto"/>
              </w:rPr>
            </w:pPr>
            <w:r>
              <w:rPr>
                <w:rFonts w:ascii="Arial" w:cs="Arial" w:eastAsia="Arial" w:hAnsi="Arial"/>
                <w:sz w:val="13"/>
                <w:szCs w:val="13"/>
                <w:color w:val="auto"/>
                <w:w w:val="95"/>
              </w:rPr>
              <w:t>$235,347</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235"/>
              <w:spacing w:after="0"/>
              <w:rPr>
                <w:sz w:val="20"/>
                <w:szCs w:val="20"/>
                <w:color w:val="auto"/>
              </w:rPr>
            </w:pPr>
            <w:r>
              <w:rPr>
                <w:rFonts w:ascii="Arial" w:cs="Arial" w:eastAsia="Arial" w:hAnsi="Arial"/>
                <w:sz w:val="13"/>
                <w:szCs w:val="13"/>
                <w:color w:val="auto"/>
                <w:w w:val="95"/>
              </w:rPr>
              <w:t>$9,815,851</w:t>
            </w:r>
          </w:p>
        </w:tc>
      </w:tr>
      <w:tr>
        <w:trPr>
          <w:trHeight w:val="226"/>
        </w:trPr>
        <w:tc>
          <w:tcPr>
            <w:tcW w:w="960" w:type="dxa"/>
            <w:vAlign w:val="bottom"/>
            <w:tcBorders>
              <w:bottom w:val="single" w:sz="8" w:color="BFBFBF"/>
            </w:tcBorders>
          </w:tcPr>
          <w:p>
            <w:pPr>
              <w:spacing w:after="0"/>
              <w:rPr>
                <w:sz w:val="19"/>
                <w:szCs w:val="19"/>
                <w:color w:val="auto"/>
              </w:rPr>
            </w:pPr>
          </w:p>
        </w:tc>
        <w:tc>
          <w:tcPr>
            <w:tcW w:w="1540" w:type="dxa"/>
            <w:vAlign w:val="bottom"/>
            <w:tcBorders>
              <w:bottom w:val="single" w:sz="8" w:color="BFBFBF"/>
            </w:tcBorders>
          </w:tcPr>
          <w:p>
            <w:pPr>
              <w:jc w:val="right"/>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BFBFBF"/>
            </w:tcBorders>
          </w:tcPr>
          <w:p>
            <w:pPr>
              <w:jc w:val="center"/>
              <w:ind w:right="175"/>
              <w:spacing w:after="0"/>
              <w:rPr>
                <w:sz w:val="20"/>
                <w:szCs w:val="20"/>
                <w:color w:val="auto"/>
              </w:rPr>
            </w:pPr>
            <w:r>
              <w:rPr>
                <w:rFonts w:ascii="Arial" w:cs="Arial" w:eastAsia="Arial" w:hAnsi="Arial"/>
                <w:sz w:val="13"/>
                <w:szCs w:val="13"/>
                <w:color w:val="auto"/>
                <w:w w:val="95"/>
              </w:rPr>
              <w:t>$762,924</w:t>
            </w:r>
          </w:p>
        </w:tc>
        <w:tc>
          <w:tcPr>
            <w:tcW w:w="1280" w:type="dxa"/>
            <w:vAlign w:val="bottom"/>
            <w:tcBorders>
              <w:bottom w:val="single" w:sz="8" w:color="BFBFBF"/>
            </w:tcBorders>
          </w:tcPr>
          <w:p>
            <w:pPr>
              <w:jc w:val="center"/>
              <w:spacing w:after="0"/>
              <w:rPr>
                <w:sz w:val="20"/>
                <w:szCs w:val="20"/>
                <w:color w:val="auto"/>
              </w:rPr>
            </w:pPr>
            <w:r>
              <w:rPr>
                <w:rFonts w:ascii="Arial" w:cs="Arial" w:eastAsia="Arial" w:hAnsi="Arial"/>
                <w:sz w:val="13"/>
                <w:szCs w:val="13"/>
                <w:color w:val="auto"/>
                <w:w w:val="97"/>
              </w:rPr>
              <w:t>$33,508</w:t>
            </w:r>
          </w:p>
        </w:tc>
        <w:tc>
          <w:tcPr>
            <w:tcW w:w="1260" w:type="dxa"/>
            <w:vAlign w:val="bottom"/>
            <w:tcBorders>
              <w:bottom w:val="single" w:sz="8" w:color="BFBFBF"/>
            </w:tcBorders>
          </w:tcPr>
          <w:p>
            <w:pPr>
              <w:jc w:val="center"/>
              <w:ind w:right="195"/>
              <w:spacing w:after="0"/>
              <w:rPr>
                <w:sz w:val="20"/>
                <w:szCs w:val="20"/>
                <w:color w:val="auto"/>
              </w:rPr>
            </w:pPr>
            <w:r>
              <w:rPr>
                <w:rFonts w:ascii="Arial" w:cs="Arial" w:eastAsia="Arial" w:hAnsi="Arial"/>
                <w:sz w:val="13"/>
                <w:szCs w:val="13"/>
                <w:color w:val="auto"/>
                <w:w w:val="95"/>
              </w:rPr>
              <w:t>$446,257</w:t>
            </w:r>
          </w:p>
        </w:tc>
        <w:tc>
          <w:tcPr>
            <w:tcW w:w="1260" w:type="dxa"/>
            <w:vAlign w:val="bottom"/>
            <w:tcBorders>
              <w:bottom w:val="single" w:sz="8" w:color="BFBFBF"/>
            </w:tcBorders>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BFBFBF"/>
            </w:tcBorders>
          </w:tcPr>
          <w:p>
            <w:pPr>
              <w:jc w:val="center"/>
              <w:ind w:right="235"/>
              <w:spacing w:after="0"/>
              <w:rPr>
                <w:sz w:val="20"/>
                <w:szCs w:val="20"/>
                <w:color w:val="auto"/>
              </w:rPr>
            </w:pPr>
            <w:r>
              <w:rPr>
                <w:rFonts w:ascii="Arial" w:cs="Arial" w:eastAsia="Arial" w:hAnsi="Arial"/>
                <w:sz w:val="13"/>
                <w:szCs w:val="13"/>
                <w:color w:val="auto"/>
                <w:w w:val="96"/>
              </w:rPr>
              <w:t>$11,217,176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2"/>
        <w:spacing w:after="0"/>
        <w:rPr>
          <w:sz w:val="20"/>
          <w:szCs w:val="20"/>
          <w:color w:val="auto"/>
        </w:rPr>
      </w:pPr>
      <w:r>
        <w:rPr>
          <w:rFonts w:ascii="Arial" w:cs="Arial" w:eastAsia="Arial" w:hAnsi="Arial"/>
          <w:sz w:val="16"/>
          <w:szCs w:val="16"/>
          <w:color w:val="auto"/>
        </w:rPr>
        <w:t>P69</w:t>
      </w:r>
    </w:p>
    <w:p>
      <w:pPr>
        <w:sectPr>
          <w:pgSz w:w="11900" w:h="16838" w:orient="portrait"/>
          <w:cols w:equalWidth="0" w:num="1">
            <w:col w:w="11273"/>
          </w:cols>
          <w:pgMar w:left="247" w:top="864" w:right="379" w:bottom="1440" w:gutter="0" w:footer="0" w:header="0"/>
          <w:type w:val="continuous"/>
        </w:sectPr>
      </w:pPr>
    </w:p>
    <w:bookmarkStart w:id="74" w:name="page75"/>
    <w:bookmarkEnd w:id="74"/>
    <w:p>
      <w:pPr>
        <w:ind w:left="73" w:right="620" w:hanging="73"/>
        <w:spacing w:after="0" w:line="216" w:lineRule="auto"/>
        <w:tabs>
          <w:tab w:leader="none" w:pos="80" w:val="left"/>
        </w:tabs>
        <w:numPr>
          <w:ilvl w:val="0"/>
          <w:numId w:val="131"/>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are also included in the Summary Compensation Table in the "Salary" column (nonqualified savings) or the "Non-Equity Incentive Plan Compensation" column (deferred compensation).</w:t>
      </w:r>
    </w:p>
    <w:p>
      <w:pPr>
        <w:spacing w:after="0" w:line="238" w:lineRule="exact"/>
        <w:rPr>
          <w:sz w:val="20"/>
          <w:szCs w:val="20"/>
          <w:color w:val="auto"/>
        </w:rPr>
      </w:pPr>
    </w:p>
    <w:p>
      <w:pPr>
        <w:ind w:left="73" w:right="60" w:hanging="73"/>
        <w:spacing w:after="0" w:line="216" w:lineRule="auto"/>
        <w:tabs>
          <w:tab w:leader="none" w:pos="80" w:val="left"/>
        </w:tabs>
        <w:numPr>
          <w:ilvl w:val="0"/>
          <w:numId w:val="132"/>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are also included in the Summary Compensation Table in the "All Other Compensation" column as a portion of the savings plan match.</w:t>
      </w:r>
    </w:p>
    <w:p>
      <w:pPr>
        <w:spacing w:after="0" w:line="191" w:lineRule="exact"/>
        <w:rPr>
          <w:sz w:val="20"/>
          <w:szCs w:val="20"/>
          <w:color w:val="auto"/>
        </w:rPr>
      </w:pPr>
    </w:p>
    <w:p>
      <w:pPr>
        <w:ind w:left="93" w:hanging="93"/>
        <w:spacing w:after="0"/>
        <w:tabs>
          <w:tab w:leader="none" w:pos="93" w:val="left"/>
        </w:tabs>
        <w:numPr>
          <w:ilvl w:val="0"/>
          <w:numId w:val="133"/>
        </w:numPr>
        <w:rPr>
          <w:rFonts w:ascii="Arial" w:cs="Arial" w:eastAsia="Arial" w:hAnsi="Arial"/>
          <w:sz w:val="21"/>
          <w:szCs w:val="21"/>
          <w:color w:val="auto"/>
          <w:vertAlign w:val="superscript"/>
        </w:rPr>
      </w:pPr>
      <w:r>
        <w:rPr>
          <w:rFonts w:ascii="Arial" w:cs="Arial" w:eastAsia="Arial" w:hAnsi="Arial"/>
          <w:sz w:val="16"/>
          <w:szCs w:val="16"/>
          <w:color w:val="auto"/>
        </w:rPr>
        <w:t>Of the totals in this column, the following amounts have previously been reported in the Summary Compensation Table for this year and for previous years:</w:t>
      </w:r>
    </w:p>
    <w:p>
      <w:pPr>
        <w:spacing w:after="0" w:line="357" w:lineRule="exact"/>
        <w:rPr>
          <w:sz w:val="20"/>
          <w:szCs w:val="20"/>
          <w:color w:val="auto"/>
        </w:rPr>
      </w:pPr>
    </w:p>
    <w:tbl>
      <w:tblPr>
        <w:tblLayout w:type="fixed"/>
        <w:tblInd w:w="2993" w:type="dxa"/>
        <w:tblCellMar>
          <w:top w:w="0" w:type="dxa"/>
          <w:left w:w="0" w:type="dxa"/>
          <w:bottom w:w="0" w:type="dxa"/>
          <w:right w:w="0" w:type="dxa"/>
        </w:tblCellMar>
      </w:tblPr>
      <w:tr>
        <w:trPr>
          <w:trHeight w:val="270"/>
        </w:trPr>
        <w:tc>
          <w:tcPr>
            <w:tcW w:w="150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1300" w:type="dxa"/>
            <w:vAlign w:val="bottom"/>
            <w:shd w:val="clear" w:color="auto" w:fill="C8C9CB"/>
          </w:tcPr>
          <w:p>
            <w:pPr>
              <w:jc w:val="center"/>
              <w:ind w:left="228"/>
              <w:spacing w:after="0"/>
              <w:rPr>
                <w:sz w:val="20"/>
                <w:szCs w:val="20"/>
                <w:color w:val="auto"/>
              </w:rPr>
            </w:pPr>
            <w:r>
              <w:rPr>
                <w:rFonts w:ascii="Arial" w:cs="Arial" w:eastAsia="Arial" w:hAnsi="Arial"/>
                <w:sz w:val="14"/>
                <w:szCs w:val="14"/>
                <w:b w:val="1"/>
                <w:bCs w:val="1"/>
                <w:color w:val="00ABE8"/>
                <w:w w:val="99"/>
              </w:rPr>
              <w:t>2020 ($)</w:t>
            </w:r>
          </w:p>
        </w:tc>
        <w:tc>
          <w:tcPr>
            <w:tcW w:w="17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Previous Years ($)</w:t>
            </w:r>
          </w:p>
        </w:tc>
        <w:tc>
          <w:tcPr>
            <w:tcW w:w="1220" w:type="dxa"/>
            <w:vAlign w:val="bottom"/>
            <w:shd w:val="clear" w:color="auto" w:fill="C8C9CB"/>
          </w:tcPr>
          <w:p>
            <w:pPr>
              <w:ind w:left="280"/>
              <w:spacing w:after="0"/>
              <w:rPr>
                <w:sz w:val="20"/>
                <w:szCs w:val="20"/>
                <w:color w:val="auto"/>
              </w:rPr>
            </w:pPr>
            <w:r>
              <w:rPr>
                <w:rFonts w:ascii="Arial" w:cs="Arial" w:eastAsia="Arial" w:hAnsi="Arial"/>
                <w:sz w:val="14"/>
                <w:szCs w:val="14"/>
                <w:b w:val="1"/>
                <w:bCs w:val="1"/>
                <w:color w:val="00ABE8"/>
              </w:rPr>
              <w:t>Total ($)</w:t>
            </w:r>
          </w:p>
        </w:tc>
      </w:tr>
      <w:tr>
        <w:trPr>
          <w:trHeight w:val="271"/>
        </w:trPr>
        <w:tc>
          <w:tcPr>
            <w:tcW w:w="1500" w:type="dxa"/>
            <w:vAlign w:val="bottom"/>
          </w:tcPr>
          <w:p>
            <w:pPr>
              <w:ind w:left="20"/>
              <w:spacing w:after="0"/>
              <w:rPr>
                <w:sz w:val="20"/>
                <w:szCs w:val="20"/>
                <w:color w:val="auto"/>
              </w:rPr>
            </w:pPr>
            <w:r>
              <w:rPr>
                <w:rFonts w:ascii="Arial" w:cs="Arial" w:eastAsia="Arial" w:hAnsi="Arial"/>
                <w:sz w:val="14"/>
                <w:szCs w:val="14"/>
                <w:color w:val="auto"/>
              </w:rPr>
              <w:t>Mr. Ricks</w:t>
            </w:r>
          </w:p>
        </w:tc>
        <w:tc>
          <w:tcPr>
            <w:tcW w:w="1300" w:type="dxa"/>
            <w:vAlign w:val="bottom"/>
          </w:tcPr>
          <w:p>
            <w:pPr>
              <w:jc w:val="center"/>
              <w:ind w:left="228"/>
              <w:spacing w:after="0"/>
              <w:rPr>
                <w:sz w:val="20"/>
                <w:szCs w:val="20"/>
                <w:color w:val="auto"/>
              </w:rPr>
            </w:pPr>
            <w:r>
              <w:rPr>
                <w:rFonts w:ascii="Arial" w:cs="Arial" w:eastAsia="Arial" w:hAnsi="Arial"/>
                <w:sz w:val="14"/>
                <w:szCs w:val="14"/>
                <w:color w:val="auto"/>
              </w:rPr>
              <w:t>$142,415</w:t>
            </w:r>
          </w:p>
        </w:tc>
        <w:tc>
          <w:tcPr>
            <w:tcW w:w="1700" w:type="dxa"/>
            <w:vAlign w:val="bottom"/>
          </w:tcPr>
          <w:p>
            <w:pPr>
              <w:jc w:val="center"/>
              <w:spacing w:after="0"/>
              <w:rPr>
                <w:sz w:val="20"/>
                <w:szCs w:val="20"/>
                <w:color w:val="auto"/>
              </w:rPr>
            </w:pPr>
            <w:r>
              <w:rPr>
                <w:rFonts w:ascii="Arial" w:cs="Arial" w:eastAsia="Arial" w:hAnsi="Arial"/>
                <w:sz w:val="14"/>
                <w:szCs w:val="14"/>
                <w:color w:val="auto"/>
              </w:rPr>
              <w:t>$405,000</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$547,415</w:t>
            </w:r>
          </w:p>
        </w:tc>
      </w:tr>
      <w:tr>
        <w:trPr>
          <w:trHeight w:val="270"/>
        </w:trPr>
        <w:tc>
          <w:tcPr>
            <w:tcW w:w="1500" w:type="dxa"/>
            <w:vAlign w:val="bottom"/>
          </w:tcPr>
          <w:p>
            <w:pPr>
              <w:ind w:left="20"/>
              <w:spacing w:after="0"/>
              <w:rPr>
                <w:sz w:val="20"/>
                <w:szCs w:val="20"/>
                <w:color w:val="auto"/>
              </w:rPr>
            </w:pPr>
            <w:r>
              <w:rPr>
                <w:rFonts w:ascii="Arial" w:cs="Arial" w:eastAsia="Arial" w:hAnsi="Arial"/>
                <w:sz w:val="14"/>
                <w:szCs w:val="14"/>
                <w:color w:val="auto"/>
              </w:rPr>
              <w:t>Mr. Smiley</w:t>
            </w:r>
          </w:p>
        </w:tc>
        <w:tc>
          <w:tcPr>
            <w:tcW w:w="1300" w:type="dxa"/>
            <w:vAlign w:val="bottom"/>
          </w:tcPr>
          <w:p>
            <w:pPr>
              <w:jc w:val="center"/>
              <w:ind w:left="228"/>
              <w:spacing w:after="0"/>
              <w:rPr>
                <w:sz w:val="20"/>
                <w:szCs w:val="20"/>
                <w:color w:val="auto"/>
              </w:rPr>
            </w:pPr>
            <w:r>
              <w:rPr>
                <w:rFonts w:ascii="Arial" w:cs="Arial" w:eastAsia="Arial" w:hAnsi="Arial"/>
                <w:sz w:val="14"/>
                <w:szCs w:val="14"/>
                <w:color w:val="auto"/>
              </w:rPr>
              <w:t>$82,877</w:t>
            </w:r>
          </w:p>
        </w:tc>
        <w:tc>
          <w:tcPr>
            <w:tcW w:w="1700" w:type="dxa"/>
            <w:vAlign w:val="bottom"/>
          </w:tcPr>
          <w:p>
            <w:pPr>
              <w:jc w:val="center"/>
              <w:spacing w:after="0"/>
              <w:rPr>
                <w:sz w:val="20"/>
                <w:szCs w:val="20"/>
                <w:color w:val="auto"/>
              </w:rPr>
            </w:pPr>
            <w:r>
              <w:rPr>
                <w:rFonts w:ascii="Arial" w:cs="Arial" w:eastAsia="Arial" w:hAnsi="Arial"/>
                <w:sz w:val="14"/>
                <w:szCs w:val="14"/>
                <w:color w:val="auto"/>
              </w:rPr>
              <w:t>$145,900</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$228,777</w:t>
            </w:r>
          </w:p>
        </w:tc>
      </w:tr>
      <w:tr>
        <w:trPr>
          <w:trHeight w:val="270"/>
        </w:trPr>
        <w:tc>
          <w:tcPr>
            <w:tcW w:w="15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300" w:type="dxa"/>
            <w:vAlign w:val="bottom"/>
          </w:tcPr>
          <w:p>
            <w:pPr>
              <w:jc w:val="center"/>
              <w:ind w:left="228"/>
              <w:spacing w:after="0"/>
              <w:rPr>
                <w:sz w:val="20"/>
                <w:szCs w:val="20"/>
                <w:color w:val="auto"/>
              </w:rPr>
            </w:pPr>
            <w:r>
              <w:rPr>
                <w:rFonts w:ascii="Arial" w:cs="Arial" w:eastAsia="Arial" w:hAnsi="Arial"/>
                <w:sz w:val="14"/>
                <w:szCs w:val="14"/>
                <w:color w:val="auto"/>
              </w:rPr>
              <w:t>$82,877</w:t>
            </w:r>
          </w:p>
        </w:tc>
        <w:tc>
          <w:tcPr>
            <w:tcW w:w="1700" w:type="dxa"/>
            <w:vAlign w:val="bottom"/>
          </w:tcPr>
          <w:p>
            <w:pPr>
              <w:jc w:val="center"/>
              <w:spacing w:after="0"/>
              <w:rPr>
                <w:sz w:val="20"/>
                <w:szCs w:val="20"/>
                <w:color w:val="auto"/>
              </w:rPr>
            </w:pPr>
            <w:r>
              <w:rPr>
                <w:rFonts w:ascii="Arial" w:cs="Arial" w:eastAsia="Arial" w:hAnsi="Arial"/>
                <w:sz w:val="14"/>
                <w:szCs w:val="14"/>
                <w:color w:val="auto"/>
              </w:rPr>
              <w:t>$141,900</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$224,777</w:t>
            </w:r>
          </w:p>
        </w:tc>
      </w:tr>
      <w:tr>
        <w:trPr>
          <w:trHeight w:val="270"/>
        </w:trPr>
        <w:tc>
          <w:tcPr>
            <w:tcW w:w="1500" w:type="dxa"/>
            <w:vAlign w:val="bottom"/>
          </w:tcPr>
          <w:p>
            <w:pPr>
              <w:ind w:left="20"/>
              <w:spacing w:after="0"/>
              <w:rPr>
                <w:sz w:val="20"/>
                <w:szCs w:val="20"/>
                <w:color w:val="auto"/>
              </w:rPr>
            </w:pPr>
            <w:r>
              <w:rPr>
                <w:rFonts w:ascii="Arial" w:cs="Arial" w:eastAsia="Arial" w:hAnsi="Arial"/>
                <w:sz w:val="14"/>
                <w:szCs w:val="14"/>
                <w:color w:val="auto"/>
              </w:rPr>
              <w:t>Ms. Hakim</w:t>
            </w:r>
          </w:p>
        </w:tc>
        <w:tc>
          <w:tcPr>
            <w:tcW w:w="1300" w:type="dxa"/>
            <w:vAlign w:val="bottom"/>
          </w:tcPr>
          <w:p>
            <w:pPr>
              <w:jc w:val="center"/>
              <w:ind w:left="228"/>
              <w:spacing w:after="0"/>
              <w:rPr>
                <w:sz w:val="20"/>
                <w:szCs w:val="20"/>
                <w:color w:val="auto"/>
              </w:rPr>
            </w:pPr>
            <w:r>
              <w:rPr>
                <w:rFonts w:ascii="Arial" w:cs="Arial" w:eastAsia="Arial" w:hAnsi="Arial"/>
                <w:sz w:val="14"/>
                <w:szCs w:val="14"/>
                <w:color w:val="auto"/>
              </w:rPr>
              <w:t>$50,335</w:t>
            </w:r>
          </w:p>
        </w:tc>
        <w:tc>
          <w:tcPr>
            <w:tcW w:w="1700" w:type="dxa"/>
            <w:vAlign w:val="bottom"/>
          </w:tcPr>
          <w:p>
            <w:pPr>
              <w:jc w:val="center"/>
              <w:spacing w:after="0"/>
              <w:rPr>
                <w:sz w:val="20"/>
                <w:szCs w:val="20"/>
                <w:color w:val="auto"/>
              </w:rPr>
            </w:pPr>
            <w:r>
              <w:rPr>
                <w:rFonts w:ascii="Arial" w:cs="Arial" w:eastAsia="Arial" w:hAnsi="Arial"/>
                <w:sz w:val="14"/>
                <w:szCs w:val="14"/>
                <w:color w:val="auto"/>
              </w:rPr>
              <w:t>N/A</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$50,335</w:t>
            </w:r>
          </w:p>
        </w:tc>
      </w:tr>
      <w:tr>
        <w:trPr>
          <w:trHeight w:val="270"/>
        </w:trPr>
        <w:tc>
          <w:tcPr>
            <w:tcW w:w="1500" w:type="dxa"/>
            <w:vAlign w:val="bottom"/>
          </w:tcPr>
          <w:p>
            <w:pPr>
              <w:ind w:left="20"/>
              <w:spacing w:after="0"/>
              <w:rPr>
                <w:sz w:val="20"/>
                <w:szCs w:val="20"/>
                <w:color w:val="auto"/>
              </w:rPr>
            </w:pPr>
            <w:r>
              <w:rPr>
                <w:rFonts w:ascii="Arial" w:cs="Arial" w:eastAsia="Arial" w:hAnsi="Arial"/>
                <w:sz w:val="14"/>
                <w:szCs w:val="14"/>
                <w:color w:val="auto"/>
              </w:rPr>
              <w:t>Mr. Zulueta</w:t>
            </w:r>
          </w:p>
        </w:tc>
        <w:tc>
          <w:tcPr>
            <w:tcW w:w="1300" w:type="dxa"/>
            <w:vAlign w:val="bottom"/>
          </w:tcPr>
          <w:p>
            <w:pPr>
              <w:jc w:val="center"/>
              <w:ind w:left="228"/>
              <w:spacing w:after="0"/>
              <w:rPr>
                <w:sz w:val="20"/>
                <w:szCs w:val="20"/>
                <w:color w:val="auto"/>
              </w:rPr>
            </w:pPr>
            <w:r>
              <w:rPr>
                <w:rFonts w:ascii="Arial" w:cs="Arial" w:eastAsia="Arial" w:hAnsi="Arial"/>
                <w:sz w:val="14"/>
                <w:szCs w:val="14"/>
                <w:color w:val="auto"/>
              </w:rPr>
              <w:t>$796,432</w:t>
            </w:r>
          </w:p>
        </w:tc>
        <w:tc>
          <w:tcPr>
            <w:tcW w:w="1700" w:type="dxa"/>
            <w:vAlign w:val="bottom"/>
          </w:tcPr>
          <w:p>
            <w:pPr>
              <w:jc w:val="center"/>
              <w:spacing w:after="0"/>
              <w:rPr>
                <w:sz w:val="20"/>
                <w:szCs w:val="20"/>
                <w:color w:val="auto"/>
              </w:rPr>
            </w:pPr>
            <w:r>
              <w:rPr>
                <w:rFonts w:ascii="Arial" w:cs="Arial" w:eastAsia="Arial" w:hAnsi="Arial"/>
                <w:sz w:val="14"/>
                <w:szCs w:val="14"/>
                <w:color w:val="auto"/>
              </w:rPr>
              <w:t>N/A</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$796,432</w:t>
            </w:r>
          </w:p>
        </w:tc>
      </w:tr>
    </w:tbl>
    <w:p>
      <w:pPr>
        <w:spacing w:after="0" w:line="324" w:lineRule="exact"/>
        <w:rPr>
          <w:sz w:val="20"/>
          <w:szCs w:val="20"/>
          <w:color w:val="auto"/>
        </w:rPr>
      </w:pPr>
    </w:p>
    <w:p>
      <w:pPr>
        <w:ind w:left="73"/>
        <w:spacing w:after="0" w:line="248" w:lineRule="auto"/>
        <w:rPr>
          <w:sz w:val="20"/>
          <w:szCs w:val="20"/>
          <w:color w:val="auto"/>
        </w:rPr>
      </w:pPr>
      <w:r>
        <w:rPr>
          <w:rFonts w:ascii="Arial" w:cs="Arial" w:eastAsia="Arial" w:hAnsi="Arial"/>
          <w:sz w:val="16"/>
          <w:szCs w:val="16"/>
          <w:color w:val="auto"/>
        </w:rPr>
        <w:t>The Nonqualified Deferred Compensation in 2020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2.5 percent for 2020 and is 1.6 percent for 2021. Participants may elect to receive the funds in a lump sum or in up to 10 annual installments following termination of employment but may not make withdrawals while employed by the company, except in the event of hardship as approved by the Compensation Committee. All deferral elections and associated distribution schedules are irrevocable. Both plans are unfunded and subject to forfeiture in the event of company bankruptcy.</w:t>
      </w:r>
    </w:p>
    <w:p>
      <w:pPr>
        <w:spacing w:after="0" w:line="202" w:lineRule="exact"/>
        <w:rPr>
          <w:sz w:val="20"/>
          <w:szCs w:val="20"/>
          <w:color w:val="auto"/>
        </w:rPr>
      </w:pPr>
    </w:p>
    <w:p>
      <w:pPr>
        <w:ind w:left="73"/>
        <w:spacing w:after="0"/>
        <w:rPr>
          <w:sz w:val="20"/>
          <w:szCs w:val="20"/>
          <w:color w:val="auto"/>
        </w:rPr>
      </w:pPr>
      <w:r>
        <w:rPr>
          <w:rFonts w:ascii="Arial" w:cs="Arial" w:eastAsia="Arial" w:hAnsi="Arial"/>
          <w:sz w:val="20"/>
          <w:szCs w:val="20"/>
          <w:b w:val="1"/>
          <w:bCs w:val="1"/>
          <w:color w:val="auto"/>
        </w:rPr>
        <w:t>Payments Upon Termination or Change in Control (as of December 31, 2020)</w:t>
      </w:r>
    </w:p>
    <w:p>
      <w:pPr>
        <w:spacing w:after="0" w:line="29" w:lineRule="exact"/>
        <w:rPr>
          <w:sz w:val="20"/>
          <w:szCs w:val="20"/>
          <w:color w:val="auto"/>
        </w:rPr>
      </w:pPr>
    </w:p>
    <w:p>
      <w:pPr>
        <w:ind w:left="73" w:right="20"/>
        <w:spacing w:after="0" w:line="250" w:lineRule="auto"/>
        <w:rPr>
          <w:sz w:val="20"/>
          <w:szCs w:val="20"/>
          <w:color w:val="auto"/>
        </w:rPr>
      </w:pPr>
      <w:r>
        <w:rPr>
          <w:rFonts w:ascii="Arial" w:cs="Arial" w:eastAsia="Arial" w:hAnsi="Arial"/>
          <w:sz w:val="16"/>
          <w:szCs w:val="16"/>
          <w:color w:val="auto"/>
        </w:rPr>
        <w:t>The following table describes the potential payments and benefits under the company’s compensation and benefit plans and arrangements to which the named executive officers would be entitled upon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
        <w:spacing w:after="0"/>
        <w:rPr>
          <w:sz w:val="20"/>
          <w:szCs w:val="20"/>
          <w:color w:val="auto"/>
        </w:rPr>
      </w:pPr>
      <w:r>
        <w:rPr>
          <w:rFonts w:ascii="Arial" w:cs="Arial" w:eastAsia="Arial" w:hAnsi="Arial"/>
          <w:sz w:val="16"/>
          <w:szCs w:val="16"/>
          <w:color w:val="auto"/>
        </w:rPr>
        <w:t>P70</w:t>
      </w:r>
    </w:p>
    <w:p>
      <w:pPr>
        <w:sectPr>
          <w:pgSz w:w="11900" w:h="16838" w:orient="portrait"/>
          <w:cols w:equalWidth="0" w:num="1">
            <w:col w:w="11273"/>
          </w:cols>
          <w:pgMar w:left="247" w:top="911" w:right="379" w:bottom="1440" w:gutter="0" w:footer="0" w:header="0"/>
        </w:sectPr>
      </w:pPr>
    </w:p>
    <w:bookmarkStart w:id="75" w:name="page76"/>
    <w:bookmarkEnd w:id="75"/>
    <w:tbl>
      <w:tblPr>
        <w:tblLayout w:type="fixed"/>
        <w:tblInd w:w="1113" w:type="dxa"/>
        <w:tblCellMar>
          <w:top w:w="0" w:type="dxa"/>
          <w:left w:w="0" w:type="dxa"/>
          <w:bottom w:w="0" w:type="dxa"/>
          <w:right w:w="0" w:type="dxa"/>
        </w:tblCellMar>
      </w:tblPr>
      <w:tr>
        <w:trPr>
          <w:trHeight w:val="284"/>
        </w:trPr>
        <w:tc>
          <w:tcPr>
            <w:tcW w:w="280" w:type="dxa"/>
            <w:vAlign w:val="bottom"/>
            <w:shd w:val="clear" w:color="auto" w:fill="C0C0C0"/>
          </w:tcPr>
          <w:p>
            <w:pPr>
              <w:spacing w:after="0"/>
              <w:rPr>
                <w:sz w:val="24"/>
                <w:szCs w:val="24"/>
                <w:color w:val="auto"/>
              </w:rPr>
            </w:pPr>
          </w:p>
        </w:tc>
        <w:tc>
          <w:tcPr>
            <w:tcW w:w="392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11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Continuation of</w:t>
            </w:r>
          </w:p>
        </w:tc>
        <w:tc>
          <w:tcPr>
            <w:tcW w:w="1440" w:type="dxa"/>
            <w:vAlign w:val="bottom"/>
            <w:shd w:val="clear" w:color="auto" w:fill="C0C0C0"/>
          </w:tcPr>
          <w:p>
            <w:pPr>
              <w:spacing w:after="0"/>
              <w:rPr>
                <w:sz w:val="24"/>
                <w:szCs w:val="24"/>
                <w:color w:val="auto"/>
              </w:rPr>
            </w:pPr>
          </w:p>
        </w:tc>
        <w:tc>
          <w:tcPr>
            <w:tcW w:w="142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C0C0C0"/>
          </w:tcPr>
          <w:p>
            <w:pPr>
              <w:spacing w:after="0"/>
              <w:rPr>
                <w:sz w:val="14"/>
                <w:szCs w:val="14"/>
                <w:color w:val="auto"/>
              </w:rPr>
            </w:pPr>
          </w:p>
        </w:tc>
        <w:tc>
          <w:tcPr>
            <w:tcW w:w="3920" w:type="dxa"/>
            <w:vAlign w:val="bottom"/>
            <w:shd w:val="clear" w:color="auto" w:fill="C0C0C0"/>
          </w:tcPr>
          <w:p>
            <w:pPr>
              <w:spacing w:after="0"/>
              <w:rPr>
                <w:sz w:val="14"/>
                <w:szCs w:val="14"/>
                <w:color w:val="auto"/>
              </w:rPr>
            </w:pPr>
          </w:p>
        </w:tc>
        <w:tc>
          <w:tcPr>
            <w:tcW w:w="960" w:type="dxa"/>
            <w:vAlign w:val="bottom"/>
            <w:shd w:val="clear" w:color="auto" w:fill="C0C0C0"/>
          </w:tcPr>
          <w:p>
            <w:pPr>
              <w:spacing w:after="0"/>
              <w:rPr>
                <w:sz w:val="14"/>
                <w:szCs w:val="14"/>
                <w:color w:val="auto"/>
              </w:rPr>
            </w:pPr>
          </w:p>
        </w:tc>
        <w:tc>
          <w:tcPr>
            <w:tcW w:w="11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Medical /</w:t>
            </w:r>
          </w:p>
        </w:tc>
        <w:tc>
          <w:tcPr>
            <w:tcW w:w="1440" w:type="dxa"/>
            <w:vAlign w:val="bottom"/>
            <w:vMerge w:val="restart"/>
            <w:shd w:val="clear" w:color="auto" w:fill="C0C0C0"/>
          </w:tcPr>
          <w:p>
            <w:pPr>
              <w:jc w:val="center"/>
              <w:ind w:right="88"/>
              <w:spacing w:after="0"/>
              <w:rPr>
                <w:sz w:val="20"/>
                <w:szCs w:val="20"/>
                <w:color w:val="auto"/>
              </w:rPr>
            </w:pPr>
            <w:r>
              <w:rPr>
                <w:rFonts w:ascii="Arial" w:cs="Arial" w:eastAsia="Arial" w:hAnsi="Arial"/>
                <w:sz w:val="14"/>
                <w:szCs w:val="14"/>
                <w:b w:val="1"/>
                <w:bCs w:val="1"/>
                <w:color w:val="00ABE8"/>
              </w:rPr>
              <w:t>Acceleration and</w:t>
            </w:r>
          </w:p>
        </w:tc>
        <w:tc>
          <w:tcPr>
            <w:tcW w:w="14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C0C0C0"/>
          </w:tcPr>
          <w:p>
            <w:pPr>
              <w:spacing w:after="0"/>
              <w:rPr>
                <w:sz w:val="9"/>
                <w:szCs w:val="9"/>
                <w:color w:val="auto"/>
              </w:rPr>
            </w:pPr>
          </w:p>
        </w:tc>
        <w:tc>
          <w:tcPr>
            <w:tcW w:w="3920" w:type="dxa"/>
            <w:vAlign w:val="bottom"/>
            <w:shd w:val="clear" w:color="auto" w:fill="C0C0C0"/>
          </w:tcPr>
          <w:p>
            <w:pPr>
              <w:spacing w:after="0"/>
              <w:rPr>
                <w:sz w:val="9"/>
                <w:szCs w:val="9"/>
                <w:color w:val="auto"/>
              </w:rPr>
            </w:pPr>
          </w:p>
        </w:tc>
        <w:tc>
          <w:tcPr>
            <w:tcW w:w="960" w:type="dxa"/>
            <w:vAlign w:val="bottom"/>
            <w:shd w:val="clear" w:color="auto" w:fill="C0C0C0"/>
          </w:tcPr>
          <w:p>
            <w:pPr>
              <w:spacing w:after="0"/>
              <w:rPr>
                <w:sz w:val="9"/>
                <w:szCs w:val="9"/>
                <w:color w:val="auto"/>
              </w:rPr>
            </w:pPr>
          </w:p>
        </w:tc>
        <w:tc>
          <w:tcPr>
            <w:tcW w:w="114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00ABE8"/>
                <w:w w:val="98"/>
              </w:rPr>
              <w:t>Welfare</w:t>
            </w:r>
          </w:p>
        </w:tc>
        <w:tc>
          <w:tcPr>
            <w:tcW w:w="1440" w:type="dxa"/>
            <w:vAlign w:val="bottom"/>
            <w:vMerge w:val="continue"/>
            <w:shd w:val="clear" w:color="auto" w:fill="C0C0C0"/>
          </w:tcPr>
          <w:p>
            <w:pPr>
              <w:spacing w:after="0"/>
              <w:rPr>
                <w:sz w:val="9"/>
                <w:szCs w:val="9"/>
                <w:color w:val="auto"/>
              </w:rPr>
            </w:pPr>
          </w:p>
        </w:tc>
        <w:tc>
          <w:tcPr>
            <w:tcW w:w="1420" w:type="dxa"/>
            <w:vAlign w:val="bottom"/>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0" w:type="dxa"/>
            <w:vAlign w:val="bottom"/>
            <w:shd w:val="clear" w:color="auto" w:fill="C0C0C0"/>
          </w:tcPr>
          <w:p>
            <w:pPr>
              <w:spacing w:after="0"/>
              <w:rPr>
                <w:sz w:val="4"/>
                <w:szCs w:val="4"/>
                <w:color w:val="auto"/>
              </w:rPr>
            </w:pPr>
          </w:p>
        </w:tc>
        <w:tc>
          <w:tcPr>
            <w:tcW w:w="3920" w:type="dxa"/>
            <w:vAlign w:val="bottom"/>
            <w:shd w:val="clear" w:color="auto" w:fill="C0C0C0"/>
          </w:tcPr>
          <w:p>
            <w:pPr>
              <w:spacing w:after="0"/>
              <w:rPr>
                <w:sz w:val="4"/>
                <w:szCs w:val="4"/>
                <w:color w:val="auto"/>
              </w:rPr>
            </w:pPr>
          </w:p>
        </w:tc>
        <w:tc>
          <w:tcPr>
            <w:tcW w:w="96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00ABE8"/>
                <w:w w:val="99"/>
              </w:rPr>
              <w:t>Cash</w:t>
            </w:r>
          </w:p>
        </w:tc>
        <w:tc>
          <w:tcPr>
            <w:tcW w:w="1140" w:type="dxa"/>
            <w:vAlign w:val="bottom"/>
            <w:vMerge w:val="continue"/>
            <w:shd w:val="clear" w:color="auto" w:fill="C0C0C0"/>
          </w:tcPr>
          <w:p>
            <w:pPr>
              <w:spacing w:after="0"/>
              <w:rPr>
                <w:sz w:val="4"/>
                <w:szCs w:val="4"/>
                <w:color w:val="auto"/>
              </w:rPr>
            </w:pPr>
          </w:p>
        </w:tc>
        <w:tc>
          <w:tcPr>
            <w:tcW w:w="1440" w:type="dxa"/>
            <w:vAlign w:val="bottom"/>
            <w:vMerge w:val="restart"/>
            <w:shd w:val="clear" w:color="auto" w:fill="C0C0C0"/>
          </w:tcPr>
          <w:p>
            <w:pPr>
              <w:jc w:val="center"/>
              <w:ind w:right="88"/>
              <w:spacing w:after="0"/>
              <w:rPr>
                <w:sz w:val="20"/>
                <w:szCs w:val="20"/>
                <w:color w:val="auto"/>
              </w:rPr>
            </w:pPr>
            <w:r>
              <w:rPr>
                <w:rFonts w:ascii="Arial" w:cs="Arial" w:eastAsia="Arial" w:hAnsi="Arial"/>
                <w:sz w:val="14"/>
                <w:szCs w:val="14"/>
                <w:b w:val="1"/>
                <w:bCs w:val="1"/>
                <w:color w:val="00ABE8"/>
              </w:rPr>
              <w:t>Continuation of</w:t>
            </w:r>
          </w:p>
        </w:tc>
        <w:tc>
          <w:tcPr>
            <w:tcW w:w="1420" w:type="dxa"/>
            <w:vAlign w:val="bottom"/>
            <w:shd w:val="clear" w:color="auto" w:fill="C0C0C0"/>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C0C0C0"/>
          </w:tcPr>
          <w:p>
            <w:pPr>
              <w:spacing w:after="0"/>
              <w:rPr>
                <w:sz w:val="9"/>
                <w:szCs w:val="9"/>
                <w:color w:val="auto"/>
              </w:rPr>
            </w:pPr>
          </w:p>
        </w:tc>
        <w:tc>
          <w:tcPr>
            <w:tcW w:w="3920" w:type="dxa"/>
            <w:vAlign w:val="bottom"/>
            <w:shd w:val="clear" w:color="auto" w:fill="C0C0C0"/>
          </w:tcPr>
          <w:p>
            <w:pPr>
              <w:spacing w:after="0"/>
              <w:rPr>
                <w:sz w:val="9"/>
                <w:szCs w:val="9"/>
                <w:color w:val="auto"/>
              </w:rPr>
            </w:pPr>
          </w:p>
        </w:tc>
        <w:tc>
          <w:tcPr>
            <w:tcW w:w="960" w:type="dxa"/>
            <w:vAlign w:val="bottom"/>
            <w:vMerge w:val="continue"/>
            <w:shd w:val="clear" w:color="auto" w:fill="C0C0C0"/>
          </w:tcPr>
          <w:p>
            <w:pPr>
              <w:spacing w:after="0"/>
              <w:rPr>
                <w:sz w:val="9"/>
                <w:szCs w:val="9"/>
                <w:color w:val="auto"/>
              </w:rPr>
            </w:pPr>
          </w:p>
        </w:tc>
        <w:tc>
          <w:tcPr>
            <w:tcW w:w="114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00ABE8"/>
              </w:rPr>
              <w:t>Benefits</w:t>
            </w:r>
          </w:p>
        </w:tc>
        <w:tc>
          <w:tcPr>
            <w:tcW w:w="1440" w:type="dxa"/>
            <w:vAlign w:val="bottom"/>
            <w:vMerge w:val="continue"/>
            <w:shd w:val="clear" w:color="auto" w:fill="C0C0C0"/>
          </w:tcPr>
          <w:p>
            <w:pPr>
              <w:spacing w:after="0"/>
              <w:rPr>
                <w:sz w:val="9"/>
                <w:szCs w:val="9"/>
                <w:color w:val="auto"/>
              </w:rPr>
            </w:pPr>
          </w:p>
        </w:tc>
        <w:tc>
          <w:tcPr>
            <w:tcW w:w="1420" w:type="dxa"/>
            <w:vAlign w:val="bottom"/>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0" w:type="dxa"/>
            <w:vAlign w:val="bottom"/>
            <w:shd w:val="clear" w:color="auto" w:fill="C0C0C0"/>
          </w:tcPr>
          <w:p>
            <w:pPr>
              <w:spacing w:after="0"/>
              <w:rPr>
                <w:sz w:val="4"/>
                <w:szCs w:val="4"/>
                <w:color w:val="auto"/>
              </w:rPr>
            </w:pPr>
          </w:p>
        </w:tc>
        <w:tc>
          <w:tcPr>
            <w:tcW w:w="3920" w:type="dxa"/>
            <w:vAlign w:val="bottom"/>
            <w:shd w:val="clear" w:color="auto" w:fill="C0C0C0"/>
          </w:tcPr>
          <w:p>
            <w:pPr>
              <w:spacing w:after="0"/>
              <w:rPr>
                <w:sz w:val="4"/>
                <w:szCs w:val="4"/>
                <w:color w:val="auto"/>
              </w:rPr>
            </w:pPr>
          </w:p>
        </w:tc>
        <w:tc>
          <w:tcPr>
            <w:tcW w:w="96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00ABE8"/>
              </w:rPr>
              <w:t>Severance</w:t>
            </w:r>
          </w:p>
        </w:tc>
        <w:tc>
          <w:tcPr>
            <w:tcW w:w="1140" w:type="dxa"/>
            <w:vAlign w:val="bottom"/>
            <w:vMerge w:val="continue"/>
            <w:shd w:val="clear" w:color="auto" w:fill="C0C0C0"/>
          </w:tcPr>
          <w:p>
            <w:pPr>
              <w:spacing w:after="0"/>
              <w:rPr>
                <w:sz w:val="4"/>
                <w:szCs w:val="4"/>
                <w:color w:val="auto"/>
              </w:rPr>
            </w:pPr>
          </w:p>
        </w:tc>
        <w:tc>
          <w:tcPr>
            <w:tcW w:w="1440" w:type="dxa"/>
            <w:vAlign w:val="bottom"/>
            <w:vMerge w:val="restart"/>
            <w:shd w:val="clear" w:color="auto" w:fill="C0C0C0"/>
          </w:tcPr>
          <w:p>
            <w:pPr>
              <w:jc w:val="center"/>
              <w:ind w:right="88"/>
              <w:spacing w:after="0"/>
              <w:rPr>
                <w:sz w:val="20"/>
                <w:szCs w:val="20"/>
                <w:color w:val="auto"/>
              </w:rPr>
            </w:pPr>
            <w:r>
              <w:rPr>
                <w:rFonts w:ascii="Arial" w:cs="Arial" w:eastAsia="Arial" w:hAnsi="Arial"/>
                <w:sz w:val="14"/>
                <w:szCs w:val="14"/>
                <w:b w:val="1"/>
                <w:bCs w:val="1"/>
                <w:color w:val="00ABE8"/>
              </w:rPr>
              <w:t>Equity Awards as</w:t>
            </w:r>
          </w:p>
        </w:tc>
        <w:tc>
          <w:tcPr>
            <w:tcW w:w="1420" w:type="dxa"/>
            <w:vAlign w:val="bottom"/>
            <w:vMerge w:val="restart"/>
            <w:shd w:val="clear" w:color="auto" w:fill="C0C0C0"/>
          </w:tcPr>
          <w:p>
            <w:pPr>
              <w:jc w:val="right"/>
              <w:spacing w:after="0"/>
              <w:rPr>
                <w:sz w:val="20"/>
                <w:szCs w:val="20"/>
                <w:color w:val="auto"/>
              </w:rPr>
            </w:pPr>
            <w:r>
              <w:rPr>
                <w:rFonts w:ascii="Arial" w:cs="Arial" w:eastAsia="Arial" w:hAnsi="Arial"/>
                <w:sz w:val="14"/>
                <w:szCs w:val="14"/>
                <w:b w:val="1"/>
                <w:bCs w:val="1"/>
                <w:color w:val="00ABE8"/>
              </w:rPr>
              <w:t>Total Termination</w:t>
            </w:r>
          </w:p>
        </w:tc>
        <w:tc>
          <w:tcPr>
            <w:tcW w:w="0" w:type="dxa"/>
            <w:vAlign w:val="bottom"/>
          </w:tcPr>
          <w:p>
            <w:pPr>
              <w:spacing w:after="0"/>
              <w:rPr>
                <w:sz w:val="1"/>
                <w:szCs w:val="1"/>
                <w:color w:val="auto"/>
              </w:rPr>
            </w:pPr>
          </w:p>
        </w:tc>
      </w:tr>
      <w:tr>
        <w:trPr>
          <w:trHeight w:val="148"/>
        </w:trPr>
        <w:tc>
          <w:tcPr>
            <w:tcW w:w="4200" w:type="dxa"/>
            <w:vAlign w:val="bottom"/>
            <w:gridSpan w:val="2"/>
            <w:vMerge w:val="restart"/>
            <w:shd w:val="clear" w:color="auto" w:fill="C0C0C0"/>
          </w:tcPr>
          <w:p>
            <w:pPr>
              <w:ind w:left="20"/>
              <w:spacing w:after="0"/>
              <w:rPr>
                <w:sz w:val="20"/>
                <w:szCs w:val="20"/>
                <w:color w:val="auto"/>
              </w:rPr>
            </w:pPr>
            <w:r>
              <w:rPr>
                <w:rFonts w:ascii="Arial" w:cs="Arial" w:eastAsia="Arial" w:hAnsi="Arial"/>
                <w:sz w:val="14"/>
                <w:szCs w:val="14"/>
                <w:b w:val="1"/>
                <w:bCs w:val="1"/>
                <w:color w:val="00ABE8"/>
              </w:rPr>
              <w:t>Name</w:t>
            </w:r>
          </w:p>
        </w:tc>
        <w:tc>
          <w:tcPr>
            <w:tcW w:w="960" w:type="dxa"/>
            <w:vAlign w:val="bottom"/>
            <w:vMerge w:val="continue"/>
            <w:shd w:val="clear" w:color="auto" w:fill="C0C0C0"/>
          </w:tcPr>
          <w:p>
            <w:pPr>
              <w:spacing w:after="0"/>
              <w:rPr>
                <w:sz w:val="12"/>
                <w:szCs w:val="12"/>
                <w:color w:val="auto"/>
              </w:rPr>
            </w:pPr>
          </w:p>
        </w:tc>
        <w:tc>
          <w:tcPr>
            <w:tcW w:w="1140" w:type="dxa"/>
            <w:vAlign w:val="bottom"/>
            <w:shd w:val="clear" w:color="auto" w:fill="C0C0C0"/>
          </w:tcPr>
          <w:p>
            <w:pPr>
              <w:jc w:val="center"/>
              <w:spacing w:after="0" w:line="148" w:lineRule="exact"/>
              <w:rPr>
                <w:sz w:val="20"/>
                <w:szCs w:val="20"/>
                <w:color w:val="auto"/>
              </w:rPr>
            </w:pPr>
            <w:r>
              <w:rPr>
                <w:rFonts w:ascii="Arial" w:cs="Arial" w:eastAsia="Arial" w:hAnsi="Arial"/>
                <w:sz w:val="14"/>
                <w:szCs w:val="14"/>
                <w:b w:val="1"/>
                <w:bCs w:val="1"/>
                <w:color w:val="00ABE8"/>
              </w:rPr>
              <w:t>(present value)</w:t>
            </w:r>
          </w:p>
        </w:tc>
        <w:tc>
          <w:tcPr>
            <w:tcW w:w="1440" w:type="dxa"/>
            <w:vAlign w:val="bottom"/>
            <w:vMerge w:val="continue"/>
            <w:shd w:val="clear" w:color="auto" w:fill="C0C0C0"/>
          </w:tcPr>
          <w:p>
            <w:pPr>
              <w:spacing w:after="0"/>
              <w:rPr>
                <w:sz w:val="12"/>
                <w:szCs w:val="12"/>
                <w:color w:val="auto"/>
              </w:rPr>
            </w:pPr>
          </w:p>
        </w:tc>
        <w:tc>
          <w:tcPr>
            <w:tcW w:w="1420" w:type="dxa"/>
            <w:vAlign w:val="bottom"/>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vMerge w:val="continue"/>
            <w:shd w:val="clear" w:color="auto" w:fill="C0C0C0"/>
          </w:tcPr>
          <w:p>
            <w:pPr>
              <w:spacing w:after="0"/>
              <w:rPr>
                <w:sz w:val="14"/>
                <w:szCs w:val="14"/>
                <w:color w:val="auto"/>
              </w:rPr>
            </w:pPr>
          </w:p>
        </w:tc>
        <w:tc>
          <w:tcPr>
            <w:tcW w:w="960" w:type="dxa"/>
            <w:vAlign w:val="bottom"/>
            <w:shd w:val="clear" w:color="auto" w:fill="C0C0C0"/>
          </w:tcPr>
          <w:p>
            <w:pPr>
              <w:jc w:val="center"/>
              <w:spacing w:after="0" w:line="162" w:lineRule="exact"/>
              <w:rPr>
                <w:sz w:val="20"/>
                <w:szCs w:val="20"/>
                <w:color w:val="auto"/>
              </w:rPr>
            </w:pPr>
            <w:r>
              <w:rPr>
                <w:rFonts w:ascii="Arial" w:cs="Arial" w:eastAsia="Arial" w:hAnsi="Arial"/>
                <w:sz w:val="14"/>
                <w:szCs w:val="14"/>
                <w:b w:val="1"/>
                <w:bCs w:val="1"/>
                <w:color w:val="00ABE8"/>
              </w:rPr>
              <w:t xml:space="preserve">Payment </w:t>
            </w:r>
            <w:r>
              <w:rPr>
                <w:rFonts w:ascii="Arial" w:cs="Arial" w:eastAsia="Arial" w:hAnsi="Arial"/>
                <w:sz w:val="18"/>
                <w:szCs w:val="18"/>
                <w:b w:val="1"/>
                <w:bCs w:val="1"/>
                <w:color w:val="00ABE8"/>
                <w:vertAlign w:val="superscript"/>
              </w:rPr>
              <w:t>1</w:t>
            </w:r>
          </w:p>
        </w:tc>
        <w:tc>
          <w:tcPr>
            <w:tcW w:w="1140" w:type="dxa"/>
            <w:vAlign w:val="bottom"/>
            <w:shd w:val="clear" w:color="auto" w:fill="C0C0C0"/>
          </w:tcPr>
          <w:p>
            <w:pPr>
              <w:jc w:val="center"/>
              <w:spacing w:after="0"/>
              <w:rPr>
                <w:sz w:val="20"/>
                <w:szCs w:val="20"/>
                <w:color w:val="auto"/>
              </w:rPr>
            </w:pPr>
            <w:r>
              <w:rPr>
                <w:rFonts w:ascii="Arial" w:cs="Arial" w:eastAsia="Arial" w:hAnsi="Arial"/>
                <w:sz w:val="9"/>
                <w:szCs w:val="9"/>
                <w:b w:val="1"/>
                <w:bCs w:val="1"/>
                <w:color w:val="00ABE8"/>
              </w:rPr>
              <w:t>2</w:t>
            </w:r>
          </w:p>
        </w:tc>
        <w:tc>
          <w:tcPr>
            <w:tcW w:w="1440" w:type="dxa"/>
            <w:vAlign w:val="bottom"/>
            <w:shd w:val="clear" w:color="auto" w:fill="C0C0C0"/>
          </w:tcPr>
          <w:p>
            <w:pPr>
              <w:jc w:val="center"/>
              <w:ind w:right="88"/>
              <w:spacing w:after="0"/>
              <w:rPr>
                <w:sz w:val="20"/>
                <w:szCs w:val="20"/>
                <w:color w:val="auto"/>
              </w:rPr>
            </w:pPr>
            <w:r>
              <w:rPr>
                <w:rFonts w:ascii="Arial" w:cs="Arial" w:eastAsia="Arial" w:hAnsi="Arial"/>
                <w:sz w:val="14"/>
                <w:szCs w:val="14"/>
                <w:b w:val="1"/>
                <w:bCs w:val="1"/>
                <w:color w:val="00ABE8"/>
              </w:rPr>
              <w:t>of 12/31/2020</w:t>
            </w:r>
          </w:p>
        </w:tc>
        <w:tc>
          <w:tcPr>
            <w:tcW w:w="1420" w:type="dxa"/>
            <w:vAlign w:val="bottom"/>
            <w:shd w:val="clear" w:color="auto" w:fill="C0C0C0"/>
          </w:tcPr>
          <w:p>
            <w:pPr>
              <w:jc w:val="right"/>
              <w:ind w:right="308"/>
              <w:spacing w:after="0"/>
              <w:rPr>
                <w:sz w:val="20"/>
                <w:szCs w:val="20"/>
                <w:color w:val="auto"/>
              </w:rPr>
            </w:pPr>
            <w:r>
              <w:rPr>
                <w:rFonts w:ascii="Arial" w:cs="Arial" w:eastAsia="Arial" w:hAnsi="Arial"/>
                <w:sz w:val="14"/>
                <w:szCs w:val="14"/>
                <w:b w:val="1"/>
                <w:bCs w:val="1"/>
                <w:color w:val="00ABE8"/>
              </w:rPr>
              <w:t>Benefits</w:t>
            </w:r>
          </w:p>
        </w:tc>
        <w:tc>
          <w:tcPr>
            <w:tcW w:w="0" w:type="dxa"/>
            <w:vAlign w:val="bottom"/>
          </w:tcPr>
          <w:p>
            <w:pPr>
              <w:spacing w:after="0"/>
              <w:rPr>
                <w:sz w:val="1"/>
                <w:szCs w:val="1"/>
                <w:color w:val="auto"/>
              </w:rPr>
            </w:pPr>
          </w:p>
        </w:tc>
      </w:tr>
      <w:tr>
        <w:trPr>
          <w:trHeight w:val="27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Mr. Ricks</w:t>
            </w: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   Involuntary retirement or termination</w:t>
            </w: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$22,217,993</w:t>
            </w:r>
          </w:p>
        </w:tc>
        <w:tc>
          <w:tcPr>
            <w:tcW w:w="1420" w:type="dxa"/>
            <w:vAlign w:val="bottom"/>
          </w:tcPr>
          <w:p>
            <w:pPr>
              <w:jc w:val="right"/>
              <w:spacing w:after="0"/>
              <w:rPr>
                <w:sz w:val="20"/>
                <w:szCs w:val="20"/>
                <w:color w:val="auto"/>
              </w:rPr>
            </w:pPr>
            <w:r>
              <w:rPr>
                <w:rFonts w:ascii="Arial" w:cs="Arial" w:eastAsia="Arial" w:hAnsi="Arial"/>
                <w:sz w:val="14"/>
                <w:szCs w:val="14"/>
                <w:color w:val="auto"/>
              </w:rPr>
              <w:t>$22,217,993</w:t>
            </w:r>
          </w:p>
        </w:tc>
        <w:tc>
          <w:tcPr>
            <w:tcW w:w="0" w:type="dxa"/>
            <w:vAlign w:val="bottom"/>
          </w:tcPr>
          <w:p>
            <w:pPr>
              <w:spacing w:after="0"/>
              <w:rPr>
                <w:sz w:val="1"/>
                <w:szCs w:val="1"/>
                <w:color w:val="auto"/>
              </w:rPr>
            </w:pPr>
          </w:p>
        </w:tc>
      </w:tr>
      <w:tr>
        <w:trPr>
          <w:trHeight w:val="206"/>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92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$7,500,000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$308,701</w:t>
            </w:r>
          </w:p>
        </w:tc>
        <w:tc>
          <w:tcPr>
            <w:tcW w:w="1440" w:type="dxa"/>
            <w:vAlign w:val="bottom"/>
            <w:vMerge w:val="restart"/>
          </w:tcPr>
          <w:p>
            <w:pPr>
              <w:jc w:val="right"/>
              <w:ind w:right="68"/>
              <w:spacing w:after="0"/>
              <w:rPr>
                <w:sz w:val="20"/>
                <w:szCs w:val="20"/>
                <w:color w:val="auto"/>
              </w:rPr>
            </w:pPr>
            <w:r>
              <w:rPr>
                <w:rFonts w:ascii="Arial" w:cs="Arial" w:eastAsia="Arial" w:hAnsi="Arial"/>
                <w:sz w:val="14"/>
                <w:szCs w:val="14"/>
                <w:color w:val="auto"/>
              </w:rPr>
              <w:t>$59,872,504</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$67,681,205</w:t>
            </w:r>
          </w:p>
        </w:tc>
        <w:tc>
          <w:tcPr>
            <w:tcW w:w="0" w:type="dxa"/>
            <w:vAlign w:val="bottom"/>
          </w:tcPr>
          <w:p>
            <w:pPr>
              <w:spacing w:after="0"/>
              <w:rPr>
                <w:sz w:val="1"/>
                <w:szCs w:val="1"/>
                <w:color w:val="auto"/>
              </w:rPr>
            </w:pPr>
          </w:p>
        </w:tc>
      </w:tr>
      <w:tr>
        <w:trPr>
          <w:trHeight w:val="171"/>
        </w:trPr>
        <w:tc>
          <w:tcPr>
            <w:tcW w:w="280" w:type="dxa"/>
            <w:vAlign w:val="bottom"/>
            <w:tcBorders>
              <w:bottom w:val="single" w:sz="8" w:color="C8C9CB"/>
            </w:tcBorders>
            <w:vMerge w:val="continue"/>
          </w:tcPr>
          <w:p>
            <w:pPr>
              <w:spacing w:after="0"/>
              <w:rPr>
                <w:sz w:val="14"/>
                <w:szCs w:val="14"/>
                <w:color w:val="auto"/>
              </w:rPr>
            </w:pPr>
          </w:p>
        </w:tc>
        <w:tc>
          <w:tcPr>
            <w:tcW w:w="392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control</w:t>
            </w:r>
          </w:p>
        </w:tc>
        <w:tc>
          <w:tcPr>
            <w:tcW w:w="960" w:type="dxa"/>
            <w:vAlign w:val="bottom"/>
            <w:tcBorders>
              <w:bottom w:val="single" w:sz="8" w:color="BFBFBF"/>
            </w:tcBorders>
            <w:vMerge w:val="continue"/>
          </w:tcPr>
          <w:p>
            <w:pPr>
              <w:spacing w:after="0"/>
              <w:rPr>
                <w:sz w:val="14"/>
                <w:szCs w:val="14"/>
                <w:color w:val="auto"/>
              </w:rPr>
            </w:pPr>
          </w:p>
        </w:tc>
        <w:tc>
          <w:tcPr>
            <w:tcW w:w="1140" w:type="dxa"/>
            <w:vAlign w:val="bottom"/>
            <w:tcBorders>
              <w:bottom w:val="single" w:sz="8" w:color="C8C9CB"/>
            </w:tcBorders>
            <w:vMerge w:val="continue"/>
          </w:tcPr>
          <w:p>
            <w:pPr>
              <w:spacing w:after="0"/>
              <w:rPr>
                <w:sz w:val="14"/>
                <w:szCs w:val="14"/>
                <w:color w:val="auto"/>
              </w:rPr>
            </w:pPr>
          </w:p>
        </w:tc>
        <w:tc>
          <w:tcPr>
            <w:tcW w:w="1440" w:type="dxa"/>
            <w:vAlign w:val="bottom"/>
            <w:tcBorders>
              <w:bottom w:val="single" w:sz="8" w:color="C8C9CB"/>
            </w:tcBorders>
            <w:vMerge w:val="continue"/>
          </w:tcPr>
          <w:p>
            <w:pPr>
              <w:spacing w:after="0"/>
              <w:rPr>
                <w:sz w:val="14"/>
                <w:szCs w:val="14"/>
                <w:color w:val="auto"/>
              </w:rPr>
            </w:pPr>
          </w:p>
        </w:tc>
        <w:tc>
          <w:tcPr>
            <w:tcW w:w="1420" w:type="dxa"/>
            <w:vAlign w:val="bottom"/>
            <w:tcBorders>
              <w:bottom w:val="single" w:sz="8" w:color="C8C9C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F4F6F6"/>
          </w:tcPr>
          <w:p>
            <w:pPr>
              <w:ind w:left="20"/>
              <w:spacing w:after="0"/>
              <w:rPr>
                <w:sz w:val="20"/>
                <w:szCs w:val="20"/>
                <w:color w:val="auto"/>
              </w:rPr>
            </w:pPr>
            <w:r>
              <w:rPr>
                <w:rFonts w:ascii="Arial" w:cs="Arial" w:eastAsia="Arial" w:hAnsi="Arial"/>
                <w:sz w:val="14"/>
                <w:szCs w:val="14"/>
                <w:color w:val="auto"/>
              </w:rPr>
              <w:t>Mr. Smiley</w:t>
            </w:r>
            <w:r>
              <w:rPr>
                <w:rFonts w:ascii="Arial" w:cs="Arial" w:eastAsia="Arial" w:hAnsi="Arial"/>
                <w:sz w:val="18"/>
                <w:szCs w:val="18"/>
                <w:color w:val="auto"/>
                <w:vertAlign w:val="superscript"/>
              </w:rPr>
              <w:t>3</w:t>
            </w:r>
          </w:p>
        </w:tc>
        <w:tc>
          <w:tcPr>
            <w:tcW w:w="960" w:type="dxa"/>
            <w:vAlign w:val="bottom"/>
            <w:shd w:val="clear" w:color="auto" w:fill="F4F6F6"/>
          </w:tcPr>
          <w:p>
            <w:pPr>
              <w:spacing w:after="0"/>
              <w:rPr>
                <w:sz w:val="21"/>
                <w:szCs w:val="21"/>
                <w:color w:val="auto"/>
              </w:rPr>
            </w:pPr>
          </w:p>
        </w:tc>
        <w:tc>
          <w:tcPr>
            <w:tcW w:w="1140" w:type="dxa"/>
            <w:vAlign w:val="bottom"/>
            <w:shd w:val="clear" w:color="auto" w:fill="F4F6F6"/>
          </w:tcPr>
          <w:p>
            <w:pPr>
              <w:spacing w:after="0"/>
              <w:rPr>
                <w:sz w:val="21"/>
                <w:szCs w:val="21"/>
                <w:color w:val="auto"/>
              </w:rPr>
            </w:pPr>
          </w:p>
        </w:tc>
        <w:tc>
          <w:tcPr>
            <w:tcW w:w="1440" w:type="dxa"/>
            <w:vAlign w:val="bottom"/>
            <w:shd w:val="clear" w:color="auto" w:fill="F4F6F6"/>
          </w:tcPr>
          <w:p>
            <w:pPr>
              <w:spacing w:after="0"/>
              <w:rPr>
                <w:sz w:val="21"/>
                <w:szCs w:val="21"/>
                <w:color w:val="auto"/>
              </w:rPr>
            </w:pPr>
          </w:p>
        </w:tc>
        <w:tc>
          <w:tcPr>
            <w:tcW w:w="1420" w:type="dxa"/>
            <w:vAlign w:val="bottom"/>
            <w:shd w:val="clear" w:color="auto" w:fill="F4F6F6"/>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80" w:type="dxa"/>
            <w:vAlign w:val="bottom"/>
            <w:shd w:val="clear" w:color="auto" w:fill="F4F6F6"/>
          </w:tcPr>
          <w:p>
            <w:pPr>
              <w:ind w:left="20"/>
              <w:spacing w:after="0"/>
              <w:rPr>
                <w:sz w:val="20"/>
                <w:szCs w:val="20"/>
                <w:color w:val="auto"/>
              </w:rPr>
            </w:pPr>
            <w:r>
              <w:rPr>
                <w:rFonts w:ascii="Arial" w:cs="Arial" w:eastAsia="Arial" w:hAnsi="Arial"/>
                <w:sz w:val="14"/>
                <w:szCs w:val="14"/>
                <w:color w:val="auto"/>
              </w:rPr>
              <w:t>•</w:t>
            </w:r>
          </w:p>
        </w:tc>
        <w:tc>
          <w:tcPr>
            <w:tcW w:w="392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retirement or termination</w:t>
            </w:r>
          </w:p>
        </w:tc>
        <w:tc>
          <w:tcPr>
            <w:tcW w:w="96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440" w:type="dxa"/>
            <w:vAlign w:val="bottom"/>
            <w:shd w:val="clear" w:color="auto" w:fill="F4F6F6"/>
          </w:tcPr>
          <w:p>
            <w:pPr>
              <w:jc w:val="right"/>
              <w:ind w:right="68"/>
              <w:spacing w:after="0"/>
              <w:rPr>
                <w:sz w:val="20"/>
                <w:szCs w:val="20"/>
                <w:color w:val="auto"/>
              </w:rPr>
            </w:pPr>
            <w:r>
              <w:rPr>
                <w:rFonts w:ascii="Arial" w:cs="Arial" w:eastAsia="Arial" w:hAnsi="Arial"/>
                <w:sz w:val="14"/>
                <w:szCs w:val="14"/>
                <w:color w:val="auto"/>
              </w:rPr>
              <w:t>$5,693,032</w:t>
            </w:r>
          </w:p>
        </w:tc>
        <w:tc>
          <w:tcPr>
            <w:tcW w:w="1420" w:type="dxa"/>
            <w:vAlign w:val="bottom"/>
            <w:shd w:val="clear" w:color="auto" w:fill="F4F6F6"/>
          </w:tcPr>
          <w:p>
            <w:pPr>
              <w:jc w:val="right"/>
              <w:spacing w:after="0"/>
              <w:rPr>
                <w:sz w:val="20"/>
                <w:szCs w:val="20"/>
                <w:color w:val="auto"/>
              </w:rPr>
            </w:pPr>
            <w:r>
              <w:rPr>
                <w:rFonts w:ascii="Arial" w:cs="Arial" w:eastAsia="Arial" w:hAnsi="Arial"/>
                <w:sz w:val="14"/>
                <w:szCs w:val="14"/>
                <w:color w:val="auto"/>
              </w:rPr>
              <w:t>$5,693,032</w:t>
            </w:r>
          </w:p>
        </w:tc>
        <w:tc>
          <w:tcPr>
            <w:tcW w:w="0" w:type="dxa"/>
            <w:vAlign w:val="bottom"/>
          </w:tcPr>
          <w:p>
            <w:pPr>
              <w:spacing w:after="0"/>
              <w:rPr>
                <w:sz w:val="1"/>
                <w:szCs w:val="1"/>
                <w:color w:val="auto"/>
              </w:rPr>
            </w:pPr>
          </w:p>
        </w:tc>
      </w:tr>
      <w:tr>
        <w:trPr>
          <w:trHeight w:val="207"/>
        </w:trPr>
        <w:tc>
          <w:tcPr>
            <w:tcW w:w="28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w:t>
            </w:r>
          </w:p>
        </w:tc>
        <w:tc>
          <w:tcPr>
            <w:tcW w:w="392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or good-reason termination after change in</w:t>
            </w:r>
          </w:p>
        </w:tc>
        <w:tc>
          <w:tcPr>
            <w:tcW w:w="96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$3,900,000</w:t>
            </w:r>
          </w:p>
        </w:tc>
        <w:tc>
          <w:tcPr>
            <w:tcW w:w="114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$216,950</w:t>
            </w:r>
          </w:p>
        </w:tc>
        <w:tc>
          <w:tcPr>
            <w:tcW w:w="1440" w:type="dxa"/>
            <w:vAlign w:val="bottom"/>
            <w:vMerge w:val="restart"/>
            <w:shd w:val="clear" w:color="auto" w:fill="F4F6F6"/>
          </w:tcPr>
          <w:p>
            <w:pPr>
              <w:jc w:val="right"/>
              <w:ind w:right="68"/>
              <w:spacing w:after="0"/>
              <w:rPr>
                <w:sz w:val="20"/>
                <w:szCs w:val="20"/>
                <w:color w:val="auto"/>
              </w:rPr>
            </w:pPr>
            <w:r>
              <w:rPr>
                <w:rFonts w:ascii="Arial" w:cs="Arial" w:eastAsia="Arial" w:hAnsi="Arial"/>
                <w:sz w:val="14"/>
                <w:szCs w:val="14"/>
                <w:color w:val="auto"/>
              </w:rPr>
              <w:t>$15,515,087</w:t>
            </w:r>
          </w:p>
        </w:tc>
        <w:tc>
          <w:tcPr>
            <w:tcW w:w="142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$19,632,037</w:t>
            </w:r>
          </w:p>
        </w:tc>
        <w:tc>
          <w:tcPr>
            <w:tcW w:w="0" w:type="dxa"/>
            <w:vAlign w:val="bottom"/>
          </w:tcPr>
          <w:p>
            <w:pPr>
              <w:spacing w:after="0"/>
              <w:rPr>
                <w:sz w:val="1"/>
                <w:szCs w:val="1"/>
                <w:color w:val="auto"/>
              </w:rPr>
            </w:pPr>
          </w:p>
        </w:tc>
      </w:tr>
      <w:tr>
        <w:trPr>
          <w:trHeight w:val="171"/>
        </w:trPr>
        <w:tc>
          <w:tcPr>
            <w:tcW w:w="280" w:type="dxa"/>
            <w:vAlign w:val="bottom"/>
            <w:tcBorders>
              <w:bottom w:val="single" w:sz="8" w:color="C8C9CB"/>
            </w:tcBorders>
            <w:vMerge w:val="continue"/>
            <w:shd w:val="clear" w:color="auto" w:fill="F4F6F6"/>
          </w:tcPr>
          <w:p>
            <w:pPr>
              <w:spacing w:after="0"/>
              <w:rPr>
                <w:sz w:val="14"/>
                <w:szCs w:val="14"/>
                <w:color w:val="auto"/>
              </w:rPr>
            </w:pPr>
          </w:p>
        </w:tc>
        <w:tc>
          <w:tcPr>
            <w:tcW w:w="392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control</w:t>
            </w:r>
          </w:p>
        </w:tc>
        <w:tc>
          <w:tcPr>
            <w:tcW w:w="960" w:type="dxa"/>
            <w:vAlign w:val="bottom"/>
            <w:tcBorders>
              <w:bottom w:val="single" w:sz="8" w:color="C8C9CB"/>
            </w:tcBorders>
            <w:vMerge w:val="continue"/>
            <w:shd w:val="clear" w:color="auto" w:fill="F4F6F6"/>
          </w:tcPr>
          <w:p>
            <w:pPr>
              <w:spacing w:after="0"/>
              <w:rPr>
                <w:sz w:val="14"/>
                <w:szCs w:val="14"/>
                <w:color w:val="auto"/>
              </w:rPr>
            </w:pPr>
          </w:p>
        </w:tc>
        <w:tc>
          <w:tcPr>
            <w:tcW w:w="1140" w:type="dxa"/>
            <w:vAlign w:val="bottom"/>
            <w:tcBorders>
              <w:bottom w:val="single" w:sz="8" w:color="C8C9CB"/>
            </w:tcBorders>
            <w:vMerge w:val="continue"/>
            <w:shd w:val="clear" w:color="auto" w:fill="F4F6F6"/>
          </w:tcPr>
          <w:p>
            <w:pPr>
              <w:spacing w:after="0"/>
              <w:rPr>
                <w:sz w:val="14"/>
                <w:szCs w:val="14"/>
                <w:color w:val="auto"/>
              </w:rPr>
            </w:pPr>
          </w:p>
        </w:tc>
        <w:tc>
          <w:tcPr>
            <w:tcW w:w="1440" w:type="dxa"/>
            <w:vAlign w:val="bottom"/>
            <w:tcBorders>
              <w:bottom w:val="single" w:sz="8" w:color="C8C9CB"/>
            </w:tcBorders>
            <w:vMerge w:val="continue"/>
            <w:shd w:val="clear" w:color="auto" w:fill="F4F6F6"/>
          </w:tcPr>
          <w:p>
            <w:pPr>
              <w:spacing w:after="0"/>
              <w:rPr>
                <w:sz w:val="14"/>
                <w:szCs w:val="14"/>
                <w:color w:val="auto"/>
              </w:rPr>
            </w:pPr>
          </w:p>
        </w:tc>
        <w:tc>
          <w:tcPr>
            <w:tcW w:w="1420" w:type="dxa"/>
            <w:vAlign w:val="bottom"/>
            <w:tcBorders>
              <w:bottom w:val="single" w:sz="8" w:color="C8C9CB"/>
            </w:tcBorders>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Dr. Skovronsky</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   Involuntary retirement or termination</w:t>
            </w: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$3,163,217</w:t>
            </w:r>
          </w:p>
        </w:tc>
        <w:tc>
          <w:tcPr>
            <w:tcW w:w="1420" w:type="dxa"/>
            <w:vAlign w:val="bottom"/>
          </w:tcPr>
          <w:p>
            <w:pPr>
              <w:jc w:val="right"/>
              <w:spacing w:after="0"/>
              <w:rPr>
                <w:sz w:val="20"/>
                <w:szCs w:val="20"/>
                <w:color w:val="auto"/>
              </w:rPr>
            </w:pPr>
            <w:r>
              <w:rPr>
                <w:rFonts w:ascii="Arial" w:cs="Arial" w:eastAsia="Arial" w:hAnsi="Arial"/>
                <w:sz w:val="14"/>
                <w:szCs w:val="14"/>
                <w:color w:val="auto"/>
              </w:rPr>
              <w:t>$3,163,217</w:t>
            </w:r>
          </w:p>
        </w:tc>
        <w:tc>
          <w:tcPr>
            <w:tcW w:w="0" w:type="dxa"/>
            <w:vAlign w:val="bottom"/>
          </w:tcPr>
          <w:p>
            <w:pPr>
              <w:spacing w:after="0"/>
              <w:rPr>
                <w:sz w:val="1"/>
                <w:szCs w:val="1"/>
                <w:color w:val="auto"/>
              </w:rPr>
            </w:pPr>
          </w:p>
        </w:tc>
      </w:tr>
      <w:tr>
        <w:trPr>
          <w:trHeight w:val="206"/>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92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$3,900,000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$42,860</w:t>
            </w:r>
          </w:p>
        </w:tc>
        <w:tc>
          <w:tcPr>
            <w:tcW w:w="1440" w:type="dxa"/>
            <w:vAlign w:val="bottom"/>
            <w:vMerge w:val="restart"/>
          </w:tcPr>
          <w:p>
            <w:pPr>
              <w:jc w:val="right"/>
              <w:ind w:right="68"/>
              <w:spacing w:after="0"/>
              <w:rPr>
                <w:sz w:val="20"/>
                <w:szCs w:val="20"/>
                <w:color w:val="auto"/>
              </w:rPr>
            </w:pPr>
            <w:r>
              <w:rPr>
                <w:rFonts w:ascii="Arial" w:cs="Arial" w:eastAsia="Arial" w:hAnsi="Arial"/>
                <w:sz w:val="14"/>
                <w:szCs w:val="14"/>
                <w:color w:val="auto"/>
              </w:rPr>
              <w:t>$15,606,548</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$19,549,408</w:t>
            </w:r>
          </w:p>
        </w:tc>
        <w:tc>
          <w:tcPr>
            <w:tcW w:w="0" w:type="dxa"/>
            <w:vAlign w:val="bottom"/>
          </w:tcPr>
          <w:p>
            <w:pPr>
              <w:spacing w:after="0"/>
              <w:rPr>
                <w:sz w:val="1"/>
                <w:szCs w:val="1"/>
                <w:color w:val="auto"/>
              </w:rPr>
            </w:pPr>
          </w:p>
        </w:tc>
      </w:tr>
      <w:tr>
        <w:trPr>
          <w:trHeight w:val="171"/>
        </w:trPr>
        <w:tc>
          <w:tcPr>
            <w:tcW w:w="280" w:type="dxa"/>
            <w:vAlign w:val="bottom"/>
            <w:tcBorders>
              <w:bottom w:val="single" w:sz="8" w:color="C8C9CB"/>
            </w:tcBorders>
            <w:vMerge w:val="continue"/>
          </w:tcPr>
          <w:p>
            <w:pPr>
              <w:spacing w:after="0"/>
              <w:rPr>
                <w:sz w:val="14"/>
                <w:szCs w:val="14"/>
                <w:color w:val="auto"/>
              </w:rPr>
            </w:pPr>
          </w:p>
        </w:tc>
        <w:tc>
          <w:tcPr>
            <w:tcW w:w="392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control</w:t>
            </w:r>
          </w:p>
        </w:tc>
        <w:tc>
          <w:tcPr>
            <w:tcW w:w="960" w:type="dxa"/>
            <w:vAlign w:val="bottom"/>
            <w:tcBorders>
              <w:bottom w:val="single" w:sz="8" w:color="BFBFBF"/>
            </w:tcBorders>
            <w:vMerge w:val="continue"/>
          </w:tcPr>
          <w:p>
            <w:pPr>
              <w:spacing w:after="0"/>
              <w:rPr>
                <w:sz w:val="14"/>
                <w:szCs w:val="14"/>
                <w:color w:val="auto"/>
              </w:rPr>
            </w:pPr>
          </w:p>
        </w:tc>
        <w:tc>
          <w:tcPr>
            <w:tcW w:w="1140" w:type="dxa"/>
            <w:vAlign w:val="bottom"/>
            <w:tcBorders>
              <w:bottom w:val="single" w:sz="8" w:color="C8C9CB"/>
            </w:tcBorders>
            <w:vMerge w:val="continue"/>
          </w:tcPr>
          <w:p>
            <w:pPr>
              <w:spacing w:after="0"/>
              <w:rPr>
                <w:sz w:val="14"/>
                <w:szCs w:val="14"/>
                <w:color w:val="auto"/>
              </w:rPr>
            </w:pPr>
          </w:p>
        </w:tc>
        <w:tc>
          <w:tcPr>
            <w:tcW w:w="1440" w:type="dxa"/>
            <w:vAlign w:val="bottom"/>
            <w:tcBorders>
              <w:bottom w:val="single" w:sz="8" w:color="C8C9CB"/>
            </w:tcBorders>
            <w:vMerge w:val="continue"/>
          </w:tcPr>
          <w:p>
            <w:pPr>
              <w:spacing w:after="0"/>
              <w:rPr>
                <w:sz w:val="14"/>
                <w:szCs w:val="14"/>
                <w:color w:val="auto"/>
              </w:rPr>
            </w:pPr>
          </w:p>
        </w:tc>
        <w:tc>
          <w:tcPr>
            <w:tcW w:w="1420" w:type="dxa"/>
            <w:vAlign w:val="bottom"/>
            <w:tcBorders>
              <w:bottom w:val="single" w:sz="8" w:color="C8C9C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F4F6F6"/>
          </w:tcPr>
          <w:p>
            <w:pPr>
              <w:ind w:left="20"/>
              <w:spacing w:after="0"/>
              <w:rPr>
                <w:sz w:val="20"/>
                <w:szCs w:val="20"/>
                <w:color w:val="auto"/>
              </w:rPr>
            </w:pPr>
            <w:r>
              <w:rPr>
                <w:rFonts w:ascii="Arial" w:cs="Arial" w:eastAsia="Arial" w:hAnsi="Arial"/>
                <w:sz w:val="14"/>
                <w:szCs w:val="14"/>
                <w:color w:val="auto"/>
              </w:rPr>
              <w:t>Ms. Hakim</w:t>
            </w:r>
          </w:p>
        </w:tc>
        <w:tc>
          <w:tcPr>
            <w:tcW w:w="960" w:type="dxa"/>
            <w:vAlign w:val="bottom"/>
            <w:shd w:val="clear" w:color="auto" w:fill="F4F6F6"/>
          </w:tcPr>
          <w:p>
            <w:pPr>
              <w:spacing w:after="0"/>
              <w:rPr>
                <w:sz w:val="21"/>
                <w:szCs w:val="21"/>
                <w:color w:val="auto"/>
              </w:rPr>
            </w:pPr>
          </w:p>
        </w:tc>
        <w:tc>
          <w:tcPr>
            <w:tcW w:w="1140" w:type="dxa"/>
            <w:vAlign w:val="bottom"/>
            <w:shd w:val="clear" w:color="auto" w:fill="F4F6F6"/>
          </w:tcPr>
          <w:p>
            <w:pPr>
              <w:spacing w:after="0"/>
              <w:rPr>
                <w:sz w:val="21"/>
                <w:szCs w:val="21"/>
                <w:color w:val="auto"/>
              </w:rPr>
            </w:pPr>
          </w:p>
        </w:tc>
        <w:tc>
          <w:tcPr>
            <w:tcW w:w="1440" w:type="dxa"/>
            <w:vAlign w:val="bottom"/>
            <w:shd w:val="clear" w:color="auto" w:fill="F4F6F6"/>
          </w:tcPr>
          <w:p>
            <w:pPr>
              <w:spacing w:after="0"/>
              <w:rPr>
                <w:sz w:val="21"/>
                <w:szCs w:val="21"/>
                <w:color w:val="auto"/>
              </w:rPr>
            </w:pPr>
          </w:p>
        </w:tc>
        <w:tc>
          <w:tcPr>
            <w:tcW w:w="1420" w:type="dxa"/>
            <w:vAlign w:val="bottom"/>
            <w:shd w:val="clear" w:color="auto" w:fill="F4F6F6"/>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80" w:type="dxa"/>
            <w:vAlign w:val="bottom"/>
            <w:shd w:val="clear" w:color="auto" w:fill="F4F6F6"/>
          </w:tcPr>
          <w:p>
            <w:pPr>
              <w:ind w:left="20"/>
              <w:spacing w:after="0"/>
              <w:rPr>
                <w:sz w:val="20"/>
                <w:szCs w:val="20"/>
                <w:color w:val="auto"/>
              </w:rPr>
            </w:pPr>
            <w:r>
              <w:rPr>
                <w:rFonts w:ascii="Arial" w:cs="Arial" w:eastAsia="Arial" w:hAnsi="Arial"/>
                <w:sz w:val="14"/>
                <w:szCs w:val="14"/>
                <w:color w:val="auto"/>
              </w:rPr>
              <w:t>•</w:t>
            </w:r>
          </w:p>
        </w:tc>
        <w:tc>
          <w:tcPr>
            <w:tcW w:w="392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retirement or termination</w:t>
            </w:r>
          </w:p>
        </w:tc>
        <w:tc>
          <w:tcPr>
            <w:tcW w:w="96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440" w:type="dxa"/>
            <w:vAlign w:val="bottom"/>
            <w:shd w:val="clear" w:color="auto" w:fill="F4F6F6"/>
          </w:tcPr>
          <w:p>
            <w:pPr>
              <w:jc w:val="right"/>
              <w:ind w:right="68"/>
              <w:spacing w:after="0"/>
              <w:rPr>
                <w:sz w:val="20"/>
                <w:szCs w:val="20"/>
                <w:color w:val="auto"/>
              </w:rPr>
            </w:pPr>
            <w:r>
              <w:rPr>
                <w:rFonts w:ascii="Arial" w:cs="Arial" w:eastAsia="Arial" w:hAnsi="Arial"/>
                <w:sz w:val="14"/>
                <w:szCs w:val="14"/>
                <w:color w:val="auto"/>
              </w:rPr>
              <w:t>$2,677,296</w:t>
            </w:r>
          </w:p>
        </w:tc>
        <w:tc>
          <w:tcPr>
            <w:tcW w:w="1420" w:type="dxa"/>
            <w:vAlign w:val="bottom"/>
            <w:shd w:val="clear" w:color="auto" w:fill="F4F6F6"/>
          </w:tcPr>
          <w:p>
            <w:pPr>
              <w:jc w:val="right"/>
              <w:spacing w:after="0"/>
              <w:rPr>
                <w:sz w:val="20"/>
                <w:szCs w:val="20"/>
                <w:color w:val="auto"/>
              </w:rPr>
            </w:pPr>
            <w:r>
              <w:rPr>
                <w:rFonts w:ascii="Arial" w:cs="Arial" w:eastAsia="Arial" w:hAnsi="Arial"/>
                <w:sz w:val="14"/>
                <w:szCs w:val="14"/>
                <w:color w:val="auto"/>
              </w:rPr>
              <w:t>$2,677,296</w:t>
            </w:r>
          </w:p>
        </w:tc>
        <w:tc>
          <w:tcPr>
            <w:tcW w:w="0" w:type="dxa"/>
            <w:vAlign w:val="bottom"/>
          </w:tcPr>
          <w:p>
            <w:pPr>
              <w:spacing w:after="0"/>
              <w:rPr>
                <w:sz w:val="1"/>
                <w:szCs w:val="1"/>
                <w:color w:val="auto"/>
              </w:rPr>
            </w:pPr>
          </w:p>
        </w:tc>
      </w:tr>
      <w:tr>
        <w:trPr>
          <w:trHeight w:val="207"/>
        </w:trPr>
        <w:tc>
          <w:tcPr>
            <w:tcW w:w="28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w:t>
            </w:r>
          </w:p>
        </w:tc>
        <w:tc>
          <w:tcPr>
            <w:tcW w:w="392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or good-reason termination after change in</w:t>
            </w:r>
          </w:p>
        </w:tc>
        <w:tc>
          <w:tcPr>
            <w:tcW w:w="96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$2,790,000</w:t>
            </w:r>
          </w:p>
        </w:tc>
        <w:tc>
          <w:tcPr>
            <w:tcW w:w="114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$50,386</w:t>
            </w:r>
          </w:p>
        </w:tc>
        <w:tc>
          <w:tcPr>
            <w:tcW w:w="1440" w:type="dxa"/>
            <w:vAlign w:val="bottom"/>
            <w:vMerge w:val="restart"/>
            <w:shd w:val="clear" w:color="auto" w:fill="F4F6F6"/>
          </w:tcPr>
          <w:p>
            <w:pPr>
              <w:jc w:val="right"/>
              <w:ind w:right="68"/>
              <w:spacing w:after="0"/>
              <w:rPr>
                <w:sz w:val="20"/>
                <w:szCs w:val="20"/>
                <w:color w:val="auto"/>
              </w:rPr>
            </w:pPr>
            <w:r>
              <w:rPr>
                <w:rFonts w:ascii="Arial" w:cs="Arial" w:eastAsia="Arial" w:hAnsi="Arial"/>
                <w:sz w:val="14"/>
                <w:szCs w:val="14"/>
                <w:color w:val="auto"/>
              </w:rPr>
              <w:t>$5,931,071</w:t>
            </w:r>
          </w:p>
        </w:tc>
        <w:tc>
          <w:tcPr>
            <w:tcW w:w="1420" w:type="dxa"/>
            <w:vAlign w:val="bottom"/>
            <w:vMerge w:val="restart"/>
            <w:shd w:val="clear" w:color="auto" w:fill="F4F6F6"/>
          </w:tcPr>
          <w:p>
            <w:pPr>
              <w:jc w:val="right"/>
              <w:spacing w:after="0"/>
              <w:rPr>
                <w:sz w:val="20"/>
                <w:szCs w:val="20"/>
                <w:color w:val="auto"/>
              </w:rPr>
            </w:pPr>
            <w:r>
              <w:rPr>
                <w:rFonts w:ascii="Arial" w:cs="Arial" w:eastAsia="Arial" w:hAnsi="Arial"/>
                <w:sz w:val="14"/>
                <w:szCs w:val="14"/>
                <w:color w:val="auto"/>
              </w:rPr>
              <w:t>$8,771,457</w:t>
            </w:r>
          </w:p>
        </w:tc>
        <w:tc>
          <w:tcPr>
            <w:tcW w:w="0" w:type="dxa"/>
            <w:vAlign w:val="bottom"/>
          </w:tcPr>
          <w:p>
            <w:pPr>
              <w:spacing w:after="0"/>
              <w:rPr>
                <w:sz w:val="1"/>
                <w:szCs w:val="1"/>
                <w:color w:val="auto"/>
              </w:rPr>
            </w:pPr>
          </w:p>
        </w:tc>
      </w:tr>
      <w:tr>
        <w:trPr>
          <w:trHeight w:val="171"/>
        </w:trPr>
        <w:tc>
          <w:tcPr>
            <w:tcW w:w="280" w:type="dxa"/>
            <w:vAlign w:val="bottom"/>
            <w:tcBorders>
              <w:bottom w:val="single" w:sz="8" w:color="C8C9CB"/>
            </w:tcBorders>
            <w:vMerge w:val="continue"/>
            <w:shd w:val="clear" w:color="auto" w:fill="F4F6F6"/>
          </w:tcPr>
          <w:p>
            <w:pPr>
              <w:spacing w:after="0"/>
              <w:rPr>
                <w:sz w:val="14"/>
                <w:szCs w:val="14"/>
                <w:color w:val="auto"/>
              </w:rPr>
            </w:pPr>
          </w:p>
        </w:tc>
        <w:tc>
          <w:tcPr>
            <w:tcW w:w="392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control</w:t>
            </w:r>
          </w:p>
        </w:tc>
        <w:tc>
          <w:tcPr>
            <w:tcW w:w="960" w:type="dxa"/>
            <w:vAlign w:val="bottom"/>
            <w:tcBorders>
              <w:bottom w:val="single" w:sz="8" w:color="C8C9CB"/>
            </w:tcBorders>
            <w:vMerge w:val="continue"/>
            <w:shd w:val="clear" w:color="auto" w:fill="F4F6F6"/>
          </w:tcPr>
          <w:p>
            <w:pPr>
              <w:spacing w:after="0"/>
              <w:rPr>
                <w:sz w:val="14"/>
                <w:szCs w:val="14"/>
                <w:color w:val="auto"/>
              </w:rPr>
            </w:pPr>
          </w:p>
        </w:tc>
        <w:tc>
          <w:tcPr>
            <w:tcW w:w="1140" w:type="dxa"/>
            <w:vAlign w:val="bottom"/>
            <w:tcBorders>
              <w:bottom w:val="single" w:sz="8" w:color="C8C9CB"/>
            </w:tcBorders>
            <w:vMerge w:val="continue"/>
            <w:shd w:val="clear" w:color="auto" w:fill="F4F6F6"/>
          </w:tcPr>
          <w:p>
            <w:pPr>
              <w:spacing w:after="0"/>
              <w:rPr>
                <w:sz w:val="14"/>
                <w:szCs w:val="14"/>
                <w:color w:val="auto"/>
              </w:rPr>
            </w:pPr>
          </w:p>
        </w:tc>
        <w:tc>
          <w:tcPr>
            <w:tcW w:w="1440" w:type="dxa"/>
            <w:vAlign w:val="bottom"/>
            <w:tcBorders>
              <w:bottom w:val="single" w:sz="8" w:color="C8C9CB"/>
            </w:tcBorders>
            <w:vMerge w:val="continue"/>
            <w:shd w:val="clear" w:color="auto" w:fill="F4F6F6"/>
          </w:tcPr>
          <w:p>
            <w:pPr>
              <w:spacing w:after="0"/>
              <w:rPr>
                <w:sz w:val="14"/>
                <w:szCs w:val="14"/>
                <w:color w:val="auto"/>
              </w:rPr>
            </w:pPr>
          </w:p>
        </w:tc>
        <w:tc>
          <w:tcPr>
            <w:tcW w:w="1420" w:type="dxa"/>
            <w:vAlign w:val="bottom"/>
            <w:tcBorders>
              <w:bottom w:val="single" w:sz="8" w:color="C8C9CB"/>
            </w:tcBorders>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Mr. Zulueta</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   Involuntary retirement or termination</w:t>
            </w: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$4,636,262</w:t>
            </w:r>
          </w:p>
        </w:tc>
        <w:tc>
          <w:tcPr>
            <w:tcW w:w="1420" w:type="dxa"/>
            <w:vAlign w:val="bottom"/>
          </w:tcPr>
          <w:p>
            <w:pPr>
              <w:jc w:val="right"/>
              <w:spacing w:after="0"/>
              <w:rPr>
                <w:sz w:val="20"/>
                <w:szCs w:val="20"/>
                <w:color w:val="auto"/>
              </w:rPr>
            </w:pPr>
            <w:r>
              <w:rPr>
                <w:rFonts w:ascii="Arial" w:cs="Arial" w:eastAsia="Arial" w:hAnsi="Arial"/>
                <w:sz w:val="14"/>
                <w:szCs w:val="14"/>
                <w:color w:val="auto"/>
              </w:rPr>
              <w:t>$4,636,262</w:t>
            </w:r>
          </w:p>
        </w:tc>
        <w:tc>
          <w:tcPr>
            <w:tcW w:w="0" w:type="dxa"/>
            <w:vAlign w:val="bottom"/>
          </w:tcPr>
          <w:p>
            <w:pPr>
              <w:spacing w:after="0"/>
              <w:rPr>
                <w:sz w:val="1"/>
                <w:szCs w:val="1"/>
                <w:color w:val="auto"/>
              </w:rPr>
            </w:pPr>
          </w:p>
        </w:tc>
      </w:tr>
      <w:tr>
        <w:trPr>
          <w:trHeight w:val="206"/>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92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$3,315,000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$37,908</w:t>
            </w:r>
          </w:p>
        </w:tc>
        <w:tc>
          <w:tcPr>
            <w:tcW w:w="1440" w:type="dxa"/>
            <w:vAlign w:val="bottom"/>
            <w:vMerge w:val="restart"/>
          </w:tcPr>
          <w:p>
            <w:pPr>
              <w:jc w:val="right"/>
              <w:ind w:right="68"/>
              <w:spacing w:after="0"/>
              <w:rPr>
                <w:sz w:val="20"/>
                <w:szCs w:val="20"/>
                <w:color w:val="auto"/>
              </w:rPr>
            </w:pPr>
            <w:r>
              <w:rPr>
                <w:rFonts w:ascii="Arial" w:cs="Arial" w:eastAsia="Arial" w:hAnsi="Arial"/>
                <w:sz w:val="14"/>
                <w:szCs w:val="14"/>
                <w:color w:val="auto"/>
              </w:rPr>
              <w:t>$11,595,332</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$14,948,240</w:t>
            </w:r>
          </w:p>
        </w:tc>
        <w:tc>
          <w:tcPr>
            <w:tcW w:w="0" w:type="dxa"/>
            <w:vAlign w:val="bottom"/>
          </w:tcPr>
          <w:p>
            <w:pPr>
              <w:spacing w:after="0"/>
              <w:rPr>
                <w:sz w:val="1"/>
                <w:szCs w:val="1"/>
                <w:color w:val="auto"/>
              </w:rPr>
            </w:pPr>
          </w:p>
        </w:tc>
      </w:tr>
      <w:tr>
        <w:trPr>
          <w:trHeight w:val="172"/>
        </w:trPr>
        <w:tc>
          <w:tcPr>
            <w:tcW w:w="280" w:type="dxa"/>
            <w:vAlign w:val="bottom"/>
            <w:vMerge w:val="continue"/>
          </w:tcPr>
          <w:p>
            <w:pPr>
              <w:spacing w:after="0"/>
              <w:rPr>
                <w:sz w:val="14"/>
                <w:szCs w:val="14"/>
                <w:color w:val="auto"/>
              </w:rPr>
            </w:pPr>
          </w:p>
        </w:tc>
        <w:tc>
          <w:tcPr>
            <w:tcW w:w="3920" w:type="dxa"/>
            <w:vAlign w:val="bottom"/>
          </w:tcPr>
          <w:p>
            <w:pPr>
              <w:ind w:left="20"/>
              <w:spacing w:after="0"/>
              <w:rPr>
                <w:sz w:val="20"/>
                <w:szCs w:val="20"/>
                <w:color w:val="auto"/>
              </w:rPr>
            </w:pPr>
            <w:r>
              <w:rPr>
                <w:rFonts w:ascii="Arial" w:cs="Arial" w:eastAsia="Arial" w:hAnsi="Arial"/>
                <w:sz w:val="14"/>
                <w:szCs w:val="14"/>
                <w:color w:val="auto"/>
              </w:rPr>
              <w:t>control</w:t>
            </w:r>
          </w:p>
        </w:tc>
        <w:tc>
          <w:tcPr>
            <w:tcW w:w="9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93" w:hanging="93"/>
        <w:spacing w:after="0"/>
        <w:tabs>
          <w:tab w:leader="none" w:pos="93" w:val="left"/>
        </w:tabs>
        <w:numPr>
          <w:ilvl w:val="0"/>
          <w:numId w:val="134"/>
        </w:numPr>
        <w:rPr>
          <w:rFonts w:ascii="Arial" w:cs="Arial" w:eastAsia="Arial" w:hAnsi="Arial"/>
          <w:sz w:val="21"/>
          <w:szCs w:val="21"/>
          <w:color w:val="auto"/>
          <w:vertAlign w:val="superscript"/>
        </w:rPr>
      </w:pPr>
      <w:r>
        <w:rPr>
          <w:rFonts w:ascii="Arial" w:cs="Arial" w:eastAsia="Arial" w:hAnsi="Arial"/>
          <w:sz w:val="16"/>
          <w:szCs w:val="16"/>
          <w:color w:val="auto"/>
        </w:rPr>
        <w:t>See "Change-in-Control Severance Pay Plan—Cash Severance Payment" below.</w:t>
      </w:r>
    </w:p>
    <w:p>
      <w:pPr>
        <w:spacing w:after="0" w:line="191" w:lineRule="exact"/>
        <w:rPr>
          <w:sz w:val="20"/>
          <w:szCs w:val="20"/>
          <w:color w:val="auto"/>
        </w:rPr>
      </w:pPr>
    </w:p>
    <w:p>
      <w:pPr>
        <w:ind w:left="93" w:hanging="93"/>
        <w:spacing w:after="0"/>
        <w:tabs>
          <w:tab w:leader="none" w:pos="93" w:val="left"/>
        </w:tabs>
        <w:numPr>
          <w:ilvl w:val="0"/>
          <w:numId w:val="135"/>
        </w:numPr>
        <w:rPr>
          <w:rFonts w:ascii="Arial" w:cs="Arial" w:eastAsia="Arial" w:hAnsi="Arial"/>
          <w:sz w:val="21"/>
          <w:szCs w:val="21"/>
          <w:color w:val="auto"/>
          <w:vertAlign w:val="superscript"/>
        </w:rPr>
      </w:pPr>
      <w:r>
        <w:rPr>
          <w:rFonts w:ascii="Arial" w:cs="Arial" w:eastAsia="Arial" w:hAnsi="Arial"/>
          <w:sz w:val="16"/>
          <w:szCs w:val="16"/>
          <w:color w:val="auto"/>
        </w:rPr>
        <w:t>See "Accrued Pay and Regular Retirement Benefits" and "Change-in-Control Severance Pay Plan—Continuation of medical and welfare benefits" below.</w:t>
      </w:r>
    </w:p>
    <w:p>
      <w:pPr>
        <w:spacing w:after="0" w:line="237" w:lineRule="exact"/>
        <w:rPr>
          <w:sz w:val="20"/>
          <w:szCs w:val="20"/>
          <w:color w:val="auto"/>
        </w:rPr>
      </w:pPr>
    </w:p>
    <w:p>
      <w:pPr>
        <w:ind w:left="73" w:right="20" w:hanging="73"/>
        <w:spacing w:after="0" w:line="216" w:lineRule="auto"/>
        <w:tabs>
          <w:tab w:leader="none" w:pos="80" w:val="left"/>
        </w:tabs>
        <w:numPr>
          <w:ilvl w:val="0"/>
          <w:numId w:val="136"/>
        </w:numPr>
        <w:rPr>
          <w:rFonts w:ascii="Arial" w:cs="Arial" w:eastAsia="Arial" w:hAnsi="Arial"/>
          <w:sz w:val="21"/>
          <w:szCs w:val="21"/>
          <w:color w:val="auto"/>
          <w:vertAlign w:val="superscript"/>
        </w:rPr>
      </w:pPr>
      <w:r>
        <w:rPr>
          <w:rFonts w:ascii="Arial" w:cs="Arial" w:eastAsia="Arial" w:hAnsi="Arial"/>
          <w:sz w:val="16"/>
          <w:szCs w:val="16"/>
          <w:color w:val="auto"/>
        </w:rPr>
        <w:t>As a result of Mr. Smiley’s resignation as an officer on February 9, 2021, the Compensation Committee cancelled all of Mr. Smiley’s unvested equity awards. See the discussion of Mr. Smiley’s Separation Agreement under “Agreement with Former Chief Financial Officer”.</w:t>
      </w:r>
    </w:p>
    <w:p>
      <w:pPr>
        <w:spacing w:after="0" w:line="210" w:lineRule="exact"/>
        <w:rPr>
          <w:rFonts w:ascii="Arial" w:cs="Arial" w:eastAsia="Arial" w:hAnsi="Arial"/>
          <w:sz w:val="21"/>
          <w:szCs w:val="21"/>
          <w:color w:val="auto"/>
          <w:vertAlign w:val="superscript"/>
        </w:rPr>
      </w:pPr>
    </w:p>
    <w:p>
      <w:pPr>
        <w:ind w:left="73" w:right="40"/>
        <w:spacing w:after="0" w:line="257" w:lineRule="auto"/>
        <w:rPr>
          <w:rFonts w:ascii="Arial" w:cs="Arial" w:eastAsia="Arial" w:hAnsi="Arial"/>
          <w:sz w:val="21"/>
          <w:szCs w:val="21"/>
          <w:color w:val="auto"/>
          <w:vertAlign w:val="superscript"/>
        </w:rPr>
      </w:pPr>
      <w:r>
        <w:rPr>
          <w:rFonts w:ascii="Arial" w:cs="Arial" w:eastAsia="Arial" w:hAnsi="Arial"/>
          <w:sz w:val="17"/>
          <w:szCs w:val="17"/>
          <w:b w:val="1"/>
          <w:bCs w:val="1"/>
          <w:color w:val="00ABE8"/>
        </w:rPr>
        <w:t xml:space="preserve">Accrued Pay and Regular Retirement Benefits: </w:t>
      </w:r>
      <w:r>
        <w:rPr>
          <w:rFonts w:ascii="Arial" w:cs="Arial" w:eastAsia="Arial" w:hAnsi="Arial"/>
          <w:sz w:val="16"/>
          <w:szCs w:val="16"/>
          <w:color w:val="000000"/>
        </w:rPr>
        <w:t>The amounts shown in the table above do not include certain payments and benefits to the extent they</w:t>
      </w:r>
      <w:r>
        <w:rPr>
          <w:rFonts w:ascii="Arial" w:cs="Arial" w:eastAsia="Arial" w:hAnsi="Arial"/>
          <w:sz w:val="17"/>
          <w:szCs w:val="17"/>
          <w:b w:val="1"/>
          <w:bCs w:val="1"/>
          <w:color w:val="00ABE8"/>
        </w:rPr>
        <w:t xml:space="preserve"> </w:t>
      </w:r>
      <w:r>
        <w:rPr>
          <w:rFonts w:ascii="Arial" w:cs="Arial" w:eastAsia="Arial" w:hAnsi="Arial"/>
          <w:sz w:val="16"/>
          <w:szCs w:val="16"/>
          <w:color w:val="000000"/>
        </w:rPr>
        <w:t>are provided on a non-discriminatory basis to salaried employees generally upon termination of employment. These include:</w:t>
      </w:r>
    </w:p>
    <w:p>
      <w:pPr>
        <w:ind w:left="413" w:right="900" w:hanging="332"/>
        <w:spacing w:after="0" w:line="246" w:lineRule="auto"/>
        <w:tabs>
          <w:tab w:leader="none" w:pos="37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accrued salary, vacation pay, and if applicable, equity payouts prorated for time worked in the performance period and adjusted for company performance</w:t>
      </w:r>
    </w:p>
    <w:p>
      <w:pPr>
        <w:ind w:left="373" w:hanging="292"/>
        <w:spacing w:after="0"/>
        <w:tabs>
          <w:tab w:leader="none" w:pos="37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regular pension benefits under the Retirement Plan and the nonqualified pension plan. See "Retirement Benefits" above</w:t>
      </w:r>
    </w:p>
    <w:p>
      <w:pPr>
        <w:spacing w:after="0" w:line="5" w:lineRule="exact"/>
        <w:rPr>
          <w:rFonts w:ascii="Arial" w:cs="Arial" w:eastAsia="Arial" w:hAnsi="Arial"/>
          <w:sz w:val="16"/>
          <w:szCs w:val="16"/>
          <w:color w:val="auto"/>
        </w:rPr>
      </w:pPr>
    </w:p>
    <w:p>
      <w:pPr>
        <w:ind w:left="413" w:right="120" w:hanging="332"/>
        <w:spacing w:after="0" w:line="246" w:lineRule="auto"/>
        <w:tabs>
          <w:tab w:leader="none" w:pos="37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welfare benefits provided to all U.S. retirees, including retiree medical and dental insurance. The amounts shown in the table above as "Continuation of Medical / Welfare Benefits" are explained below</w:t>
      </w:r>
    </w:p>
    <w:p>
      <w:pPr>
        <w:ind w:left="413" w:right="20" w:hanging="332"/>
        <w:spacing w:after="0" w:line="260" w:lineRule="auto"/>
        <w:tabs>
          <w:tab w:leader="none" w:pos="37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distributions of plan balances under the 401(k) Plan, the nonqualified savings plan, and the Deferred Compensation Plan. See the narrative following the Nonqualified Deferred Compensation in 2020 table for information about these plans.</w:t>
      </w:r>
    </w:p>
    <w:p>
      <w:pPr>
        <w:spacing w:after="0" w:line="194" w:lineRule="exact"/>
        <w:rPr>
          <w:sz w:val="20"/>
          <w:szCs w:val="20"/>
          <w:color w:val="auto"/>
        </w:rPr>
      </w:pPr>
    </w:p>
    <w:p>
      <w:pPr>
        <w:ind w:left="73"/>
        <w:spacing w:after="0" w:line="282" w:lineRule="auto"/>
        <w:rPr>
          <w:sz w:val="20"/>
          <w:szCs w:val="20"/>
          <w:color w:val="auto"/>
        </w:rPr>
      </w:pPr>
      <w:r>
        <w:rPr>
          <w:rFonts w:ascii="Arial" w:cs="Arial" w:eastAsia="Arial" w:hAnsi="Arial"/>
          <w:sz w:val="17"/>
          <w:szCs w:val="17"/>
          <w:b w:val="1"/>
          <w:bCs w:val="1"/>
          <w:color w:val="00ABE8"/>
        </w:rPr>
        <w:t xml:space="preserve">Death and Disability: </w:t>
      </w:r>
      <w:r>
        <w:rPr>
          <w:rFonts w:ascii="Arial" w:cs="Arial" w:eastAsia="Arial" w:hAnsi="Arial"/>
          <w:sz w:val="16"/>
          <w:szCs w:val="16"/>
          <w:color w:val="000000"/>
        </w:rPr>
        <w:t>A termination of employment due to death or disability does not entitle named executive officers to any payments or benefits that are</w:t>
      </w:r>
      <w:r>
        <w:rPr>
          <w:rFonts w:ascii="Arial" w:cs="Arial" w:eastAsia="Arial" w:hAnsi="Arial"/>
          <w:sz w:val="17"/>
          <w:szCs w:val="17"/>
          <w:b w:val="1"/>
          <w:bCs w:val="1"/>
          <w:color w:val="00ABE8"/>
        </w:rPr>
        <w:t xml:space="preserve"> </w:t>
      </w:r>
      <w:r>
        <w:rPr>
          <w:rFonts w:ascii="Arial" w:cs="Arial" w:eastAsia="Arial" w:hAnsi="Arial"/>
          <w:sz w:val="16"/>
          <w:szCs w:val="16"/>
          <w:color w:val="000000"/>
        </w:rPr>
        <w:t>not available to U.S. salaried employees generally.</w:t>
      </w:r>
    </w:p>
    <w:p>
      <w:pPr>
        <w:spacing w:after="0" w:line="175" w:lineRule="exact"/>
        <w:rPr>
          <w:sz w:val="20"/>
          <w:szCs w:val="20"/>
          <w:color w:val="auto"/>
        </w:rPr>
      </w:pPr>
    </w:p>
    <w:p>
      <w:pPr>
        <w:ind w:left="73"/>
        <w:spacing w:after="0"/>
        <w:rPr>
          <w:sz w:val="20"/>
          <w:szCs w:val="20"/>
          <w:color w:val="auto"/>
        </w:rPr>
      </w:pPr>
      <w:r>
        <w:rPr>
          <w:rFonts w:ascii="Arial" w:cs="Arial" w:eastAsia="Arial" w:hAnsi="Arial"/>
          <w:sz w:val="17"/>
          <w:szCs w:val="17"/>
          <w:b w:val="1"/>
          <w:bCs w:val="1"/>
          <w:color w:val="00ABE8"/>
        </w:rPr>
        <w:t xml:space="preserve">Termination for Cause: </w:t>
      </w:r>
      <w:r>
        <w:rPr>
          <w:rFonts w:ascii="Arial" w:cs="Arial" w:eastAsia="Arial" w:hAnsi="Arial"/>
          <w:sz w:val="16"/>
          <w:szCs w:val="16"/>
          <w:color w:val="000000"/>
        </w:rPr>
        <w:t>Executives terminated for cause receive no severance or enhanced benefits and forfeit any unvested equity grants.</w:t>
      </w:r>
    </w:p>
    <w:p>
      <w:pPr>
        <w:spacing w:after="0" w:line="250" w:lineRule="exact"/>
        <w:rPr>
          <w:sz w:val="20"/>
          <w:szCs w:val="20"/>
          <w:color w:val="auto"/>
        </w:rPr>
      </w:pPr>
    </w:p>
    <w:p>
      <w:pPr>
        <w:jc w:val="both"/>
        <w:ind w:left="73" w:right="100"/>
        <w:spacing w:after="0" w:line="254" w:lineRule="auto"/>
        <w:rPr>
          <w:sz w:val="20"/>
          <w:szCs w:val="20"/>
          <w:color w:val="auto"/>
        </w:rPr>
      </w:pPr>
      <w:r>
        <w:rPr>
          <w:rFonts w:ascii="Arial" w:cs="Arial" w:eastAsia="Arial" w:hAnsi="Arial"/>
          <w:sz w:val="17"/>
          <w:szCs w:val="17"/>
          <w:b w:val="1"/>
          <w:bCs w:val="1"/>
          <w:color w:val="00ABE8"/>
        </w:rPr>
        <w:t xml:space="preserve">Change-in-Control Severance Pay Plan: </w:t>
      </w:r>
      <w:r>
        <w:rPr>
          <w:rFonts w:ascii="Arial" w:cs="Arial" w:eastAsia="Arial" w:hAnsi="Arial"/>
          <w:sz w:val="16"/>
          <w:szCs w:val="16"/>
          <w:color w:val="000000"/>
        </w:rPr>
        <w:t>As described in the CD&amp;A under "Other Compensation Practices and Information— Severance Benefits," the</w:t>
      </w:r>
      <w:r>
        <w:rPr>
          <w:rFonts w:ascii="Arial" w:cs="Arial" w:eastAsia="Arial" w:hAnsi="Arial"/>
          <w:sz w:val="17"/>
          <w:szCs w:val="17"/>
          <w:b w:val="1"/>
          <w:bCs w:val="1"/>
          <w:color w:val="00ABE8"/>
        </w:rPr>
        <w:t xml:space="preserve"> </w:t>
      </w:r>
      <w:r>
        <w:rPr>
          <w:rFonts w:ascii="Arial" w:cs="Arial" w:eastAsia="Arial" w:hAnsi="Arial"/>
          <w:sz w:val="16"/>
          <w:szCs w:val="16"/>
          <w:color w:val="000000"/>
        </w:rPr>
        <w:t>company maintains a change-in-control severance pay plan for nearly all employees, including the named executive officers. The change-in-control plan for executive officers defines a change in control very specifically, but generally the terms include the occurrence of one of the following: (i) acquisition of</w:t>
      </w:r>
    </w:p>
    <w:p>
      <w:pPr>
        <w:ind w:left="73" w:right="400"/>
        <w:spacing w:after="0" w:line="260" w:lineRule="auto"/>
        <w:rPr>
          <w:sz w:val="20"/>
          <w:szCs w:val="20"/>
          <w:color w:val="auto"/>
        </w:rPr>
      </w:pPr>
      <w:r>
        <w:rPr>
          <w:rFonts w:ascii="Arial" w:cs="Arial" w:eastAsia="Arial" w:hAnsi="Arial"/>
          <w:sz w:val="16"/>
          <w:szCs w:val="16"/>
          <w:color w:val="auto"/>
        </w:rPr>
        <w:t>20 percent or more of the company’s stock; (ii) replacement by the shareholders of one half or more of the board; (iii) consummation of a merger, share exchange, or</w:t>
      </w:r>
    </w:p>
    <w:p>
      <w:pPr>
        <w:sectPr>
          <w:pgSz w:w="11900" w:h="16838" w:orient="portrait"/>
          <w:cols w:equalWidth="0" w:num="1">
            <w:col w:w="11293"/>
          </w:cols>
          <w:pgMar w:left="247" w:top="1031" w:right="3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92"/>
        <w:spacing w:after="0"/>
        <w:rPr>
          <w:sz w:val="20"/>
          <w:szCs w:val="20"/>
          <w:color w:val="auto"/>
        </w:rPr>
      </w:pPr>
      <w:r>
        <w:rPr>
          <w:rFonts w:ascii="Arial" w:cs="Arial" w:eastAsia="Arial" w:hAnsi="Arial"/>
          <w:sz w:val="15"/>
          <w:szCs w:val="15"/>
          <w:color w:val="auto"/>
        </w:rPr>
        <w:t>P71</w:t>
      </w:r>
    </w:p>
    <w:p>
      <w:pPr>
        <w:sectPr>
          <w:pgSz w:w="11900" w:h="16838" w:orient="portrait"/>
          <w:cols w:equalWidth="0" w:num="1">
            <w:col w:w="11293"/>
          </w:cols>
          <w:pgMar w:left="247" w:top="1031" w:right="359" w:bottom="1440" w:gutter="0" w:footer="0" w:header="0"/>
          <w:type w:val="continuous"/>
        </w:sectPr>
      </w:pPr>
    </w:p>
    <w:bookmarkStart w:id="76" w:name="page77"/>
    <w:bookmarkEnd w:id="76"/>
    <w:p>
      <w:pPr>
        <w:ind w:right="20"/>
        <w:spacing w:after="0" w:line="253" w:lineRule="auto"/>
        <w:rPr>
          <w:sz w:val="20"/>
          <w:szCs w:val="20"/>
          <w:color w:val="auto"/>
        </w:rPr>
      </w:pPr>
      <w:r>
        <w:rPr>
          <w:rFonts w:ascii="Arial" w:cs="Arial" w:eastAsia="Arial" w:hAnsi="Arial"/>
          <w:sz w:val="16"/>
          <w:szCs w:val="16"/>
          <w:color w:val="auto"/>
        </w:rPr>
        <w:t>consolidation of the company (other than a transaction that results in the Lilly shareholders prior to the transaction continuing to hold more than 60 percent of the voting stock of the combined entity); or (iv)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208" w:lineRule="exact"/>
        <w:rPr>
          <w:sz w:val="20"/>
          <w:szCs w:val="20"/>
          <w:color w:val="auto"/>
        </w:rPr>
      </w:pPr>
    </w:p>
    <w:p>
      <w:pPr>
        <w:ind w:left="340" w:right="120" w:hanging="332"/>
        <w:spacing w:after="0" w:line="266" w:lineRule="auto"/>
        <w:tabs>
          <w:tab w:leader="none" w:pos="316" w:val="left"/>
        </w:tabs>
        <w:numPr>
          <w:ilvl w:val="0"/>
          <w:numId w:val="137"/>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Covered terminations. </w:t>
      </w:r>
      <w:r>
        <w:rPr>
          <w:rFonts w:ascii="Arial" w:cs="Arial" w:eastAsia="Arial" w:hAnsi="Arial"/>
          <w:sz w:val="16"/>
          <w:szCs w:val="16"/>
          <w:color w:val="000000"/>
        </w:rPr>
        <w:t>The table assumes a termination of employment that is eligible for severance under the terms of the plan, based on the named</w:t>
      </w:r>
      <w:r>
        <w:rPr>
          <w:rFonts w:ascii="Arial" w:cs="Arial" w:eastAsia="Arial" w:hAnsi="Arial"/>
          <w:sz w:val="16"/>
          <w:szCs w:val="16"/>
          <w:b w:val="1"/>
          <w:bCs w:val="1"/>
          <w:color w:val="EE2724"/>
        </w:rPr>
        <w:t xml:space="preserve"> </w:t>
      </w:r>
      <w:r>
        <w:rPr>
          <w:rFonts w:ascii="Arial" w:cs="Arial" w:eastAsia="Arial" w:hAnsi="Arial"/>
          <w:sz w:val="16"/>
          <w:szCs w:val="16"/>
          <w:color w:val="000000"/>
        </w:rPr>
        <w:t>executive officer’s compensation, benefits, age, and service credit at December 31, 2020. Eligible terminations include an involuntary termination for reasons other than for cause or a voluntary termination by the executive for good reason, within two years following the change in control.</w:t>
      </w:r>
    </w:p>
    <w:p>
      <w:pPr>
        <w:spacing w:after="0" w:line="29" w:lineRule="exact"/>
        <w:rPr>
          <w:rFonts w:ascii="Arial" w:cs="Arial" w:eastAsia="Arial" w:hAnsi="Arial"/>
          <w:sz w:val="16"/>
          <w:szCs w:val="16"/>
          <w:b w:val="1"/>
          <w:bCs w:val="1"/>
          <w:color w:val="EE2724"/>
        </w:rPr>
      </w:pPr>
    </w:p>
    <w:p>
      <w:pPr>
        <w:ind w:left="660" w:right="300" w:hanging="166"/>
        <w:spacing w:after="0" w:line="251" w:lineRule="auto"/>
        <w:tabs>
          <w:tab w:leader="none" w:pos="62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A termination of an executive officer by the company is for cause if it is for any of the following reasons: (i) the employee’s willful and continued refusal to perform, without legal cause, his or her material duties, resulting in demonstrable economic harm to the company; (ii) any act of fraud, dishonesty, or gross misconduct resulting in significant economic harm or other significant harm to the business reputation of the company; or (iii) conviction of or the entering of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w:t>
      </w:r>
    </w:p>
    <w:p>
      <w:pPr>
        <w:spacing w:after="0" w:line="40" w:lineRule="exact"/>
        <w:rPr>
          <w:rFonts w:ascii="Arial" w:cs="Arial" w:eastAsia="Arial" w:hAnsi="Arial"/>
          <w:sz w:val="16"/>
          <w:szCs w:val="16"/>
          <w:color w:val="auto"/>
        </w:rPr>
      </w:pPr>
    </w:p>
    <w:p>
      <w:pPr>
        <w:ind w:left="660" w:hanging="166"/>
        <w:spacing w:after="0" w:line="248" w:lineRule="auto"/>
        <w:tabs>
          <w:tab w:leader="none" w:pos="62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 termination by the executive officer is for good reason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or (vi) relocation of the executive by more than 50 miles.</w:t>
      </w:r>
    </w:p>
    <w:p>
      <w:pPr>
        <w:spacing w:after="0" w:line="214" w:lineRule="exact"/>
        <w:rPr>
          <w:rFonts w:ascii="Arial" w:cs="Arial" w:eastAsia="Arial" w:hAnsi="Arial"/>
          <w:sz w:val="16"/>
          <w:szCs w:val="16"/>
          <w:color w:val="auto"/>
        </w:rPr>
      </w:pPr>
    </w:p>
    <w:p>
      <w:pPr>
        <w:ind w:left="340" w:right="120" w:hanging="332"/>
        <w:spacing w:after="0" w:line="259" w:lineRule="auto"/>
        <w:tabs>
          <w:tab w:leader="none" w:pos="316" w:val="left"/>
        </w:tabs>
        <w:numPr>
          <w:ilvl w:val="0"/>
          <w:numId w:val="137"/>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Cash severance payment. </w:t>
      </w:r>
      <w:r>
        <w:rPr>
          <w:rFonts w:ascii="Arial" w:cs="Arial" w:eastAsia="Arial" w:hAnsi="Arial"/>
          <w:sz w:val="16"/>
          <w:szCs w:val="16"/>
          <w:color w:val="000000"/>
        </w:rPr>
        <w:t>The cash severance payment amounts to two times the executive officer's annual base salary plus two times the executive</w:t>
      </w:r>
      <w:r>
        <w:rPr>
          <w:rFonts w:ascii="Arial" w:cs="Arial" w:eastAsia="Arial" w:hAnsi="Arial"/>
          <w:sz w:val="16"/>
          <w:szCs w:val="16"/>
          <w:b w:val="1"/>
          <w:bCs w:val="1"/>
          <w:color w:val="EE2724"/>
        </w:rPr>
        <w:t xml:space="preserve"> </w:t>
      </w:r>
      <w:r>
        <w:rPr>
          <w:rFonts w:ascii="Arial" w:cs="Arial" w:eastAsia="Arial" w:hAnsi="Arial"/>
          <w:sz w:val="16"/>
          <w:szCs w:val="16"/>
          <w:color w:val="000000"/>
        </w:rPr>
        <w:t>officer’s bonus target for that year under the Bonus Plan.</w:t>
      </w:r>
    </w:p>
    <w:p>
      <w:pPr>
        <w:ind w:left="340" w:right="20" w:hanging="332"/>
        <w:spacing w:after="0" w:line="251" w:lineRule="auto"/>
        <w:tabs>
          <w:tab w:leader="none" w:pos="316" w:val="left"/>
        </w:tabs>
        <w:numPr>
          <w:ilvl w:val="0"/>
          <w:numId w:val="137"/>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Continuation of medical and welfare benefits. </w:t>
      </w:r>
      <w:r>
        <w:rPr>
          <w:rFonts w:ascii="Arial" w:cs="Arial" w:eastAsia="Arial" w:hAnsi="Arial"/>
          <w:sz w:val="16"/>
          <w:szCs w:val="16"/>
          <w:color w:val="000000"/>
        </w:rPr>
        <w:t>This amount represents the present value of the change-in-control plan’s provision, following a covered</w:t>
      </w:r>
      <w:r>
        <w:rPr>
          <w:rFonts w:ascii="Arial" w:cs="Arial" w:eastAsia="Arial" w:hAnsi="Arial"/>
          <w:sz w:val="16"/>
          <w:szCs w:val="16"/>
          <w:b w:val="1"/>
          <w:bCs w:val="1"/>
          <w:color w:val="EE2724"/>
        </w:rPr>
        <w:t xml:space="preserve"> </w:t>
      </w:r>
      <w:r>
        <w:rPr>
          <w:rFonts w:ascii="Arial" w:cs="Arial" w:eastAsia="Arial" w:hAnsi="Arial"/>
          <w:sz w:val="16"/>
          <w:szCs w:val="16"/>
          <w:color w:val="000000"/>
        </w:rPr>
        <w:t>termination, of 18 months of continued coverage equivalent to the company’s current active employee medical, dental, life,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209" w:lineRule="exact"/>
        <w:rPr>
          <w:rFonts w:ascii="Arial" w:cs="Arial" w:eastAsia="Arial" w:hAnsi="Arial"/>
          <w:sz w:val="16"/>
          <w:szCs w:val="16"/>
          <w:b w:val="1"/>
          <w:bCs w:val="1"/>
          <w:color w:val="EE2724"/>
        </w:rPr>
      </w:pPr>
    </w:p>
    <w:p>
      <w:pPr>
        <w:ind w:left="340" w:hanging="332"/>
        <w:spacing w:after="0" w:line="256" w:lineRule="auto"/>
        <w:tabs>
          <w:tab w:leader="none" w:pos="316" w:val="left"/>
        </w:tabs>
        <w:numPr>
          <w:ilvl w:val="0"/>
          <w:numId w:val="137"/>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Acceleration of equity awards. </w:t>
      </w:r>
      <w:r>
        <w:rPr>
          <w:rFonts w:ascii="Arial" w:cs="Arial" w:eastAsia="Arial" w:hAnsi="Arial"/>
          <w:sz w:val="16"/>
          <w:szCs w:val="16"/>
          <w:color w:val="000000"/>
        </w:rPr>
        <w:t>Upon a covered termination, any unvested equity awards would convert into restricted stock units of the new company,</w:t>
      </w:r>
      <w:r>
        <w:rPr>
          <w:rFonts w:ascii="Arial" w:cs="Arial" w:eastAsia="Arial" w:hAnsi="Arial"/>
          <w:sz w:val="16"/>
          <w:szCs w:val="16"/>
          <w:b w:val="1"/>
          <w:bCs w:val="1"/>
          <w:color w:val="EE2724"/>
        </w:rPr>
        <w:t xml:space="preserve"> </w:t>
      </w:r>
      <w:r>
        <w:rPr>
          <w:rFonts w:ascii="Arial" w:cs="Arial" w:eastAsia="Arial" w:hAnsi="Arial"/>
          <w:sz w:val="16"/>
          <w:szCs w:val="16"/>
          <w:color w:val="000000"/>
        </w:rPr>
        <w:t>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2020.</w:t>
      </w:r>
    </w:p>
    <w:p>
      <w:pPr>
        <w:spacing w:after="0" w:line="206" w:lineRule="exact"/>
        <w:rPr>
          <w:rFonts w:ascii="Arial" w:cs="Arial" w:eastAsia="Arial" w:hAnsi="Arial"/>
          <w:sz w:val="16"/>
          <w:szCs w:val="16"/>
          <w:b w:val="1"/>
          <w:bCs w:val="1"/>
          <w:color w:val="EE2724"/>
        </w:rPr>
      </w:pPr>
    </w:p>
    <w:p>
      <w:pPr>
        <w:ind w:left="340" w:right="220" w:hanging="332"/>
        <w:spacing w:after="0" w:line="266" w:lineRule="auto"/>
        <w:tabs>
          <w:tab w:leader="none" w:pos="316" w:val="left"/>
        </w:tabs>
        <w:numPr>
          <w:ilvl w:val="0"/>
          <w:numId w:val="137"/>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Excise taxes. </w:t>
      </w:r>
      <w:r>
        <w:rPr>
          <w:rFonts w:ascii="Arial" w:cs="Arial" w:eastAsia="Arial" w:hAnsi="Arial"/>
          <w:sz w:val="16"/>
          <w:szCs w:val="16"/>
          <w:color w:val="000000"/>
        </w:rPr>
        <w:t>Upon a change in control, employees may be subject to certain excise taxes under Section 280G of the Internal Revenue Code. The</w:t>
      </w:r>
      <w:r>
        <w:rPr>
          <w:rFonts w:ascii="Arial" w:cs="Arial" w:eastAsia="Arial" w:hAnsi="Arial"/>
          <w:sz w:val="16"/>
          <w:szCs w:val="16"/>
          <w:b w:val="1"/>
          <w:bCs w:val="1"/>
          <w:color w:val="EE2724"/>
        </w:rPr>
        <w:t xml:space="preserve"> </w:t>
      </w:r>
      <w:r>
        <w:rPr>
          <w:rFonts w:ascii="Arial" w:cs="Arial" w:eastAsia="Arial" w:hAnsi="Arial"/>
          <w:sz w:val="16"/>
          <w:szCs w:val="16"/>
          <w:color w:val="000000"/>
        </w:rPr>
        <w:t>company does not reimburse the affected employees for those excise taxes or any income taxes payable by the employee. To reduce the employee's exposure to excise taxes, the employee’s change-in-control benefit may be decreased to maximize the after-tax benefit to the individual.</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color w:val="00ABE8"/>
        </w:rPr>
        <w:t xml:space="preserve">Payments Upon Change in Control Alone: </w:t>
      </w:r>
      <w:r>
        <w:rPr>
          <w:rFonts w:ascii="Arial" w:cs="Arial" w:eastAsia="Arial" w:hAnsi="Arial"/>
          <w:sz w:val="16"/>
          <w:szCs w:val="16"/>
          <w:color w:val="000000"/>
        </w:rPr>
        <w:t>The change-in-control plan is a "double trigger" plan, meaning payments are made only if the employee</w:t>
      </w:r>
      <w:r>
        <w:rPr>
          <w:rFonts w:ascii="Arial" w:cs="Arial" w:eastAsia="Arial" w:hAnsi="Arial"/>
          <w:sz w:val="17"/>
          <w:szCs w:val="17"/>
          <w:b w:val="1"/>
          <w:bCs w:val="1"/>
          <w:color w:val="00ABE8"/>
        </w:rPr>
        <w:t xml:space="preserve"> </w:t>
      </w:r>
      <w:r>
        <w:rPr>
          <w:rFonts w:ascii="Arial" w:cs="Arial" w:eastAsia="Arial" w:hAnsi="Arial"/>
          <w:sz w:val="16"/>
          <w:szCs w:val="16"/>
          <w:color w:val="000000"/>
        </w:rPr>
        <w:t>suffers a covered termination of employment within two years following the change in control, or in the case of equity awards, if the successor entity does not assume, substitute, or otherwise replace the awards.</w:t>
      </w:r>
    </w:p>
    <w:p>
      <w:pPr>
        <w:spacing w:after="0" w:line="19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Agreement with Former Chief Financial Officer</w:t>
      </w:r>
    </w:p>
    <w:p>
      <w:pPr>
        <w:spacing w:after="0" w:line="3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February 9, 2021, Joshua L. Smiley resigned as senior vice president and chief financial officer of the Company. Shortly before his resignation, the company was made aware of allegations of an inappropriate personal relationship between Mr. Smiley and a Lilly employee. Lilly immediately engaged external counsel to conduct a thorough, independent investigation. That investigation revealed consensual though inappropriate personal communications between Mr. Smiley and certain Lilly employees and behavior that Lilly leadership concluded exhibited poor judgment by Mr. Smiley. Lilly holds all employees accountable to its core values and strongly believes its executive officers carry an even higher burden in ensuring those values are upheld. Mr. Smiley did not meet that standard. Mr. Smiley’s conduct in question was not related to financial controls, financial statements or any other business matters or judgments.</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In connection with Mr. Smiley’s resignation, he and the Company entered into a Separation Agreement (the “Separation Agreement”), which provides that Mr. Smiley immediately resign from his position as senior vice president and chief financial officer of the Company, as well as forego all of his earned 2020 cash bonus (which would have otherwise been $1,102,317 based on company performance), 25 percent of his earned 2018-2020 shareholder value award (representing a forfeiture of $3,100,954</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P72</w:t>
      </w:r>
    </w:p>
    <w:p>
      <w:pPr>
        <w:sectPr>
          <w:pgSz w:w="11900" w:h="16838" w:orient="portrait"/>
          <w:cols w:equalWidth="0" w:num="1">
            <w:col w:w="11240"/>
          </w:cols>
          <w:pgMar w:left="320" w:top="911" w:right="339" w:bottom="1440" w:gutter="0" w:footer="0" w:header="0"/>
        </w:sectPr>
      </w:pPr>
    </w:p>
    <w:bookmarkStart w:id="77" w:name="page78"/>
    <w:bookmarkEnd w:id="77"/>
    <w:p>
      <w:pPr>
        <w:ind w:right="40"/>
        <w:spacing w:after="0" w:line="249" w:lineRule="auto"/>
        <w:rPr>
          <w:sz w:val="20"/>
          <w:szCs w:val="20"/>
          <w:color w:val="auto"/>
        </w:rPr>
      </w:pPr>
      <w:r>
        <w:rPr>
          <w:rFonts w:ascii="Arial" w:cs="Arial" w:eastAsia="Arial" w:hAnsi="Arial"/>
          <w:sz w:val="16"/>
          <w:szCs w:val="16"/>
          <w:color w:val="auto"/>
        </w:rPr>
        <w:t>in value based on the closing price per share of Lilly common stock on the date of settlement), and all other outstanding and previously approved but not yet granted equity incentive awards, totaling over $20 million at target value (calculated based on the closing price of the company’s common stock on the day before Mr. Smiley's resignation). Mr. Smiley will be available to the company’s chief executive officer and his successor as chief financial officer through July 2021 to facilitate the transition of his responsibilities, at reduced cash compensation of $9,000 every two weeks. The Separation Agreement includes customary provisions regarding confidentiality and a release of claims against the company, as well as a 24-month non-solicitation agreement and an 18-month non-competition agreement.</w:t>
      </w: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table below reflects the compensation forfeited by Mr. Smiley in connection with the Separation Agreement. The value of the forgone equity awards were calculated using a price of $205.77, the closing price of the company's common stock on the day before Mr. Smiley’s resignation, and assuming a payout at target (except for (i) the 2018-2020 SVA, which reflects the 25% reduction in the earned payout implemented by the Compensation Committee and</w:t>
      </w:r>
    </w:p>
    <w:p>
      <w:pPr>
        <w:spacing w:after="0" w:line="1" w:lineRule="exact"/>
        <w:rPr>
          <w:sz w:val="20"/>
          <w:szCs w:val="20"/>
          <w:color w:val="auto"/>
        </w:rPr>
      </w:pPr>
    </w:p>
    <w:p>
      <w:pPr>
        <w:ind w:right="340" w:firstLine="8"/>
        <w:spacing w:after="0" w:line="260" w:lineRule="auto"/>
        <w:tabs>
          <w:tab w:leader="none" w:pos="22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2019-2021 PA, which reflects actual company performance through the performance period). The 2021 target bonus and equity award levels had been approved but the awards had not yet been granted as of Mr. Smiley's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156845</wp:posOffset>
            </wp:positionV>
            <wp:extent cx="4200525"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00525" cy="240030"/>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p>
      <w:pPr>
        <w:spacing w:after="0" w:line="261" w:lineRule="exact"/>
        <w:rPr>
          <w:sz w:val="20"/>
          <w:szCs w:val="20"/>
          <w:color w:val="auto"/>
        </w:rPr>
      </w:pPr>
    </w:p>
    <w:tbl>
      <w:tblPr>
        <w:tblLayout w:type="fixed"/>
        <w:tblInd w:w="234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jc w:val="center"/>
              <w:ind w:left="8"/>
              <w:spacing w:after="0"/>
              <w:rPr>
                <w:sz w:val="20"/>
                <w:szCs w:val="20"/>
                <w:color w:val="auto"/>
              </w:rPr>
            </w:pPr>
            <w:r>
              <w:rPr>
                <w:rFonts w:ascii="Arial" w:cs="Arial" w:eastAsia="Arial" w:hAnsi="Arial"/>
                <w:sz w:val="14"/>
                <w:szCs w:val="14"/>
                <w:b w:val="1"/>
                <w:bCs w:val="1"/>
                <w:color w:val="00ABE8"/>
              </w:rPr>
              <w:t>Forfeited or Reduced</w:t>
            </w: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00ABE8"/>
              </w:rPr>
              <w:t>Forfeited or</w:t>
            </w:r>
          </w:p>
        </w:tc>
      </w:tr>
      <w:tr>
        <w:trPr>
          <w:trHeight w:val="190"/>
        </w:trPr>
        <w:tc>
          <w:tcPr>
            <w:tcW w:w="1000" w:type="dxa"/>
            <w:vAlign w:val="bottom"/>
          </w:tcPr>
          <w:p>
            <w:pPr>
              <w:spacing w:after="0"/>
              <w:rPr>
                <w:sz w:val="20"/>
                <w:szCs w:val="20"/>
                <w:color w:val="auto"/>
              </w:rPr>
            </w:pPr>
            <w:r>
              <w:rPr>
                <w:rFonts w:ascii="Arial" w:cs="Arial" w:eastAsia="Arial" w:hAnsi="Arial"/>
                <w:sz w:val="14"/>
                <w:szCs w:val="14"/>
                <w:b w:val="1"/>
                <w:bCs w:val="1"/>
                <w:color w:val="00ABE8"/>
              </w:rPr>
              <w:t>Name</w:t>
            </w:r>
          </w:p>
        </w:tc>
        <w:tc>
          <w:tcPr>
            <w:tcW w:w="2200" w:type="dxa"/>
            <w:vAlign w:val="bottom"/>
          </w:tcPr>
          <w:p>
            <w:pPr>
              <w:jc w:val="center"/>
              <w:ind w:left="8"/>
              <w:spacing w:after="0"/>
              <w:rPr>
                <w:sz w:val="20"/>
                <w:szCs w:val="20"/>
                <w:color w:val="auto"/>
              </w:rPr>
            </w:pPr>
            <w:r>
              <w:rPr>
                <w:rFonts w:ascii="Arial" w:cs="Arial" w:eastAsia="Arial" w:hAnsi="Arial"/>
                <w:sz w:val="14"/>
                <w:szCs w:val="14"/>
                <w:b w:val="1"/>
                <w:bCs w:val="1"/>
                <w:color w:val="00ABE8"/>
              </w:rPr>
              <w:t>Compensation Element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0ABE8"/>
              </w:rPr>
              <w:t>Shares</w:t>
            </w: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00ABE8"/>
              </w:rPr>
              <w:t>Reduced Value</w:t>
            </w:r>
          </w:p>
        </w:tc>
      </w:tr>
      <w:tr>
        <w:trPr>
          <w:trHeight w:val="203"/>
        </w:trPr>
        <w:tc>
          <w:tcPr>
            <w:tcW w:w="1000" w:type="dxa"/>
            <w:vAlign w:val="bottom"/>
          </w:tcPr>
          <w:p>
            <w:pPr>
              <w:spacing w:after="0"/>
              <w:rPr>
                <w:sz w:val="20"/>
                <w:szCs w:val="20"/>
                <w:color w:val="auto"/>
              </w:rPr>
            </w:pPr>
            <w:r>
              <w:rPr>
                <w:rFonts w:ascii="Arial" w:cs="Arial" w:eastAsia="Arial" w:hAnsi="Arial"/>
                <w:sz w:val="14"/>
                <w:szCs w:val="14"/>
                <w:color w:val="auto"/>
              </w:rPr>
              <w:t>Mr. Smiley</w:t>
            </w: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2020 Bonus</w:t>
            </w:r>
          </w:p>
        </w:tc>
        <w:tc>
          <w:tcPr>
            <w:tcW w:w="1860" w:type="dxa"/>
            <w:vAlign w:val="bottom"/>
          </w:tcPr>
          <w:p>
            <w:pPr>
              <w:jc w:val="center"/>
              <w:spacing w:after="0"/>
              <w:rPr>
                <w:sz w:val="20"/>
                <w:szCs w:val="20"/>
                <w:color w:val="auto"/>
              </w:rPr>
            </w:pPr>
            <w:r>
              <w:rPr>
                <w:rFonts w:ascii="Arial" w:cs="Arial" w:eastAsia="Arial" w:hAnsi="Arial"/>
                <w:sz w:val="14"/>
                <w:szCs w:val="14"/>
                <w:color w:val="auto"/>
              </w:rPr>
              <w:t>N/A</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$1,102,317</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2018-2020 SVA</w:t>
            </w:r>
          </w:p>
        </w:tc>
        <w:tc>
          <w:tcPr>
            <w:tcW w:w="1860" w:type="dxa"/>
            <w:vAlign w:val="bottom"/>
          </w:tcPr>
          <w:p>
            <w:pPr>
              <w:jc w:val="center"/>
              <w:spacing w:after="0"/>
              <w:rPr>
                <w:sz w:val="20"/>
                <w:szCs w:val="20"/>
                <w:color w:val="auto"/>
              </w:rPr>
            </w:pPr>
            <w:r>
              <w:rPr>
                <w:rFonts w:ascii="Arial" w:cs="Arial" w:eastAsia="Arial" w:hAnsi="Arial"/>
                <w:sz w:val="14"/>
                <w:szCs w:val="14"/>
                <w:color w:val="auto"/>
              </w:rPr>
              <w:t>15,070</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$3,100,954</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2019-2021 SVA</w:t>
            </w:r>
          </w:p>
        </w:tc>
        <w:tc>
          <w:tcPr>
            <w:tcW w:w="1860" w:type="dxa"/>
            <w:vAlign w:val="bottom"/>
          </w:tcPr>
          <w:p>
            <w:pPr>
              <w:jc w:val="center"/>
              <w:spacing w:after="0"/>
              <w:rPr>
                <w:sz w:val="20"/>
                <w:szCs w:val="20"/>
                <w:color w:val="auto"/>
              </w:rPr>
            </w:pPr>
            <w:r>
              <w:rPr>
                <w:rFonts w:ascii="Arial" w:cs="Arial" w:eastAsia="Arial" w:hAnsi="Arial"/>
                <w:sz w:val="14"/>
                <w:szCs w:val="14"/>
                <w:color w:val="auto"/>
              </w:rPr>
              <w:t>17,584</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$3,618,260</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2019-2021 PA</w:t>
            </w:r>
          </w:p>
        </w:tc>
        <w:tc>
          <w:tcPr>
            <w:tcW w:w="1860" w:type="dxa"/>
            <w:vAlign w:val="bottom"/>
          </w:tcPr>
          <w:p>
            <w:pPr>
              <w:jc w:val="center"/>
              <w:spacing w:after="0"/>
              <w:rPr>
                <w:sz w:val="20"/>
                <w:szCs w:val="20"/>
                <w:color w:val="auto"/>
              </w:rPr>
            </w:pPr>
            <w:r>
              <w:rPr>
                <w:rFonts w:ascii="Arial" w:cs="Arial" w:eastAsia="Arial" w:hAnsi="Arial"/>
                <w:sz w:val="14"/>
                <w:szCs w:val="14"/>
                <w:color w:val="auto"/>
              </w:rPr>
              <w:t>14,453</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$2,973,994</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2020-2022 SVA</w:t>
            </w:r>
          </w:p>
        </w:tc>
        <w:tc>
          <w:tcPr>
            <w:tcW w:w="1860" w:type="dxa"/>
            <w:vAlign w:val="bottom"/>
          </w:tcPr>
          <w:p>
            <w:pPr>
              <w:jc w:val="center"/>
              <w:spacing w:after="0"/>
              <w:rPr>
                <w:sz w:val="20"/>
                <w:szCs w:val="20"/>
                <w:color w:val="auto"/>
              </w:rPr>
            </w:pPr>
            <w:r>
              <w:rPr>
                <w:rFonts w:ascii="Arial" w:cs="Arial" w:eastAsia="Arial" w:hAnsi="Arial"/>
                <w:sz w:val="14"/>
                <w:szCs w:val="14"/>
                <w:color w:val="auto"/>
              </w:rPr>
              <w:t>8,910</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$1,833,411</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2020-2022 RVA</w:t>
            </w:r>
          </w:p>
        </w:tc>
        <w:tc>
          <w:tcPr>
            <w:tcW w:w="1860" w:type="dxa"/>
            <w:vAlign w:val="bottom"/>
          </w:tcPr>
          <w:p>
            <w:pPr>
              <w:jc w:val="center"/>
              <w:spacing w:after="0"/>
              <w:rPr>
                <w:sz w:val="20"/>
                <w:szCs w:val="20"/>
                <w:color w:val="auto"/>
              </w:rPr>
            </w:pPr>
            <w:r>
              <w:rPr>
                <w:rFonts w:ascii="Arial" w:cs="Arial" w:eastAsia="Arial" w:hAnsi="Arial"/>
                <w:sz w:val="14"/>
                <w:szCs w:val="14"/>
                <w:color w:val="auto"/>
              </w:rPr>
              <w:t>6,420</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$1,321,043</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2020-2022 PA</w:t>
            </w:r>
          </w:p>
        </w:tc>
        <w:tc>
          <w:tcPr>
            <w:tcW w:w="1860" w:type="dxa"/>
            <w:vAlign w:val="bottom"/>
          </w:tcPr>
          <w:p>
            <w:pPr>
              <w:jc w:val="center"/>
              <w:spacing w:after="0"/>
              <w:rPr>
                <w:sz w:val="20"/>
                <w:szCs w:val="20"/>
                <w:color w:val="auto"/>
              </w:rPr>
            </w:pPr>
            <w:r>
              <w:rPr>
                <w:rFonts w:ascii="Arial" w:cs="Arial" w:eastAsia="Arial" w:hAnsi="Arial"/>
                <w:sz w:val="14"/>
                <w:szCs w:val="14"/>
                <w:color w:val="auto"/>
              </w:rPr>
              <w:t>7,209</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$1,483,396</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2021-2023 Equity Awards</w:t>
            </w:r>
          </w:p>
        </w:tc>
        <w:tc>
          <w:tcPr>
            <w:tcW w:w="1860" w:type="dxa"/>
            <w:vAlign w:val="bottom"/>
          </w:tcPr>
          <w:p>
            <w:pPr>
              <w:jc w:val="center"/>
              <w:spacing w:after="0"/>
              <w:rPr>
                <w:sz w:val="20"/>
                <w:szCs w:val="20"/>
                <w:color w:val="auto"/>
              </w:rPr>
            </w:pPr>
            <w:r>
              <w:rPr>
                <w:rFonts w:ascii="Arial" w:cs="Arial" w:eastAsia="Arial" w:hAnsi="Arial"/>
                <w:sz w:val="14"/>
                <w:szCs w:val="14"/>
                <w:color w:val="auto"/>
              </w:rPr>
              <w:t>N/A</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$3,700,000</w:t>
            </w:r>
          </w:p>
        </w:tc>
      </w:tr>
      <w:tr>
        <w:trPr>
          <w:trHeight w:val="189"/>
        </w:trPr>
        <w:tc>
          <w:tcPr>
            <w:tcW w:w="1000" w:type="dxa"/>
            <w:vAlign w:val="bottom"/>
          </w:tcPr>
          <w:p>
            <w:pPr>
              <w:spacing w:after="0"/>
              <w:rPr>
                <w:sz w:val="16"/>
                <w:szCs w:val="16"/>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2021 Bonus</w:t>
            </w:r>
          </w:p>
        </w:tc>
        <w:tc>
          <w:tcPr>
            <w:tcW w:w="1860" w:type="dxa"/>
            <w:vAlign w:val="bottom"/>
          </w:tcPr>
          <w:p>
            <w:pPr>
              <w:jc w:val="center"/>
              <w:spacing w:after="0"/>
              <w:rPr>
                <w:sz w:val="20"/>
                <w:szCs w:val="20"/>
                <w:color w:val="auto"/>
              </w:rPr>
            </w:pPr>
            <w:r>
              <w:rPr>
                <w:rFonts w:ascii="Arial" w:cs="Arial" w:eastAsia="Arial" w:hAnsi="Arial"/>
                <w:sz w:val="14"/>
                <w:szCs w:val="14"/>
                <w:color w:val="auto"/>
              </w:rPr>
              <w:t>N/A</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$1,000,000</w:t>
            </w:r>
          </w:p>
        </w:tc>
      </w:tr>
      <w:tr>
        <w:trPr>
          <w:trHeight w:val="203"/>
        </w:trPr>
        <w:tc>
          <w:tcPr>
            <w:tcW w:w="1000" w:type="dxa"/>
            <w:vAlign w:val="bottom"/>
          </w:tcPr>
          <w:p>
            <w:pPr>
              <w:spacing w:after="0"/>
              <w:rPr>
                <w:sz w:val="17"/>
                <w:szCs w:val="17"/>
                <w:color w:val="auto"/>
              </w:rPr>
            </w:pPr>
          </w:p>
        </w:tc>
        <w:tc>
          <w:tcPr>
            <w:tcW w:w="2200" w:type="dxa"/>
            <w:vAlign w:val="bottom"/>
          </w:tcPr>
          <w:p>
            <w:pPr>
              <w:jc w:val="center"/>
              <w:ind w:left="28"/>
              <w:spacing w:after="0"/>
              <w:rPr>
                <w:sz w:val="20"/>
                <w:szCs w:val="20"/>
                <w:color w:val="auto"/>
              </w:rPr>
            </w:pPr>
            <w:r>
              <w:rPr>
                <w:rFonts w:ascii="Arial" w:cs="Arial" w:eastAsia="Arial" w:hAnsi="Arial"/>
                <w:sz w:val="14"/>
                <w:szCs w:val="14"/>
                <w:color w:val="auto"/>
                <w:w w:val="96"/>
              </w:rPr>
              <w:t>Total</w:t>
            </w:r>
          </w:p>
        </w:tc>
        <w:tc>
          <w:tcPr>
            <w:tcW w:w="1860" w:type="dxa"/>
            <w:vAlign w:val="bottom"/>
          </w:tcPr>
          <w:p>
            <w:pPr>
              <w:spacing w:after="0"/>
              <w:rPr>
                <w:sz w:val="17"/>
                <w:szCs w:val="17"/>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$20,133,375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-128905</wp:posOffset>
            </wp:positionV>
            <wp:extent cx="3549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4</w:t>
      </w:r>
    </w:p>
    <w:p>
      <w:pPr>
        <w:spacing w:after="0" w:line="521" w:lineRule="exact"/>
        <w:rPr>
          <w:sz w:val="20"/>
          <w:szCs w:val="20"/>
          <w:color w:val="auto"/>
        </w:rPr>
      </w:pPr>
    </w:p>
    <w:p>
      <w:pPr>
        <w:sectPr>
          <w:pgSz w:w="11900" w:h="16838" w:orient="portrait"/>
          <w:cols w:equalWidth="0" w:num="2">
            <w:col w:w="8580" w:space="280"/>
            <w:col w:w="2360"/>
          </w:cols>
          <w:pgMar w:left="320" w:top="911" w:right="35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Reflects the actual amount forfeited by Mr. Smiley in connection with the Separation Agreement.</w:t>
      </w:r>
    </w:p>
    <w:p>
      <w:pPr>
        <w:spacing w:after="0" w:line="193" w:lineRule="exact"/>
        <w:rPr>
          <w:sz w:val="20"/>
          <w:szCs w:val="20"/>
          <w:color w:val="auto"/>
        </w:rPr>
      </w:pPr>
    </w:p>
    <w:p>
      <w:pPr>
        <w:ind w:left="80" w:hanging="80"/>
        <w:spacing w:after="0" w:line="250" w:lineRule="auto"/>
        <w:rPr>
          <w:sz w:val="20"/>
          <w:szCs w:val="20"/>
          <w:color w:val="auto"/>
        </w:rPr>
      </w:pPr>
      <w:r>
        <w:rPr>
          <w:rFonts w:ascii="Arial" w:cs="Arial" w:eastAsia="Arial" w:hAnsi="Arial"/>
          <w:sz w:val="16"/>
          <w:szCs w:val="16"/>
          <w:color w:val="auto"/>
        </w:rPr>
        <w:t>2 Represents the target amount forfeited by Mr. Smiley in connection with the Separation Agreement and the corresponding number of shares based on the closing price of the company’s common stock on the day before Mr. Smiley’s resignation. The actual amount and number of shares that will be awarded to participants who remain eligible for payout under these award programs may be above or below target based on company performance. With respect to Mr. Smiley’s 2021-2023 equity awards, the value listed represents the target value approved by Compensation Committee in December 2020; this amount was cancelled by the Compensation Committee prior to any target shares being granted.</w:t>
      </w:r>
    </w:p>
    <w:p>
      <w:pPr>
        <w:spacing w:after="0" w:line="230" w:lineRule="exact"/>
        <w:rPr>
          <w:sz w:val="20"/>
          <w:szCs w:val="20"/>
          <w:color w:val="auto"/>
        </w:rPr>
      </w:pPr>
    </w:p>
    <w:p>
      <w:pPr>
        <w:ind w:left="80" w:hanging="80"/>
        <w:spacing w:after="0" w:line="253" w:lineRule="auto"/>
        <w:rPr>
          <w:sz w:val="20"/>
          <w:szCs w:val="20"/>
          <w:color w:val="auto"/>
        </w:rPr>
      </w:pPr>
      <w:r>
        <w:rPr>
          <w:rFonts w:ascii="Arial" w:cs="Arial" w:eastAsia="Arial" w:hAnsi="Arial"/>
          <w:sz w:val="16"/>
          <w:szCs w:val="16"/>
          <w:color w:val="auto"/>
        </w:rPr>
        <w:t>3 Reflects the number of restricted stock units earned by Mr. Smiley after adjusting for company performance during the 2019-2020 performance period. The value forfeited is based on the closing price of the company’s common stock on the day before Mr. Smiley’s resignation. The Compensation Committee cancelled this award prior to its conversion to a 13-month service vesting restricted stock unit.</w:t>
      </w:r>
    </w:p>
    <w:p>
      <w:pPr>
        <w:spacing w:after="0" w:line="228" w:lineRule="exact"/>
        <w:rPr>
          <w:sz w:val="20"/>
          <w:szCs w:val="20"/>
          <w:color w:val="auto"/>
        </w:rPr>
      </w:pPr>
    </w:p>
    <w:p>
      <w:pPr>
        <w:ind w:left="80" w:right="40" w:hanging="80"/>
        <w:spacing w:after="0" w:line="260" w:lineRule="auto"/>
        <w:rPr>
          <w:sz w:val="20"/>
          <w:szCs w:val="20"/>
          <w:color w:val="auto"/>
        </w:rPr>
      </w:pPr>
      <w:r>
        <w:rPr>
          <w:rFonts w:ascii="Arial" w:cs="Arial" w:eastAsia="Arial" w:hAnsi="Arial"/>
          <w:sz w:val="16"/>
          <w:szCs w:val="16"/>
          <w:color w:val="auto"/>
        </w:rPr>
        <w:t>4 Represents the 2021 target bonus amount forfeited by Mr. Smiley in connection with the Separation Agreement. The actual amount that will be awarded to participants who remain eligible for payout under the 2021 Bonus may be above or below target based on participant and company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CEO Pay Ratio</w:t>
      </w:r>
    </w:p>
    <w:p>
      <w:pPr>
        <w:spacing w:after="0" w:line="28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Lilly’s compensation and benefits philosophy across the organization is to encourage and reward all employees who contribute to our success. We strive to ensure the pay of every Lilly employee reflects the level of their job impact and responsibilities and is competitive within our peer group. Lilly’s ongoing commitment to pay equity is critical to our success in supporting a diverse workforce with opportunities for all employees to grow, develop, and contribute.</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Below is the 2020 annual total compensation of our CEO and our median employee and the ratio of the annual total compensation of our CEO to that of our median employee.</w:t>
      </w:r>
    </w:p>
    <w:p>
      <w:pPr>
        <w:spacing w:after="0" w:line="243"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-113030</wp:posOffset>
            </wp:positionV>
            <wp:extent cx="378904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89045" cy="146050"/>
                    </a:xfrm>
                    <a:prstGeom prst="rect">
                      <a:avLst/>
                    </a:prstGeom>
                    <a:noFill/>
                  </pic:spPr>
                </pic:pic>
              </a:graphicData>
            </a:graphic>
          </wp:anchor>
        </w:drawing>
      </w:r>
    </w:p>
    <w:p>
      <w:pPr>
        <w:spacing w:after="0" w:line="31" w:lineRule="exact"/>
        <w:rPr>
          <w:sz w:val="20"/>
          <w:szCs w:val="20"/>
          <w:color w:val="auto"/>
        </w:rPr>
      </w:pPr>
    </w:p>
    <w:tbl>
      <w:tblPr>
        <w:tblLayout w:type="fixed"/>
        <w:tblInd w:w="3030" w:type="dxa"/>
        <w:tblCellMar>
          <w:top w:w="0" w:type="dxa"/>
          <w:left w:w="0" w:type="dxa"/>
          <w:bottom w:w="0" w:type="dxa"/>
          <w:right w:w="0" w:type="dxa"/>
        </w:tblCellMar>
      </w:tblPr>
      <w:tr>
        <w:trPr>
          <w:trHeight w:val="188"/>
        </w:trPr>
        <w:tc>
          <w:tcPr>
            <w:tcW w:w="4140" w:type="dxa"/>
            <w:vAlign w:val="bottom"/>
            <w:tcBorders>
              <w:left w:val="single" w:sz="8" w:color="DBDBDB"/>
              <w:bottom w:val="single" w:sz="8" w:color="DBDBDB"/>
              <w:right w:val="single" w:sz="8" w:color="DBDBDB"/>
            </w:tcBorders>
          </w:tcPr>
          <w:p>
            <w:pPr>
              <w:ind w:left="20"/>
              <w:spacing w:after="0"/>
              <w:rPr>
                <w:sz w:val="20"/>
                <w:szCs w:val="20"/>
                <w:color w:val="auto"/>
              </w:rPr>
            </w:pPr>
            <w:r>
              <w:rPr>
                <w:rFonts w:ascii="Arial" w:cs="Arial" w:eastAsia="Arial" w:hAnsi="Arial"/>
                <w:sz w:val="14"/>
                <w:szCs w:val="14"/>
                <w:color w:val="auto"/>
              </w:rPr>
              <w:t>CEO Annual Total Compensation*</w:t>
            </w:r>
          </w:p>
        </w:tc>
        <w:tc>
          <w:tcPr>
            <w:tcW w:w="980" w:type="dxa"/>
            <w:vAlign w:val="bottom"/>
            <w:tcBorders>
              <w:bottom w:val="single" w:sz="8" w:color="DBDBDB"/>
            </w:tcBorders>
          </w:tcPr>
          <w:p>
            <w:pPr>
              <w:spacing w:after="0"/>
              <w:rPr>
                <w:sz w:val="16"/>
                <w:szCs w:val="16"/>
                <w:color w:val="auto"/>
              </w:rPr>
            </w:pPr>
          </w:p>
        </w:tc>
        <w:tc>
          <w:tcPr>
            <w:tcW w:w="860" w:type="dxa"/>
            <w:vAlign w:val="bottom"/>
            <w:tcBorders>
              <w:bottom w:val="single" w:sz="8" w:color="DBDBDB"/>
              <w:right w:val="single" w:sz="8" w:color="DBDBDB"/>
            </w:tcBorders>
          </w:tcPr>
          <w:p>
            <w:pPr>
              <w:jc w:val="right"/>
              <w:spacing w:after="0"/>
              <w:rPr>
                <w:sz w:val="20"/>
                <w:szCs w:val="20"/>
                <w:color w:val="auto"/>
              </w:rPr>
            </w:pPr>
            <w:r>
              <w:rPr>
                <w:rFonts w:ascii="Arial" w:cs="Arial" w:eastAsia="Arial" w:hAnsi="Arial"/>
                <w:sz w:val="14"/>
                <w:szCs w:val="14"/>
                <w:color w:val="auto"/>
              </w:rPr>
              <w:t>$23,708,629</w:t>
            </w:r>
          </w:p>
        </w:tc>
      </w:tr>
      <w:tr>
        <w:trPr>
          <w:trHeight w:val="183"/>
        </w:trPr>
        <w:tc>
          <w:tcPr>
            <w:tcW w:w="4140" w:type="dxa"/>
            <w:vAlign w:val="bottom"/>
            <w:tcBorders>
              <w:left w:val="single" w:sz="8" w:color="DBDBDB"/>
              <w:bottom w:val="single" w:sz="8" w:color="DBDBDB"/>
              <w:right w:val="single" w:sz="8" w:color="DBDBDB"/>
            </w:tcBorders>
          </w:tcPr>
          <w:p>
            <w:pPr>
              <w:ind w:left="20"/>
              <w:spacing w:after="0"/>
              <w:rPr>
                <w:sz w:val="20"/>
                <w:szCs w:val="20"/>
                <w:color w:val="auto"/>
              </w:rPr>
            </w:pPr>
            <w:r>
              <w:rPr>
                <w:rFonts w:ascii="Arial" w:cs="Arial" w:eastAsia="Arial" w:hAnsi="Arial"/>
                <w:sz w:val="14"/>
                <w:szCs w:val="14"/>
                <w:color w:val="auto"/>
              </w:rPr>
              <w:t>Median Employee Annual Total Compensation</w:t>
            </w:r>
          </w:p>
        </w:tc>
        <w:tc>
          <w:tcPr>
            <w:tcW w:w="98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right w:val="single" w:sz="8" w:color="DBDBDB"/>
            </w:tcBorders>
          </w:tcPr>
          <w:p>
            <w:pPr>
              <w:jc w:val="right"/>
              <w:spacing w:after="0"/>
              <w:rPr>
                <w:sz w:val="20"/>
                <w:szCs w:val="20"/>
                <w:color w:val="auto"/>
              </w:rPr>
            </w:pPr>
            <w:r>
              <w:rPr>
                <w:rFonts w:ascii="Arial" w:cs="Arial" w:eastAsia="Arial" w:hAnsi="Arial"/>
                <w:sz w:val="14"/>
                <w:szCs w:val="14"/>
                <w:color w:val="auto"/>
              </w:rPr>
              <w:t>$101,752</w:t>
            </w:r>
          </w:p>
        </w:tc>
      </w:tr>
      <w:tr>
        <w:trPr>
          <w:trHeight w:val="183"/>
        </w:trPr>
        <w:tc>
          <w:tcPr>
            <w:tcW w:w="4140" w:type="dxa"/>
            <w:vAlign w:val="bottom"/>
            <w:tcBorders>
              <w:left w:val="single" w:sz="8" w:color="DBDBDB"/>
              <w:bottom w:val="single" w:sz="8" w:color="DBDBDB"/>
              <w:right w:val="single" w:sz="8" w:color="DBDBDB"/>
            </w:tcBorders>
          </w:tcPr>
          <w:p>
            <w:pPr>
              <w:ind w:left="20"/>
              <w:spacing w:after="0"/>
              <w:rPr>
                <w:sz w:val="20"/>
                <w:szCs w:val="20"/>
                <w:color w:val="auto"/>
              </w:rPr>
            </w:pPr>
            <w:r>
              <w:rPr>
                <w:rFonts w:ascii="Arial" w:cs="Arial" w:eastAsia="Arial" w:hAnsi="Arial"/>
                <w:sz w:val="14"/>
                <w:szCs w:val="14"/>
                <w:color w:val="auto"/>
              </w:rPr>
              <w:t>CEO to Median Employee Pay Ratio</w:t>
            </w:r>
          </w:p>
        </w:tc>
        <w:tc>
          <w:tcPr>
            <w:tcW w:w="98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right w:val="single" w:sz="8" w:color="DBDBDB"/>
            </w:tcBorders>
          </w:tcPr>
          <w:p>
            <w:pPr>
              <w:jc w:val="right"/>
              <w:spacing w:after="0"/>
              <w:rPr>
                <w:sz w:val="20"/>
                <w:szCs w:val="20"/>
                <w:color w:val="auto"/>
              </w:rPr>
            </w:pPr>
            <w:r>
              <w:rPr>
                <w:rFonts w:ascii="Arial" w:cs="Arial" w:eastAsia="Arial" w:hAnsi="Arial"/>
                <w:sz w:val="14"/>
                <w:szCs w:val="14"/>
                <w:color w:val="auto"/>
              </w:rPr>
              <w:t>233:1</w:t>
            </w:r>
          </w:p>
        </w:tc>
      </w:tr>
      <w:tr>
        <w:trPr>
          <w:trHeight w:val="184"/>
        </w:trPr>
        <w:tc>
          <w:tcPr>
            <w:tcW w:w="5120" w:type="dxa"/>
            <w:vAlign w:val="bottom"/>
            <w:gridSpan w:val="2"/>
          </w:tcPr>
          <w:p>
            <w:pPr>
              <w:spacing w:after="0"/>
              <w:rPr>
                <w:sz w:val="20"/>
                <w:szCs w:val="20"/>
                <w:color w:val="auto"/>
              </w:rPr>
            </w:pPr>
            <w:r>
              <w:rPr>
                <w:rFonts w:ascii="Arial" w:cs="Arial" w:eastAsia="Arial" w:hAnsi="Arial"/>
                <w:sz w:val="14"/>
                <w:szCs w:val="14"/>
                <w:color w:val="auto"/>
              </w:rPr>
              <w:t>*This annual total compensation is the "Summary Compensation Table" amount.</w:t>
            </w:r>
          </w:p>
        </w:tc>
        <w:tc>
          <w:tcPr>
            <w:tcW w:w="8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P73</w:t>
      </w:r>
    </w:p>
    <w:p>
      <w:pPr>
        <w:sectPr>
          <w:pgSz w:w="11900" w:h="16838" w:orient="portrait"/>
          <w:cols w:equalWidth="0" w:num="1">
            <w:col w:w="11220"/>
          </w:cols>
          <w:pgMar w:left="320" w:top="911" w:right="35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Methodology:</w:t>
      </w:r>
    </w:p>
    <w:p>
      <w:pPr>
        <w:spacing w:after="0" w:line="29" w:lineRule="exact"/>
        <w:rPr>
          <w:sz w:val="20"/>
          <w:szCs w:val="20"/>
          <w:color w:val="auto"/>
        </w:rPr>
      </w:pPr>
    </w:p>
    <w:p>
      <w:pPr>
        <w:ind w:left="180" w:right="120" w:hanging="172"/>
        <w:spacing w:after="0" w:line="253" w:lineRule="auto"/>
        <w:tabs>
          <w:tab w:leader="none" w:pos="142"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Measurement Date: </w:t>
      </w:r>
      <w:r>
        <w:rPr>
          <w:rFonts w:ascii="Arial" w:cs="Arial" w:eastAsia="Arial" w:hAnsi="Arial"/>
          <w:sz w:val="16"/>
          <w:szCs w:val="16"/>
          <w:color w:val="auto"/>
        </w:rPr>
        <w:t>We identified the median employee using our employee population on October 31, 2020. On this date, Lilly employed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rPr>
        <w:t>36,500 people, with approximately 16,000 members of our workforce located in the U.S. and approximately 20,500 members of our workforce located outside of the U.S.</w:t>
      </w:r>
    </w:p>
    <w:p>
      <w:pPr>
        <w:spacing w:after="0" w:line="208" w:lineRule="exact"/>
        <w:rPr>
          <w:rFonts w:ascii="Arial" w:cs="Arial" w:eastAsia="Arial" w:hAnsi="Arial"/>
          <w:sz w:val="16"/>
          <w:szCs w:val="16"/>
          <w:color w:val="auto"/>
        </w:rPr>
      </w:pPr>
    </w:p>
    <w:p>
      <w:pPr>
        <w:ind w:left="180" w:right="80" w:hanging="172"/>
        <w:spacing w:after="0" w:line="259" w:lineRule="auto"/>
        <w:tabs>
          <w:tab w:leader="none" w:pos="156"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Identification of Median Employee: </w:t>
      </w:r>
      <w:r>
        <w:rPr>
          <w:rFonts w:ascii="Arial" w:cs="Arial" w:eastAsia="Arial" w:hAnsi="Arial"/>
          <w:sz w:val="16"/>
          <w:szCs w:val="16"/>
          <w:color w:val="auto"/>
        </w:rPr>
        <w:t>In a manner consistent with SEC rules, we identified the median employee by use of a "consistently applied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measure," or CACM. Specifically, we identified the median employee by looking at annual base pay, bonus opportunity at target, and the grant date fair value for standard equity awards. We did not adjust the compensation paid to part-time employees to calculate what they would have been paid on a full-time basis.</w:t>
      </w:r>
    </w:p>
    <w:p>
      <w:pPr>
        <w:spacing w:after="0" w:line="204" w:lineRule="exact"/>
        <w:rPr>
          <w:rFonts w:ascii="Arial" w:cs="Arial" w:eastAsia="Arial" w:hAnsi="Arial"/>
          <w:sz w:val="16"/>
          <w:szCs w:val="16"/>
          <w:b w:val="1"/>
          <w:bCs w:val="1"/>
          <w:color w:val="auto"/>
        </w:rPr>
      </w:pPr>
    </w:p>
    <w:p>
      <w:pPr>
        <w:ind w:left="140" w:hanging="132"/>
        <w:spacing w:after="0"/>
        <w:tabs>
          <w:tab w:leader="none" w:pos="14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 Minimis Exception: </w:t>
      </w:r>
      <w:r>
        <w:rPr>
          <w:rFonts w:ascii="Arial" w:cs="Arial" w:eastAsia="Arial" w:hAnsi="Arial"/>
          <w:sz w:val="16"/>
          <w:szCs w:val="16"/>
          <w:color w:val="auto"/>
        </w:rPr>
        <w:t>Lilly has employees in 76 countries. In identifying the median employee, we excluded 340 workers in the following 8 countries,</w:t>
      </w:r>
    </w:p>
    <w:p>
      <w:pPr>
        <w:spacing w:after="0" w:line="25" w:lineRule="exact"/>
        <w:rPr>
          <w:rFonts w:ascii="Arial" w:cs="Arial" w:eastAsia="Arial" w:hAnsi="Arial"/>
          <w:sz w:val="16"/>
          <w:szCs w:val="16"/>
          <w:b w:val="1"/>
          <w:bCs w:val="1"/>
          <w:color w:val="auto"/>
        </w:rPr>
      </w:pPr>
    </w:p>
    <w:p>
      <w:pPr>
        <w:ind w:left="180" w:right="10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which represent approximately one percent of our workforce: Bahrain, Greece, Indonesia, Kuwait, Oman, Pakistan, Qatar, and United Arab Emirates. We excluded these employees because they are affiliated with joint ventures or third-party distributors, and Lilly does not set their compensation philosophy.</w:t>
      </w:r>
    </w:p>
    <w:p>
      <w:pPr>
        <w:spacing w:after="0" w:line="202" w:lineRule="exact"/>
        <w:rPr>
          <w:rFonts w:ascii="Arial" w:cs="Arial" w:eastAsia="Arial" w:hAnsi="Arial"/>
          <w:sz w:val="16"/>
          <w:szCs w:val="16"/>
          <w:b w:val="1"/>
          <w:bCs w:val="1"/>
          <w:color w:val="auto"/>
        </w:rPr>
      </w:pPr>
    </w:p>
    <w:p>
      <w:pPr>
        <w:ind w:left="180" w:right="220" w:hanging="172"/>
        <w:spacing w:after="0" w:line="266" w:lineRule="auto"/>
        <w:tabs>
          <w:tab w:leader="none" w:pos="156"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Calculated CEO Pay Ratio: </w:t>
      </w:r>
      <w:r>
        <w:rPr>
          <w:rFonts w:ascii="Arial" w:cs="Arial" w:eastAsia="Arial" w:hAnsi="Arial"/>
          <w:sz w:val="16"/>
          <w:szCs w:val="16"/>
          <w:color w:val="auto"/>
        </w:rPr>
        <w:t>After applying our CACM and excluding the employees listed above, we identified the median employee. Once the median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was identified, we calculated the median employee’s total annual compensation in accordance with the requirements of the 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Audit Matters</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3. Ratification of the Appointment of the Independent Auditor</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Oversight of the Independent Auditor</w:t>
      </w:r>
    </w:p>
    <w:p>
      <w:pPr>
        <w:spacing w:after="0" w:line="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The Audit Committee is responsible for the appointment, compensation, retention, and oversight of the independent auditor and oversees the process for reviewing and evaluating the lead audit partner. Further information regarding the committee's oversight of the independent auditor can be found in the Audit Committee charter,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228"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connection with the decision regarding whether to reappoint the independent auditor each year (subject to shareholder ratification), the committee assesses the independent auditor's performance. This assessment examines three primary criteria: (1) the independent auditor's qualifications and experience; (2) the communication and interactions with the auditor over the course of the year; and (3) the auditor's independence, objectivity, and professional skepticism. These criteria are assessed against an internal and an external scorecard and are discussed with management during a private session as well as in executive session. The committee also periodically considers whether a rotation of the company's independent auditor is advisable.</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Ernst &amp; Young LLP (EY) has served as the independent auditor for the company since 1940. Based on the Audit Committee’s assessment of EY's performance during 2020, the Audit Committee believes that the continued retention of EY to serve as the company's independent auditor is in the best interests of the company and its shareholders and has therefore reappointed EY as the company’s independent auditor for 2021. In addition to this year's favorable assessment of EY's performance, we recognize that there are several benefits of retaining a longer-tenured independent auditor. EY has gained institutional knowledge and expertise regarding the company's global operations, accounting policies and practices, and internal controls over financial reporting. Audit and other fees are also competitive with peer companies because of EY's familiarity with the company and its operations. In accordance with the bylaws, this appointment is being submitted to the shareholders for ratification.</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Representatives of EY are expected to participate in the Annual Meeting and will be available to respond to questions. Those representatives will have the opportunity to make a statement if they wish to do so.</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3</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FOR ratifying the appointment of EY as the independent auditor for 2021.</w:t>
      </w:r>
    </w:p>
    <w:p>
      <w:pPr>
        <w:spacing w:after="0" w:line="24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Audit Committee Report</w:t>
      </w:r>
    </w:p>
    <w:p>
      <w:pPr>
        <w:spacing w:after="0" w:line="28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w:t>
      </w:r>
    </w:p>
    <w:p>
      <w:pPr>
        <w:sectPr>
          <w:pgSz w:w="11900" w:h="16838" w:orient="portrait"/>
          <w:cols w:equalWidth="0" w:num="1">
            <w:col w:w="11220"/>
          </w:cols>
          <w:pgMar w:left="320" w:top="1124"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P74</w:t>
      </w:r>
    </w:p>
    <w:p>
      <w:pPr>
        <w:sectPr>
          <w:pgSz w:w="11900" w:h="16838" w:orient="portrait"/>
          <w:cols w:equalWidth="0" w:num="1">
            <w:col w:w="11220"/>
          </w:cols>
          <w:pgMar w:left="320" w:top="1124" w:right="359" w:bottom="1440" w:gutter="0" w:footer="0" w:header="0"/>
          <w:type w:val="continuous"/>
        </w:sectPr>
      </w:pPr>
    </w:p>
    <w:bookmarkStart w:id="79" w:name="page80"/>
    <w:bookmarkEnd w:id="79"/>
    <w:p>
      <w:pPr>
        <w:ind w:right="260"/>
        <w:spacing w:after="0" w:line="253" w:lineRule="auto"/>
        <w:rPr>
          <w:sz w:val="20"/>
          <w:szCs w:val="20"/>
          <w:color w:val="auto"/>
        </w:rPr>
      </w:pPr>
      <w:r>
        <w:rPr>
          <w:rFonts w:ascii="Arial" w:cs="Arial" w:eastAsia="Arial" w:hAnsi="Arial"/>
          <w:sz w:val="16"/>
          <w:szCs w:val="16"/>
          <w:color w:val="auto"/>
        </w:rPr>
        <w:t>December 31, 2020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22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independent auditor reports directly to the Audit Committee, which has sole authority to appoint and to replace the independent auditor (subject to shareholder ratification).</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233"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230"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2020, for filing with the SEC. The Audit Committee has also appointed EY as the company’s independent auditor, subject to shareholder ratification, for 2021.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Jamere Jackson,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Ralph Alvarez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L. Eskew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Gabrielle Sulzberger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Jackson P. Tai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Karen Walker</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Services Performed by the Independent Auditor</w:t>
      </w:r>
    </w:p>
    <w:p>
      <w:pPr>
        <w:spacing w:after="0" w:line="29"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 w:lineRule="exact"/>
        <w:rPr>
          <w:sz w:val="20"/>
          <w:szCs w:val="20"/>
          <w:color w:val="auto"/>
        </w:rPr>
      </w:pPr>
    </w:p>
    <w:p>
      <w:pPr>
        <w:ind w:left="340" w:hanging="170"/>
        <w:spacing w:after="0" w:line="248" w:lineRule="auto"/>
        <w:tabs>
          <w:tab w:leader="none" w:pos="308" w:val="left"/>
        </w:tabs>
        <w:numPr>
          <w:ilvl w:val="0"/>
          <w:numId w:val="14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Audit services: </w:t>
      </w:r>
      <w:r>
        <w:rPr>
          <w:rFonts w:ascii="Arial" w:cs="Arial" w:eastAsia="Arial" w:hAnsi="Arial"/>
          <w:sz w:val="16"/>
          <w:szCs w:val="16"/>
          <w:color w:val="000000"/>
        </w:rPr>
        <w:t>The Audit Committee approves the annual audit services engagement and, if necessary, any changes in terms, conditions, and fees</w:t>
      </w:r>
      <w:r>
        <w:rPr>
          <w:rFonts w:ascii="Arial" w:cs="Arial" w:eastAsia="Arial" w:hAnsi="Arial"/>
          <w:sz w:val="17"/>
          <w:szCs w:val="17"/>
          <w:b w:val="1"/>
          <w:bCs w:val="1"/>
          <w:color w:val="00ABE8"/>
        </w:rPr>
        <w:t xml:space="preserve"> </w:t>
      </w:r>
      <w:r>
        <w:rPr>
          <w:rFonts w:ascii="Arial" w:cs="Arial" w:eastAsia="Arial" w:hAnsi="Arial"/>
          <w:sz w:val="16"/>
          <w:szCs w:val="16"/>
          <w:color w:val="000000"/>
        </w:rPr>
        <w:t>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218" w:lineRule="exact"/>
        <w:rPr>
          <w:rFonts w:ascii="Arial" w:cs="Arial" w:eastAsia="Arial" w:hAnsi="Arial"/>
          <w:sz w:val="18"/>
          <w:szCs w:val="18"/>
          <w:b w:val="1"/>
          <w:bCs w:val="1"/>
          <w:color w:val="00ABE8"/>
        </w:rPr>
      </w:pPr>
    </w:p>
    <w:p>
      <w:pPr>
        <w:ind w:left="340" w:right="160" w:hanging="170"/>
        <w:spacing w:after="0" w:line="257" w:lineRule="auto"/>
        <w:tabs>
          <w:tab w:leader="none" w:pos="308" w:val="left"/>
        </w:tabs>
        <w:numPr>
          <w:ilvl w:val="0"/>
          <w:numId w:val="14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Audit-related services: </w:t>
      </w:r>
      <w:r>
        <w:rPr>
          <w:rFonts w:ascii="Arial" w:cs="Arial" w:eastAsia="Arial" w:hAnsi="Arial"/>
          <w:sz w:val="16"/>
          <w:szCs w:val="16"/>
          <w:color w:val="000000"/>
        </w:rPr>
        <w:t>Audit-related services are assurance and related services that are reasonably related to the performance of the audit or</w:t>
      </w:r>
      <w:r>
        <w:rPr>
          <w:rFonts w:ascii="Arial" w:cs="Arial" w:eastAsia="Arial" w:hAnsi="Arial"/>
          <w:sz w:val="17"/>
          <w:szCs w:val="17"/>
          <w:b w:val="1"/>
          <w:bCs w:val="1"/>
          <w:color w:val="00ABE8"/>
        </w:rPr>
        <w:t xml:space="preserve"> </w:t>
      </w:r>
      <w:r>
        <w:rPr>
          <w:rFonts w:ascii="Arial" w:cs="Arial" w:eastAsia="Arial" w:hAnsi="Arial"/>
          <w:sz w:val="16"/>
          <w:szCs w:val="16"/>
          <w:color w:val="000000"/>
        </w:rPr>
        <w:t>reviews of the financial statements, and that are traditionally performed by the independent auditor. The Audit Committee believes that the provision of these services does not impair the independence of the auditor.</w:t>
      </w:r>
    </w:p>
    <w:p>
      <w:pPr>
        <w:spacing w:after="0" w:line="209" w:lineRule="exact"/>
        <w:rPr>
          <w:rFonts w:ascii="Arial" w:cs="Arial" w:eastAsia="Arial" w:hAnsi="Arial"/>
          <w:sz w:val="18"/>
          <w:szCs w:val="18"/>
          <w:b w:val="1"/>
          <w:bCs w:val="1"/>
          <w:color w:val="00ABE8"/>
        </w:rPr>
      </w:pPr>
    </w:p>
    <w:p>
      <w:pPr>
        <w:ind w:left="340" w:right="40" w:hanging="170"/>
        <w:spacing w:after="0" w:line="267" w:lineRule="auto"/>
        <w:tabs>
          <w:tab w:leader="none" w:pos="308" w:val="left"/>
        </w:tabs>
        <w:numPr>
          <w:ilvl w:val="0"/>
          <w:numId w:val="14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Tax services: </w:t>
      </w:r>
      <w:r>
        <w:rPr>
          <w:rFonts w:ascii="Arial" w:cs="Arial" w:eastAsia="Arial" w:hAnsi="Arial"/>
          <w:sz w:val="16"/>
          <w:szCs w:val="16"/>
          <w:color w:val="000000"/>
        </w:rPr>
        <w:t>The Audit Committee believes that, in appropriate cases, the independent auditor can provide tax compliance services, tax planning, and</w:t>
      </w:r>
      <w:r>
        <w:rPr>
          <w:rFonts w:ascii="Arial" w:cs="Arial" w:eastAsia="Arial" w:hAnsi="Arial"/>
          <w:sz w:val="17"/>
          <w:szCs w:val="17"/>
          <w:b w:val="1"/>
          <w:bCs w:val="1"/>
          <w:color w:val="00ABE8"/>
        </w:rPr>
        <w:t xml:space="preserve"> </w:t>
      </w:r>
      <w:r>
        <w:rPr>
          <w:rFonts w:ascii="Arial" w:cs="Arial" w:eastAsia="Arial" w:hAnsi="Arial"/>
          <w:sz w:val="16"/>
          <w:szCs w:val="16"/>
          <w:color w:val="000000"/>
        </w:rPr>
        <w:t>tax advice without impairing the auditor’s independence.</w:t>
      </w:r>
    </w:p>
    <w:p>
      <w:pPr>
        <w:spacing w:after="0" w:line="200" w:lineRule="exact"/>
        <w:rPr>
          <w:rFonts w:ascii="Arial" w:cs="Arial" w:eastAsia="Arial" w:hAnsi="Arial"/>
          <w:sz w:val="18"/>
          <w:szCs w:val="18"/>
          <w:b w:val="1"/>
          <w:bCs w:val="1"/>
          <w:color w:val="00ABE8"/>
        </w:rPr>
      </w:pPr>
    </w:p>
    <w:p>
      <w:pPr>
        <w:ind w:left="340" w:right="240" w:hanging="170"/>
        <w:spacing w:after="0" w:line="250" w:lineRule="auto"/>
        <w:tabs>
          <w:tab w:leader="none" w:pos="308" w:val="left"/>
        </w:tabs>
        <w:numPr>
          <w:ilvl w:val="0"/>
          <w:numId w:val="14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Other services: </w:t>
      </w:r>
      <w:r>
        <w:rPr>
          <w:rFonts w:ascii="Arial" w:cs="Arial" w:eastAsia="Arial" w:hAnsi="Arial"/>
          <w:sz w:val="16"/>
          <w:szCs w:val="16"/>
          <w:color w:val="000000"/>
        </w:rPr>
        <w:t>The Audit Committee may approve other services to be provided by the independent auditor if (i) the services are permissible under</w:t>
      </w:r>
      <w:r>
        <w:rPr>
          <w:rFonts w:ascii="Arial" w:cs="Arial" w:eastAsia="Arial" w:hAnsi="Arial"/>
          <w:sz w:val="17"/>
          <w:szCs w:val="17"/>
          <w:b w:val="1"/>
          <w:bCs w:val="1"/>
          <w:color w:val="00ABE8"/>
        </w:rPr>
        <w:t xml:space="preserve"> </w:t>
      </w:r>
      <w:r>
        <w:rPr>
          <w:rFonts w:ascii="Arial" w:cs="Arial" w:eastAsia="Arial" w:hAnsi="Arial"/>
          <w:sz w:val="16"/>
          <w:szCs w:val="16"/>
          <w:color w:val="000000"/>
        </w:rPr>
        <w:t>SEC and PCAOB rules, (ii) the Audit Committee believes the provision of the services would not impair the independence of the auditor, and</w:t>
      </w:r>
    </w:p>
    <w:p>
      <w:pPr>
        <w:ind w:left="340"/>
        <w:spacing w:after="0"/>
        <w:rPr>
          <w:rFonts w:ascii="Arial" w:cs="Arial" w:eastAsia="Arial" w:hAnsi="Arial"/>
          <w:sz w:val="18"/>
          <w:szCs w:val="18"/>
          <w:b w:val="1"/>
          <w:bCs w:val="1"/>
          <w:color w:val="00ABE8"/>
        </w:rPr>
      </w:pPr>
      <w:r>
        <w:rPr>
          <w:rFonts w:ascii="Arial" w:cs="Arial" w:eastAsia="Arial" w:hAnsi="Arial"/>
          <w:sz w:val="16"/>
          <w:szCs w:val="16"/>
          <w:color w:val="auto"/>
        </w:rPr>
        <w:t>(iii) management believes that the auditor is the best choice to provide the services.</w:t>
      </w:r>
    </w:p>
    <w:p>
      <w:pPr>
        <w:spacing w:after="0" w:line="233" w:lineRule="exact"/>
        <w:rPr>
          <w:rFonts w:ascii="Arial" w:cs="Arial" w:eastAsia="Arial" w:hAnsi="Arial"/>
          <w:sz w:val="18"/>
          <w:szCs w:val="18"/>
          <w:b w:val="1"/>
          <w:bCs w:val="1"/>
          <w:color w:val="00ABE8"/>
        </w:rPr>
      </w:pPr>
    </w:p>
    <w:p>
      <w:pPr>
        <w:ind w:left="340" w:right="60" w:hanging="170"/>
        <w:spacing w:after="0" w:line="253" w:lineRule="auto"/>
        <w:tabs>
          <w:tab w:leader="none" w:pos="308" w:val="left"/>
        </w:tabs>
        <w:numPr>
          <w:ilvl w:val="0"/>
          <w:numId w:val="140"/>
        </w:numPr>
        <w:rPr>
          <w:rFonts w:ascii="Arial" w:cs="Arial" w:eastAsia="Arial" w:hAnsi="Arial"/>
          <w:sz w:val="18"/>
          <w:szCs w:val="18"/>
          <w:b w:val="1"/>
          <w:bCs w:val="1"/>
          <w:color w:val="00ABE8"/>
        </w:rPr>
      </w:pPr>
      <w:r>
        <w:rPr>
          <w:rFonts w:ascii="Arial" w:cs="Arial" w:eastAsia="Arial" w:hAnsi="Arial"/>
          <w:sz w:val="17"/>
          <w:szCs w:val="17"/>
          <w:b w:val="1"/>
          <w:bCs w:val="1"/>
          <w:color w:val="00ABE8"/>
        </w:rPr>
        <w:t xml:space="preserve">Approval process: </w:t>
      </w:r>
      <w:r>
        <w:rPr>
          <w:rFonts w:ascii="Arial" w:cs="Arial" w:eastAsia="Arial" w:hAnsi="Arial"/>
          <w:sz w:val="16"/>
          <w:szCs w:val="16"/>
          <w:color w:val="000000"/>
        </w:rPr>
        <w:t>At the beginning of each audit year, management requests pre-approval from the Audit Committee of the annual audit, statutory</w:t>
      </w:r>
      <w:r>
        <w:rPr>
          <w:rFonts w:ascii="Arial" w:cs="Arial" w:eastAsia="Arial" w:hAnsi="Arial"/>
          <w:sz w:val="17"/>
          <w:szCs w:val="17"/>
          <w:b w:val="1"/>
          <w:bCs w:val="1"/>
          <w:color w:val="00ABE8"/>
        </w:rPr>
        <w:t xml:space="preserve"> </w:t>
      </w:r>
      <w:r>
        <w:rPr>
          <w:rFonts w:ascii="Arial" w:cs="Arial" w:eastAsia="Arial" w:hAnsi="Arial"/>
          <w:sz w:val="16"/>
          <w:szCs w:val="16"/>
          <w:color w:val="000000"/>
        </w:rPr>
        <w:t>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P75</w:t>
      </w:r>
    </w:p>
    <w:p>
      <w:pPr>
        <w:sectPr>
          <w:pgSz w:w="11900" w:h="16838" w:orient="portrait"/>
          <w:cols w:equalWidth="0" w:num="1">
            <w:col w:w="11240"/>
          </w:cols>
          <w:pgMar w:left="320" w:top="911" w:right="339" w:bottom="1440" w:gutter="0" w:footer="0" w:header="0"/>
          <w:type w:val="continuous"/>
        </w:sectPr>
      </w:pPr>
    </w:p>
    <w:bookmarkStart w:id="80" w:name="page81"/>
    <w:bookmarkEnd w:id="80"/>
    <w:p>
      <w:pPr>
        <w:ind w:left="340" w:right="640"/>
        <w:spacing w:after="0" w:line="260" w:lineRule="auto"/>
        <w:rPr>
          <w:sz w:val="20"/>
          <w:szCs w:val="20"/>
          <w:color w:val="auto"/>
        </w:rPr>
      </w:pPr>
      <w:r>
        <w:rPr>
          <w:rFonts w:ascii="Arial" w:cs="Arial" w:eastAsia="Arial" w:hAnsi="Arial"/>
          <w:sz w:val="16"/>
          <w:szCs w:val="16"/>
          <w:color w:val="auto"/>
        </w:rPr>
        <w:t>Committee for approval. To the extent approvals are required between regularly scheduled Audit Committee meetings, pre-approval authority is delegated to the committee chair.</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the audit year, management provides the committee with a summary of the actual fees incurred for the completed audit year.</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 Fees</w:t>
      </w:r>
    </w:p>
    <w:p>
      <w:pPr>
        <w:spacing w:after="0" w:line="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shows the fees incurred for services rendered on a worldwide basis by EY in 2020 and 2019. All such services were pre-approved by the Audit Committee in accordance with the pre-approval policy.</w:t>
      </w:r>
    </w:p>
    <w:p>
      <w:pPr>
        <w:spacing w:after="0" w:line="171" w:lineRule="exact"/>
        <w:rPr>
          <w:sz w:val="20"/>
          <w:szCs w:val="20"/>
          <w:color w:val="auto"/>
        </w:rPr>
      </w:pPr>
    </w:p>
    <w:tbl>
      <w:tblPr>
        <w:tblLayout w:type="fixed"/>
        <w:tblInd w:w="143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2020</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2019</w:t>
            </w:r>
          </w:p>
        </w:tc>
      </w:tr>
      <w:tr>
        <w:trPr>
          <w:trHeight w:val="175"/>
        </w:trPr>
        <w:tc>
          <w:tcPr>
            <w:tcW w:w="6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millions)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millions)</w:t>
            </w:r>
          </w:p>
        </w:tc>
      </w:tr>
      <w:tr>
        <w:trPr>
          <w:trHeight w:val="198"/>
        </w:trPr>
        <w:tc>
          <w:tcPr>
            <w:tcW w:w="6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Audit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$14.2</w:t>
            </w:r>
          </w:p>
        </w:tc>
      </w:tr>
      <w:tr>
        <w:trPr>
          <w:trHeight w:val="206"/>
        </w:trPr>
        <w:tc>
          <w:tcPr>
            <w:tcW w:w="6520" w:type="dxa"/>
            <w:vAlign w:val="bottom"/>
            <w:tcBorders>
              <w:left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Annual audit of consolidated and subsidiary financial statements, including</w:t>
            </w:r>
          </w:p>
        </w:tc>
        <w:tc>
          <w:tcPr>
            <w:tcW w:w="9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172"/>
        </w:trPr>
        <w:tc>
          <w:tcPr>
            <w:tcW w:w="6520" w:type="dxa"/>
            <w:vAlign w:val="bottom"/>
            <w:tcBorders>
              <w:left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Sarbanes-Oxley 404 attestation</w:t>
            </w: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r>
      <w:tr>
        <w:trPr>
          <w:trHeight w:val="268"/>
        </w:trPr>
        <w:tc>
          <w:tcPr>
            <w:tcW w:w="6520" w:type="dxa"/>
            <w:vAlign w:val="bottom"/>
            <w:tcBorders>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Reviews of quarterly financial statements</w:t>
            </w:r>
          </w:p>
        </w:tc>
        <w:tc>
          <w:tcPr>
            <w:tcW w:w="96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spacing w:after="0"/>
              <w:rPr>
                <w:sz w:val="23"/>
                <w:szCs w:val="23"/>
                <w:color w:val="auto"/>
              </w:rPr>
            </w:pPr>
          </w:p>
        </w:tc>
      </w:tr>
      <w:tr>
        <w:trPr>
          <w:trHeight w:val="198"/>
        </w:trPr>
        <w:tc>
          <w:tcPr>
            <w:tcW w:w="6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Audit-Related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$0.7</w:t>
            </w:r>
          </w:p>
        </w:tc>
      </w:tr>
      <w:tr>
        <w:trPr>
          <w:trHeight w:val="300"/>
        </w:trPr>
        <w:tc>
          <w:tcPr>
            <w:tcW w:w="6520" w:type="dxa"/>
            <w:vAlign w:val="bottom"/>
            <w:tcBorders>
              <w:left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Primarily related to assurance and related services reasonably related to the</w:t>
            </w:r>
          </w:p>
        </w:tc>
        <w:tc>
          <w:tcPr>
            <w:tcW w:w="9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35"/>
        </w:trPr>
        <w:tc>
          <w:tcPr>
            <w:tcW w:w="6520" w:type="dxa"/>
            <w:vAlign w:val="bottom"/>
            <w:tcBorders>
              <w:left w:val="single" w:sz="8" w:color="auto"/>
              <w:right w:val="single" w:sz="8" w:color="auto"/>
            </w:tcBorders>
          </w:tcPr>
          <w:p>
            <w:pPr>
              <w:ind w:left="1040"/>
              <w:spacing w:after="0" w:line="135" w:lineRule="exact"/>
              <w:rPr>
                <w:sz w:val="20"/>
                <w:szCs w:val="20"/>
                <w:color w:val="auto"/>
              </w:rPr>
            </w:pPr>
            <w:r>
              <w:rPr>
                <w:rFonts w:ascii="Arial" w:cs="Arial" w:eastAsia="Arial" w:hAnsi="Arial"/>
                <w:sz w:val="14"/>
                <w:szCs w:val="14"/>
                <w:color w:val="auto"/>
              </w:rPr>
              <w:t>performance of the audit or reviews of the financial statements primarily related to</w:t>
            </w:r>
          </w:p>
        </w:tc>
        <w:tc>
          <w:tcPr>
            <w:tcW w:w="9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r>
      <w:tr>
        <w:trPr>
          <w:trHeight w:val="135"/>
        </w:trPr>
        <w:tc>
          <w:tcPr>
            <w:tcW w:w="6520" w:type="dxa"/>
            <w:vAlign w:val="bottom"/>
            <w:tcBorders>
              <w:left w:val="single" w:sz="8" w:color="auto"/>
              <w:right w:val="single" w:sz="8" w:color="auto"/>
            </w:tcBorders>
          </w:tcPr>
          <w:p>
            <w:pPr>
              <w:ind w:left="1040"/>
              <w:spacing w:after="0" w:line="135" w:lineRule="exact"/>
              <w:rPr>
                <w:sz w:val="20"/>
                <w:szCs w:val="20"/>
                <w:color w:val="auto"/>
              </w:rPr>
            </w:pPr>
            <w:r>
              <w:rPr>
                <w:rFonts w:ascii="Arial" w:cs="Arial" w:eastAsia="Arial" w:hAnsi="Arial"/>
                <w:sz w:val="14"/>
                <w:szCs w:val="14"/>
                <w:color w:val="auto"/>
              </w:rPr>
              <w:t>employee benefit plan and other ancillary audits, and due diligence services on</w:t>
            </w:r>
          </w:p>
        </w:tc>
        <w:tc>
          <w:tcPr>
            <w:tcW w:w="9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r>
      <w:tr>
        <w:trPr>
          <w:trHeight w:val="171"/>
        </w:trPr>
        <w:tc>
          <w:tcPr>
            <w:tcW w:w="6520" w:type="dxa"/>
            <w:vAlign w:val="bottom"/>
            <w:tcBorders>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potential acquisitions</w:t>
            </w: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r>
      <w:tr>
        <w:trPr>
          <w:trHeight w:val="198"/>
        </w:trPr>
        <w:tc>
          <w:tcPr>
            <w:tcW w:w="6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Tax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w:t>
            </w:r>
          </w:p>
        </w:tc>
      </w:tr>
      <w:tr>
        <w:trPr>
          <w:trHeight w:val="314"/>
        </w:trPr>
        <w:tc>
          <w:tcPr>
            <w:tcW w:w="6520" w:type="dxa"/>
            <w:vAlign w:val="bottom"/>
            <w:tcBorders>
              <w:left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Tax compliance services, tax planning, tax advice</w:t>
            </w:r>
          </w:p>
        </w:tc>
        <w:tc>
          <w:tcPr>
            <w:tcW w:w="9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71"/>
        </w:trPr>
        <w:tc>
          <w:tcPr>
            <w:tcW w:w="6520" w:type="dxa"/>
            <w:vAlign w:val="bottom"/>
            <w:tcBorders>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Primarily related to consulting and compliance services</w:t>
            </w: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r>
      <w:tr>
        <w:trPr>
          <w:trHeight w:val="196"/>
        </w:trPr>
        <w:tc>
          <w:tcPr>
            <w:tcW w:w="6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$17.6</w:t>
            </w:r>
          </w:p>
        </w:tc>
      </w:tr>
    </w:tbl>
    <w:p>
      <w:pPr>
        <w:spacing w:after="0" w:line="180"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Numbers may not add due to rounding</w:t>
      </w: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Management Proposals</w:t>
      </w:r>
    </w:p>
    <w:p>
      <w:pPr>
        <w:spacing w:after="0" w:line="200" w:lineRule="exact"/>
        <w:rPr>
          <w:sz w:val="20"/>
          <w:szCs w:val="20"/>
          <w:color w:val="auto"/>
        </w:rPr>
      </w:pPr>
    </w:p>
    <w:p>
      <w:pPr>
        <w:spacing w:after="0" w:line="302" w:lineRule="exact"/>
        <w:rPr>
          <w:sz w:val="20"/>
          <w:szCs w:val="20"/>
          <w:color w:val="auto"/>
        </w:rPr>
      </w:pPr>
    </w:p>
    <w:p>
      <w:pPr>
        <w:ind w:right="1220"/>
        <w:spacing w:after="0" w:line="288" w:lineRule="auto"/>
        <w:rPr>
          <w:sz w:val="20"/>
          <w:szCs w:val="20"/>
          <w:color w:val="auto"/>
        </w:rPr>
      </w:pPr>
      <w:r>
        <w:rPr>
          <w:rFonts w:ascii="Arial" w:cs="Arial" w:eastAsia="Arial" w:hAnsi="Arial"/>
          <w:sz w:val="25"/>
          <w:szCs w:val="25"/>
          <w:b w:val="1"/>
          <w:bCs w:val="1"/>
          <w:color w:val="1A3A6C"/>
        </w:rPr>
        <w:t>Item 4. Proposal to Amend the Company’s Articles of Incorporation to Eliminate the Classified Board Structure</w:t>
      </w:r>
    </w:p>
    <w:p>
      <w:pPr>
        <w:spacing w:after="0" w:line="17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2020,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approved, the company would promptly make the required filings of the Declassification Amendments with the Secretary of State of Indiana, at which time the Declassification Amendments would become effective. Directors elected prior to the effectiveness of the Declassification Amendments would serve out their remaining three-year term and each Director elected after the Annual Meeting would serve a one-year term, ending at the next annual meeting of shareholders, and thereafter, the company’s classified board structure would be fully eliminated starting with the 2024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Proposal</w:t>
      </w:r>
    </w:p>
    <w:p>
      <w:pPr>
        <w:spacing w:after="0" w:line="1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classified board structure and eliminating the supermajority voting provisions in the company’s articles of incorporation (see Item 5 below). The board</w:t>
      </w:r>
    </w:p>
    <w:p>
      <w:pPr>
        <w:sectPr>
          <w:pgSz w:w="11900" w:h="16838" w:orient="portrait"/>
          <w:cols w:equalWidth="0" w:num="1">
            <w:col w:w="11220"/>
          </w:cols>
          <w:pgMar w:left="320" w:top="911"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P76</w:t>
      </w:r>
    </w:p>
    <w:p>
      <w:pPr>
        <w:sectPr>
          <w:pgSz w:w="11900" w:h="16838" w:orient="portrait"/>
          <w:cols w:equalWidth="0" w:num="1">
            <w:col w:w="11220"/>
          </w:cols>
          <w:pgMar w:left="320" w:top="911" w:right="359" w:bottom="1440" w:gutter="0" w:footer="0" w:header="0"/>
          <w:type w:val="continuous"/>
        </w:sectPr>
      </w:pPr>
    </w:p>
    <w:bookmarkStart w:id="81" w:name="page82"/>
    <w:bookmarkEnd w:id="81"/>
    <w:p>
      <w:pPr>
        <w:ind w:right="20"/>
        <w:spacing w:after="0" w:line="253" w:lineRule="auto"/>
        <w:rPr>
          <w:sz w:val="20"/>
          <w:szCs w:val="20"/>
          <w:color w:val="auto"/>
        </w:rPr>
      </w:pPr>
      <w:r>
        <w:rPr>
          <w:rFonts w:ascii="Arial" w:cs="Arial" w:eastAsia="Arial" w:hAnsi="Arial"/>
          <w:sz w:val="16"/>
          <w:szCs w:val="16"/>
          <w:color w:val="auto"/>
        </w:rPr>
        <w:t>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the previous three years.</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board also considered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enhance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has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After balancing these interests, the board has decided to resubmit this proposal to eliminate the classified board structure.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the Amendments</w:t>
      </w: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the effectiveness of the amendments to the articles of incorporation.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2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affirmative vote of at least 80 percent of the outstanding shares of common stock is needed to approve this proposal. Unless such vote is received, the present classification of the board will continue.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4</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FOR amending the company’s articles of incorporation to eliminate the classified board structure.</w:t>
      </w:r>
    </w:p>
    <w:p>
      <w:pPr>
        <w:spacing w:after="0" w:line="200" w:lineRule="exact"/>
        <w:rPr>
          <w:sz w:val="20"/>
          <w:szCs w:val="20"/>
          <w:color w:val="auto"/>
        </w:rPr>
      </w:pPr>
    </w:p>
    <w:p>
      <w:pPr>
        <w:spacing w:after="0" w:line="279" w:lineRule="exact"/>
        <w:rPr>
          <w:sz w:val="20"/>
          <w:szCs w:val="20"/>
          <w:color w:val="auto"/>
        </w:rPr>
      </w:pPr>
    </w:p>
    <w:p>
      <w:pPr>
        <w:ind w:right="1680"/>
        <w:spacing w:after="0" w:line="288" w:lineRule="auto"/>
        <w:rPr>
          <w:sz w:val="20"/>
          <w:szCs w:val="20"/>
          <w:color w:val="auto"/>
        </w:rPr>
      </w:pPr>
      <w:r>
        <w:rPr>
          <w:rFonts w:ascii="Arial" w:cs="Arial" w:eastAsia="Arial" w:hAnsi="Arial"/>
          <w:sz w:val="25"/>
          <w:szCs w:val="25"/>
          <w:b w:val="1"/>
          <w:bCs w:val="1"/>
          <w:color w:val="1A3A6C"/>
        </w:rPr>
        <w:t>Item 5. Proposal to Amend the Company’s Articles of Incorporation to Eliminate Supermajority Voting Provisions</w:t>
      </w:r>
    </w:p>
    <w:p>
      <w:pPr>
        <w:spacing w:after="0" w:line="179"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The company’s articles of incorporation provide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228" w:lineRule="exact"/>
        <w:rPr>
          <w:sz w:val="20"/>
          <w:szCs w:val="20"/>
          <w:color w:val="auto"/>
        </w:rPr>
      </w:pPr>
    </w:p>
    <w:p>
      <w:pPr>
        <w:ind w:left="620" w:hanging="612"/>
        <w:spacing w:after="0"/>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amending certain provisions of the articles of incorporation that relate to the number and terms of office of directors: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company’s classified board structure (as described under Item 4)</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 provision that the number of directors shall be specified solely by resolution of the board</w:t>
      </w:r>
    </w:p>
    <w:p>
      <w:pPr>
        <w:spacing w:after="0" w:line="248" w:lineRule="exact"/>
        <w:rPr>
          <w:rFonts w:ascii="Arial" w:cs="Arial" w:eastAsia="Arial" w:hAnsi="Arial"/>
          <w:sz w:val="16"/>
          <w:szCs w:val="16"/>
          <w:color w:val="auto"/>
        </w:rPr>
      </w:pPr>
    </w:p>
    <w:p>
      <w:pPr>
        <w:ind w:left="620" w:hanging="612"/>
        <w:spacing w:after="0"/>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removing directors prior to the end of their elected term</w:t>
      </w:r>
    </w:p>
    <w:p>
      <w:pPr>
        <w:spacing w:after="0" w:line="248" w:lineRule="exact"/>
        <w:rPr>
          <w:rFonts w:ascii="Arial" w:cs="Arial" w:eastAsia="Arial" w:hAnsi="Arial"/>
          <w:sz w:val="16"/>
          <w:szCs w:val="16"/>
          <w:color w:val="auto"/>
        </w:rPr>
      </w:pPr>
    </w:p>
    <w:p>
      <w:pPr>
        <w:ind w:left="660" w:right="20" w:hanging="652"/>
        <w:spacing w:after="0" w:line="246" w:lineRule="auto"/>
        <w:tabs>
          <w:tab w:leader="none" w:pos="62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1" w:lineRule="exact"/>
        <w:rPr>
          <w:rFonts w:ascii="Arial" w:cs="Arial" w:eastAsia="Arial" w:hAnsi="Arial"/>
          <w:sz w:val="16"/>
          <w:szCs w:val="16"/>
          <w:color w:val="auto"/>
        </w:rPr>
      </w:pPr>
    </w:p>
    <w:p>
      <w:pPr>
        <w:ind w:left="620" w:hanging="612"/>
        <w:spacing w:after="0"/>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modifying or eliminating any of the above supermajority voting requirements.</w:t>
      </w:r>
    </w:p>
    <w:p>
      <w:pPr>
        <w:spacing w:after="0" w:line="2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after review by its Directors and Corporate Governance Committee, has approved, and recommends that the shareholders approve, amendments to eliminate the supermajority voting requirements. From 2010 through 2012 and again from 2018 through 2020,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ectPr>
          <w:pgSz w:w="11900" w:h="16838" w:orient="portrait"/>
          <w:cols w:equalWidth="0" w:num="1">
            <w:col w:w="11220"/>
          </w:cols>
          <w:pgMar w:left="320" w:top="9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P77</w:t>
      </w:r>
    </w:p>
    <w:p>
      <w:pPr>
        <w:sectPr>
          <w:pgSz w:w="11900" w:h="16838" w:orient="portrait"/>
          <w:cols w:equalWidth="0" w:num="1">
            <w:col w:w="11220"/>
          </w:cols>
          <w:pgMar w:left="320" w:top="911"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color w:val="auto"/>
        </w:rPr>
        <w:t>Background of Proposal</w:t>
      </w:r>
    </w:p>
    <w:p>
      <w:pPr>
        <w:spacing w:after="0" w:line="29"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23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board also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three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After balancing these interests, the board has decided to resubmit this proposal to eliminate the supermajority voting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Amendments</w:t>
      </w:r>
    </w:p>
    <w:p>
      <w:pPr>
        <w:spacing w:after="0" w:line="2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the effectiveness of the amendments to the articles of incorporation.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affirmative vote of at least 80 percent of the outstanding shares of common stock is needed to approve this proposal. Unless such vote is received, the supermajority voting requirements will continue to be in effect.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5</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FOR amending the company's articles of incorporation to eliminate supermajority voting requirements</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Shareholder Proposals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6. Proposal to Disclose Direct and Indirect Lobbying Activities and Expenditures</w:t>
      </w:r>
    </w:p>
    <w:p>
      <w:pPr>
        <w:spacing w:after="0" w:line="28"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Service Employees International Union Pension Plans Master Trust, 1800 Massachusetts Ave NW, Suite 301, Washington DC 20036-1202, beneficial owner of 27,486 shares of our common stock as of November 13, 2020, has submitted the following proposal:</w:t>
      </w:r>
    </w:p>
    <w:p>
      <w:pPr>
        <w:spacing w:after="0" w:line="223"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WHEREAS, we believe in full disclosure of Lilly’s direct and indirect lobbying activities and expenditures to assess whether Lilly’s lobbying is consistent with its expressed goals and in the best interests of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RESOLVED, the shareholders of Lilly request the preparation of a report, updated annually, disclosing:</w:t>
      </w:r>
    </w:p>
    <w:p>
      <w:pPr>
        <w:spacing w:after="0" w:line="235"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Company policy and procedures governing lobbying, both direct and indirect, and grassroots lobbying communications.</w:t>
      </w:r>
    </w:p>
    <w:p>
      <w:pPr>
        <w:spacing w:after="0" w:line="234" w:lineRule="exact"/>
        <w:rPr>
          <w:rFonts w:ascii="Arial" w:cs="Arial" w:eastAsia="Arial" w:hAnsi="Arial"/>
          <w:sz w:val="16"/>
          <w:szCs w:val="16"/>
          <w:color w:val="auto"/>
        </w:rPr>
      </w:pPr>
    </w:p>
    <w:p>
      <w:pPr>
        <w:ind w:left="660" w:right="520" w:hanging="328"/>
        <w:spacing w:after="0" w:line="242"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Payments by Lilly used for (a) direct or indirect lobbying or (b) grassroots lobbying communications, in each case including the amount of the payment and the recipient.</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Lilly’s membership in and payments to any tax-exempt organization that writes and endorses model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P78</w:t>
      </w:r>
    </w:p>
    <w:p>
      <w:pPr>
        <w:sectPr>
          <w:pgSz w:w="11900" w:h="16838" w:orient="portrait"/>
          <w:cols w:equalWidth="0" w:num="1">
            <w:col w:w="11240"/>
          </w:cols>
          <w:pgMar w:left="320" w:top="881" w:right="339" w:bottom="1440" w:gutter="0" w:footer="0" w:header="0"/>
        </w:sectPr>
      </w:pPr>
    </w:p>
    <w:bookmarkStart w:id="83" w:name="page84"/>
    <w:bookmarkEnd w:id="83"/>
    <w:p>
      <w:pPr>
        <w:ind w:left="660" w:hanging="328"/>
        <w:spacing w:after="0"/>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Description of management’s and the Board’s decision-making process and oversight for making payments described in sections 2 and 3 above.</w:t>
      </w:r>
    </w:p>
    <w:p>
      <w:pPr>
        <w:spacing w:after="0" w:line="24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Both "direct and indirect lobbying" and "grassroots lobbying communications" include efforts at the local, state and federal levels.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report shall be presented to the Public Policy and Compliance Committee and posted on Lilly’s website.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13" w:lineRule="exact"/>
        <w:rPr>
          <w:sz w:val="20"/>
          <w:szCs w:val="20"/>
          <w:color w:val="auto"/>
        </w:rPr>
      </w:pPr>
    </w:p>
    <w:p>
      <w:pPr>
        <w:jc w:val="both"/>
        <w:ind w:right="340"/>
        <w:spacing w:after="0" w:line="232" w:lineRule="auto"/>
        <w:rPr>
          <w:sz w:val="20"/>
          <w:szCs w:val="20"/>
          <w:color w:val="auto"/>
        </w:rPr>
      </w:pPr>
      <w:r>
        <w:rPr>
          <w:rFonts w:ascii="Arial" w:cs="Arial" w:eastAsia="Arial" w:hAnsi="Arial"/>
          <w:sz w:val="16"/>
          <w:szCs w:val="16"/>
          <w:color w:val="auto"/>
        </w:rPr>
        <w:t>Lilly spent $82,532,000 from 2010 - 2019 on federal lobbying. This does not include state lobbying in the 48 states where Lilly lobbies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but disclosure is uneven or absent. Lilly also lobbies abroad, spending between €700,000-799,000 on lobbying in Europe for 2019 and attracting scrutiny for "using shifty lobbying tactics to dodge regulations and get medicines approved" in Australia.</w:t>
      </w:r>
      <w:r>
        <w:rPr>
          <w:rFonts w:ascii="Arial" w:cs="Arial" w:eastAsia="Arial" w:hAnsi="Arial"/>
          <w:sz w:val="21"/>
          <w:szCs w:val="21"/>
          <w:color w:val="auto"/>
          <w:vertAlign w:val="superscript"/>
        </w:rPr>
        <w:t>2</w:t>
      </w:r>
    </w:p>
    <w:p>
      <w:pPr>
        <w:spacing w:after="0" w:line="16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Lilly sits on the board of the Pharmaceutical Research and Manufacturers of America (PhRMA) and belongs to the Chamber of Commerce, which together have spent over $2.0 billion on lobbying since 1998. Lilly does not disclose its payments to trade associations and social welfare organizations, or the amounts used for lobbying, including grassroots. Grassroots lobbying does not get reported at the federal level under the Lobbying Disclosure Act, and disclosure is uneven or absent in states.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are concerned Lilly’s payments to third party groups are potentially being used for undisclosed grassroots lobbying. For example, PhRMA, which brought in $459 million in revenue for 2018, has given millions to "dark money" social welfare groups which then "advocated policies favored by drugmakers.</w:t>
      </w:r>
      <w:r>
        <w:rPr>
          <w:rFonts w:ascii="Arial" w:cs="Arial" w:eastAsia="Arial" w:hAnsi="Arial"/>
          <w:sz w:val="21"/>
          <w:szCs w:val="21"/>
          <w:color w:val="auto"/>
          <w:vertAlign w:val="superscript"/>
        </w:rPr>
        <w:t>3</w:t>
      </w:r>
    </w:p>
    <w:p>
      <w:pPr>
        <w:spacing w:after="0" w:line="146" w:lineRule="exact"/>
        <w:rPr>
          <w:sz w:val="20"/>
          <w:szCs w:val="20"/>
          <w:color w:val="auto"/>
        </w:rPr>
      </w:pPr>
    </w:p>
    <w:p>
      <w:pPr>
        <w:ind w:right="40"/>
        <w:spacing w:after="0" w:line="219" w:lineRule="auto"/>
        <w:rPr>
          <w:sz w:val="20"/>
          <w:szCs w:val="20"/>
          <w:color w:val="auto"/>
        </w:rPr>
      </w:pPr>
      <w:r>
        <w:rPr>
          <w:rFonts w:ascii="Arial" w:cs="Arial" w:eastAsia="Arial" w:hAnsi="Arial"/>
          <w:sz w:val="16"/>
          <w:szCs w:val="16"/>
          <w:color w:val="auto"/>
        </w:rPr>
        <w:t>We are also concerned Lilly’s lack of disclosure presents reputational risk when its lobbying contradicts company public positions. For example, Lilly states it works to makes medicine more affordable, yet funds PhRMA’s opposition to lower drug price initiatives.</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Lilly publicly supported COVID-19 efforts, but the Chamber directly lobbied against using the Defense Production Act for production of personal protective equipment for workers.</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And Lilly’s ALEC membership has drawn negative scrutiny.</w:t>
      </w:r>
      <w:r>
        <w:rPr>
          <w:rFonts w:ascii="Arial" w:cs="Arial" w:eastAsia="Arial" w:hAnsi="Arial"/>
          <w:sz w:val="21"/>
          <w:szCs w:val="21"/>
          <w:color w:val="auto"/>
          <w:vertAlign w:val="superscript"/>
        </w:rPr>
        <w:t>6</w:t>
      </w:r>
    </w:p>
    <w:p>
      <w:pPr>
        <w:spacing w:after="0" w:line="141" w:lineRule="exact"/>
        <w:rPr>
          <w:sz w:val="20"/>
          <w:szCs w:val="20"/>
          <w:color w:val="auto"/>
        </w:rPr>
      </w:pPr>
    </w:p>
    <w:p>
      <w:pPr>
        <w:ind w:right="1040"/>
        <w:spacing w:after="0" w:line="247" w:lineRule="auto"/>
        <w:rPr>
          <w:sz w:val="20"/>
          <w:szCs w:val="20"/>
          <w:color w:val="auto"/>
        </w:rPr>
      </w:pPr>
      <w:r>
        <w:rPr>
          <w:rFonts w:ascii="Arial" w:cs="Arial" w:eastAsia="Arial" w:hAnsi="Arial"/>
          <w:sz w:val="20"/>
          <w:szCs w:val="20"/>
          <w:b w:val="1"/>
          <w:bCs w:val="1"/>
          <w:color w:val="auto"/>
        </w:rPr>
        <w:t>Statement in Opposition to the Shareholder Proposal to Disclose Direct and Indirect Lobbying Activities and Expenditures</w:t>
      </w:r>
    </w:p>
    <w:p>
      <w:pPr>
        <w:spacing w:after="0" w:line="2" w:lineRule="exact"/>
        <w:rPr>
          <w:sz w:val="20"/>
          <w:szCs w:val="20"/>
          <w:color w:val="auto"/>
        </w:rPr>
      </w:pPr>
    </w:p>
    <w:p>
      <w:pPr>
        <w:ind w:right="380"/>
        <w:spacing w:after="0" w:line="242" w:lineRule="auto"/>
        <w:rPr>
          <w:sz w:val="20"/>
          <w:szCs w:val="20"/>
          <w:color w:val="auto"/>
        </w:rPr>
      </w:pPr>
      <w:r>
        <w:rPr>
          <w:rFonts w:ascii="Arial" w:cs="Arial" w:eastAsia="Arial" w:hAnsi="Arial"/>
          <w:sz w:val="16"/>
          <w:szCs w:val="16"/>
          <w:color w:val="auto"/>
        </w:rPr>
        <w:t>The board, after review by its Directors and Corporate Governance Committee and Ethics and Compliance Committee, recommends a vote against this proposal.</w:t>
      </w:r>
    </w:p>
    <w:p>
      <w:pPr>
        <w:spacing w:after="0" w:line="23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Lilly already publishes a substantial amount of the information requested by the shareholder. Requiring us to prepare a separate report with this information would place an undue administrative burden on the company and would not provide meaningful additional information to shareholders, given our transparency with respect to lobbying activities and the governance and risk mitigation procedures we have in place regarding such activities. Moreover, Lilly’s shareholders have decidedly rejected the substantially same proposal submitted at each of our last four annual meetings.</w:t>
      </w:r>
    </w:p>
    <w:p>
      <w:pPr>
        <w:spacing w:after="0" w:line="229"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Since 2005, the company has published the following information, which is updated annually on our website (lilly.com/policies-reports/public-policy/transparency) for both direct company contributions and employee political action committee (PAC) contributions to support candidates for political office, political parties, officials, or committees in the U.S.:</w:t>
      </w:r>
    </w:p>
    <w:p>
      <w:pPr>
        <w:spacing w:after="0" w:line="206" w:lineRule="exact"/>
        <w:rPr>
          <w:sz w:val="20"/>
          <w:szCs w:val="20"/>
          <w:color w:val="auto"/>
        </w:rPr>
      </w:pPr>
    </w:p>
    <w:p>
      <w:pPr>
        <w:ind w:left="620" w:hanging="288"/>
        <w:spacing w:after="0"/>
        <w:tabs>
          <w:tab w:leader="none" w:pos="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policies and procedures for company and PAC contributions;</w:t>
      </w:r>
    </w:p>
    <w:p>
      <w:pPr>
        <w:ind w:left="660" w:right="420" w:hanging="328"/>
        <w:spacing w:after="0" w:line="228" w:lineRule="auto"/>
        <w:tabs>
          <w:tab w:leader="none" w:pos="62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contributions to candidates, including information about the candidate's office (for example, state, local, or federal; House or Senate) and party affiliation; and</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contributions to political organizations and Section 527 organizations reported by state.</w:t>
      </w:r>
    </w:p>
    <w:p>
      <w:pPr>
        <w:spacing w:after="0" w:line="24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Moreover, detailed corporate contributions, PAC contribution data, and the company’s direct lobbying expenses are available to the public on the Federal Election Committee website (fec.gov/data/) and through individual state agencies. The company’s direct lobbying expenses are also available to the public on the Lobbying Disclosure page of the U.S. House website (disclosures.house.gov/ld/ldsearch) and through individual state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714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hanging="112"/>
        <w:spacing w:after="0"/>
        <w:tabs>
          <w:tab w:leader="none" w:pos="120" w:val="left"/>
        </w:tabs>
        <w:numPr>
          <w:ilvl w:val="0"/>
          <w:numId w:val="145"/>
        </w:numPr>
        <w:rPr>
          <w:rFonts w:ascii="Arial" w:cs="Arial" w:eastAsia="Arial" w:hAnsi="Arial"/>
          <w:sz w:val="21"/>
          <w:szCs w:val="21"/>
          <w:color w:val="auto"/>
          <w:vertAlign w:val="superscript"/>
        </w:rPr>
      </w:pPr>
      <w:r>
        <w:rPr>
          <w:rFonts w:ascii="Arial" w:cs="Arial" w:eastAsia="Arial" w:hAnsi="Arial"/>
          <w:sz w:val="14"/>
          <w:szCs w:val="14"/>
          <w:color w:val="auto"/>
        </w:rPr>
        <w:t>https://publicintegrity.org/state-politics/amid-federal-gridlock-lobbying-rises-in-the-states/</w:t>
      </w:r>
    </w:p>
    <w:p>
      <w:pPr>
        <w:spacing w:after="0" w:line="3" w:lineRule="exact"/>
        <w:rPr>
          <w:rFonts w:ascii="Arial" w:cs="Arial" w:eastAsia="Arial" w:hAnsi="Arial"/>
          <w:sz w:val="21"/>
          <w:szCs w:val="21"/>
          <w:color w:val="auto"/>
          <w:vertAlign w:val="superscript"/>
        </w:rPr>
      </w:pPr>
    </w:p>
    <w:p>
      <w:pPr>
        <w:spacing w:after="0" w:line="183"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2</w:t>
      </w:r>
      <w:r>
        <w:rPr>
          <w:rFonts w:ascii="Arial" w:cs="Arial" w:eastAsia="Arial" w:hAnsi="Arial"/>
          <w:sz w:val="14"/>
          <w:szCs w:val="14"/>
          <w:color w:val="auto"/>
        </w:rPr>
        <w:t xml:space="preserve"> https://www.aap.com.au/hunt-calls-out-big-pharmas-dodgy-lobbying/.</w:t>
      </w:r>
    </w:p>
    <w:p>
      <w:pPr>
        <w:ind w:right="4340"/>
        <w:spacing w:after="0" w:line="209"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https://www.opensecrets.org/news/2019/11/big-pharma-bankrolled-conservative-groups-tax-returns-show/. </w:t>
      </w:r>
      <w:r>
        <w:rPr>
          <w:rFonts w:ascii="Arial" w:cs="Arial" w:eastAsia="Arial" w:hAnsi="Arial"/>
          <w:sz w:val="21"/>
          <w:szCs w:val="21"/>
          <w:color w:val="auto"/>
          <w:vertAlign w:val="superscript"/>
        </w:rPr>
        <w:t>4</w:t>
      </w:r>
      <w:r>
        <w:rPr>
          <w:rFonts w:ascii="Arial" w:cs="Arial" w:eastAsia="Arial" w:hAnsi="Arial"/>
          <w:sz w:val="14"/>
          <w:szCs w:val="14"/>
          <w:color w:val="auto"/>
        </w:rPr>
        <w:t xml:space="preserve"> https://www.cnn.com/2019/01/23/health/phrma-lobbying-costs-bn/index.html</w:t>
      </w:r>
    </w:p>
    <w:p>
      <w:pPr>
        <w:spacing w:after="0"/>
        <w:rPr>
          <w:rFonts w:ascii="Arial" w:cs="Arial" w:eastAsia="Arial" w:hAnsi="Arial"/>
          <w:sz w:val="21"/>
          <w:szCs w:val="21"/>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https://www.nytimes.com/2020/03/22/us/politics/coronavirus-trump-defense-production-act.html.</w:t>
      </w:r>
    </w:p>
    <w:p>
      <w:pPr>
        <w:spacing w:after="0" w:line="1"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6</w:t>
      </w:r>
      <w:r>
        <w:rPr>
          <w:rFonts w:ascii="Arial" w:cs="Arial" w:eastAsia="Arial" w:hAnsi="Arial"/>
          <w:sz w:val="14"/>
          <w:szCs w:val="14"/>
          <w:color w:val="auto"/>
        </w:rPr>
        <w:t xml:space="preserve"> https://www.commoncause.org/wp-content/uploads/2020/05/Eli-Lilly-ALEC-COVID-letter-FINAL.pdf.</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P79</w:t>
      </w:r>
    </w:p>
    <w:p>
      <w:pPr>
        <w:sectPr>
          <w:pgSz w:w="11900" w:h="16838" w:orient="portrait"/>
          <w:cols w:equalWidth="0" w:num="1">
            <w:col w:w="11220"/>
          </w:cols>
          <w:pgMar w:left="320" w:top="897" w:right="359" w:bottom="1440" w:gutter="0" w:footer="0" w:header="0"/>
        </w:sectPr>
      </w:pPr>
    </w:p>
    <w:bookmarkStart w:id="84" w:name="page85"/>
    <w:bookmarkEnd w:id="84"/>
    <w:p>
      <w:pPr>
        <w:ind w:right="40"/>
        <w:spacing w:after="0" w:line="248" w:lineRule="auto"/>
        <w:rPr>
          <w:sz w:val="20"/>
          <w:szCs w:val="20"/>
          <w:color w:val="auto"/>
        </w:rPr>
      </w:pPr>
      <w:r>
        <w:rPr>
          <w:rFonts w:ascii="Arial" w:cs="Arial" w:eastAsia="Arial" w:hAnsi="Arial"/>
          <w:sz w:val="16"/>
          <w:szCs w:val="16"/>
          <w:color w:val="auto"/>
        </w:rPr>
        <w:t>In addition to direct political contributions, Lilly maintains memberships in certain 501(c)(6)s-trade associations that report lobbying activity to the U.S. government. We maintain memberships in trade associations and other tax-exempt organizations specific to business and pharmaceutical industry interests, such as PhRMA, BIO (Biotechnology Association), and the National Association of Manufacturers. We support organizations that champion public policies that contribute to pharmaceutical innovation, healthy patients, and a healthy business climate. Information relating to Lilly’s memberships in trade associations to which we contribute $50,000 per year or more, and any such organizations where Lilly has a board seat can be found on our website (lilly.com/policies-reports/public-policy/transparency). These tax-exempt organizations are also required to disclose their lobbying expenditures under the Lobbying Act of 1995, under which they report their lobbying expenditures to the U.S. Senate. Because the company does not direct the lobbying of trade associations or other groups, attempting to quantify indirect lobbying would be difficult to estimate and potentially misleading to shareholders.</w:t>
      </w:r>
    </w:p>
    <w:p>
      <w:pPr>
        <w:spacing w:after="0" w:line="23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board also exercises oversight of Lilly’s political expenditures and lobbying activities to ensure that we fulfill our commitment to stewardship of corporate funds and risk minimization with respect to such activities.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do not believe any potential value provided by the requested additional disclosures merits the resources required to provide the report requested by the proposal; for these reasons, we believe that the proposal is not in the best interests of the company and its shareholders.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6</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AGAINST this proposal.</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7. Proposal to Amend the Bylaws to Require an Independent Board Chair</w:t>
      </w:r>
    </w:p>
    <w:p>
      <w:pPr>
        <w:spacing w:after="0" w:line="271"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IBVM Foundation of Canada, Inc., 70 St. Mary Street Toronto, ON M5S 1J3 CANADA, beneficial owner of 400 shares of our common stock as of November 2, 2020, has submitted the following proposal:</w:t>
      </w:r>
    </w:p>
    <w:p>
      <w:pPr>
        <w:spacing w:after="0" w:line="223"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RESOLVED, Eli Lilly ("Lilly" or the "Company") shareholders request the Board of Directors adopt as policy (the "Policy"), and amend the bylaws as necessary, to require henceforth that the Chair of the Board of Directors, whenever possible, be an independent member of the board. The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CEO transition.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16"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In 2018, the Minnesota Attorney General sued three makers of synthetic insulin, including Lilly, alleging that the companies’ publication of "deceptive and misleading" list prices for insulin violates federal and state law. According to the complaint, substantial list price increases for insulin have imposed financial burdens on patients because list prices are used to determine the amount some patients and institutional purchasers must pay. Congressional hearings have been held on the rising cost of insulin, and media attention continues to focus on the effects of high insulin prices, including patient deaths.</w:t>
      </w:r>
    </w:p>
    <w:p>
      <w:pPr>
        <w:spacing w:after="0" w:line="22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The risk of lawsuits, sustained public controversy and regulatory intervention, whether ultimately found to be justified or not, are strong arguments for the need for continuous, effective and unconflicted board oversight of corporate management. The board is responsible for this oversight, but conflicts of interest may arise when one person holds both the Chair and CEO positions. In our view, shareholders are best served by an independent board Chair who can provide a balance of power between the CEO and the board. We believe that Lilly’s board should adopt best practice governance policies, including having an independent board chair.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believe:</w:t>
      </w:r>
    </w:p>
    <w:p>
      <w:pPr>
        <w:ind w:left="620" w:hanging="288"/>
        <w:spacing w:after="0" w:line="228" w:lineRule="auto"/>
        <w:tabs>
          <w:tab w:leader="none" w:pos="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role of the CEO and management is to run the company;</w:t>
      </w:r>
    </w:p>
    <w:p>
      <w:pPr>
        <w:ind w:left="620" w:hanging="288"/>
        <w:spacing w:after="0" w:line="228" w:lineRule="auto"/>
        <w:tabs>
          <w:tab w:leader="none" w:pos="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role of the board is to provide independent oversight of management and the CEO;</w:t>
      </w:r>
    </w:p>
    <w:p>
      <w:pPr>
        <w:ind w:left="620" w:hanging="288"/>
        <w:spacing w:after="0"/>
        <w:tabs>
          <w:tab w:leader="none" w:pos="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There is an inherent conflict of interest when the same person occupies both the role of CEO and Chair.</w:t>
      </w:r>
    </w:p>
    <w:p>
      <w:pPr>
        <w:spacing w:after="0" w:line="235"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According to PWC’s 2019 survey of over 700 directors, 57% of directors surveyed who sit on a board with a combined Chair/CEO say it is difficult to voice dissent—a 37% higher result than on boards with an independent Chair.</w:t>
      </w:r>
    </w:p>
    <w:p>
      <w:pPr>
        <w:spacing w:after="0" w:line="223" w:lineRule="exact"/>
        <w:rPr>
          <w:sz w:val="20"/>
          <w:szCs w:val="20"/>
          <w:color w:val="auto"/>
        </w:rPr>
      </w:pPr>
    </w:p>
    <w:p>
      <w:pPr>
        <w:jc w:val="both"/>
        <w:ind w:right="580"/>
        <w:spacing w:after="0" w:line="237" w:lineRule="auto"/>
        <w:rPr>
          <w:sz w:val="20"/>
          <w:szCs w:val="20"/>
          <w:color w:val="auto"/>
        </w:rPr>
      </w:pPr>
      <w:r>
        <w:rPr>
          <w:rFonts w:ascii="Arial" w:cs="Arial" w:eastAsia="Arial" w:hAnsi="Arial"/>
          <w:sz w:val="16"/>
          <w:szCs w:val="16"/>
          <w:color w:val="auto"/>
        </w:rPr>
        <w:t>33% of companies in the S&amp;P 500 have an independent Chair. Numerous institutional investors recommend such a move. For example, California’s Retirement System CalPERS’ Principles &amp; Guidelines encourage separation, even with a lead director in place. The Council of Institutional Investors’ corporate governance policies favor independent board chairs.</w:t>
      </w:r>
    </w:p>
    <w:p>
      <w:pPr>
        <w:spacing w:after="0" w:line="224"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In order to ensure that our board can provide rigorous oversight for our Company and management with greater independence and accountability, we urge a vote FOR this shareholder proposal.</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P80</w:t>
      </w:r>
    </w:p>
    <w:p>
      <w:pPr>
        <w:sectPr>
          <w:pgSz w:w="11900" w:h="16838" w:orient="portrait"/>
          <w:cols w:equalWidth="0" w:num="1">
            <w:col w:w="11240"/>
          </w:cols>
          <w:pgMar w:left="320" w:top="91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color w:val="auto"/>
        </w:rPr>
        <w:t>Statement in Opposition to the Shareholder Proposal to Amend the Bylaws to Require an Independent Board Chair</w:t>
      </w:r>
    </w:p>
    <w:p>
      <w:pPr>
        <w:spacing w:after="0" w:line="2"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The board, after review by its Directors and Corporate Governance Committee and its Ethics and Compliance Committee, recommends a vote against this proposal.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If implemented, the proposal would lock in a mandatory board leadership structure that eliminates our board’s flexibility to evaluate and adopt what it believes to be the most effective leadership structure for Lilly under the relevant facts and circumstances at any given point in time. Unlike the proponent, the board believes, whether in the present or after the next CEO transition, that there is no "one-size-fits-all" approach to board leadership and recognizes that two of its key responsibilities are to evaluate and implement the leadership structure best suited to achieve the company’s objectives and to promote the long-term interests of its shareholders with due regard for all our stakeholders. In 2020, the board continued its ongoing assessment of its leadership structure in the context of our business, long-term strategy, and industry environment and developments in corporate governance, and believes that a combined chairman and CEO, coupled with a strong lead independent director position, continues to be in the best interest of the company and our shareholders.</w:t>
      </w:r>
    </w:p>
    <w:p>
      <w:pPr>
        <w:spacing w:after="0" w:line="33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color w:val="auto"/>
        </w:rPr>
        <w:t>Lilly’s board leadership structure is consistent with market practice and our flexible approach was strongly endorsed by Lilly’s shareholders last year.</w:t>
      </w:r>
    </w:p>
    <w:p>
      <w:pPr>
        <w:spacing w:after="0" w:line="203" w:lineRule="exact"/>
        <w:rPr>
          <w:sz w:val="20"/>
          <w:szCs w:val="20"/>
          <w:color w:val="auto"/>
        </w:rPr>
      </w:pPr>
    </w:p>
    <w:p>
      <w:pPr>
        <w:ind w:right="20"/>
        <w:spacing w:after="0" w:line="201" w:lineRule="auto"/>
        <w:rPr>
          <w:sz w:val="20"/>
          <w:szCs w:val="20"/>
          <w:color w:val="auto"/>
        </w:rPr>
      </w:pPr>
      <w:r>
        <w:rPr>
          <w:rFonts w:ascii="Arial" w:cs="Arial" w:eastAsia="Arial" w:hAnsi="Arial"/>
          <w:sz w:val="16"/>
          <w:szCs w:val="16"/>
          <w:color w:val="auto"/>
        </w:rPr>
        <w:t xml:space="preserve">There is no singular approach to independent board leadership across S&amp;P 500 companies. As the proponent indicates, only 36 percent of the S&amp;P 500 have independent chairs. </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Notably, like Lilly, as of December 31, 2020, 57 percent of S&amp;P 500 companies instead have lead independent directors,</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and as of December 2, 2020, 61 of the S&amp;P 100 companies</w:t>
      </w:r>
      <w:r>
        <w:rPr>
          <w:rFonts w:ascii="Arial" w:cs="Arial" w:eastAsia="Arial" w:hAnsi="Arial"/>
          <w:sz w:val="21"/>
          <w:szCs w:val="21"/>
          <w:color w:val="auto"/>
          <w:vertAlign w:val="superscript"/>
        </w:rPr>
        <w:t>9</w:t>
      </w:r>
      <w:r>
        <w:rPr>
          <w:rFonts w:ascii="Arial" w:cs="Arial" w:eastAsia="Arial" w:hAnsi="Arial"/>
          <w:sz w:val="16"/>
          <w:szCs w:val="16"/>
          <w:color w:val="auto"/>
        </w:rPr>
        <w:t xml:space="preserve"> and seven of the eight U.S.-incorporated companies from our peer group (see P47 for a list of our peer group companies)</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have a combined board chair and CEO. In addition, Lilly’s shareholders decidedly rejected a similar proposal seeking to mandate an independent board chair at our 2020 annual meeting of shareholders, with approximately two-thirds of the votes cast against the proposal, thus endorsing our flexible approach.</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Lilly’s current board leadership structure and corporate governance practices provide effective, independent oversight of management.</w:t>
      </w:r>
    </w:p>
    <w:p>
      <w:pPr>
        <w:spacing w:after="0" w:line="255" w:lineRule="exact"/>
        <w:rPr>
          <w:sz w:val="20"/>
          <w:szCs w:val="20"/>
          <w:color w:val="auto"/>
        </w:rPr>
      </w:pPr>
    </w:p>
    <w:p>
      <w:pPr>
        <w:ind w:right="220"/>
        <w:spacing w:after="0" w:line="233" w:lineRule="auto"/>
        <w:rPr>
          <w:sz w:val="20"/>
          <w:szCs w:val="20"/>
          <w:color w:val="auto"/>
        </w:rPr>
      </w:pPr>
      <w:r>
        <w:rPr>
          <w:rFonts w:ascii="Arial" w:cs="Arial" w:eastAsia="Arial" w:hAnsi="Arial"/>
          <w:sz w:val="16"/>
          <w:szCs w:val="16"/>
          <w:color w:val="auto"/>
        </w:rPr>
        <w:t>Lilly has a strong independent board that operates under sound principles of corporate governance. (See P7–P8 and P32–P35 for a description of the board’s governance principles.) Although the chairman and CEO roles are combined, we ensure independent oversight of the company through a counterbalancing governance structure, which we have had since 2006 through either a lead independent director or presiding director. Further bolstering independent oversight, each of our current board members other than the CEO is independent (14 out of 15 directors), and all standing board committees are made up solely of independent directors and led by independent committee chairs.</w:t>
      </w:r>
    </w:p>
    <w:p>
      <w:pPr>
        <w:spacing w:after="0" w:line="227"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Lilly’s lead independent director is appointed annually by the board, which conducts an assessment of his or her performance as part of the annual board assessment process. Our strong lead independent director is empowered with clearly defined responsibilities, including:</w:t>
      </w:r>
    </w:p>
    <w:p>
      <w:pPr>
        <w:spacing w:after="0" w:line="214" w:lineRule="exact"/>
        <w:rPr>
          <w:sz w:val="20"/>
          <w:szCs w:val="20"/>
          <w:color w:val="auto"/>
        </w:rPr>
      </w:pPr>
    </w:p>
    <w:p>
      <w:pPr>
        <w:ind w:left="620" w:hanging="288"/>
        <w:spacing w:after="0"/>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leading the board’s processes for selecting the CEO;</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overseeing the independent directors’ annual performance evaluation of the chairman and CEO;</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serving as a liaison between the chairman and the independent directors;</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presiding at all meetings of the board at which the chairman is not present;</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presiding at executive sessions of the independent directors;</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calling meetings of the independent directors, as appropriate;</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approving meeting agendas and schedules and reviewing information to be provided to the board;</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being available for consultation and direct communication with shareholders, as appropriate;</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together with the chairman and the chair of the Directors and Corporate Governance Committee, conducting the annual board assessment process;</w:t>
      </w:r>
    </w:p>
    <w:p>
      <w:pPr>
        <w:ind w:left="620" w:hanging="288"/>
        <w:spacing w:after="0" w:line="228" w:lineRule="auto"/>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together with the Directors and Corporate Governance Committee, leading the director succession planning process; and</w:t>
      </w:r>
    </w:p>
    <w:p>
      <w:pPr>
        <w:ind w:left="620" w:hanging="288"/>
        <w:spacing w:after="0"/>
        <w:tabs>
          <w:tab w:leader="none" w:pos="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retaining advisors for the independent directors, as appropriate.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Furthermore, the board has instituted a number of governance best practices to ensure effective independent oversight, including:</w:t>
      </w:r>
    </w:p>
    <w:p>
      <w:pPr>
        <w:spacing w:after="0" w:line="226" w:lineRule="exact"/>
        <w:rPr>
          <w:sz w:val="20"/>
          <w:szCs w:val="20"/>
          <w:color w:val="auto"/>
        </w:rPr>
      </w:pPr>
    </w:p>
    <w:p>
      <w:pPr>
        <w:ind w:left="620" w:hanging="288"/>
        <w:spacing w:after="0"/>
        <w:tabs>
          <w:tab w:leader="none" w:pos="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executive sessions of the independent directors held after every regular board meeting that are presided over by our lead independent director;</w:t>
      </w:r>
    </w:p>
    <w:p>
      <w:pPr>
        <w:ind w:left="660" w:right="340" w:hanging="328"/>
        <w:spacing w:after="0" w:line="242" w:lineRule="auto"/>
        <w:tabs>
          <w:tab w:leader="none" w:pos="62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 annual performance evaluation of the chairman and CEO conducted by the independent directors, the results of which are reviewed with the CEO and considered by the Compensation Committee and independent directors in establishing the CEO’s compensation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714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1" w:lineRule="exact"/>
        <w:rPr>
          <w:sz w:val="20"/>
          <w:szCs w:val="20"/>
          <w:color w:val="auto"/>
        </w:rPr>
      </w:pPr>
    </w:p>
    <w:p>
      <w:pPr>
        <w:ind w:left="120" w:hanging="112"/>
        <w:spacing w:after="0"/>
        <w:tabs>
          <w:tab w:leader="none" w:pos="120" w:val="left"/>
        </w:tabs>
        <w:numPr>
          <w:ilvl w:val="0"/>
          <w:numId w:val="149"/>
        </w:numPr>
        <w:rPr>
          <w:rFonts w:ascii="Arial" w:cs="Arial" w:eastAsia="Arial" w:hAnsi="Arial"/>
          <w:sz w:val="21"/>
          <w:szCs w:val="21"/>
          <w:color w:val="auto"/>
          <w:vertAlign w:val="superscript"/>
        </w:rPr>
      </w:pPr>
      <w:r>
        <w:rPr>
          <w:rFonts w:ascii="Arial" w:cs="Arial" w:eastAsia="Arial" w:hAnsi="Arial"/>
          <w:sz w:val="14"/>
          <w:szCs w:val="14"/>
          <w:color w:val="auto"/>
        </w:rPr>
        <w:t>Source: EY Center for Board Matters, Corporate Governance by the Numbers. December 31, 2020.</w:t>
      </w:r>
    </w:p>
    <w:p>
      <w:pPr>
        <w:spacing w:after="0" w:line="3" w:lineRule="exact"/>
        <w:rPr>
          <w:rFonts w:ascii="Arial" w:cs="Arial" w:eastAsia="Arial" w:hAnsi="Arial"/>
          <w:sz w:val="21"/>
          <w:szCs w:val="21"/>
          <w:color w:val="auto"/>
          <w:vertAlign w:val="superscript"/>
        </w:rPr>
      </w:pP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8</w:t>
      </w:r>
      <w:r>
        <w:rPr>
          <w:rFonts w:ascii="Arial" w:cs="Arial" w:eastAsia="Arial" w:hAnsi="Arial"/>
          <w:sz w:val="14"/>
          <w:szCs w:val="14"/>
          <w:color w:val="auto"/>
        </w:rPr>
        <w:t xml:space="preserve"> Id.</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9</w:t>
      </w:r>
      <w:r>
        <w:rPr>
          <w:rFonts w:ascii="Arial" w:cs="Arial" w:eastAsia="Arial" w:hAnsi="Arial"/>
          <w:sz w:val="14"/>
          <w:szCs w:val="14"/>
          <w:color w:val="auto"/>
        </w:rPr>
        <w:t xml:space="preserve"> Source: ISS Corporate Solutions.</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10</w:t>
      </w:r>
      <w:r>
        <w:rPr>
          <w:rFonts w:ascii="Arial" w:cs="Arial" w:eastAsia="Arial" w:hAnsi="Arial"/>
          <w:sz w:val="14"/>
          <w:szCs w:val="14"/>
          <w:color w:val="auto"/>
        </w:rPr>
        <w:t xml:space="preserve"> Biogen Inc. has an independent board chair</w:t>
      </w:r>
      <w:r>
        <w:rPr>
          <w:rFonts w:ascii="Arial" w:cs="Arial" w:eastAsia="Arial" w:hAnsi="Arial"/>
          <w:sz w:val="16"/>
          <w:szCs w:val="16"/>
          <w:color w:val="auto"/>
        </w:rPr>
        <w: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P81</w:t>
      </w:r>
    </w:p>
    <w:p>
      <w:pPr>
        <w:sectPr>
          <w:pgSz w:w="11900" w:h="16838" w:orient="portrait"/>
          <w:cols w:equalWidth="0" w:num="1">
            <w:col w:w="11220"/>
          </w:cols>
          <w:pgMar w:left="320" w:top="881" w:right="359" w:bottom="1440" w:gutter="0" w:footer="0" w:header="0"/>
        </w:sectPr>
      </w:pPr>
    </w:p>
    <w:bookmarkStart w:id="86" w:name="page87"/>
    <w:bookmarkEnd w:id="86"/>
    <w:p>
      <w:pPr>
        <w:ind w:left="620" w:hanging="288"/>
        <w:spacing w:after="0"/>
        <w:tabs>
          <w:tab w:leader="none" w:pos="6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independent director access to management whenever deemed necessary by the independent directors; and</w:t>
      </w:r>
    </w:p>
    <w:p>
      <w:pPr>
        <w:ind w:left="660" w:right="160" w:hanging="328"/>
        <w:spacing w:after="0" w:line="242" w:lineRule="auto"/>
        <w:tabs>
          <w:tab w:leader="none" w:pos="62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ability of independent directors and all committees to retain their own independent advisors, at the company’s expense, whenever they deem it desirable to do so.</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color w:val="auto"/>
        </w:rPr>
        <w:t>Lilly’s current governance structure provides effective, independent oversight over key matters that are important to our stakeholders, including drug pricing and access.</w:t>
      </w:r>
    </w:p>
    <w:p>
      <w:pPr>
        <w:spacing w:after="0" w:line="21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independent directors are deeply engaged in key matters important to Lilly and our stakeholders, including the oversight over the company’s approach to drug pricing and access. Guided by this active oversight, Lilly already has taken numerous steps to address drug pricing and access concerns. For example, Lilly introduced two additional lower-priced versions of branded insulin in January 2020 and added the Lilly Insulin Value Program to Lilly’s comprehensive suite of insulin affordability solutions in September 2020, which enables customers with commercial insurance or no insurance to purchase their monthly prescription of most Lilly insulins for $35. These examples, among others, demonstrate Lilly’s commitment to providing effective oversight over drug pricing and access.</w:t>
      </w:r>
    </w:p>
    <w:p>
      <w:pPr>
        <w:spacing w:after="0" w:line="198"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b w:val="1"/>
          <w:bCs w:val="1"/>
          <w:color w:val="auto"/>
        </w:rPr>
        <w:t>Our board of directors believes that our shareholders are best served by preserving the flexibility to determine the appropriate leadership structure for the company in light of the circumstances at the relevant time.</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believe the proposal would unnecessarily restrict the board’s ability to exercise its fiduciary duty to determine the board leadership structure most appropriate for the company given the specific circumstances and leadership needs at any particular point in time. The company’s robust governance framework ensures that board leadership is balanced with independent participation given the extensive involvement of the lead independent director and his oversight. Our independent directors also collectively bring to the board vast leadership experience, industry expertise, and other critical skills, and individually have demonstrated the willingness to think and act independently on behalf of shareholders. Therefore, adopting a proposal that would limit the board’s ability to exercise decision making on the appropriate leadership is not in shareholders’ best interests.</w:t>
      </w:r>
    </w:p>
    <w:p>
      <w:pPr>
        <w:spacing w:after="0" w:line="224"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We believe independence is essential to strong corporate governance. The combination of a chairman who is also the CEO and a strong lead independent director achieves the delivery of multiple balanced inputs to the board. Having one individual serve as both chairman and CEO provides the board with deep insights to drive long-term strategy and execution and allows consistent communication throughout the company. This is vital to our innovative research and development business with prolonged product development cycles. Further, the lead independent director, currently a sitting CEO, drives an outside analysis of company decisions and performance and leads our independent directors in their important oversight function. This leadership structure has served our shareholders well.</w:t>
      </w:r>
    </w:p>
    <w:p>
      <w:pPr>
        <w:spacing w:after="0" w:line="23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Lilly’s independent directors have determined that Mr. Ricks is eminently qualified to serve as both chairman and CEO, and the board believes that having him fill that combined role, complemented by Mr. Luciano, a strong lead independent director, strikes an appropriate balance between consistent leadership and independent and effective oversight that is optimal for the company and our shareholders. For additional information on the particular qualities of Mr. Ricks and why he is best suited to serve as chairman at this time, as well as information on the leadership provided by Mr. Luciano, the lead independent director, please see "Governance—Highlights of the Company’s Corporate Governance—Leadership Structure; Oversight of Chairman, CEO, and Senior Management" on P34–P35.</w:t>
      </w:r>
    </w:p>
    <w:p>
      <w:pPr>
        <w:spacing w:after="0" w:line="232"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For these reasons, we believe a policy requiring an independent board chair is not necessary and not in the best interests of the company and its shareholders.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7</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AGAINST this proposal.</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8. Proposal to Implement a Bonus Deferral Policy</w:t>
      </w:r>
    </w:p>
    <w:p>
      <w:pPr>
        <w:spacing w:after="0" w:line="285"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UAW Retiree Medical Benefits Trust, 777 East Eisenhower Parkway, Suite 800, Ann Arbor, Michigan, 48108, beneficial owner of shares of our common stock having a market value in excess of $2000, has submitted the following proposal:</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RESOLVED that shareholders of Eli Lilly and Company ("Lilly") urge the Compensation Committee (the "Committee") of the board to take the steps necessary to provide that the Committee may decline to pay in full an award (a "Bonus") to a senior executive that is based on one or more financial measurements (a "Financial Metric") whose performance measurement period ("PMP") is one year or shorter for a period (the "Deferral Period") following the award, including developing a methodology for determining the length of the Deferral Period and adjusting the remainder of the Bonus over the Deferral Period.</w:t>
      </w:r>
    </w:p>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methodology referenced above should allow accurate assessment of risks taken during the PMP that could have affected performance on the Financial Metric(s) and facilitate Lilly’s recoupment of Bonus compensation pursuant to its recoupment policy.</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P82</w:t>
      </w:r>
    </w:p>
    <w:p>
      <w:pPr>
        <w:sectPr>
          <w:pgSz w:w="11900" w:h="16838" w:orient="portrait"/>
          <w:cols w:equalWidth="0" w:num="1">
            <w:col w:w="11240"/>
          </w:cols>
          <w:pgMar w:left="320" w:top="889" w:right="339" w:bottom="1440" w:gutter="0" w:footer="0" w:header="0"/>
          <w:type w:val="continuous"/>
        </w:sectPr>
      </w:pPr>
    </w:p>
    <w:bookmarkStart w:id="87" w:name="page88"/>
    <w:bookmarkEnd w:id="87"/>
    <w:p>
      <w:pPr>
        <w:ind w:right="400"/>
        <w:spacing w:after="0" w:line="260" w:lineRule="auto"/>
        <w:rPr>
          <w:sz w:val="20"/>
          <w:szCs w:val="20"/>
          <w:color w:val="auto"/>
        </w:rPr>
      </w:pPr>
      <w:r>
        <w:rPr>
          <w:rFonts w:ascii="Arial" w:cs="Arial" w:eastAsia="Arial" w:hAnsi="Arial"/>
          <w:sz w:val="16"/>
          <w:szCs w:val="16"/>
          <w:color w:val="auto"/>
        </w:rPr>
        <w:t>The changes should be implemented in a way that does not violate any existing contractual obligation or the terms of any compensation or benefit plan currently in effect.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16"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As long-term shareholders, we support compensation policies that align senior executives’ incentives with the company’s long-term success. We are concerned that short-term incentive plans can encourage senior executives to take on excessive risk.</w:t>
      </w:r>
    </w:p>
    <w:p>
      <w:pPr>
        <w:spacing w:after="0" w:line="2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our view, reliance on price increases and anticompetitive practices can create significant risks for pharmaceutical firms. Lilly has come under fire for repeated increases in the price of its insulin products: Congress has held hearings on insulin pricing, and media attention has focused on the impact on patient access. The Minnesota and Kentucky Attorneys General have sued Lilly, claiming that it published "deceptive and misleading" list prices for insulin in order to pay larger rebates to pharmacy benefit managers. Congressional committees and other states are investigating Lilly’s insulin pricing and sale.</w:t>
      </w:r>
    </w:p>
    <w:p>
      <w:pPr>
        <w:spacing w:after="0" w:line="229" w:lineRule="exact"/>
        <w:rPr>
          <w:sz w:val="20"/>
          <w:szCs w:val="20"/>
          <w:color w:val="auto"/>
        </w:rPr>
      </w:pPr>
    </w:p>
    <w:p>
      <w:pPr>
        <w:jc w:val="both"/>
        <w:ind w:right="340"/>
        <w:spacing w:after="0" w:line="260" w:lineRule="auto"/>
        <w:rPr>
          <w:sz w:val="20"/>
          <w:szCs w:val="20"/>
          <w:color w:val="auto"/>
        </w:rPr>
      </w:pPr>
      <w:r>
        <w:rPr>
          <w:rFonts w:ascii="Arial" w:cs="Arial" w:eastAsia="Arial" w:hAnsi="Arial"/>
          <w:sz w:val="16"/>
          <w:szCs w:val="16"/>
          <w:color w:val="auto"/>
        </w:rPr>
        <w:t>To foster a longer-term orientation, this proposal asks that the Committee take the steps necessary to authorize withholding some portion of Bonuses to allow adjustment of the unpaid portion during the Deferral Period. The Committee would have discretion to set the terms and mechanics of this process.</w:t>
      </w:r>
    </w:p>
    <w:p>
      <w:pPr>
        <w:spacing w:after="0" w:line="2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Bonus deferral is widely used in the banking industry, where overly risky behavior was widely viewed as contributing to the financial crisis. In 2009, the Financial Stability Board ("FSB"), which coordinates national financial authorities in developing strong financial sector policies, adopted Principles for Sound Compensation Practices and implementation standards for those principles, including bonus deferral. Deferral is "particularly important" because it allows "late-arriving information about risk-taking and outcomes" to alter payouts and reduces the need to claw back compensation already paid out, which may "fac[e] legal barriers," in the event of misconduct. Banking supervisors in 16 jurisdictions, including the US, have requirements or expectations regarding bonus deferral. (https://www.fsb.org/wp-content/uploads/P170619-1.pdf)</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We urge shareholders to vote FOR this proposal.</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in Opposition to the Shareholder Proposal to Implement a Bonus Deferral Policy</w:t>
      </w:r>
    </w:p>
    <w:p>
      <w:pPr>
        <w:spacing w:after="0" w:line="16"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The board, after review by its Directors and Corporate Governance Committee, Ethics and Compliance Committee and Compensation Committee, recommends a vote against this proposal.</w:t>
      </w:r>
    </w:p>
    <w:p>
      <w:pPr>
        <w:spacing w:after="0" w:line="22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Compensation Committee has structured Lilly’s executive officer compensation with a view toward appropriately focusing its executive officers on making decisions that are in the long-term best interest of the company. A majority of each executive officer’s compensation, which is reviewed annually by our Compensation Committee, is aligned to enhance shareholder value by promoting the delivery of sustainable business results and discouraging excessive risk-taking or other adverse behaviors. Notably, Lilly’s chief executive officer, Mr. Ricks, has a total target pay mix of 77 percent long-term equity, 14 percent annual bonus, and 9 percent base pay and Lilly’s remaining named executive officers have an average pay mix target of 63 percent long-term equity incentives, 18 percent annual bonus, and 19 percent base pay. All of Lilly’s equity awards to its executive officers are subject to performance goals measured over multiple years and significant vesting periods of three years during which the awards remain subject to forfeiture. Furthermore, any equity earned under the majority of executive officer long-term equity incentives are subject to an additional one-year holding requirement, after the three-year performance period, during which time the executives cannot realize any value from the awards and remain aligned with Lilly shareholders. Additional risk is mitigated by the discretion afforded to our Compensation Committee to downward adjust award payouts on any basis it deems appropriate. Our robust stock ownership and retention guidelines for executive officers further align management with the long-term performance of the Company and discourage excessive risk-taking.</w:t>
      </w:r>
    </w:p>
    <w:p>
      <w:pPr>
        <w:spacing w:after="0" w:line="200" w:lineRule="exact"/>
        <w:rPr>
          <w:sz w:val="20"/>
          <w:szCs w:val="20"/>
          <w:color w:val="auto"/>
        </w:rPr>
      </w:pP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Further, the policy that the proposal requests is unnecessary as Lilly already has an effective and robust compensation recovery policy (otherwise referred to as our clawback policy) in place. Under our current clawback policy, the Compensation Committee is authorized to cancel any unpaid executive incentive compensation (including annual bonus payments and long-term equity incentive awards) and claw back any incentive compensation for up to three years following payment in the event of certain specified misconduct.</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While the deferral of the annual bonus payment may appear to provide an easier mechanism to claw back bonus payments in the unlikely event it were to become necessary, as a practical matter, our existing clawback policy already provides an effective avenue for the company to claw back payments while at the same time maintaining a competitive executive compensation program that enables the company to recruit and retain talent.</w:t>
      </w:r>
    </w:p>
    <w:p>
      <w:pPr>
        <w:spacing w:after="0" w:line="22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Contrary to the assertions in the proposal’s supporting statement, our board and management already effectively oversee the Company’s approach to the pricing of and access to drugs. For example, Lilly is committed to making medicines accessible to patients and our management has taken steps to reduce access barriers imposed by drug prices, including introducing two additional lower-priced versions of branded insulin in January 2020 and adding the Lilly Insulin Value Program to Lilly’s comprehensive suite of insulin affordability solutions in September 2020, which enables customers with commercial insurance or no insurance to purchase their monthly prescription of most Lilly insulins for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P83</w:t>
      </w:r>
    </w:p>
    <w:p>
      <w:pPr>
        <w:sectPr>
          <w:pgSz w:w="11900" w:h="16838" w:orient="portrait"/>
          <w:cols w:equalWidth="0" w:num="1">
            <w:col w:w="11200"/>
          </w:cols>
          <w:pgMar w:left="320" w:top="1154" w:right="37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For these reasons, we believe implementing a bonus deferral policy is not necessary and not in the best interests of the company and its shareholders.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8</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AGAINST this proposal.</w:t>
      </w:r>
    </w:p>
    <w:p>
      <w:pPr>
        <w:spacing w:after="0" w:line="200" w:lineRule="exact"/>
        <w:rPr>
          <w:sz w:val="20"/>
          <w:szCs w:val="20"/>
          <w:color w:val="auto"/>
        </w:rPr>
      </w:pPr>
    </w:p>
    <w:p>
      <w:pPr>
        <w:spacing w:after="0" w:line="279" w:lineRule="exact"/>
        <w:rPr>
          <w:sz w:val="20"/>
          <w:szCs w:val="20"/>
          <w:color w:val="auto"/>
        </w:rPr>
      </w:pPr>
    </w:p>
    <w:p>
      <w:pPr>
        <w:ind w:right="1040"/>
        <w:spacing w:after="0" w:line="288" w:lineRule="auto"/>
        <w:rPr>
          <w:sz w:val="20"/>
          <w:szCs w:val="20"/>
          <w:color w:val="auto"/>
        </w:rPr>
      </w:pPr>
      <w:r>
        <w:rPr>
          <w:rFonts w:ascii="Arial" w:cs="Arial" w:eastAsia="Arial" w:hAnsi="Arial"/>
          <w:sz w:val="25"/>
          <w:szCs w:val="25"/>
          <w:b w:val="1"/>
          <w:bCs w:val="1"/>
          <w:color w:val="1A3A6C"/>
        </w:rPr>
        <w:t>Item 9. Proposal to Disclose Clawbacks on Executive Incentive Compensation Due to Misconduct</w:t>
      </w:r>
    </w:p>
    <w:p>
      <w:pPr>
        <w:spacing w:after="0" w:line="179"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Trinity Health, 766 Brady Avenue, Apt 635, Bronx, NY 10462, beneficial owner of 46,389 shares of our common stock as of November 16, 2020, has submitted the following proposal:</w:t>
      </w:r>
    </w:p>
    <w:p>
      <w:pPr>
        <w:spacing w:after="0" w:line="22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RESOLVED, that shareholders of Eli Lilly and Company ("Lilly") urge the board of directors ("Board") to adopt a policy (the "Policy") that Lilly will disclose annually whether it, in the previous fiscal year, recouped any incentive compensation from any senior executive or caused a senior executive to forfeit all or part of an incentive compensation award (each, a "clawback") as a result of applying Lilly's clawback provisions. "Senior executive" includes a former senior executive.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Policy should provide that the general circumstances of the clawback will be described and that if no clawback of the kind described above occurred in the previous fiscal year, a statement to that effect will be made. The disclosure requested in this proposal is intended to supplement, not supplant, any disclosure required by law, regulation or agreement and the Policy should not apply if disclosure would violate any law, regulation or agreement.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2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long-term shareholders, we believe compensation practices should promote sustainable value creation. Lilly has mechanisms in place to claw back incentive compensation from senior executives in the event of misconduct causing significant harm to Lilly, a supervisory failure to prevent such misconduct by others, and in the event of materially inaccurate financial statements or performance calculations.</w:t>
      </w:r>
    </w:p>
    <w:p>
      <w:pPr>
        <w:spacing w:after="0" w:line="1"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Lilly's most recent 10-K discloses that its insulin pricing and sale are the subject of civil investigative demands from the Attorneys General of Washington, Colorado and New Mexico and information requests from the Attorneys General of five states and the District of Columbia. As well, Congressional committees have requested information about Lilly's insulin pricing.</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2018, the Minnesota Attorney General accused Lilly of publishing "deceptive and misleading" list prices for insulin. The complaint urges that artificially high list prices were used to offer higher rebates to pharmacy benefit managers, increasing costs for patients whose out-of-pocket costs are based on the list price. Similar complaints have been filed by the Kentucky Attorney General and Harris County, Texas. Two cases have also been filed against Lilly for violating state consumer protection laws and the federal Racketeer Influenced and Corrupt Organizations Act.</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Lilly has not made any proxy statement disclosure regarding the application of its clawback provisions. Such disclosure would allow shareholders to evaluate the Compensation Committee's use of those provisions and reinforce behavioral expectations. Disclosure of recoupment from senior executives below the named executive officer level, recoupment from whom is already required to be disclosed under SEC rules, would be useful for shareholders because these executives may have business unit responsibilities or otherwise be in a position to take substantial risk or affect company policies.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are sensitive to privacy concerns and recommend that Policy provide for disclosure that does not violate privacy expectations (subject to laws requiring fuller disclosure).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We urge shareholders to vote for this proposal.</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auto"/>
        </w:rPr>
        <w:t>Statement in Opposition to the Shareholder Proposal to Disclose Clawbacks on Executive Incentive Compensation Due to Misconduct</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after review by its Directors and Corporate Governance Committee, Ethics and Compliance Committee and Compensation Committee, recommends a vote against this proposal.</w:t>
      </w:r>
    </w:p>
    <w:p>
      <w:pPr>
        <w:spacing w:after="0" w:line="22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board believes that our current executive compensation structure, including our compensation recovery policy (otherwise referred to as our clawback policy) strikes an appropriate balance in motivating our executive officers to deliver long-term results for our shareholders, while simultaneously holding the senior leadership team accountable and discouraging unreasonable risk-taking. In addition, the board believes the broad disclosure requested by the proposal extends beyond what is required under existing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P84</w:t>
      </w:r>
    </w:p>
    <w:p>
      <w:pPr>
        <w:sectPr>
          <w:pgSz w:w="11900" w:h="16838" w:orient="portrait"/>
          <w:cols w:equalWidth="0" w:num="1">
            <w:col w:w="11240"/>
          </w:cols>
          <w:pgMar w:left="320" w:top="911" w:right="339" w:bottom="1440" w:gutter="0" w:footer="0" w:header="0"/>
        </w:sectPr>
      </w:pPr>
    </w:p>
    <w:bookmarkStart w:id="89" w:name="page90"/>
    <w:bookmarkEnd w:id="89"/>
    <w:p>
      <w:pPr>
        <w:spacing w:after="0" w:line="249" w:lineRule="auto"/>
        <w:rPr>
          <w:sz w:val="20"/>
          <w:szCs w:val="20"/>
          <w:color w:val="auto"/>
        </w:rPr>
      </w:pPr>
      <w:r>
        <w:rPr>
          <w:rFonts w:ascii="Arial" w:cs="Arial" w:eastAsia="Arial" w:hAnsi="Arial"/>
          <w:sz w:val="16"/>
          <w:szCs w:val="16"/>
          <w:color w:val="auto"/>
        </w:rPr>
        <w:t>Our core values of integrity, excellence and respect for people guided the creation and implementation of the company’s existing clawback policy, which was adopted in 2013. We hold all employees accountable to these core values, but we strongly believe that our executive officers carry an even higher burden in ensuring our values are upheld. To that end, all executives’ incentive compensation is subject to the terms of our clawback policy. Executives may be subject to the forfeiture or clawback of cash or equity in the event of misconduct that results in causing significant harm to the company, disciplinary action, a material violation of law or company policy or financial restatement. The board believes that the company’s current ability to recoup employee compensation for up to three years discourages unreasonable risk-taking and reflects our strong commitment to ethics and integrity.</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Lilly is already subject to SEC requirements to disclose in its annual proxy statement when compensation has been recouped, and the amount recouped, from the chief executive officer, the chief financial officer, and other current and former named executive officers who served during the prior fiscal year. If necessary to understanding the company’s executive compensation structure, the company is required to disclose in its annual proxy statement the reasons for recoupment and how the company determined the amount to be recovered. Thus, the board does not believe that expanding the disclosure requirements to all current and former "senior executives" is warranted.</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Further, the recoupment of incentive compensation is not the only action that is available to address any potential misconduct of senior executives. In response to senior executive misconduct or violation of company policy, the company may institute reasonable and appropriate corrective actions to address misconduct, such as termination or change in job responsibility, further training, disciplinary action, or material alterations to compensation plans in future years. None of these actions would be disclosed in an annual report requested by the proposal. As a result, the annual report contemplated by the proposal could present a misleading picture of how instances of misconduct might be addressed by the company.</w:t>
      </w:r>
    </w:p>
    <w:p>
      <w:pPr>
        <w:spacing w:after="0" w:line="230"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summary, the board believes that adopting a policy requiring an annual report of compensation clawbacks is overly prescriptive and unnecessary given the company’s existing clawback policy and the SEC’s disclosure requirements discussed above; for these reasons, we believe the proposal is not necessary and not in the best interests of the company and its shareholders.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9</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that you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Meeting and Voting Logistics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Items of Business</w:t>
      </w:r>
    </w:p>
    <w:p>
      <w:pPr>
        <w:spacing w:after="0" w:line="2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9"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Shareholders as of the close of business on February 22, 2021 (the record date) may vote or have their shares voted at the Annual Meeting. You have one vote for each share of common stock you held on the record date, including shares:</w:t>
      </w:r>
    </w:p>
    <w:p>
      <w:pPr>
        <w:spacing w:after="0" w:line="1" w:lineRule="exact"/>
        <w:rPr>
          <w:sz w:val="20"/>
          <w:szCs w:val="20"/>
          <w:color w:val="auto"/>
        </w:rPr>
      </w:pPr>
    </w:p>
    <w:p>
      <w:pPr>
        <w:ind w:left="300" w:hanging="130"/>
        <w:spacing w:after="0"/>
        <w:tabs>
          <w:tab w:leader="none" w:pos="3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held directly in your name as the shareholder of record;</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held for you in an account with a broker, bank, or other nominee; and</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attributed to your account in the company's 401(k) Plan.</w:t>
      </w:r>
    </w:p>
    <w:p>
      <w:pPr>
        <w:spacing w:after="0" w:line="24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encourage you to vote by mail, by telephone, or online even if you plan to attend the Annual Meeting. Shareholders who hold their shares in the 401(k) Plan must vote by April 28, 2021 so the plan trustee can vote their shares accordingly. See "—Voting Shares Held in the Company 401(k) Plan"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Vote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Below are the vote requirements for the various proposals:</w:t>
      </w:r>
    </w:p>
    <w:p>
      <w:pPr>
        <w:spacing w:after="0" w:line="5" w:lineRule="exact"/>
        <w:rPr>
          <w:sz w:val="20"/>
          <w:szCs w:val="20"/>
          <w:color w:val="auto"/>
        </w:rPr>
      </w:pPr>
    </w:p>
    <w:p>
      <w:pPr>
        <w:ind w:left="340" w:right="120" w:hanging="170"/>
        <w:spacing w:after="0" w:line="246" w:lineRule="auto"/>
        <w:tabs>
          <w:tab w:leader="none" w:pos="30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five nominees for director will be elected if the votes cast for the nominee exceed the votes cast against the nominee. Abstentions and broker non-votes will not count as votes cast either for or against a nominee.</w:t>
      </w:r>
    </w:p>
    <w:p>
      <w:pPr>
        <w:ind w:left="300" w:hanging="130"/>
        <w:spacing w:after="0"/>
        <w:tabs>
          <w:tab w:leader="none" w:pos="3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following items of business will be approved if the votes cast for the proposal exceed the votes cast against the proposal:</w:t>
      </w:r>
    </w:p>
    <w:p>
      <w:pPr>
        <w:spacing w:after="0" w:line="5" w:lineRule="exact"/>
        <w:rPr>
          <w:rFonts w:ascii="Arial" w:cs="Arial" w:eastAsia="Arial" w:hAnsi="Arial"/>
          <w:sz w:val="16"/>
          <w:szCs w:val="16"/>
          <w:color w:val="auto"/>
        </w:rPr>
      </w:pPr>
    </w:p>
    <w:p>
      <w:pPr>
        <w:ind w:left="820" w:hanging="124"/>
        <w:spacing w:after="0"/>
        <w:tabs>
          <w:tab w:leader="none" w:pos="82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 advisory approval of compensation paid to the named executive officers presented in this proxy statement;</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P85</w:t>
      </w:r>
    </w:p>
    <w:p>
      <w:pPr>
        <w:sectPr>
          <w:pgSz w:w="11900" w:h="16838" w:orient="portrait"/>
          <w:cols w:equalWidth="0" w:num="1">
            <w:col w:w="11200"/>
          </w:cols>
          <w:pgMar w:left="320" w:top="911" w:right="379" w:bottom="1440" w:gutter="0" w:footer="0" w:header="0"/>
        </w:sectPr>
      </w:pPr>
    </w:p>
    <w:bookmarkStart w:id="90" w:name="page91"/>
    <w:bookmarkEnd w:id="90"/>
    <w:p>
      <w:pPr>
        <w:ind w:left="820" w:hanging="124"/>
        <w:spacing w:after="0"/>
        <w:tabs>
          <w:tab w:leader="none" w:pos="8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ratification of the appointment of the independent auditor; and</w:t>
      </w:r>
    </w:p>
    <w:p>
      <w:pPr>
        <w:spacing w:after="0" w:line="5" w:lineRule="exact"/>
        <w:rPr>
          <w:rFonts w:ascii="Arial" w:cs="Arial" w:eastAsia="Arial" w:hAnsi="Arial"/>
          <w:sz w:val="16"/>
          <w:szCs w:val="16"/>
          <w:color w:val="auto"/>
        </w:rPr>
      </w:pPr>
    </w:p>
    <w:p>
      <w:pPr>
        <w:ind w:left="820" w:hanging="124"/>
        <w:spacing w:after="0"/>
        <w:tabs>
          <w:tab w:leader="none" w:pos="8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four shareholder proposals.</w:t>
      </w:r>
    </w:p>
    <w:p>
      <w:pPr>
        <w:spacing w:after="0" w:line="5" w:lineRule="exact"/>
        <w:rPr>
          <w:sz w:val="20"/>
          <w:szCs w:val="20"/>
          <w:color w:val="auto"/>
        </w:rPr>
      </w:pPr>
    </w:p>
    <w:p>
      <w:pPr>
        <w:ind w:left="340" w:right="300"/>
        <w:spacing w:after="0" w:line="246" w:lineRule="auto"/>
        <w:rPr>
          <w:sz w:val="20"/>
          <w:szCs w:val="20"/>
          <w:color w:val="auto"/>
        </w:rPr>
      </w:pPr>
      <w:r>
        <w:rPr>
          <w:rFonts w:ascii="Arial" w:cs="Arial" w:eastAsia="Arial" w:hAnsi="Arial"/>
          <w:sz w:val="16"/>
          <w:szCs w:val="16"/>
          <w:color w:val="auto"/>
        </w:rPr>
        <w:t>Abstentions and broker non-votes will not be counted as votes cast either for or against these proposals. As discussed below in "Meeting and Voting Logistics — Voting Shares Held by a Broker," broker non-votes are not expected in connection with the ratification of the appointment of the independent auditor.</w:t>
      </w:r>
    </w:p>
    <w:p>
      <w:pPr>
        <w:spacing w:after="0" w:line="1" w:lineRule="exact"/>
        <w:rPr>
          <w:sz w:val="20"/>
          <w:szCs w:val="20"/>
          <w:color w:val="auto"/>
        </w:rPr>
      </w:pPr>
    </w:p>
    <w:p>
      <w:pPr>
        <w:ind w:left="340" w:right="220" w:hanging="170"/>
        <w:spacing w:after="0" w:line="253" w:lineRule="auto"/>
        <w:tabs>
          <w:tab w:leader="none" w:pos="30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proposals to amend the articles of incorporation to eliminate the classified board structure and to eliminate supermajority voting provisions require the vote of 80 percent of the outstanding shares of our common stock. For these items, abstentions and broker non-votes have the same effect as a vote against the proposals.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w:t>
      </w:r>
    </w:p>
    <w:p>
      <w:pPr>
        <w:spacing w:after="0" w:line="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 majority of the outstanding shares entitled to vote, present or represented by proxy, constitutes a quorum for the Annual Meeting. As of February 22, 2021, [●] shares of company common stock were issued and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by Shareholders of Record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you may vote by any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173355</wp:posOffset>
            </wp:positionV>
            <wp:extent cx="514350" cy="514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62" w:lineRule="exact"/>
        <w:rPr>
          <w:sz w:val="20"/>
          <w:szCs w:val="20"/>
          <w:color w:val="auto"/>
        </w:rPr>
      </w:pPr>
    </w:p>
    <w:p>
      <w:pPr>
        <w:ind w:left="1480" w:right="1200"/>
        <w:spacing w:after="0" w:line="274" w:lineRule="auto"/>
        <w:rPr>
          <w:sz w:val="20"/>
          <w:szCs w:val="20"/>
          <w:color w:val="auto"/>
        </w:rPr>
      </w:pPr>
      <w:r>
        <w:rPr>
          <w:rFonts w:ascii="Arial" w:cs="Arial" w:eastAsia="Arial" w:hAnsi="Arial"/>
          <w:sz w:val="16"/>
          <w:szCs w:val="16"/>
          <w:b w:val="1"/>
          <w:bCs w:val="1"/>
          <w:color w:val="EE2724"/>
        </w:rPr>
        <w:t xml:space="preserve">Online. </w:t>
      </w:r>
      <w:r>
        <w:rPr>
          <w:rFonts w:ascii="Arial" w:cs="Arial" w:eastAsia="Arial" w:hAnsi="Arial"/>
          <w:sz w:val="17"/>
          <w:szCs w:val="17"/>
          <w:color w:val="000000"/>
        </w:rPr>
        <w:t>You may vote online at</w:t>
      </w:r>
      <w:r>
        <w:rPr>
          <w:rFonts w:ascii="Arial" w:cs="Arial" w:eastAsia="Arial" w:hAnsi="Arial"/>
          <w:sz w:val="16"/>
          <w:szCs w:val="16"/>
          <w:b w:val="1"/>
          <w:bCs w:val="1"/>
          <w:color w:val="EE2724"/>
        </w:rPr>
        <w:t xml:space="preserve"> </w:t>
      </w:r>
      <w:r>
        <w:rPr>
          <w:rFonts w:ascii="Arial" w:cs="Arial" w:eastAsia="Arial" w:hAnsi="Arial"/>
          <w:sz w:val="16"/>
          <w:szCs w:val="16"/>
          <w:color w:val="EE2724"/>
        </w:rPr>
        <w:t>proxyvote.com</w:t>
      </w:r>
      <w:r>
        <w:rPr>
          <w:rFonts w:ascii="Arial" w:cs="Arial" w:eastAsia="Arial" w:hAnsi="Arial"/>
          <w:sz w:val="17"/>
          <w:szCs w:val="17"/>
          <w:color w:val="000000"/>
        </w:rPr>
        <w:t>. Follow the instructions on your proxy card or notice. If you received</w:t>
      </w:r>
      <w:r>
        <w:rPr>
          <w:rFonts w:ascii="Arial" w:cs="Arial" w:eastAsia="Arial" w:hAnsi="Arial"/>
          <w:sz w:val="16"/>
          <w:szCs w:val="16"/>
          <w:b w:val="1"/>
          <w:bCs w:val="1"/>
          <w:color w:val="EE2724"/>
        </w:rPr>
        <w:t xml:space="preserve"> </w:t>
      </w:r>
      <w:r>
        <w:rPr>
          <w:rFonts w:ascii="Arial" w:cs="Arial" w:eastAsia="Arial" w:hAnsi="Arial"/>
          <w:sz w:val="17"/>
          <w:szCs w:val="17"/>
          <w:color w:val="000000"/>
        </w:rPr>
        <w:t>these materials electronically, follow the instructions in the email message that notified you of their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285115</wp:posOffset>
            </wp:positionV>
            <wp:extent cx="582930" cy="5829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EE2724"/>
        </w:rPr>
        <w:t xml:space="preserve">By telephone. </w:t>
      </w:r>
      <w:r>
        <w:rPr>
          <w:rFonts w:ascii="Arial" w:cs="Arial" w:eastAsia="Arial" w:hAnsi="Arial"/>
          <w:sz w:val="17"/>
          <w:szCs w:val="17"/>
          <w:color w:val="000000"/>
        </w:rPr>
        <w:t>Call 1-800-690-6903 using a touch-tone phone and follow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80" w:right="960"/>
        <w:spacing w:after="0" w:line="252" w:lineRule="auto"/>
        <w:rPr>
          <w:sz w:val="20"/>
          <w:szCs w:val="20"/>
          <w:color w:val="auto"/>
        </w:rPr>
      </w:pPr>
      <w:r>
        <w:rPr>
          <w:rFonts w:ascii="Arial" w:cs="Arial" w:eastAsia="Arial" w:hAnsi="Arial"/>
          <w:sz w:val="16"/>
          <w:szCs w:val="16"/>
          <w:b w:val="1"/>
          <w:bCs w:val="1"/>
          <w:color w:val="EE2724"/>
        </w:rPr>
        <w:t xml:space="preserve">By mail. </w:t>
      </w:r>
      <w:r>
        <w:rPr>
          <w:rFonts w:ascii="Arial" w:cs="Arial" w:eastAsia="Arial" w:hAnsi="Arial"/>
          <w:sz w:val="17"/>
          <w:szCs w:val="17"/>
          <w:color w:val="000000"/>
        </w:rPr>
        <w:t>If you received or requested paper copies of your proxy materials, sign, date, and return each proxy card</w:t>
      </w:r>
      <w:r>
        <w:rPr>
          <w:rFonts w:ascii="Arial" w:cs="Arial" w:eastAsia="Arial" w:hAnsi="Arial"/>
          <w:sz w:val="16"/>
          <w:szCs w:val="16"/>
          <w:b w:val="1"/>
          <w:bCs w:val="1"/>
          <w:color w:val="EE2724"/>
        </w:rPr>
        <w:t xml:space="preserve"> </w:t>
      </w:r>
      <w:r>
        <w:rPr>
          <w:rFonts w:ascii="Arial" w:cs="Arial" w:eastAsia="Arial" w:hAnsi="Arial"/>
          <w:sz w:val="17"/>
          <w:szCs w:val="17"/>
          <w:color w:val="000000"/>
        </w:rPr>
        <w:t>you receive in the prepaid envelope. Sign your name exactly as it appears.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-788670</wp:posOffset>
            </wp:positionV>
            <wp:extent cx="617220" cy="6172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5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You may vote your shares prior to the Annual Meeting until 11:59 p.m. EDT on May 2, 2021 online or by telephone. If you are voting by mail, your marked, signed, and dated proxy card must be received by May 2, 2021. Shareholders of record may also opt to vote at the Annual Meeting, which will be held online via live webcast at </w:t>
      </w:r>
      <w:r>
        <w:rPr>
          <w:rFonts w:ascii="Arial" w:cs="Arial" w:eastAsia="Arial" w:hAnsi="Arial"/>
          <w:sz w:val="16"/>
          <w:szCs w:val="16"/>
          <w:color w:val="EE2724"/>
        </w:rPr>
        <w:t>virtualshareholdermeeting.com/LLY2021</w:t>
      </w:r>
      <w:r>
        <w:rPr>
          <w:rFonts w:ascii="Arial" w:cs="Arial" w:eastAsia="Arial" w:hAnsi="Arial"/>
          <w:sz w:val="16"/>
          <w:szCs w:val="16"/>
          <w:color w:val="auto"/>
        </w:rPr>
        <w:t>. See "—Attending the Annual Meeting" for more information on attending the meeting.</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have the right to change your vote or revoke your proxy before it is voted at the Annual Meeting by (i) timely notifying the General Counsel and Secretary in writing, (ii) timely delivering a later-dated proxy by mail, or (iii) timely casting a new vote online or by telephone. Shareholders of record may also revoke their proxies by voting at the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Shares Held by a Broker</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your shares are held by a broker, the broker will ask you how you want your shares to be voted. You may instruct your broker or other nominee to vote your shares by following instructions that the broker or nominee provides to you. Most brokers offer voting by mail, by telephone, and online. You may submit new voting instructions by contacting your broker or other nominee or by voting at the Annual Meeting.</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If you give the broker instructions, your shares will be voted as you direct. 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but will not be able to vote on those matters for which specific authorization is required under NYSE rules. If you are a beneficial owner whose shares are held of record by a broker, your broker has discretionary voting authority under NYSE rules to vote your shares on the ratification of EY as the independent auditor for 2021, even if the broker does not receive voting instructions from you. However, your broker does not have discretionary authority to vote on the election of directors, the advisory approval of executive compensation, or the shareholder or management proposals without instructions from you, in which case a broker non-vote will occur, and your shares will not be voted on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P86</w:t>
      </w:r>
    </w:p>
    <w:p>
      <w:pPr>
        <w:sectPr>
          <w:pgSz w:w="11900" w:h="16838" w:orient="portrait"/>
          <w:cols w:equalWidth="0" w:num="1">
            <w:col w:w="11240"/>
          </w:cols>
          <w:pgMar w:left="320" w:top="911"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Voting Shares Held in the Company 401(k) Plan</w:t>
      </w:r>
    </w:p>
    <w:p>
      <w:pPr>
        <w:spacing w:after="0" w:line="16"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You may instruct the plan trustee on how to vote your shares in the 401(k) Plan online, by mail, or by telephone as described above in "Meeting and Voting Logistics — Voting by Shareholders of Record," except that if you vote by mail, the card you use will be a voting instruction form rather than a proxy card.</w:t>
      </w:r>
    </w:p>
    <w:p>
      <w:pPr>
        <w:spacing w:after="0" w:line="236"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color w:val="auto"/>
        </w:rPr>
        <w:t>In addition,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22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22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If you do not vote online or by telephone by 11:59 p.m. EDT on April 28, 2021, or if your mailed ballot is not received by April 28, 2021, your shares will be voted in accordance with instructions received from other plan participants who have elected to have their voting preferences applied proportionally to all shares for which voting instructions are not otherwise received. You will not be able to vote your shares personally at the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Multiple Notices, Proxy Materials, or Emails</w:t>
      </w:r>
    </w:p>
    <w:p>
      <w:pPr>
        <w:spacing w:after="0" w:line="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If you received more than one notice, full set of proxy materials, or email related to proxy materials, you hold shares in more than one account. You will need to cast a vote for each notice, full set of proxy materials, or email you receive. 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please call 1-800-579-1639 on or before April 19, 2021 to facilitate timely delivery.</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Tabulation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Votes are tabulated by an independent inspector of election, Broadridge Financial Solutions, Inc.</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Attending the Annual Meeting</w:t>
      </w:r>
    </w:p>
    <w:p>
      <w:pPr>
        <w:spacing w:after="0" w:line="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Annual Meeting will be held on Monday, May 3, 2021, at 11:00 a.m. EDT, and all shareholders as of close of business on February 22, 2021, are entitled to participate.</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Due to concerns regarding the ongoing COVID-19 pandemic and to support the health and well-being of our employees, board of directors, shareholders, and other meeting participants, the Annual Meeting will be held virtually via live webcast.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209"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 xml:space="preserve">The live webcast of the Annual Meeting can be accessed by shareholders on the day of the meeting at </w:t>
      </w:r>
      <w:r>
        <w:rPr>
          <w:rFonts w:ascii="Arial" w:cs="Arial" w:eastAsia="Arial" w:hAnsi="Arial"/>
          <w:sz w:val="16"/>
          <w:szCs w:val="16"/>
          <w:color w:val="EE2724"/>
        </w:rPr>
        <w:t>virtualshareholdermeeting.com/LLY2021</w:t>
      </w:r>
      <w:r>
        <w:rPr>
          <w:rFonts w:ascii="Arial" w:cs="Arial" w:eastAsia="Arial" w:hAnsi="Arial"/>
          <w:sz w:val="16"/>
          <w:szCs w:val="16"/>
          <w:color w:val="auto"/>
        </w:rPr>
        <w:t xml:space="preserve"> and will begin promptly at 11:00 a.m. EDT. To attend the Annual Meeting, you will need to log in to </w:t>
      </w:r>
      <w:r>
        <w:rPr>
          <w:rFonts w:ascii="Arial" w:cs="Arial" w:eastAsia="Arial" w:hAnsi="Arial"/>
          <w:sz w:val="16"/>
          <w:szCs w:val="16"/>
          <w:color w:val="EE2724"/>
        </w:rPr>
        <w:t>virtualshareholdermeeting.com/LLY2021</w:t>
      </w:r>
      <w:r>
        <w:rPr>
          <w:rFonts w:ascii="Arial" w:cs="Arial" w:eastAsia="Arial" w:hAnsi="Arial"/>
          <w:sz w:val="16"/>
          <w:szCs w:val="16"/>
          <w:color w:val="auto"/>
        </w:rPr>
        <w:t xml:space="preserve"> 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spacing w:after="0" w:line="227"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 xml:space="preserve">To submit questions in advance of the Annual Meeting, visit </w:t>
      </w:r>
      <w:r>
        <w:rPr>
          <w:rFonts w:ascii="Arial" w:cs="Arial" w:eastAsia="Arial" w:hAnsi="Arial"/>
          <w:sz w:val="16"/>
          <w:szCs w:val="16"/>
          <w:color w:val="EE2724"/>
        </w:rPr>
        <w:t>proxyvote.com</w:t>
      </w:r>
      <w:r>
        <w:rPr>
          <w:rFonts w:ascii="Arial" w:cs="Arial" w:eastAsia="Arial" w:hAnsi="Arial"/>
          <w:sz w:val="16"/>
          <w:szCs w:val="16"/>
          <w:color w:val="auto"/>
        </w:rPr>
        <w:t xml:space="preserve"> before May 3, 2021 and enter your 16-digit control number. During the meeting, if you wish to submit a question, log into the virtual meeting website at </w:t>
      </w:r>
      <w:r>
        <w:rPr>
          <w:rFonts w:ascii="Arial" w:cs="Arial" w:eastAsia="Arial" w:hAnsi="Arial"/>
          <w:sz w:val="16"/>
          <w:szCs w:val="16"/>
          <w:color w:val="EE2724"/>
        </w:rPr>
        <w:t>virtualshareholdermeeting.com/LLY2021</w:t>
      </w:r>
      <w:r>
        <w:rPr>
          <w:rFonts w:ascii="Arial" w:cs="Arial" w:eastAsia="Arial" w:hAnsi="Arial"/>
          <w:sz w:val="16"/>
          <w:szCs w:val="16"/>
          <w:color w:val="auto"/>
        </w:rPr>
        <w:t>, type your question into the "Ask a Question" field, and click "Submit." In order to provide an opportunity to as many shareholders as possible who wish to ask a question, each shareholder will be limited to one question. Shareholders may ask a second question if all other shareholders have had an opportunity to ask a question and if time allows. The Annual Meeting is scheduled to begin at 11:00 a.m. EDT and end at 11:45 a.m. EDT, and time remaining after agenda items are addressed will be available for shareholder questions. We will endeavor to answer as many questions submitted by shareholders as time permits.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Responses to questions relevant to meeting matters that we do not have time to respond to during the meeting will be posted to our website following the meeting. Questions regarding topics that are not pertinent to meeting matters or company business will not be answered.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P87</w:t>
      </w:r>
    </w:p>
    <w:p>
      <w:pPr>
        <w:sectPr>
          <w:pgSz w:w="11900" w:h="16838" w:orient="portrait"/>
          <w:cols w:equalWidth="0" w:num="1">
            <w:col w:w="11240"/>
          </w:cols>
          <w:pgMar w:left="320" w:top="881" w:right="339" w:bottom="1440" w:gutter="0" w:footer="0" w:header="0"/>
        </w:sectPr>
      </w:pPr>
    </w:p>
    <w:bookmarkStart w:id="92" w:name="page93"/>
    <w:bookmarkEnd w:id="92"/>
    <w:p>
      <w:pPr>
        <w:ind w:right="780"/>
        <w:spacing w:after="0" w:line="242" w:lineRule="auto"/>
        <w:rPr>
          <w:sz w:val="20"/>
          <w:szCs w:val="20"/>
          <w:color w:val="auto"/>
        </w:rPr>
      </w:pPr>
      <w:r>
        <w:rPr>
          <w:rFonts w:ascii="Arial" w:cs="Arial" w:eastAsia="Arial" w:hAnsi="Arial"/>
          <w:sz w:val="16"/>
          <w:szCs w:val="16"/>
          <w:color w:val="auto"/>
        </w:rPr>
        <w:t xml:space="preserve">Support staff will be available should you experience any technical difficulties in accessing the virtual meeting. Instructions for requesting technical assistance will be available at </w:t>
      </w:r>
      <w:r>
        <w:rPr>
          <w:rFonts w:ascii="Arial" w:cs="Arial" w:eastAsia="Arial" w:hAnsi="Arial"/>
          <w:sz w:val="16"/>
          <w:szCs w:val="16"/>
          <w:color w:val="EE2724"/>
        </w:rPr>
        <w:t>virtualshareholdermeeting.com/LLY2021</w:t>
      </w:r>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Shareholders of Record</w:t>
      </w:r>
    </w:p>
    <w:p>
      <w:pPr>
        <w:spacing w:after="0" w:line="2"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6"/>
          <w:szCs w:val="16"/>
          <w:color w:val="EE2724"/>
        </w:rPr>
        <w:t>shareholderproposals@lilly.com</w:t>
      </w:r>
      <w:r>
        <w:rPr>
          <w:rFonts w:ascii="Arial" w:cs="Arial" w:eastAsia="Arial" w:hAnsi="Arial"/>
          <w:sz w:val="16"/>
          <w:szCs w:val="16"/>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6"/>
          <w:szCs w:val="16"/>
          <w:color w:val="EE2724"/>
        </w:rPr>
        <w:t>virtualshareholdermeeting.com/LLY2021</w:t>
      </w:r>
      <w:r>
        <w:rPr>
          <w:rFonts w:ascii="Arial" w:cs="Arial" w:eastAsia="Arial" w:hAnsi="Arial"/>
          <w:sz w:val="16"/>
          <w:szCs w:val="16"/>
          <w:color w:val="0563C1"/>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2022 Annual Meeting</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2022 annual meeting of shareholders is currently scheduled for May 2, 2022.</w:t>
      </w:r>
    </w:p>
    <w:p>
      <w:pPr>
        <w:spacing w:after="0" w:line="22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Other Matters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and Access</w:t>
      </w:r>
    </w:p>
    <w:p>
      <w:pPr>
        <w:spacing w:after="0" w:line="1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distribute proxy materials to many shareholders via the internet under the SEC’s "Notice and Access" rules to reduce production and mailing costs and to help preserve environmental resources. Using this method of distribution, on or about March 19, 2021,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6"/>
          <w:szCs w:val="16"/>
          <w:color w:val="EE2724"/>
        </w:rPr>
        <w:t>proxyvote.com</w:t>
      </w:r>
      <w:r>
        <w:rPr>
          <w:rFonts w:ascii="Arial" w:cs="Arial" w:eastAsia="Arial" w:hAnsi="Arial"/>
          <w:sz w:val="16"/>
          <w:szCs w:val="16"/>
          <w:color w:val="auto"/>
        </w:rPr>
        <w:t>) has instructions for voting by phone.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w:t>
      </w:r>
    </w:p>
    <w:p>
      <w:pPr>
        <w:spacing w:after="0" w:line="1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 Regarding the Company’s Proxy Solicitation</w:t>
      </w:r>
    </w:p>
    <w:p>
      <w:pPr>
        <w:spacing w:after="0" w:line="2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Materials</w:t>
      </w:r>
    </w:p>
    <w:p>
      <w:pPr>
        <w:spacing w:after="0" w:line="16"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 xml:space="preserve">The company’s main corporate website address is </w:t>
      </w:r>
      <w:r>
        <w:rPr>
          <w:rFonts w:ascii="Arial" w:cs="Arial" w:eastAsia="Arial" w:hAnsi="Arial"/>
          <w:sz w:val="16"/>
          <w:szCs w:val="16"/>
          <w:color w:val="EE2724"/>
        </w:rPr>
        <w:t>lilly.com</w:t>
      </w:r>
      <w:r>
        <w:rPr>
          <w:rFonts w:ascii="Arial" w:cs="Arial" w:eastAsia="Arial" w:hAnsi="Arial"/>
          <w:sz w:val="16"/>
          <w:szCs w:val="16"/>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6"/>
          <w:szCs w:val="16"/>
          <w:color w:val="EE2724"/>
        </w:rPr>
        <w:t>investor.lilly.com/sec.cfm</w:t>
      </w:r>
      <w:r>
        <w:rPr>
          <w:rFonts w:ascii="Arial" w:cs="Arial" w:eastAsia="Arial" w:hAnsi="Arial"/>
          <w:sz w:val="16"/>
          <w:szCs w:val="16"/>
          <w:color w:val="auto"/>
        </w:rPr>
        <w:t xml:space="preserve">. This proxy statement and the annual report to shareholders are also available on our website at </w:t>
      </w:r>
      <w:r>
        <w:rPr>
          <w:rFonts w:ascii="Arial" w:cs="Arial" w:eastAsia="Arial" w:hAnsi="Arial"/>
          <w:sz w:val="16"/>
          <w:szCs w:val="16"/>
          <w:color w:val="EE2724"/>
        </w:rPr>
        <w:t>lilly.com/policies-reports/annual-report</w:t>
      </w:r>
      <w:r>
        <w:rPr>
          <w:rFonts w:ascii="Arial" w:cs="Arial" w:eastAsia="Arial" w:hAnsi="Arial"/>
          <w:sz w:val="16"/>
          <w:szCs w:val="16"/>
          <w:color w:val="auto"/>
        </w:rPr>
        <w:t xml:space="preserve">, and the articles of incorporation, bylaws, and all committee charters are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Ms. Anat Hakim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P88</w:t>
      </w:r>
    </w:p>
    <w:p>
      <w:pPr>
        <w:sectPr>
          <w:pgSz w:w="11900" w:h="16838" w:orient="portrait"/>
          <w:cols w:equalWidth="0" w:num="1">
            <w:col w:w="11240"/>
          </w:cols>
          <w:pgMar w:left="320" w:top="897" w:right="339" w:bottom="1440" w:gutter="0" w:footer="0" w:header="0"/>
        </w:sectPr>
      </w:pPr>
    </w:p>
    <w:bookmarkStart w:id="93" w:name="page94"/>
    <w:bookmarkEnd w:id="93"/>
    <w:p>
      <w:pPr>
        <w:ind w:right="880"/>
        <w:spacing w:after="0" w:line="286" w:lineRule="auto"/>
        <w:rPr>
          <w:sz w:val="20"/>
          <w:szCs w:val="20"/>
          <w:color w:val="auto"/>
        </w:rPr>
      </w:pPr>
      <w:r>
        <w:rPr>
          <w:rFonts w:ascii="Arial" w:cs="Arial" w:eastAsia="Arial" w:hAnsi="Arial"/>
          <w:sz w:val="32"/>
          <w:szCs w:val="32"/>
          <w:b w:val="1"/>
          <w:bCs w:val="1"/>
          <w:color w:val="EF3729"/>
        </w:rPr>
        <w:t>Appendix A - Summary of Adjustments Related to the Annual Cash Bonus and Performance Award</w:t>
      </w: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Consistent with past practice, the Compensation Committee adjusted the reported financial results on which the 2020 annual cash bonus and the 2019-2021 performance awards were determined to eliminate the distorting effect of certain unusual items on incentive compensation performance measures. The adjustments are intended to:</w:t>
      </w:r>
    </w:p>
    <w:p>
      <w:pPr>
        <w:spacing w:after="0" w:line="1" w:lineRule="exact"/>
        <w:rPr>
          <w:sz w:val="20"/>
          <w:szCs w:val="20"/>
          <w:color w:val="auto"/>
        </w:rPr>
      </w:pPr>
    </w:p>
    <w:p>
      <w:pPr>
        <w:ind w:left="300" w:hanging="130"/>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align award payments with the underlying performance of the core business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avoid volatile, artificial inflation or deflation of awards due to unusual items in the award year, and, where relevant, the previous (comparator) year</w:t>
      </w:r>
    </w:p>
    <w:p>
      <w:pPr>
        <w:spacing w:after="0" w:line="5" w:lineRule="exact"/>
        <w:rPr>
          <w:rFonts w:ascii="Arial" w:cs="Arial" w:eastAsia="Arial" w:hAnsi="Arial"/>
          <w:sz w:val="16"/>
          <w:szCs w:val="16"/>
          <w:color w:val="auto"/>
        </w:rPr>
      </w:pPr>
    </w:p>
    <w:p>
      <w:pPr>
        <w:ind w:left="340" w:right="420" w:hanging="170"/>
        <w:spacing w:after="0" w:line="246" w:lineRule="auto"/>
        <w:tabs>
          <w:tab w:leader="none" w:pos="30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ind w:left="300" w:hanging="130"/>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facilitate comparisons with peer companies.</w:t>
      </w: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To ensure the integrity of the adjustments, the Compensation Committee establishes adjustment guidelines in the first 90 days of the performance period. These guidelines are generally consistent with the company guidelines for reporting non-GAAP financial measures to the investment community, which are reviewed by the Audit Committee. The adjustments apply equally to income and expense items. The Compensation Committee reviews all adjustments and retains downward discretion, i.e., discretion to reduce compensation below the amounts that are yielded by the adjustment guidelines.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for 2020 Bonus Plan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For 2020 bonus calculations, the Compensation Committee made the following adjustments to reported EPS consistent with our external reporting of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w:t>
      </w:r>
    </w:p>
    <w:p>
      <w:pPr>
        <w:spacing w:after="0" w:line="248" w:lineRule="exact"/>
        <w:rPr>
          <w:sz w:val="20"/>
          <w:szCs w:val="20"/>
          <w:color w:val="auto"/>
        </w:rPr>
      </w:pPr>
    </w:p>
    <w:p>
      <w:pPr>
        <w:ind w:left="300" w:hanging="130"/>
        <w:spacing w:after="0"/>
        <w:tabs>
          <w:tab w:leader="none" w:pos="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Eliminated the impact of the charges recognized for acquired in-process research and development</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Eliminated the impact of amortization of intangible assets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Eliminated the impact of asset impairments, restructuring, and other special charges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adjustments consistent with our reporting of non-GAAP financial measures, the Compensation Committee made the following adjustments:</w:t>
      </w:r>
    </w:p>
    <w:p>
      <w:pPr>
        <w:spacing w:after="0" w:line="235" w:lineRule="exact"/>
        <w:rPr>
          <w:sz w:val="20"/>
          <w:szCs w:val="20"/>
          <w:color w:val="auto"/>
        </w:rPr>
      </w:pPr>
    </w:p>
    <w:p>
      <w:pPr>
        <w:ind w:left="340" w:right="100" w:hanging="170"/>
        <w:spacing w:after="0" w:line="228" w:lineRule="auto"/>
        <w:tabs>
          <w:tab w:leader="none" w:pos="32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When the Compensation Committee set 2020 bonus targets, the EPS goal was set assuming a lower amount of net gains on investments in equity securities than were recognized during 2020. The Compensation Committee neutralized the impact of the net gains on investments in equity securities on EPS results in an amount that significantly exceeded the expected net gains on investments originally included in the EPS goal.</w:t>
      </w:r>
    </w:p>
    <w:p>
      <w:pPr>
        <w:spacing w:after="0" w:line="2" w:lineRule="exact"/>
        <w:rPr>
          <w:rFonts w:ascii="Arial" w:cs="Arial" w:eastAsia="Arial" w:hAnsi="Arial"/>
          <w:sz w:val="16"/>
          <w:szCs w:val="16"/>
          <w:color w:val="auto"/>
        </w:rPr>
      </w:pPr>
    </w:p>
    <w:p>
      <w:pPr>
        <w:ind w:left="340" w:hanging="170"/>
        <w:spacing w:after="0" w:line="237" w:lineRule="auto"/>
        <w:tabs>
          <w:tab w:leader="none" w:pos="30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When the Compensation Committee set 2020 bonus targets, the revenue and EPS goal did not contemplate estimated savings from certain discrete and unplanned performance items. The Compensation Committee reduced revenue and non-GAAP EPS for the purposes of the bonus calculation to exclude the savings from these items.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reconciliation of adjustments to our reported revenue is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4"/>
        </w:trPr>
        <w:tc>
          <w:tcPr>
            <w:tcW w:w="8940" w:type="dxa"/>
            <w:vAlign w:val="bottom"/>
          </w:tcPr>
          <w:p>
            <w:pPr>
              <w:ind w:left="20"/>
              <w:spacing w:after="0"/>
              <w:rPr>
                <w:sz w:val="20"/>
                <w:szCs w:val="20"/>
                <w:color w:val="auto"/>
              </w:rPr>
            </w:pPr>
            <w:r>
              <w:rPr>
                <w:rFonts w:ascii="Arial" w:cs="Arial" w:eastAsia="Arial" w:hAnsi="Arial"/>
                <w:sz w:val="14"/>
                <w:szCs w:val="14"/>
                <w:color w:val="auto"/>
              </w:rPr>
              <w:t>Revenue as reported</w:t>
            </w:r>
          </w:p>
        </w:tc>
        <w:tc>
          <w:tcPr>
            <w:tcW w:w="2240" w:type="dxa"/>
            <w:vAlign w:val="bottom"/>
          </w:tcPr>
          <w:p>
            <w:pPr>
              <w:jc w:val="right"/>
              <w:spacing w:after="0"/>
              <w:rPr>
                <w:sz w:val="20"/>
                <w:szCs w:val="20"/>
                <w:color w:val="auto"/>
              </w:rPr>
            </w:pPr>
            <w:r>
              <w:rPr>
                <w:rFonts w:ascii="Arial" w:cs="Arial" w:eastAsia="Arial" w:hAnsi="Arial"/>
                <w:sz w:val="14"/>
                <w:szCs w:val="14"/>
                <w:color w:val="auto"/>
              </w:rPr>
              <w:t>$24,539.8</w:t>
            </w:r>
          </w:p>
        </w:tc>
      </w:tr>
      <w:tr>
        <w:trPr>
          <w:trHeight w:val="188"/>
        </w:trPr>
        <w:tc>
          <w:tcPr>
            <w:tcW w:w="8940" w:type="dxa"/>
            <w:vAlign w:val="bottom"/>
          </w:tcPr>
          <w:p>
            <w:pPr>
              <w:ind w:left="180"/>
              <w:spacing w:after="0"/>
              <w:rPr>
                <w:sz w:val="20"/>
                <w:szCs w:val="20"/>
                <w:color w:val="auto"/>
              </w:rPr>
            </w:pPr>
            <w:r>
              <w:rPr>
                <w:rFonts w:ascii="Arial" w:cs="Arial" w:eastAsia="Arial" w:hAnsi="Arial"/>
                <w:sz w:val="14"/>
                <w:szCs w:val="14"/>
                <w:color w:val="auto"/>
              </w:rPr>
              <w:t>Adjustment for estimated savings from certain discrete and unplanned performance items</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$(286.0)</w:t>
            </w:r>
          </w:p>
        </w:tc>
      </w:tr>
      <w:tr>
        <w:trPr>
          <w:trHeight w:val="184"/>
        </w:trPr>
        <w:tc>
          <w:tcPr>
            <w:tcW w:w="8940" w:type="dxa"/>
            <w:vAlign w:val="bottom"/>
          </w:tcPr>
          <w:p>
            <w:pPr>
              <w:ind w:left="20"/>
              <w:spacing w:after="0"/>
              <w:rPr>
                <w:sz w:val="20"/>
                <w:szCs w:val="20"/>
                <w:color w:val="auto"/>
              </w:rPr>
            </w:pPr>
            <w:r>
              <w:rPr>
                <w:rFonts w:ascii="Arial" w:cs="Arial" w:eastAsia="Arial" w:hAnsi="Arial"/>
                <w:sz w:val="14"/>
                <w:szCs w:val="14"/>
                <w:color w:val="auto"/>
              </w:rPr>
              <w:t>Adjusted revenue</w:t>
            </w:r>
          </w:p>
        </w:tc>
        <w:tc>
          <w:tcPr>
            <w:tcW w:w="2240" w:type="dxa"/>
            <w:vAlign w:val="bottom"/>
          </w:tcPr>
          <w:p>
            <w:pPr>
              <w:jc w:val="right"/>
              <w:spacing w:after="0"/>
              <w:rPr>
                <w:sz w:val="20"/>
                <w:szCs w:val="20"/>
                <w:color w:val="auto"/>
              </w:rPr>
            </w:pPr>
            <w:r>
              <w:rPr>
                <w:rFonts w:ascii="Arial" w:cs="Arial" w:eastAsia="Arial" w:hAnsi="Arial"/>
                <w:sz w:val="14"/>
                <w:szCs w:val="14"/>
                <w:color w:val="auto"/>
              </w:rPr>
              <w:t>$24,253.8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P89</w:t>
      </w:r>
    </w:p>
    <w:p>
      <w:pPr>
        <w:sectPr>
          <w:pgSz w:w="11900" w:h="16838" w:orient="portrait"/>
          <w:cols w:equalWidth="0" w:num="1">
            <w:col w:w="11200"/>
          </w:cols>
          <w:pgMar w:left="320" w:top="1399" w:right="37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A reconciliation of adjustments to our reported EPS is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4"/>
        </w:trPr>
        <w:tc>
          <w:tcPr>
            <w:tcW w:w="9020" w:type="dxa"/>
            <w:vAlign w:val="bottom"/>
          </w:tcPr>
          <w:p>
            <w:pPr>
              <w:ind w:left="20"/>
              <w:spacing w:after="0"/>
              <w:rPr>
                <w:sz w:val="20"/>
                <w:szCs w:val="20"/>
                <w:color w:val="auto"/>
              </w:rPr>
            </w:pPr>
            <w:r>
              <w:rPr>
                <w:rFonts w:ascii="Arial" w:cs="Arial" w:eastAsia="Arial" w:hAnsi="Arial"/>
                <w:sz w:val="14"/>
                <w:szCs w:val="14"/>
                <w:color w:val="auto"/>
              </w:rPr>
              <w:t>EPS as reported</w:t>
            </w:r>
          </w:p>
        </w:tc>
        <w:tc>
          <w:tcPr>
            <w:tcW w:w="222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189"/>
        </w:trPr>
        <w:tc>
          <w:tcPr>
            <w:tcW w:w="9020" w:type="dxa"/>
            <w:vAlign w:val="bottom"/>
          </w:tcPr>
          <w:p>
            <w:pPr>
              <w:ind w:left="180"/>
              <w:spacing w:after="0"/>
              <w:rPr>
                <w:sz w:val="20"/>
                <w:szCs w:val="20"/>
                <w:color w:val="auto"/>
              </w:rPr>
            </w:pPr>
            <w:r>
              <w:rPr>
                <w:rFonts w:ascii="Arial" w:cs="Arial" w:eastAsia="Arial" w:hAnsi="Arial"/>
                <w:sz w:val="14"/>
                <w:szCs w:val="14"/>
                <w:color w:val="auto"/>
              </w:rPr>
              <w:t>Eliminate acquired in-process research and development charges</w:t>
            </w:r>
          </w:p>
        </w:tc>
        <w:tc>
          <w:tcPr>
            <w:tcW w:w="2220" w:type="dxa"/>
            <w:vAlign w:val="bottom"/>
          </w:tcPr>
          <w:p>
            <w:pPr>
              <w:jc w:val="right"/>
              <w:spacing w:after="0"/>
              <w:rPr>
                <w:sz w:val="20"/>
                <w:szCs w:val="20"/>
                <w:color w:val="auto"/>
              </w:rPr>
            </w:pPr>
            <w:r>
              <w:rPr>
                <w:rFonts w:ascii="Arial" w:cs="Arial" w:eastAsia="Arial" w:hAnsi="Arial"/>
                <w:sz w:val="14"/>
                <w:szCs w:val="14"/>
                <w:color w:val="auto"/>
              </w:rPr>
              <w:t>$0.64</w:t>
            </w:r>
          </w:p>
        </w:tc>
      </w:tr>
      <w:tr>
        <w:trPr>
          <w:trHeight w:val="189"/>
        </w:trPr>
        <w:tc>
          <w:tcPr>
            <w:tcW w:w="9020" w:type="dxa"/>
            <w:vAlign w:val="bottom"/>
          </w:tcPr>
          <w:p>
            <w:pPr>
              <w:ind w:left="180"/>
              <w:spacing w:after="0"/>
              <w:rPr>
                <w:sz w:val="20"/>
                <w:szCs w:val="20"/>
                <w:color w:val="auto"/>
              </w:rPr>
            </w:pPr>
            <w:r>
              <w:rPr>
                <w:rFonts w:ascii="Arial" w:cs="Arial" w:eastAsia="Arial" w:hAnsi="Arial"/>
                <w:sz w:val="14"/>
                <w:szCs w:val="14"/>
                <w:color w:val="auto"/>
              </w:rPr>
              <w:t>Eliminate amortization of intangible assets</w:t>
            </w:r>
          </w:p>
        </w:tc>
        <w:tc>
          <w:tcPr>
            <w:tcW w:w="2220" w:type="dxa"/>
            <w:vAlign w:val="bottom"/>
          </w:tcPr>
          <w:p>
            <w:pPr>
              <w:jc w:val="right"/>
              <w:spacing w:after="0"/>
              <w:rPr>
                <w:sz w:val="20"/>
                <w:szCs w:val="20"/>
                <w:color w:val="auto"/>
              </w:rPr>
            </w:pPr>
            <w:r>
              <w:rPr>
                <w:rFonts w:ascii="Arial" w:cs="Arial" w:eastAsia="Arial" w:hAnsi="Arial"/>
                <w:sz w:val="14"/>
                <w:szCs w:val="14"/>
                <w:color w:val="auto"/>
              </w:rPr>
              <w:t>$0.36</w:t>
            </w:r>
          </w:p>
        </w:tc>
      </w:tr>
      <w:tr>
        <w:trPr>
          <w:trHeight w:val="215"/>
        </w:trPr>
        <w:tc>
          <w:tcPr>
            <w:tcW w:w="9020" w:type="dxa"/>
            <w:vAlign w:val="bottom"/>
          </w:tcPr>
          <w:p>
            <w:pPr>
              <w:ind w:left="180"/>
              <w:spacing w:after="0"/>
              <w:rPr>
                <w:sz w:val="20"/>
                <w:szCs w:val="20"/>
                <w:color w:val="auto"/>
              </w:rPr>
            </w:pPr>
            <w:r>
              <w:rPr>
                <w:rFonts w:ascii="Arial" w:cs="Arial" w:eastAsia="Arial" w:hAnsi="Arial"/>
                <w:sz w:val="14"/>
                <w:szCs w:val="14"/>
                <w:color w:val="auto"/>
              </w:rPr>
              <w:t>Eliminate asset impairments, restructuring, and other special charges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r>
      <w:tr>
        <w:trPr>
          <w:trHeight w:val="184"/>
        </w:trPr>
        <w:tc>
          <w:tcPr>
            <w:tcW w:w="9020" w:type="dxa"/>
            <w:vAlign w:val="bottom"/>
          </w:tcPr>
          <w:p>
            <w:pPr>
              <w:ind w:left="20"/>
              <w:spacing w:after="0"/>
              <w:rPr>
                <w:sz w:val="20"/>
                <w:szCs w:val="20"/>
                <w:color w:val="auto"/>
              </w:rPr>
            </w:pPr>
            <w:r>
              <w:rPr>
                <w:rFonts w:ascii="Arial" w:cs="Arial" w:eastAsia="Arial" w:hAnsi="Arial"/>
                <w:sz w:val="14"/>
                <w:szCs w:val="14"/>
                <w:color w:val="auto"/>
              </w:rPr>
              <w:t>Non-GAAP EPS</w:t>
            </w:r>
          </w:p>
        </w:tc>
        <w:tc>
          <w:tcPr>
            <w:tcW w:w="2220" w:type="dxa"/>
            <w:vAlign w:val="bottom"/>
          </w:tcPr>
          <w:p>
            <w:pPr>
              <w:jc w:val="right"/>
              <w:spacing w:after="0"/>
              <w:rPr>
                <w:sz w:val="20"/>
                <w:szCs w:val="20"/>
                <w:color w:val="auto"/>
              </w:rPr>
            </w:pPr>
            <w:r>
              <w:rPr>
                <w:rFonts w:ascii="Arial" w:cs="Arial" w:eastAsia="Arial" w:hAnsi="Arial"/>
                <w:sz w:val="14"/>
                <w:szCs w:val="14"/>
                <w:color w:val="auto"/>
              </w:rPr>
              <w:t>$7.93</w:t>
            </w:r>
          </w:p>
        </w:tc>
      </w:tr>
      <w:tr>
        <w:trPr>
          <w:trHeight w:val="189"/>
        </w:trPr>
        <w:tc>
          <w:tcPr>
            <w:tcW w:w="9020" w:type="dxa"/>
            <w:vAlign w:val="bottom"/>
          </w:tcPr>
          <w:p>
            <w:pPr>
              <w:ind w:left="20"/>
              <w:spacing w:after="0"/>
              <w:rPr>
                <w:sz w:val="20"/>
                <w:szCs w:val="20"/>
                <w:color w:val="auto"/>
              </w:rPr>
            </w:pPr>
            <w:r>
              <w:rPr>
                <w:rFonts w:ascii="Arial" w:cs="Arial" w:eastAsia="Arial" w:hAnsi="Arial"/>
                <w:sz w:val="14"/>
                <w:szCs w:val="14"/>
                <w:color w:val="auto"/>
              </w:rPr>
              <w:t>Net gains on investments in equity securities adjustment</w:t>
            </w:r>
          </w:p>
        </w:tc>
        <w:tc>
          <w:tcPr>
            <w:tcW w:w="2220" w:type="dxa"/>
            <w:vAlign w:val="bottom"/>
          </w:tcPr>
          <w:p>
            <w:pPr>
              <w:jc w:val="right"/>
              <w:spacing w:after="0"/>
              <w:rPr>
                <w:sz w:val="20"/>
                <w:szCs w:val="20"/>
                <w:color w:val="auto"/>
              </w:rPr>
            </w:pPr>
            <w:r>
              <w:rPr>
                <w:rFonts w:ascii="Arial" w:cs="Arial" w:eastAsia="Arial" w:hAnsi="Arial"/>
                <w:sz w:val="14"/>
                <w:szCs w:val="14"/>
                <w:color w:val="auto"/>
              </w:rPr>
              <w:t>$(0.98)</w:t>
            </w:r>
          </w:p>
        </w:tc>
      </w:tr>
      <w:tr>
        <w:trPr>
          <w:trHeight w:val="188"/>
        </w:trPr>
        <w:tc>
          <w:tcPr>
            <w:tcW w:w="9020" w:type="dxa"/>
            <w:vAlign w:val="bottom"/>
          </w:tcPr>
          <w:p>
            <w:pPr>
              <w:ind w:left="20"/>
              <w:spacing w:after="0"/>
              <w:rPr>
                <w:sz w:val="20"/>
                <w:szCs w:val="20"/>
                <w:color w:val="auto"/>
              </w:rPr>
            </w:pPr>
            <w:r>
              <w:rPr>
                <w:rFonts w:ascii="Arial" w:cs="Arial" w:eastAsia="Arial" w:hAnsi="Arial"/>
                <w:sz w:val="14"/>
                <w:szCs w:val="14"/>
                <w:color w:val="auto"/>
              </w:rPr>
              <w:t>Adjustment for estimated savings from certain discrete and unplanned performance items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r>
      <w:tr>
        <w:trPr>
          <w:trHeight w:val="184"/>
        </w:trPr>
        <w:tc>
          <w:tcPr>
            <w:tcW w:w="9020" w:type="dxa"/>
            <w:vAlign w:val="bottom"/>
          </w:tcPr>
          <w:p>
            <w:pPr>
              <w:ind w:left="20"/>
              <w:spacing w:after="0"/>
              <w:rPr>
                <w:sz w:val="20"/>
                <w:szCs w:val="20"/>
                <w:color w:val="auto"/>
              </w:rPr>
            </w:pPr>
            <w:r>
              <w:rPr>
                <w:rFonts w:ascii="Arial" w:cs="Arial" w:eastAsia="Arial" w:hAnsi="Arial"/>
                <w:sz w:val="14"/>
                <w:szCs w:val="14"/>
                <w:color w:val="auto"/>
              </w:rPr>
              <w:t>Adjusted Non-GAAP EPS</w:t>
            </w:r>
          </w:p>
        </w:tc>
        <w:tc>
          <w:tcPr>
            <w:tcW w:w="2220" w:type="dxa"/>
            <w:vAlign w:val="bottom"/>
          </w:tcPr>
          <w:p>
            <w:pPr>
              <w:jc w:val="right"/>
              <w:spacing w:after="0"/>
              <w:rPr>
                <w:sz w:val="20"/>
                <w:szCs w:val="20"/>
                <w:color w:val="auto"/>
              </w:rPr>
            </w:pPr>
            <w:r>
              <w:rPr>
                <w:rFonts w:ascii="Arial" w:cs="Arial" w:eastAsia="Arial" w:hAnsi="Arial"/>
                <w:sz w:val="14"/>
                <w:szCs w:val="14"/>
                <w:color w:val="auto"/>
              </w:rPr>
              <w:t>$6.70</w:t>
            </w:r>
          </w:p>
        </w:tc>
      </w:tr>
      <w:tr>
        <w:trPr>
          <w:trHeight w:val="257"/>
        </w:trPr>
        <w:tc>
          <w:tcPr>
            <w:tcW w:w="9020" w:type="dxa"/>
            <w:vAlign w:val="bottom"/>
          </w:tcPr>
          <w:p>
            <w:pPr>
              <w:spacing w:after="0"/>
              <w:rPr>
                <w:sz w:val="20"/>
                <w:szCs w:val="20"/>
                <w:color w:val="auto"/>
              </w:rPr>
            </w:pPr>
            <w:r>
              <w:rPr>
                <w:rFonts w:ascii="Arial" w:cs="Arial" w:eastAsia="Arial" w:hAnsi="Arial"/>
                <w:sz w:val="14"/>
                <w:szCs w:val="14"/>
                <w:color w:val="auto"/>
              </w:rPr>
              <w:t>*Numbers may not add due to rounding</w:t>
            </w:r>
          </w:p>
        </w:tc>
        <w:tc>
          <w:tcPr>
            <w:tcW w:w="2220" w:type="dxa"/>
            <w:vAlign w:val="bottom"/>
          </w:tcPr>
          <w:p>
            <w:pPr>
              <w:spacing w:after="0"/>
              <w:rPr>
                <w:sz w:val="22"/>
                <w:szCs w:val="22"/>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for 2019-2021 Performance Award</w:t>
      </w:r>
    </w:p>
    <w:p>
      <w:pPr>
        <w:spacing w:after="0" w:line="2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 the 2019-2021 performance award payout calculations, the Compensation Committee made the following adjustments to reported EPS consistent with our reporting of non-GAAP financial measures:</w:t>
      </w:r>
    </w:p>
    <w:p>
      <w:pPr>
        <w:spacing w:after="0" w:line="222" w:lineRule="exact"/>
        <w:rPr>
          <w:sz w:val="20"/>
          <w:szCs w:val="20"/>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2019 and 2018: Eliminated Elanco discontinued operations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2020, 2019, and 2018: Eliminated the impact of charges recognized for acquired in-process research and development</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2020, 2019, and 2018: Eliminated the impact of amortization of intangible assets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2020, 2019, and 2018: Eliminated the impact of asset impairments, restructuring, and other special charges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2019: Eliminated the impact of the gain on sale of the China antibiotics business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2019: Eliminated the charge related to the repurchase of debt</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2019: Eliminated the impact of Lartruvo charges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2019 and 2018: Eliminated the impact of reduced shares outstanding from the Elanco exchange offer</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2019 and 2018: Eliminated the impact of certain income tax items</w:t>
      </w:r>
    </w:p>
    <w:p>
      <w:pPr>
        <w:spacing w:after="0" w:line="5" w:lineRule="exact"/>
        <w:rPr>
          <w:rFonts w:ascii="Arial" w:cs="Arial" w:eastAsia="Arial" w:hAnsi="Arial"/>
          <w:sz w:val="16"/>
          <w:szCs w:val="16"/>
          <w:color w:val="auto"/>
        </w:rPr>
      </w:pPr>
    </w:p>
    <w:p>
      <w:pPr>
        <w:ind w:left="300" w:hanging="130"/>
        <w:spacing w:after="0"/>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2018: Eliminated the impact of other specified items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adjustments consistent with our reporting of non-GAAP financial measures, the Compensation Committee made the following adjustments:</w:t>
      </w:r>
    </w:p>
    <w:p>
      <w:pPr>
        <w:spacing w:after="0" w:line="235" w:lineRule="exact"/>
        <w:rPr>
          <w:sz w:val="20"/>
          <w:szCs w:val="20"/>
          <w:color w:val="auto"/>
        </w:rPr>
      </w:pPr>
    </w:p>
    <w:p>
      <w:pPr>
        <w:ind w:left="340" w:right="80" w:hanging="170"/>
        <w:spacing w:after="0" w:line="228" w:lineRule="auto"/>
        <w:tabs>
          <w:tab w:leader="none" w:pos="32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When the Compensation Committee set 2019-2021 performance award targets, the goal was set assuming a lower amount of net gains on investments in equity securities. The Compensation Committee neutralized the impact of the net gains on investments in equity securities on EPS results in an amount that significantly exceeded the expected net gains on investments originally included in the EPS goal during 2020.</w:t>
      </w:r>
    </w:p>
    <w:p>
      <w:pPr>
        <w:spacing w:after="0" w:line="2" w:lineRule="exact"/>
        <w:rPr>
          <w:rFonts w:ascii="Arial" w:cs="Arial" w:eastAsia="Arial" w:hAnsi="Arial"/>
          <w:sz w:val="16"/>
          <w:szCs w:val="16"/>
          <w:color w:val="auto"/>
        </w:rPr>
      </w:pPr>
    </w:p>
    <w:p>
      <w:pPr>
        <w:ind w:left="340" w:right="160" w:hanging="170"/>
        <w:spacing w:after="0" w:line="237" w:lineRule="auto"/>
        <w:tabs>
          <w:tab w:leader="none" w:pos="32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When the Compensation Committee set 2019-2021 performance award targets, the Compensation Committee adjusted the 2018 base-year results, to which the expected industry growth rates are applied to derive the two-year cumulative EPS goals, to neutralize the expected EPS impact of the acquisition of Loxo Oncology, Inc. (Loxo), which occurred in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P90</w:t>
      </w:r>
    </w:p>
    <w:p>
      <w:pPr>
        <w:sectPr>
          <w:pgSz w:w="11900" w:h="16838" w:orient="portrait"/>
          <w:cols w:equalWidth="0" w:num="1">
            <w:col w:w="11240"/>
          </w:cols>
          <w:pgMar w:left="320" w:top="1437"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A reconciliation of adjustments to our reported EPS is below:</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4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 Growth</w:t>
            </w:r>
          </w:p>
        </w:tc>
        <w:tc>
          <w:tcPr>
            <w:tcW w:w="960" w:type="dxa"/>
            <w:vAlign w:val="bottom"/>
            <w:tcBorders>
              <w:right w:val="single" w:sz="8" w:color="auto"/>
            </w:tcBorders>
          </w:tcPr>
          <w:p>
            <w:pPr>
              <w:spacing w:after="0"/>
              <w:rPr>
                <w:sz w:val="24"/>
                <w:szCs w:val="24"/>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2019</w:t>
            </w:r>
          </w:p>
        </w:tc>
        <w:tc>
          <w:tcPr>
            <w:tcW w:w="13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2020 vs. 2019</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2019 vs. 2018</w:t>
            </w:r>
          </w:p>
        </w:tc>
        <w:tc>
          <w:tcPr>
            <w:tcW w:w="0" w:type="dxa"/>
            <w:vAlign w:val="bottom"/>
          </w:tcPr>
          <w:p>
            <w:pPr>
              <w:spacing w:after="0"/>
              <w:rPr>
                <w:sz w:val="1"/>
                <w:szCs w:val="1"/>
                <w:color w:val="auto"/>
              </w:rPr>
            </w:pPr>
          </w:p>
        </w:tc>
      </w:tr>
      <w:tr>
        <w:trPr>
          <w:trHeight w:val="93"/>
        </w:trPr>
        <w:tc>
          <w:tcPr>
            <w:tcW w:w="47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40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color w:val="auto"/>
              </w:rPr>
              <w:t>EPS as reported</w:t>
            </w:r>
          </w:p>
        </w:tc>
        <w:tc>
          <w:tcPr>
            <w:tcW w:w="1320" w:type="dxa"/>
            <w:vAlign w:val="bottom"/>
          </w:tcPr>
          <w:p>
            <w:pPr>
              <w:jc w:val="center"/>
              <w:spacing w:after="0"/>
              <w:rPr>
                <w:sz w:val="20"/>
                <w:szCs w:val="20"/>
                <w:color w:val="auto"/>
              </w:rPr>
            </w:pPr>
            <w:r>
              <w:rPr>
                <w:rFonts w:ascii="Arial" w:cs="Arial" w:eastAsia="Arial" w:hAnsi="Arial"/>
                <w:sz w:val="14"/>
                <w:szCs w:val="14"/>
                <w:color w:val="auto"/>
              </w:rPr>
              <w:t>$6.79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$8.89</w:t>
            </w:r>
          </w:p>
        </w:tc>
        <w:tc>
          <w:tcPr>
            <w:tcW w:w="134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(23.6%)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8"/>
        </w:trPr>
        <w:tc>
          <w:tcPr>
            <w:tcW w:w="4760" w:type="dxa"/>
            <w:vAlign w:val="bottom"/>
          </w:tcPr>
          <w:p>
            <w:pPr>
              <w:ind w:left="180"/>
              <w:spacing w:after="0"/>
              <w:rPr>
                <w:sz w:val="20"/>
                <w:szCs w:val="20"/>
                <w:color w:val="auto"/>
              </w:rPr>
            </w:pPr>
            <w:r>
              <w:rPr>
                <w:rFonts w:ascii="Arial" w:cs="Arial" w:eastAsia="Arial" w:hAnsi="Arial"/>
                <w:sz w:val="14"/>
                <w:szCs w:val="14"/>
                <w:color w:val="auto"/>
              </w:rPr>
              <w:t>Eliminate Elanco discontinued operations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$(3.93)</w:t>
            </w:r>
          </w:p>
        </w:tc>
        <w:tc>
          <w:tcPr>
            <w:tcW w:w="134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$(0.08)</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180"/>
              <w:spacing w:after="0"/>
              <w:rPr>
                <w:sz w:val="20"/>
                <w:szCs w:val="20"/>
                <w:color w:val="auto"/>
              </w:rPr>
            </w:pPr>
            <w:r>
              <w:rPr>
                <w:rFonts w:ascii="Arial" w:cs="Arial" w:eastAsia="Arial" w:hAnsi="Arial"/>
                <w:sz w:val="14"/>
                <w:szCs w:val="14"/>
                <w:color w:val="auto"/>
              </w:rPr>
              <w:t>EPS as reported from continuing operations</w:t>
            </w:r>
          </w:p>
        </w:tc>
        <w:tc>
          <w:tcPr>
            <w:tcW w:w="1320" w:type="dxa"/>
            <w:vAlign w:val="bottom"/>
          </w:tcPr>
          <w:p>
            <w:pPr>
              <w:jc w:val="center"/>
              <w:spacing w:after="0"/>
              <w:rPr>
                <w:sz w:val="20"/>
                <w:szCs w:val="20"/>
                <w:color w:val="auto"/>
              </w:rPr>
            </w:pPr>
            <w:r>
              <w:rPr>
                <w:rFonts w:ascii="Arial" w:cs="Arial" w:eastAsia="Arial" w:hAnsi="Arial"/>
                <w:sz w:val="14"/>
                <w:szCs w:val="14"/>
                <w:color w:val="auto"/>
              </w:rPr>
              <w:t>$6.79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$4.96</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$3.05</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180"/>
              <w:spacing w:after="0"/>
              <w:rPr>
                <w:sz w:val="20"/>
                <w:szCs w:val="20"/>
                <w:color w:val="auto"/>
              </w:rPr>
            </w:pPr>
            <w:r>
              <w:rPr>
                <w:rFonts w:ascii="Arial" w:cs="Arial" w:eastAsia="Arial" w:hAnsi="Arial"/>
                <w:sz w:val="14"/>
                <w:szCs w:val="14"/>
                <w:color w:val="auto"/>
              </w:rPr>
              <w:t>Eliminate acquired in-process research and development charges</w:t>
            </w:r>
          </w:p>
        </w:tc>
        <w:tc>
          <w:tcPr>
            <w:tcW w:w="1320" w:type="dxa"/>
            <w:vAlign w:val="bottom"/>
          </w:tcPr>
          <w:p>
            <w:pPr>
              <w:jc w:val="center"/>
              <w:spacing w:after="0"/>
              <w:rPr>
                <w:sz w:val="20"/>
                <w:szCs w:val="20"/>
                <w:color w:val="auto"/>
              </w:rPr>
            </w:pPr>
            <w:r>
              <w:rPr>
                <w:rFonts w:ascii="Arial" w:cs="Arial" w:eastAsia="Arial" w:hAnsi="Arial"/>
                <w:sz w:val="14"/>
                <w:szCs w:val="14"/>
                <w:color w:val="auto"/>
              </w:rPr>
              <w:t>$0.64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$0.21</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$1.96</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180"/>
              <w:spacing w:after="0"/>
              <w:rPr>
                <w:sz w:val="20"/>
                <w:szCs w:val="20"/>
                <w:color w:val="auto"/>
              </w:rPr>
            </w:pPr>
            <w:r>
              <w:rPr>
                <w:rFonts w:ascii="Arial" w:cs="Arial" w:eastAsia="Arial" w:hAnsi="Arial"/>
                <w:sz w:val="14"/>
                <w:szCs w:val="14"/>
                <w:color w:val="auto"/>
              </w:rPr>
              <w:t>Eliminate amortization of intangible assets</w:t>
            </w:r>
          </w:p>
        </w:tc>
        <w:tc>
          <w:tcPr>
            <w:tcW w:w="1320" w:type="dxa"/>
            <w:vAlign w:val="bottom"/>
          </w:tcPr>
          <w:p>
            <w:pPr>
              <w:jc w:val="center"/>
              <w:spacing w:after="0"/>
              <w:rPr>
                <w:sz w:val="20"/>
                <w:szCs w:val="20"/>
                <w:color w:val="auto"/>
              </w:rPr>
            </w:pPr>
            <w:r>
              <w:rPr>
                <w:rFonts w:ascii="Arial" w:cs="Arial" w:eastAsia="Arial" w:hAnsi="Arial"/>
                <w:sz w:val="14"/>
                <w:szCs w:val="14"/>
                <w:color w:val="auto"/>
              </w:rPr>
              <w:t>$0.36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$0.18</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$0.28</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60" w:type="dxa"/>
            <w:vAlign w:val="bottom"/>
          </w:tcPr>
          <w:p>
            <w:pPr>
              <w:ind w:left="180"/>
              <w:spacing w:after="0" w:line="152" w:lineRule="exact"/>
              <w:rPr>
                <w:sz w:val="20"/>
                <w:szCs w:val="20"/>
                <w:color w:val="auto"/>
              </w:rPr>
            </w:pPr>
            <w:r>
              <w:rPr>
                <w:rFonts w:ascii="Arial" w:cs="Arial" w:eastAsia="Arial" w:hAnsi="Arial"/>
                <w:sz w:val="14"/>
                <w:szCs w:val="14"/>
                <w:color w:val="auto"/>
              </w:rPr>
              <w:t>Eliminate asset impairment, restructuring, and other</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$0.14</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$0.58</w:t>
            </w:r>
          </w:p>
        </w:tc>
        <w:tc>
          <w:tcPr>
            <w:tcW w:w="13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$0.24</w:t>
            </w: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80"/>
              <w:spacing w:after="0"/>
              <w:rPr>
                <w:sz w:val="20"/>
                <w:szCs w:val="20"/>
                <w:color w:val="auto"/>
              </w:rPr>
            </w:pPr>
            <w:r>
              <w:rPr>
                <w:rFonts w:ascii="Arial" w:cs="Arial" w:eastAsia="Arial" w:hAnsi="Arial"/>
                <w:sz w:val="14"/>
                <w:szCs w:val="14"/>
                <w:color w:val="auto"/>
              </w:rPr>
              <w:t>special charges</w:t>
            </w:r>
          </w:p>
        </w:tc>
        <w:tc>
          <w:tcPr>
            <w:tcW w:w="1320" w:type="dxa"/>
            <w:vAlign w:val="bottom"/>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180"/>
              <w:spacing w:after="0"/>
              <w:rPr>
                <w:sz w:val="20"/>
                <w:szCs w:val="20"/>
                <w:color w:val="auto"/>
              </w:rPr>
            </w:pPr>
            <w:r>
              <w:rPr>
                <w:rFonts w:ascii="Arial" w:cs="Arial" w:eastAsia="Arial" w:hAnsi="Arial"/>
                <w:sz w:val="14"/>
                <w:szCs w:val="14"/>
                <w:color w:val="auto"/>
              </w:rPr>
              <w:t>Eliminate gain on sale of China antibiotics business</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$(0.26)</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180"/>
              <w:spacing w:after="0"/>
              <w:rPr>
                <w:sz w:val="20"/>
                <w:szCs w:val="20"/>
                <w:color w:val="auto"/>
              </w:rPr>
            </w:pPr>
            <w:r>
              <w:rPr>
                <w:rFonts w:ascii="Arial" w:cs="Arial" w:eastAsia="Arial" w:hAnsi="Arial"/>
                <w:sz w:val="14"/>
                <w:szCs w:val="14"/>
                <w:color w:val="auto"/>
              </w:rPr>
              <w:t>Eliminate charge related to repurchase of debt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180"/>
              <w:spacing w:after="0"/>
              <w:rPr>
                <w:sz w:val="20"/>
                <w:szCs w:val="20"/>
                <w:color w:val="auto"/>
              </w:rPr>
            </w:pPr>
            <w:r>
              <w:rPr>
                <w:rFonts w:ascii="Arial" w:cs="Arial" w:eastAsia="Arial" w:hAnsi="Arial"/>
                <w:sz w:val="14"/>
                <w:szCs w:val="14"/>
                <w:color w:val="auto"/>
              </w:rPr>
              <w:t>Eliminate Lartruvo charges</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$0.14</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60" w:type="dxa"/>
            <w:vAlign w:val="bottom"/>
          </w:tcPr>
          <w:p>
            <w:pPr>
              <w:ind w:left="180"/>
              <w:spacing w:after="0" w:line="147" w:lineRule="exact"/>
              <w:rPr>
                <w:sz w:val="20"/>
                <w:szCs w:val="20"/>
                <w:color w:val="auto"/>
              </w:rPr>
            </w:pPr>
            <w:r>
              <w:rPr>
                <w:rFonts w:ascii="Arial" w:cs="Arial" w:eastAsia="Arial" w:hAnsi="Arial"/>
                <w:sz w:val="14"/>
                <w:szCs w:val="14"/>
                <w:color w:val="auto"/>
              </w:rPr>
              <w:t>Eliminate impact of reduced shares outstanding for non-GAAP</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$0.07</w:t>
            </w:r>
          </w:p>
        </w:tc>
        <w:tc>
          <w:tcPr>
            <w:tcW w:w="13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$0.20</w:t>
            </w: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180"/>
              <w:spacing w:after="0" w:line="185" w:lineRule="exact"/>
              <w:rPr>
                <w:sz w:val="20"/>
                <w:szCs w:val="20"/>
                <w:color w:val="auto"/>
              </w:rPr>
            </w:pPr>
            <w:r>
              <w:rPr>
                <w:rFonts w:ascii="Arial" w:cs="Arial" w:eastAsia="Arial" w:hAnsi="Arial"/>
                <w:sz w:val="14"/>
                <w:szCs w:val="14"/>
                <w:color w:val="auto"/>
              </w:rPr>
              <w:t>reporting</w:t>
            </w:r>
            <w:r>
              <w:rPr>
                <w:rFonts w:ascii="Arial" w:cs="Arial" w:eastAsia="Arial" w:hAnsi="Arial"/>
                <w:sz w:val="18"/>
                <w:szCs w:val="18"/>
                <w:color w:val="auto"/>
                <w:vertAlign w:val="superscript"/>
              </w:rPr>
              <w:t>(a)</w:t>
            </w:r>
          </w:p>
        </w:tc>
        <w:tc>
          <w:tcPr>
            <w:tcW w:w="1320" w:type="dxa"/>
            <w:vAlign w:val="bottom"/>
            <w:vMerge w:val="continue"/>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180"/>
              <w:spacing w:after="0" w:line="197" w:lineRule="exact"/>
              <w:rPr>
                <w:sz w:val="20"/>
                <w:szCs w:val="20"/>
                <w:color w:val="auto"/>
              </w:rPr>
            </w:pPr>
            <w:r>
              <w:rPr>
                <w:rFonts w:ascii="Arial" w:cs="Arial" w:eastAsia="Arial" w:hAnsi="Arial"/>
                <w:sz w:val="14"/>
                <w:szCs w:val="14"/>
                <w:color w:val="auto"/>
              </w:rPr>
              <w:t>Eliminate the impact of certain tax items</w:t>
            </w:r>
            <w:r>
              <w:rPr>
                <w:rFonts w:ascii="Arial" w:cs="Arial" w:eastAsia="Arial" w:hAnsi="Arial"/>
                <w:sz w:val="18"/>
                <w:szCs w:val="18"/>
                <w:color w:val="auto"/>
                <w:vertAlign w:val="superscript"/>
              </w:rPr>
              <w:t>(b)</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$(0.05)</w:t>
            </w:r>
          </w:p>
        </w:tc>
        <w:tc>
          <w:tcPr>
            <w:tcW w:w="13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$(0.27)</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60" w:type="dxa"/>
            <w:vAlign w:val="bottom"/>
          </w:tcPr>
          <w:p>
            <w:pPr>
              <w:ind w:left="180"/>
              <w:spacing w:after="0"/>
              <w:rPr>
                <w:sz w:val="20"/>
                <w:szCs w:val="20"/>
                <w:color w:val="auto"/>
              </w:rPr>
            </w:pPr>
            <w:r>
              <w:rPr>
                <w:rFonts w:ascii="Arial" w:cs="Arial" w:eastAsia="Arial" w:hAnsi="Arial"/>
                <w:sz w:val="14"/>
                <w:szCs w:val="14"/>
                <w:color w:val="auto"/>
              </w:rPr>
              <w:t>Eliminate other specified items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$(0.02)</w:t>
            </w: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color w:val="auto"/>
              </w:rPr>
              <w:t>Non-GAAP EPS</w:t>
            </w:r>
          </w:p>
        </w:tc>
        <w:tc>
          <w:tcPr>
            <w:tcW w:w="1320" w:type="dxa"/>
            <w:vAlign w:val="bottom"/>
          </w:tcPr>
          <w:p>
            <w:pPr>
              <w:jc w:val="center"/>
              <w:spacing w:after="0"/>
              <w:rPr>
                <w:sz w:val="20"/>
                <w:szCs w:val="20"/>
                <w:color w:val="auto"/>
              </w:rPr>
            </w:pPr>
            <w:r>
              <w:rPr>
                <w:rFonts w:ascii="Arial" w:cs="Arial" w:eastAsia="Arial" w:hAnsi="Arial"/>
                <w:sz w:val="14"/>
                <w:szCs w:val="14"/>
                <w:color w:val="auto"/>
              </w:rPr>
              <w:t>$7.93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$6.04</w:t>
            </w:r>
          </w:p>
        </w:tc>
        <w:tc>
          <w:tcPr>
            <w:tcW w:w="1340" w:type="dxa"/>
            <w:vAlign w:val="bottom"/>
            <w:tcBorders>
              <w:right w:val="single" w:sz="8" w:color="auto"/>
            </w:tcBorders>
          </w:tcPr>
          <w:p>
            <w:pPr>
              <w:jc w:val="right"/>
              <w:ind w:right="408"/>
              <w:spacing w:after="0"/>
              <w:rPr>
                <w:sz w:val="20"/>
                <w:szCs w:val="20"/>
                <w:color w:val="auto"/>
              </w:rPr>
            </w:pPr>
            <w:r>
              <w:rPr>
                <w:rFonts w:ascii="Arial" w:cs="Arial" w:eastAsia="Arial" w:hAnsi="Arial"/>
                <w:sz w:val="14"/>
                <w:szCs w:val="14"/>
                <w:color w:val="auto"/>
              </w:rPr>
              <w:t>31.3%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4760" w:type="dxa"/>
            <w:vAlign w:val="bottom"/>
          </w:tcPr>
          <w:p>
            <w:pPr>
              <w:ind w:left="180"/>
              <w:spacing w:after="0"/>
              <w:rPr>
                <w:sz w:val="20"/>
                <w:szCs w:val="20"/>
                <w:color w:val="auto"/>
              </w:rPr>
            </w:pPr>
            <w:r>
              <w:rPr>
                <w:rFonts w:ascii="Arial" w:cs="Arial" w:eastAsia="Arial" w:hAnsi="Arial"/>
                <w:sz w:val="14"/>
                <w:szCs w:val="14"/>
                <w:color w:val="auto"/>
              </w:rPr>
              <w:t>Net gains on investments in equity securities</w:t>
            </w:r>
          </w:p>
        </w:tc>
        <w:tc>
          <w:tcPr>
            <w:tcW w:w="1320" w:type="dxa"/>
            <w:vAlign w:val="bottom"/>
          </w:tcPr>
          <w:p>
            <w:pPr>
              <w:jc w:val="center"/>
              <w:spacing w:after="0"/>
              <w:rPr>
                <w:sz w:val="20"/>
                <w:szCs w:val="20"/>
                <w:color w:val="auto"/>
              </w:rPr>
            </w:pPr>
            <w:r>
              <w:rPr>
                <w:rFonts w:ascii="Arial" w:cs="Arial" w:eastAsia="Arial" w:hAnsi="Arial"/>
                <w:sz w:val="14"/>
                <w:szCs w:val="14"/>
                <w:color w:val="auto"/>
              </w:rPr>
              <w:t>$0.98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60" w:type="dxa"/>
            <w:vAlign w:val="bottom"/>
          </w:tcPr>
          <w:p>
            <w:pPr>
              <w:ind w:left="180"/>
              <w:spacing w:after="0"/>
              <w:rPr>
                <w:sz w:val="20"/>
                <w:szCs w:val="20"/>
                <w:color w:val="auto"/>
              </w:rPr>
            </w:pPr>
            <w:r>
              <w:rPr>
                <w:rFonts w:ascii="Arial" w:cs="Arial" w:eastAsia="Arial" w:hAnsi="Arial"/>
                <w:sz w:val="14"/>
                <w:szCs w:val="14"/>
                <w:color w:val="auto"/>
              </w:rPr>
              <w:t>Loxo acquisition adjustment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$(0.34)</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rPr>
                <w:sz w:val="20"/>
                <w:szCs w:val="20"/>
                <w:color w:val="auto"/>
              </w:rPr>
            </w:pPr>
            <w:r>
              <w:rPr>
                <w:rFonts w:ascii="Arial" w:cs="Arial" w:eastAsia="Arial" w:hAnsi="Arial"/>
                <w:sz w:val="14"/>
                <w:szCs w:val="14"/>
                <w:color w:val="auto"/>
              </w:rPr>
              <w:t>Adjusted Non-GAAP EPS</w:t>
            </w:r>
          </w:p>
        </w:tc>
        <w:tc>
          <w:tcPr>
            <w:tcW w:w="1320" w:type="dxa"/>
            <w:vAlign w:val="bottom"/>
          </w:tcPr>
          <w:p>
            <w:pPr>
              <w:jc w:val="center"/>
              <w:spacing w:after="0"/>
              <w:rPr>
                <w:sz w:val="20"/>
                <w:szCs w:val="20"/>
                <w:color w:val="auto"/>
              </w:rPr>
            </w:pPr>
            <w:r>
              <w:rPr>
                <w:rFonts w:ascii="Arial" w:cs="Arial" w:eastAsia="Arial" w:hAnsi="Arial"/>
                <w:sz w:val="14"/>
                <w:szCs w:val="14"/>
                <w:color w:val="auto"/>
              </w:rPr>
              <w:t>$6.95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$6.04</w:t>
            </w:r>
          </w:p>
        </w:tc>
        <w:tc>
          <w:tcPr>
            <w:tcW w:w="134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15.1%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 w:lineRule="exact"/>
        <w:rPr>
          <w:sz w:val="20"/>
          <w:szCs w:val="20"/>
          <w:color w:val="auto"/>
        </w:rPr>
      </w:pPr>
    </w:p>
    <w:p>
      <w:pPr>
        <w:ind w:right="400" w:firstLine="8"/>
        <w:spacing w:after="0" w:line="241" w:lineRule="auto"/>
        <w:tabs>
          <w:tab w:leader="none" w:pos="154" w:val="left"/>
        </w:tabs>
        <w:numPr>
          <w:ilvl w:val="0"/>
          <w:numId w:val="160"/>
        </w:numPr>
        <w:rPr>
          <w:rFonts w:ascii="Arial" w:cs="Arial" w:eastAsia="Arial" w:hAnsi="Arial"/>
          <w:sz w:val="9"/>
          <w:szCs w:val="9"/>
          <w:color w:val="auto"/>
        </w:rPr>
      </w:pPr>
      <w:r>
        <w:rPr>
          <w:rFonts w:ascii="Arial" w:cs="Arial" w:eastAsia="Arial" w:hAnsi="Arial"/>
          <w:sz w:val="14"/>
          <w:szCs w:val="14"/>
          <w:color w:val="auto"/>
        </w:rPr>
        <w:t>Non-GAAP EPS assume that the disposition of Elanco occurred at the beginning of 2019 and 2018 and, therefore, exclude the approximately 65.0 million shares of Lilly common stock retired in the Elanco exchange offer.</w:t>
      </w:r>
    </w:p>
    <w:p>
      <w:pPr>
        <w:ind w:right="140" w:firstLine="8"/>
        <w:spacing w:after="0" w:line="258" w:lineRule="auto"/>
        <w:tabs>
          <w:tab w:leader="none" w:pos="154" w:val="left"/>
        </w:tabs>
        <w:numPr>
          <w:ilvl w:val="0"/>
          <w:numId w:val="160"/>
        </w:numPr>
        <w:rPr>
          <w:rFonts w:ascii="Arial" w:cs="Arial" w:eastAsia="Arial" w:hAnsi="Arial"/>
          <w:sz w:val="9"/>
          <w:szCs w:val="9"/>
          <w:color w:val="auto"/>
        </w:rPr>
      </w:pPr>
      <w:r>
        <w:rPr>
          <w:rFonts w:ascii="Arial" w:cs="Arial" w:eastAsia="Arial" w:hAnsi="Arial"/>
          <w:sz w:val="14"/>
          <w:szCs w:val="14"/>
          <w:color w:val="auto"/>
        </w:rPr>
        <w:t>For 2019, amount relates to a tax benefit from a capital loss on the disposition of subsidiary stock. For 2018, amounts relate to U.S. tax reform and tax expenses associated with the separation of Elanco.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P91</w:t>
      </w:r>
    </w:p>
    <w:p>
      <w:pPr>
        <w:sectPr>
          <w:pgSz w:w="11900" w:h="16838" w:orient="portrait"/>
          <w:cols w:equalWidth="0" w:num="1">
            <w:col w:w="11220"/>
          </w:cols>
          <w:pgMar w:left="320" w:top="1437" w:right="359" w:bottom="1440" w:gutter="0" w:footer="0" w:header="0"/>
        </w:sectPr>
      </w:pPr>
    </w:p>
    <w:bookmarkStart w:id="96" w:name="page97"/>
    <w:bookmarkEnd w:id="96"/>
    <w:p>
      <w:pPr>
        <w:ind w:right="1040"/>
        <w:spacing w:after="0" w:line="286" w:lineRule="auto"/>
        <w:rPr>
          <w:sz w:val="20"/>
          <w:szCs w:val="20"/>
          <w:color w:val="auto"/>
        </w:rPr>
      </w:pPr>
      <w:r>
        <w:rPr>
          <w:rFonts w:ascii="Arial" w:cs="Arial" w:eastAsia="Arial" w:hAnsi="Arial"/>
          <w:sz w:val="32"/>
          <w:szCs w:val="32"/>
          <w:b w:val="1"/>
          <w:bCs w:val="1"/>
          <w:color w:val="EF3729"/>
        </w:rPr>
        <w:t>Appendix B - Proposed Amendments to the Company's Articles of Incorporation</w:t>
      </w:r>
    </w:p>
    <w:p>
      <w:pPr>
        <w:spacing w:after="0" w:line="21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 xml:space="preserve">Proposed changes to the company’s articles of incorporation are shown below related to Items 4 and 5, "Items of Business."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6"/>
          <w:szCs w:val="16"/>
          <w:color w:val="EE2724"/>
        </w:rPr>
        <w:t>lilly.com/leadership/governance</w:t>
      </w:r>
      <w:r>
        <w:rPr>
          <w:rFonts w:ascii="Arial" w:cs="Arial" w:eastAsia="Arial" w:hAnsi="Arial"/>
          <w:sz w:val="16"/>
          <w:szCs w:val="16"/>
          <w:color w:val="000000"/>
        </w:rPr>
        <w:t>.</w:t>
      </w:r>
    </w:p>
    <w:p>
      <w:pPr>
        <w:spacing w:after="0" w:line="286" w:lineRule="exact"/>
        <w:rPr>
          <w:sz w:val="20"/>
          <w:szCs w:val="20"/>
          <w:color w:val="auto"/>
        </w:rPr>
      </w:pPr>
    </w:p>
    <w:p>
      <w:pPr>
        <w:ind w:right="40" w:firstLine="8"/>
        <w:spacing w:after="0" w:line="260" w:lineRule="auto"/>
        <w:tabs>
          <w:tab w:leader="none" w:pos="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222" w:lineRule="exact"/>
        <w:rPr>
          <w:rFonts w:ascii="Arial" w:cs="Arial" w:eastAsia="Arial" w:hAnsi="Arial"/>
          <w:sz w:val="16"/>
          <w:szCs w:val="16"/>
          <w:color w:val="auto"/>
        </w:rPr>
      </w:pPr>
    </w:p>
    <w:p>
      <w:pPr>
        <w:ind w:left="900" w:hanging="244"/>
        <w:spacing w:after="0"/>
        <w:tabs>
          <w:tab w:leader="none" w:pos="9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number of directors of the Corporation, exclusive of directors who may be elected by the holders of any one or more series of Preferred</w:t>
      </w:r>
    </w:p>
    <w:p>
      <w:pPr>
        <w:spacing w:after="0" w:line="5" w:lineRule="exact"/>
        <w:rPr>
          <w:rFonts w:ascii="Arial" w:cs="Arial" w:eastAsia="Arial" w:hAnsi="Arial"/>
          <w:sz w:val="16"/>
          <w:szCs w:val="16"/>
          <w:color w:val="auto"/>
        </w:rPr>
      </w:pPr>
    </w:p>
    <w:p>
      <w:pPr>
        <w:ind w:left="660" w:right="120"/>
        <w:spacing w:after="0" w:line="260" w:lineRule="auto"/>
        <w:rPr>
          <w:rFonts w:ascii="Arial" w:cs="Arial" w:eastAsia="Arial" w:hAnsi="Arial"/>
          <w:sz w:val="16"/>
          <w:szCs w:val="16"/>
          <w:color w:val="auto"/>
        </w:rPr>
      </w:pPr>
      <w:r>
        <w:rPr>
          <w:rFonts w:ascii="Arial" w:cs="Arial" w:eastAsia="Arial" w:hAnsi="Arial"/>
          <w:sz w:val="16"/>
          <w:szCs w:val="16"/>
          <w:color w:val="auto"/>
        </w:rPr>
        <w:t>Stock pursuant to Article 7(b) (the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shall not be less than nine, the exact number to be fixed from time to time solely by resolution of the Board of Directors, acting by not less than a majority of the directors then in office.</w:t>
      </w:r>
    </w:p>
    <w:p>
      <w:pPr>
        <w:spacing w:after="0" w:line="222" w:lineRule="exact"/>
        <w:rPr>
          <w:rFonts w:ascii="Arial" w:cs="Arial" w:eastAsia="Arial" w:hAnsi="Arial"/>
          <w:sz w:val="16"/>
          <w:szCs w:val="16"/>
          <w:color w:val="auto"/>
        </w:rPr>
      </w:pPr>
    </w:p>
    <w:p>
      <w:pPr>
        <w:ind w:left="660" w:hanging="4"/>
        <w:spacing w:after="0" w:line="247" w:lineRule="auto"/>
        <w:tabs>
          <w:tab w:leader="none" w:pos="903"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Prior to the 2022 annual meeting of directors,</w:t>
      </w:r>
      <w:r>
        <w:rPr>
          <w:rFonts w:ascii="Arial" w:cs="Arial" w:eastAsia="Arial" w:hAnsi="Arial"/>
          <w:sz w:val="16"/>
          <w:szCs w:val="16"/>
          <w:color w:val="auto"/>
        </w:rPr>
        <w:t xml:space="preserve"> </w:t>
      </w:r>
      <w:r>
        <w:rPr>
          <w:rFonts w:ascii="Arial" w:cs="Arial" w:eastAsia="Arial" w:hAnsi="Arial"/>
          <w:sz w:val="16"/>
          <w:szCs w:val="16"/>
          <w:color w:val="auto"/>
          <w:strike w:val="1"/>
        </w:rPr>
        <w:t>T</w:t>
      </w:r>
      <w:r>
        <w:rPr>
          <w:rFonts w:ascii="Arial" w:cs="Arial" w:eastAsia="Arial" w:hAnsi="Arial"/>
          <w:sz w:val="16"/>
          <w:szCs w:val="16"/>
          <w:color w:val="auto"/>
        </w:rPr>
        <w:t xml:space="preserve">the Board of Directors (exclusive of Preferred Stock Directors) shall be divided into three classes, with the term of office of one class expiring each year. </w:t>
      </w:r>
      <w:r>
        <w:rPr>
          <w:rFonts w:ascii="Arial" w:cs="Arial" w:eastAsia="Arial" w:hAnsi="Arial"/>
          <w:sz w:val="16"/>
          <w:szCs w:val="16"/>
          <w:color w:val="auto"/>
          <w:strike w:val="1"/>
        </w:rPr>
        <w:t>At the annual meeting of shareholders in 1985, five directors of the first class shall be elected</w:t>
      </w:r>
      <w:r>
        <w:rPr>
          <w:rFonts w:ascii="Arial" w:cs="Arial" w:eastAsia="Arial" w:hAnsi="Arial"/>
          <w:sz w:val="16"/>
          <w:szCs w:val="16"/>
          <w:color w:val="auto"/>
        </w:rPr>
        <w:t xml:space="preserve"> </w:t>
      </w:r>
      <w:r>
        <w:rPr>
          <w:rFonts w:ascii="Arial" w:cs="Arial" w:eastAsia="Arial" w:hAnsi="Arial"/>
          <w:sz w:val="16"/>
          <w:szCs w:val="16"/>
          <w:color w:val="auto"/>
          <w:strike w:val="1"/>
        </w:rPr>
        <w:t>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6"/>
          <w:szCs w:val="16"/>
          <w:u w:val="single" w:color="auto"/>
          <w:color w:val="auto"/>
          <w:strike w:val="1"/>
        </w:rPr>
        <w:t>2022</w:t>
      </w:r>
      <w:r>
        <w:rPr>
          <w:rFonts w:ascii="Arial" w:cs="Arial" w:eastAsia="Arial" w:hAnsi="Arial"/>
          <w:sz w:val="16"/>
          <w:szCs w:val="16"/>
          <w:color w:val="auto"/>
          <w:strike w:val="1"/>
        </w:rPr>
        <w:t>, each class of directors whose term shall then expire shall be elected to hold office for a three</w:t>
      </w:r>
      <w:r>
        <w:rPr>
          <w:rFonts w:ascii="Arial" w:cs="Arial" w:eastAsia="Arial" w:hAnsi="Arial"/>
          <w:sz w:val="16"/>
          <w:szCs w:val="16"/>
          <w:u w:val="single" w:color="auto"/>
          <w:color w:val="auto"/>
          <w:strike w:val="1"/>
        </w:rPr>
        <w:t>one</w:t>
      </w:r>
      <w:r>
        <w:rPr>
          <w:rFonts w:ascii="Arial" w:cs="Arial" w:eastAsia="Arial" w:hAnsi="Arial"/>
          <w:sz w:val="16"/>
          <w:szCs w:val="16"/>
          <w:color w:val="auto"/>
          <w:strike w:val="1"/>
        </w:rPr>
        <w:t xml:space="preserve">-year term </w:t>
      </w:r>
      <w:r>
        <w:rPr>
          <w:rFonts w:ascii="Arial" w:cs="Arial" w:eastAsia="Arial" w:hAnsi="Arial"/>
          <w:sz w:val="16"/>
          <w:szCs w:val="16"/>
          <w:u w:val="single" w:color="auto"/>
          <w:color w:val="auto"/>
          <w:strike w:val="1"/>
        </w:rPr>
        <w:t>expiring at the next annual meeting of shareholders</w:t>
      </w:r>
      <w:r>
        <w:rPr>
          <w:rFonts w:ascii="Arial" w:cs="Arial" w:eastAsia="Arial" w:hAnsi="Arial"/>
          <w:sz w:val="16"/>
          <w:szCs w:val="16"/>
          <w:color w:val="auto"/>
          <w:strike w:val="1"/>
        </w:rPr>
        <w:t xml:space="preserve">. In the case of any vacancy on the Board of Directors, including a vacancy created by an increase in the number of </w:t>
      </w:r>
      <w:r>
        <w:rPr>
          <w:rFonts w:ascii="Arial" w:cs="Arial" w:eastAsia="Arial" w:hAnsi="Arial"/>
          <w:sz w:val="16"/>
          <w:szCs w:val="16"/>
          <w:u w:val="single" w:color="auto"/>
          <w:color w:val="auto"/>
          <w:strike w:val="1"/>
        </w:rPr>
        <w:t>D</w:t>
      </w:r>
      <w:r>
        <w:rPr>
          <w:rFonts w:ascii="Arial" w:cs="Arial" w:eastAsia="Arial" w:hAnsi="Arial"/>
          <w:sz w:val="16"/>
          <w:szCs w:val="16"/>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6"/>
          <w:szCs w:val="16"/>
          <w:u w:val="single" w:color="auto"/>
          <w:color w:val="auto"/>
          <w:strike w:val="1"/>
        </w:rPr>
        <w:t>until the next annual meeting of shareholders</w:t>
      </w:r>
      <w:r>
        <w:rPr>
          <w:rFonts w:ascii="Arial" w:cs="Arial" w:eastAsia="Arial" w:hAnsi="Arial"/>
          <w:sz w:val="16"/>
          <w:szCs w:val="16"/>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238" w:lineRule="exact"/>
        <w:rPr>
          <w:rFonts w:ascii="Arial" w:cs="Arial" w:eastAsia="Arial" w:hAnsi="Arial"/>
          <w:sz w:val="16"/>
          <w:szCs w:val="16"/>
          <w:color w:val="auto"/>
        </w:rPr>
      </w:pPr>
    </w:p>
    <w:p>
      <w:pPr>
        <w:ind w:left="660" w:right="360" w:hanging="4"/>
        <w:spacing w:after="0" w:line="253" w:lineRule="auto"/>
        <w:tabs>
          <w:tab w:leader="none" w:pos="89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6"/>
          <w:szCs w:val="16"/>
          <w:color w:val="auto"/>
          <w:strike w:val="1"/>
        </w:rPr>
        <w:t>80%</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votes </w:t>
      </w:r>
      <w:r>
        <w:rPr>
          <w:rFonts w:ascii="Arial" w:cs="Arial" w:eastAsia="Arial" w:hAnsi="Arial"/>
          <w:sz w:val="16"/>
          <w:szCs w:val="16"/>
          <w:color w:val="auto"/>
          <w:strike w:val="1"/>
        </w:rPr>
        <w:t>entitled to be</w:t>
      </w:r>
      <w:r>
        <w:rPr>
          <w:rFonts w:ascii="Arial" w:cs="Arial" w:eastAsia="Arial" w:hAnsi="Arial"/>
          <w:sz w:val="16"/>
          <w:szCs w:val="16"/>
          <w:color w:val="auto"/>
        </w:rPr>
        <w:t xml:space="preserve"> cast by holders of all the outstanding shares of Voting Stock (as defined in Article 13 hereof), voting together as a single class.</w:t>
      </w:r>
    </w:p>
    <w:p>
      <w:pPr>
        <w:spacing w:after="0" w:line="228" w:lineRule="exact"/>
        <w:rPr>
          <w:rFonts w:ascii="Arial" w:cs="Arial" w:eastAsia="Arial" w:hAnsi="Arial"/>
          <w:sz w:val="16"/>
          <w:szCs w:val="16"/>
          <w:color w:val="auto"/>
        </w:rPr>
      </w:pPr>
    </w:p>
    <w:p>
      <w:pPr>
        <w:ind w:left="660" w:right="100" w:hanging="4"/>
        <w:spacing w:after="0" w:line="251" w:lineRule="auto"/>
        <w:tabs>
          <w:tab w:leader="none" w:pos="903" w:val="left"/>
        </w:tabs>
        <w:numPr>
          <w:ilvl w:val="1"/>
          <w:numId w:val="161"/>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-1818005</wp:posOffset>
            </wp:positionV>
            <wp:extent cx="14465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09" w:lineRule="exact"/>
        <w:rPr>
          <w:sz w:val="20"/>
          <w:szCs w:val="20"/>
          <w:color w:val="auto"/>
        </w:rPr>
      </w:pPr>
    </w:p>
    <w:p>
      <w:pPr>
        <w:ind w:right="140" w:firstLine="8"/>
        <w:spacing w:after="0" w:line="251" w:lineRule="auto"/>
        <w:tabs>
          <w:tab w:leader="none" w:pos="27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spacing w:after="0" w:line="229" w:lineRule="exact"/>
        <w:rPr>
          <w:rFonts w:ascii="Arial" w:cs="Arial" w:eastAsia="Arial" w:hAnsi="Arial"/>
          <w:sz w:val="16"/>
          <w:szCs w:val="16"/>
          <w:color w:val="auto"/>
        </w:rPr>
      </w:pPr>
    </w:p>
    <w:p>
      <w:pPr>
        <w:ind w:left="900" w:hanging="244"/>
        <w:spacing w:after="0"/>
        <w:tabs>
          <w:tab w:leader="none" w:pos="9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actions or transactions within the scope of this Article 13 are as follows:</w:t>
      </w:r>
    </w:p>
    <w:p>
      <w:pPr>
        <w:spacing w:after="0" w:line="248" w:lineRule="exact"/>
        <w:rPr>
          <w:rFonts w:ascii="Arial" w:cs="Arial" w:eastAsia="Arial" w:hAnsi="Arial"/>
          <w:sz w:val="16"/>
          <w:szCs w:val="16"/>
          <w:color w:val="auto"/>
        </w:rPr>
      </w:pPr>
    </w:p>
    <w:p>
      <w:pPr>
        <w:ind w:left="1500" w:hanging="196"/>
        <w:spacing w:after="0"/>
        <w:tabs>
          <w:tab w:leader="none" w:pos="1500" w:val="left"/>
        </w:tabs>
        <w:numPr>
          <w:ilvl w:val="2"/>
          <w:numId w:val="162"/>
        </w:numPr>
        <w:rPr>
          <w:rFonts w:ascii="Arial" w:cs="Arial" w:eastAsia="Arial" w:hAnsi="Arial"/>
          <w:sz w:val="16"/>
          <w:szCs w:val="16"/>
          <w:color w:val="auto"/>
        </w:rPr>
      </w:pPr>
      <w:r>
        <w:rPr>
          <w:rFonts w:ascii="Arial" w:cs="Arial" w:eastAsia="Arial" w:hAnsi="Arial"/>
          <w:sz w:val="16"/>
          <w:szCs w:val="16"/>
          <w:color w:val="auto"/>
        </w:rPr>
        <w:t xml:space="preserve">any merger or consolidation of </w:t>
      </w:r>
      <w:r>
        <w:rPr>
          <w:rFonts w:ascii="Arial" w:cs="Arial" w:eastAsia="Arial" w:hAnsi="Arial"/>
          <w:sz w:val="16"/>
          <w:szCs w:val="16"/>
          <w:color w:val="auto"/>
          <w:strike w:val="1"/>
        </w:rPr>
        <w:t>the Corporation or</w:t>
      </w:r>
      <w:r>
        <w:rPr>
          <w:rFonts w:ascii="Arial" w:cs="Arial" w:eastAsia="Arial" w:hAnsi="Arial"/>
          <w:sz w:val="16"/>
          <w:szCs w:val="16"/>
          <w:color w:val="auto"/>
        </w:rPr>
        <w:t xml:space="preserve"> any of </w:t>
      </w:r>
      <w:r>
        <w:rPr>
          <w:rFonts w:ascii="Arial" w:cs="Arial" w:eastAsia="Arial" w:hAnsi="Arial"/>
          <w:sz w:val="16"/>
          <w:szCs w:val="16"/>
          <w:color w:val="auto"/>
          <w:strike w:val="1"/>
        </w:rPr>
        <w:t>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Corporation’s</w:t>
      </w:r>
      <w:r>
        <w:rPr>
          <w:rFonts w:ascii="Arial" w:cs="Arial" w:eastAsia="Arial" w:hAnsi="Arial"/>
          <w:sz w:val="16"/>
          <w:szCs w:val="16"/>
          <w:color w:val="auto"/>
        </w:rPr>
        <w:t xml:space="preserve"> subsidiaries into or with such Related Person;</w:t>
      </w:r>
    </w:p>
    <w:p>
      <w:pPr>
        <w:spacing w:after="0" w:line="248" w:lineRule="exact"/>
        <w:rPr>
          <w:rFonts w:ascii="Arial" w:cs="Arial" w:eastAsia="Arial" w:hAnsi="Arial"/>
          <w:sz w:val="16"/>
          <w:szCs w:val="16"/>
          <w:color w:val="auto"/>
        </w:rPr>
      </w:pPr>
    </w:p>
    <w:p>
      <w:pPr>
        <w:ind w:left="1300" w:right="940" w:firstLine="4"/>
        <w:spacing w:after="0" w:line="260" w:lineRule="auto"/>
        <w:tabs>
          <w:tab w:leader="none" w:pos="1525" w:val="left"/>
        </w:tabs>
        <w:numPr>
          <w:ilvl w:val="2"/>
          <w:numId w:val="162"/>
        </w:numPr>
        <w:rPr>
          <w:rFonts w:ascii="Arial" w:cs="Arial" w:eastAsia="Arial" w:hAnsi="Arial"/>
          <w:sz w:val="16"/>
          <w:szCs w:val="16"/>
          <w:color w:val="auto"/>
        </w:rPr>
      </w:pPr>
      <w:r>
        <w:rPr>
          <w:rFonts w:ascii="Arial" w:cs="Arial" w:eastAsia="Arial" w:hAnsi="Arial"/>
          <w:sz w:val="16"/>
          <w:szCs w:val="16"/>
          <w:color w:val="auto"/>
        </w:rPr>
        <w:t xml:space="preserve">any sale, lease, exchange, or other disposition of all or any substantial part of the assets of </w:t>
      </w:r>
      <w:r>
        <w:rPr>
          <w:rFonts w:ascii="Arial" w:cs="Arial" w:eastAsia="Arial" w:hAnsi="Arial"/>
          <w:sz w:val="16"/>
          <w:szCs w:val="16"/>
          <w:color w:val="auto"/>
          <w:strike w:val="1"/>
        </w:rPr>
        <w:t>the Corporation or</w:t>
      </w:r>
      <w:r>
        <w:rPr>
          <w:rFonts w:ascii="Arial" w:cs="Arial" w:eastAsia="Arial" w:hAnsi="Arial"/>
          <w:sz w:val="16"/>
          <w:szCs w:val="16"/>
          <w:color w:val="auto"/>
        </w:rPr>
        <w:t xml:space="preserve"> any of </w:t>
      </w:r>
      <w:r>
        <w:rPr>
          <w:rFonts w:ascii="Arial" w:cs="Arial" w:eastAsia="Arial" w:hAnsi="Arial"/>
          <w:sz w:val="16"/>
          <w:szCs w:val="16"/>
          <w:color w:val="auto"/>
          <w:strike w:val="1"/>
        </w:rPr>
        <w:t>its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Corporation’s</w:t>
      </w:r>
      <w:r>
        <w:rPr>
          <w:rFonts w:ascii="Arial" w:cs="Arial" w:eastAsia="Arial" w:hAnsi="Arial"/>
          <w:sz w:val="16"/>
          <w:szCs w:val="16"/>
          <w:color w:val="auto"/>
        </w:rPr>
        <w:t xml:space="preserve"> majority-owned subsidiaries to or with such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P92</w:t>
      </w:r>
    </w:p>
    <w:p>
      <w:pPr>
        <w:sectPr>
          <w:pgSz w:w="11900" w:h="16838" w:orient="portrait"/>
          <w:cols w:equalWidth="0" w:num="1">
            <w:col w:w="11240"/>
          </w:cols>
          <w:pgMar w:left="320" w:top="873" w:right="339" w:bottom="1440" w:gutter="0" w:footer="0" w:header="0"/>
        </w:sectPr>
      </w:pPr>
    </w:p>
    <w:bookmarkStart w:id="97" w:name="page98"/>
    <w:bookmarkEnd w:id="97"/>
    <w:p>
      <w:pPr>
        <w:ind w:left="644" w:right="140" w:firstLine="4"/>
        <w:spacing w:after="0" w:line="260" w:lineRule="auto"/>
        <w:tabs>
          <w:tab w:leader="none" w:pos="9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222" w:lineRule="exact"/>
        <w:rPr>
          <w:rFonts w:ascii="Arial" w:cs="Arial" w:eastAsia="Arial" w:hAnsi="Arial"/>
          <w:sz w:val="16"/>
          <w:szCs w:val="16"/>
          <w:color w:val="auto"/>
        </w:rPr>
      </w:pPr>
    </w:p>
    <w:p>
      <w:pPr>
        <w:ind w:left="924" w:hanging="276"/>
        <w:spacing w:after="0"/>
        <w:tabs>
          <w:tab w:leader="none" w:pos="924" w:val="left"/>
        </w:tabs>
        <w:numPr>
          <w:ilvl w:val="0"/>
          <w:numId w:val="163"/>
        </w:numPr>
        <w:rPr>
          <w:rFonts w:ascii="Arial" w:cs="Arial" w:eastAsia="Arial" w:hAnsi="Arial"/>
          <w:sz w:val="16"/>
          <w:szCs w:val="16"/>
          <w:color w:val="auto"/>
          <w:strike w:val="1"/>
        </w:rPr>
      </w:pPr>
      <w:r>
        <w:rPr>
          <w:rFonts w:ascii="Arial" w:cs="Arial" w:eastAsia="Arial" w:hAnsi="Arial"/>
          <w:sz w:val="16"/>
          <w:szCs w:val="16"/>
          <w:color w:val="auto"/>
          <w:strike w:val="1"/>
        </w:rPr>
        <w:t>any voluntary dissolution or liquidation of the Corporation;</w:t>
      </w:r>
    </w:p>
    <w:p>
      <w:pPr>
        <w:spacing w:after="0" w:line="248" w:lineRule="exact"/>
        <w:rPr>
          <w:sz w:val="20"/>
          <w:szCs w:val="20"/>
          <w:color w:val="auto"/>
        </w:rPr>
      </w:pPr>
    </w:p>
    <w:p>
      <w:pPr>
        <w:ind w:left="644" w:right="6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w:t>
      </w:r>
      <w:r>
        <w:rPr>
          <w:rFonts w:ascii="Arial" w:cs="Arial" w:eastAsia="Arial" w:hAnsi="Arial"/>
          <w:sz w:val="16"/>
          <w:szCs w:val="16"/>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230" w:lineRule="exact"/>
        <w:rPr>
          <w:sz w:val="20"/>
          <w:szCs w:val="20"/>
          <w:color w:val="auto"/>
        </w:rPr>
      </w:pPr>
    </w:p>
    <w:p>
      <w:pPr>
        <w:ind w:left="644" w:right="480"/>
        <w:spacing w:after="0" w:line="260" w:lineRule="auto"/>
        <w:rPr>
          <w:sz w:val="20"/>
          <w:szCs w:val="20"/>
          <w:color w:val="auto"/>
        </w:rPr>
      </w:pPr>
      <w:r>
        <w:rPr>
          <w:rFonts w:ascii="Arial" w:cs="Arial" w:eastAsia="Arial" w:hAnsi="Arial"/>
          <w:sz w:val="16"/>
          <w:szCs w:val="16"/>
          <w:color w:val="auto"/>
        </w:rPr>
        <w:t>(v</w:t>
      </w:r>
      <w:r>
        <w:rPr>
          <w:rFonts w:ascii="Arial" w:cs="Arial" w:eastAsia="Arial" w:hAnsi="Arial"/>
          <w:sz w:val="16"/>
          <w:szCs w:val="16"/>
          <w:color w:val="auto"/>
          <w:strike w:val="1"/>
        </w:rPr>
        <w:t>i</w:t>
      </w:r>
      <w:r>
        <w:rPr>
          <w:rFonts w:ascii="Arial" w:cs="Arial" w:eastAsia="Arial" w:hAnsi="Arial"/>
          <w:sz w:val="16"/>
          <w:szCs w:val="16"/>
          <w:color w:val="auto"/>
        </w:rPr>
        <w:t>) any agreement, contract, or other arrangement providing for any one or more of the actions specified in the foregoing clauses (i) through (</w:t>
      </w:r>
      <w:r>
        <w:rPr>
          <w:rFonts w:ascii="Arial" w:cs="Arial" w:eastAsia="Arial" w:hAnsi="Arial"/>
          <w:sz w:val="16"/>
          <w:szCs w:val="16"/>
          <w:u w:val="single" w:color="auto"/>
          <w:color w:val="auto"/>
        </w:rPr>
        <w:t>i</w:t>
      </w:r>
      <w:r>
        <w:rPr>
          <w:rFonts w:ascii="Arial" w:cs="Arial" w:eastAsia="Arial" w:hAnsi="Arial"/>
          <w:sz w:val="16"/>
          <w:szCs w:val="16"/>
          <w:color w:val="auto"/>
        </w:rPr>
        <w:t>v).</w:t>
      </w:r>
    </w:p>
    <w:p>
      <w:pPr>
        <w:spacing w:after="0" w:line="222" w:lineRule="exact"/>
        <w:rPr>
          <w:sz w:val="20"/>
          <w:szCs w:val="20"/>
          <w:color w:val="auto"/>
        </w:rPr>
      </w:pPr>
    </w:p>
    <w:p>
      <w:pPr>
        <w:ind w:left="4" w:hanging="4"/>
        <w:spacing w:after="0" w:line="260" w:lineRule="auto"/>
        <w:tabs>
          <w:tab w:leader="none" w:pos="2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actions and transactions described in paragraph (a) of this Article 13 shall have been authorized by the affirmative vote of </w:t>
      </w:r>
      <w:r>
        <w:rPr>
          <w:rFonts w:ascii="Arial" w:cs="Arial" w:eastAsia="Arial" w:hAnsi="Arial"/>
          <w:sz w:val="16"/>
          <w:szCs w:val="16"/>
          <w:color w:val="auto"/>
          <w:strike w:val="1"/>
        </w:rPr>
        <w:t>at least 80% of all</w:t>
      </w:r>
      <w:r>
        <w:rPr>
          <w:rFonts w:ascii="Arial" w:cs="Arial" w:eastAsia="Arial" w:hAnsi="Arial"/>
          <w:sz w:val="16"/>
          <w:szCs w:val="16"/>
          <w:color w:val="auto"/>
        </w:rPr>
        <w:t xml:space="preserve"> </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votes entitled to be cast by holders of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the outstanding shares of Voting Stock, voting together as a single class.</w:t>
      </w:r>
    </w:p>
    <w:p>
      <w:pPr>
        <w:spacing w:after="0" w:line="222" w:lineRule="exact"/>
        <w:rPr>
          <w:rFonts w:ascii="Arial" w:cs="Arial" w:eastAsia="Arial" w:hAnsi="Arial"/>
          <w:sz w:val="16"/>
          <w:szCs w:val="16"/>
          <w:color w:val="auto"/>
        </w:rPr>
      </w:pPr>
    </w:p>
    <w:p>
      <w:pPr>
        <w:ind w:left="4" w:right="60" w:hanging="4"/>
        <w:spacing w:after="0" w:line="253" w:lineRule="auto"/>
        <w:tabs>
          <w:tab w:leader="none" w:pos="23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Notwithstanding paragraph (b) of this Article 13, the </w:t>
      </w:r>
      <w:r>
        <w:rPr>
          <w:rFonts w:ascii="Arial" w:cs="Arial" w:eastAsia="Arial" w:hAnsi="Arial"/>
          <w:sz w:val="16"/>
          <w:szCs w:val="16"/>
          <w:color w:val="auto"/>
          <w:strike w:val="1"/>
        </w:rPr>
        <w:t>80%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special shareholder approval</w:t>
      </w:r>
      <w:r>
        <w:rPr>
          <w:rFonts w:ascii="Arial" w:cs="Arial" w:eastAsia="Arial" w:hAnsi="Arial"/>
          <w:sz w:val="16"/>
          <w:szCs w:val="16"/>
          <w:color w:val="auto"/>
        </w:rPr>
        <w:t xml:space="preserve"> requirement </w:t>
      </w:r>
      <w:r>
        <w:rPr>
          <w:rFonts w:ascii="Arial" w:cs="Arial" w:eastAsia="Arial" w:hAnsi="Arial"/>
          <w:sz w:val="16"/>
          <w:szCs w:val="16"/>
          <w:u w:val="single" w:color="auto"/>
          <w:color w:val="auto"/>
        </w:rPr>
        <w:t>set forth in paragraph (b)</w:t>
      </w:r>
      <w:r>
        <w:rPr>
          <w:rFonts w:ascii="Arial" w:cs="Arial" w:eastAsia="Arial" w:hAnsi="Arial"/>
          <w:sz w:val="16"/>
          <w:szCs w:val="16"/>
          <w:color w:val="auto"/>
        </w:rPr>
        <w:t xml:space="preserve"> shall not be applicable if any action or transaction specified in paragraph (a) is approved by the Corporation’s Board of Directors and by a majority of the Continuing Directors (as hereinafter defined).</w:t>
      </w:r>
    </w:p>
    <w:p>
      <w:pPr>
        <w:spacing w:after="0" w:line="228" w:lineRule="exact"/>
        <w:rPr>
          <w:rFonts w:ascii="Arial" w:cs="Arial" w:eastAsia="Arial" w:hAnsi="Arial"/>
          <w:sz w:val="16"/>
          <w:szCs w:val="16"/>
          <w:color w:val="auto"/>
        </w:rPr>
      </w:pPr>
    </w:p>
    <w:p>
      <w:pPr>
        <w:ind w:left="4" w:right="520" w:hanging="4"/>
        <w:spacing w:after="0" w:line="260" w:lineRule="auto"/>
        <w:tabs>
          <w:tab w:leader="none" w:pos="2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Unless approved by a majority of the Continuing Directors, after becoming a Related Person and prior to consummation of such action or transaction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222" w:lineRule="exact"/>
        <w:rPr>
          <w:rFonts w:ascii="Arial" w:cs="Arial" w:eastAsia="Arial" w:hAnsi="Arial"/>
          <w:sz w:val="16"/>
          <w:szCs w:val="16"/>
          <w:color w:val="auto"/>
        </w:rPr>
      </w:pPr>
    </w:p>
    <w:p>
      <w:pPr>
        <w:ind w:left="644" w:firstLine="4"/>
        <w:spacing w:after="0" w:line="251" w:lineRule="auto"/>
        <w:tabs>
          <w:tab w:leader="none" w:pos="83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229" w:lineRule="exact"/>
        <w:rPr>
          <w:rFonts w:ascii="Arial" w:cs="Arial" w:eastAsia="Arial" w:hAnsi="Arial"/>
          <w:sz w:val="16"/>
          <w:szCs w:val="16"/>
          <w:color w:val="auto"/>
        </w:rPr>
      </w:pPr>
    </w:p>
    <w:p>
      <w:pPr>
        <w:ind w:left="644" w:right="60" w:firstLine="4"/>
        <w:spacing w:after="0" w:line="250" w:lineRule="auto"/>
        <w:tabs>
          <w:tab w:leader="none" w:pos="86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such Related Person shall not have received the benefit</w:t>
      </w:r>
      <w:r>
        <w:rPr>
          <w:rFonts w:ascii="Arial" w:cs="Arial" w:eastAsia="Arial" w:hAnsi="Arial"/>
          <w:sz w:val="16"/>
          <w:szCs w:val="16"/>
          <w:u w:val="single" w:color="auto"/>
          <w:color w:val="auto"/>
        </w:rPr>
        <w:t>,</w:t>
      </w:r>
      <w:r>
        <w:rPr>
          <w:rFonts w:ascii="Arial" w:cs="Arial" w:eastAsia="Arial" w:hAnsi="Arial"/>
          <w:sz w:val="16"/>
          <w:szCs w:val="16"/>
          <w:color w:val="auto"/>
        </w:rPr>
        <w:t xml:space="preserve"> directly or indirectly (except proportionately as a shareholder)</w:t>
      </w:r>
      <w:r>
        <w:rPr>
          <w:rFonts w:ascii="Arial" w:cs="Arial" w:eastAsia="Arial" w:hAnsi="Arial"/>
          <w:sz w:val="16"/>
          <w:szCs w:val="16"/>
          <w:u w:val="single" w:color="auto"/>
          <w:color w:val="auto"/>
        </w:rPr>
        <w:t>,</w:t>
      </w:r>
      <w:r>
        <w:rPr>
          <w:rFonts w:ascii="Arial" w:cs="Arial" w:eastAsia="Arial" w:hAnsi="Arial"/>
          <w:sz w:val="16"/>
          <w:szCs w:val="16"/>
          <w:color w:val="auto"/>
        </w:rPr>
        <w:t xml:space="preserve">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229" w:lineRule="exact"/>
        <w:rPr>
          <w:rFonts w:ascii="Arial" w:cs="Arial" w:eastAsia="Arial" w:hAnsi="Arial"/>
          <w:sz w:val="16"/>
          <w:szCs w:val="16"/>
          <w:color w:val="auto"/>
        </w:rPr>
      </w:pPr>
    </w:p>
    <w:p>
      <w:pPr>
        <w:ind w:left="644" w:right="20" w:firstLine="4"/>
        <w:spacing w:after="0" w:line="250" w:lineRule="auto"/>
        <w:tabs>
          <w:tab w:leader="none" w:pos="90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229" w:lineRule="exact"/>
        <w:rPr>
          <w:rFonts w:ascii="Arial" w:cs="Arial" w:eastAsia="Arial" w:hAnsi="Arial"/>
          <w:sz w:val="16"/>
          <w:szCs w:val="16"/>
          <w:color w:val="auto"/>
        </w:rPr>
      </w:pPr>
    </w:p>
    <w:p>
      <w:pPr>
        <w:ind w:left="4" w:right="120" w:hanging="4"/>
        <w:spacing w:after="0" w:line="248" w:lineRule="auto"/>
        <w:tabs>
          <w:tab w:leader="none" w:pos="2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proxy statement responsive to the requirements of the Securities Exchange Act of 1934, as amended, whether or not the Corporation is then subject to such requirements, shall be mailed 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234" w:lineRule="exact"/>
        <w:rPr>
          <w:rFonts w:ascii="Arial" w:cs="Arial" w:eastAsia="Arial" w:hAnsi="Arial"/>
          <w:sz w:val="16"/>
          <w:szCs w:val="16"/>
          <w:color w:val="auto"/>
        </w:rPr>
      </w:pPr>
    </w:p>
    <w:p>
      <w:pPr>
        <w:ind w:left="204" w:hanging="204"/>
        <w:spacing w:after="0"/>
        <w:tabs>
          <w:tab w:leader="none" w:pos="20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the purpose of this Article 13</w:t>
      </w:r>
      <w:r>
        <w:rPr>
          <w:rFonts w:ascii="Arial" w:cs="Arial" w:eastAsia="Arial" w:hAnsi="Arial"/>
          <w:sz w:val="16"/>
          <w:szCs w:val="16"/>
          <w:u w:val="single" w:color="auto"/>
          <w:color w:val="auto"/>
        </w:rPr>
        <w:t>:</w:t>
      </w:r>
    </w:p>
    <w:p>
      <w:pPr>
        <w:spacing w:after="0" w:line="248" w:lineRule="exact"/>
        <w:rPr>
          <w:rFonts w:ascii="Arial" w:cs="Arial" w:eastAsia="Arial" w:hAnsi="Arial"/>
          <w:sz w:val="16"/>
          <w:szCs w:val="16"/>
          <w:color w:val="auto"/>
        </w:rPr>
      </w:pPr>
    </w:p>
    <w:p>
      <w:pPr>
        <w:ind w:left="644" w:right="60" w:firstLine="4"/>
        <w:spacing w:after="0" w:line="250" w:lineRule="auto"/>
        <w:tabs>
          <w:tab w:leader="none" w:pos="83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Related Person</w:t>
      </w:r>
      <w:r>
        <w:rPr>
          <w:rFonts w:ascii="Arial" w:cs="Arial" w:eastAsia="Arial" w:hAnsi="Arial"/>
          <w:sz w:val="16"/>
          <w:szCs w:val="16"/>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Related Person shall not include (a) the Corporation or any of its subsidiaries, (b) any profit-sharing, employee stock ownership or other employee benefit plan of the Corporation or any subsidiary of the Corporation or any trustee of or fiduciary with respect</w:t>
      </w:r>
    </w:p>
    <w:p>
      <w:pPr>
        <w:spacing w:after="0" w:line="200" w:lineRule="exact"/>
        <w:rPr>
          <w:sz w:val="20"/>
          <w:szCs w:val="20"/>
          <w:color w:val="auto"/>
        </w:rPr>
      </w:pPr>
    </w:p>
    <w:p>
      <w:pPr>
        <w:spacing w:after="0" w:line="367"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P93</w:t>
      </w:r>
    </w:p>
    <w:p>
      <w:pPr>
        <w:sectPr>
          <w:pgSz w:w="11900" w:h="16838" w:orient="portrait"/>
          <w:cols w:equalWidth="0" w:num="1">
            <w:col w:w="10564"/>
          </w:cols>
          <w:pgMar w:left="976" w:top="911" w:right="359" w:bottom="1440" w:gutter="0" w:footer="0" w:header="0"/>
        </w:sectPr>
      </w:pPr>
    </w:p>
    <w:bookmarkStart w:id="98" w:name="page99"/>
    <w:bookmarkEnd w:id="98"/>
    <w:p>
      <w:pPr>
        <w:ind w:left="1292"/>
        <w:spacing w:after="0" w:line="260" w:lineRule="auto"/>
        <w:rPr>
          <w:sz w:val="20"/>
          <w:szCs w:val="20"/>
          <w:color w:val="auto"/>
        </w:rPr>
      </w:pPr>
      <w:r>
        <w:rPr>
          <w:rFonts w:ascii="Arial" w:cs="Arial" w:eastAsia="Arial" w:hAnsi="Arial"/>
          <w:sz w:val="16"/>
          <w:szCs w:val="16"/>
          <w:color w:val="auto"/>
        </w:rPr>
        <w:t xml:space="preserve">to any such plan when acting in such capacity, or (c) Lilly Endowment, Inc.;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that no corporation, person, or entity shall be deemed to be a Related Person solely by reason of being an Affiliate or Associate of Lilly Endowment, Inc.;</w:t>
      </w:r>
    </w:p>
    <w:p>
      <w:pPr>
        <w:spacing w:after="0" w:line="222" w:lineRule="exact"/>
        <w:rPr>
          <w:sz w:val="20"/>
          <w:szCs w:val="20"/>
          <w:color w:val="auto"/>
        </w:rPr>
      </w:pPr>
    </w:p>
    <w:p>
      <w:pPr>
        <w:ind w:left="1292" w:right="260" w:firstLine="4"/>
        <w:spacing w:after="0" w:line="260" w:lineRule="auto"/>
        <w:tabs>
          <w:tab w:leader="none" w:pos="1517"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 Related Person shall be deemed to own or control, directly or indirectly, any outstanding shares of Voting Stock owned by it or any Affiliate or Associate of record or beneficially, including</w:t>
      </w:r>
      <w:r>
        <w:rPr>
          <w:rFonts w:ascii="Arial" w:cs="Arial" w:eastAsia="Arial" w:hAnsi="Arial"/>
          <w:sz w:val="16"/>
          <w:szCs w:val="16"/>
          <w:u w:val="single" w:color="auto"/>
          <w:color w:val="auto"/>
        </w:rPr>
        <w:t>,</w:t>
      </w:r>
      <w:r>
        <w:rPr>
          <w:rFonts w:ascii="Arial" w:cs="Arial" w:eastAsia="Arial" w:hAnsi="Arial"/>
          <w:sz w:val="16"/>
          <w:szCs w:val="16"/>
          <w:color w:val="auto"/>
        </w:rPr>
        <w:t xml:space="preserve"> without limitation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shares</w:t>
      </w:r>
    </w:p>
    <w:p>
      <w:pPr>
        <w:spacing w:after="0" w:line="222" w:lineRule="exact"/>
        <w:rPr>
          <w:rFonts w:ascii="Arial" w:cs="Arial" w:eastAsia="Arial" w:hAnsi="Arial"/>
          <w:sz w:val="16"/>
          <w:szCs w:val="16"/>
          <w:color w:val="auto"/>
        </w:rPr>
      </w:pPr>
    </w:p>
    <w:p>
      <w:pPr>
        <w:ind w:left="1952" w:right="400" w:hanging="8"/>
        <w:spacing w:after="0" w:line="260" w:lineRule="auto"/>
        <w:tabs>
          <w:tab w:leader="none" w:pos="2132" w:val="left"/>
        </w:tabs>
        <w:numPr>
          <w:ilvl w:val="2"/>
          <w:numId w:val="165"/>
        </w:numPr>
        <w:rPr>
          <w:rFonts w:ascii="Arial" w:cs="Arial" w:eastAsia="Arial" w:hAnsi="Arial"/>
          <w:sz w:val="16"/>
          <w:szCs w:val="16"/>
          <w:color w:val="auto"/>
        </w:rPr>
      </w:pPr>
      <w:r>
        <w:rPr>
          <w:rFonts w:ascii="Arial" w:cs="Arial" w:eastAsia="Arial" w:hAnsi="Arial"/>
          <w:sz w:val="16"/>
          <w:szCs w:val="16"/>
          <w:color w:val="auto"/>
        </w:rPr>
        <w:t>which it has the right to acquire pursuant to any agreement, or upon exercise of conversion rights, warrants, or options, or otherwise</w:t>
      </w:r>
      <w:r>
        <w:rPr>
          <w:rFonts w:ascii="Arial" w:cs="Arial" w:eastAsia="Arial" w:hAnsi="Arial"/>
          <w:sz w:val="16"/>
          <w:szCs w:val="16"/>
          <w:u w:val="single" w:color="auto"/>
          <w:color w:val="auto"/>
        </w:rPr>
        <w:t>;</w:t>
      </w:r>
      <w:r>
        <w:rPr>
          <w:rFonts w:ascii="Arial" w:cs="Arial" w:eastAsia="Arial" w:hAnsi="Arial"/>
          <w:sz w:val="16"/>
          <w:szCs w:val="16"/>
          <w:color w:val="auto"/>
        </w:rPr>
        <w:t xml:space="preserve"> or</w:t>
      </w:r>
    </w:p>
    <w:p>
      <w:pPr>
        <w:spacing w:after="0" w:line="222" w:lineRule="exact"/>
        <w:rPr>
          <w:rFonts w:ascii="Arial" w:cs="Arial" w:eastAsia="Arial" w:hAnsi="Arial"/>
          <w:sz w:val="16"/>
          <w:szCs w:val="16"/>
          <w:color w:val="auto"/>
        </w:rPr>
      </w:pPr>
    </w:p>
    <w:p>
      <w:pPr>
        <w:ind w:left="1952" w:right="60" w:hanging="8"/>
        <w:spacing w:after="0" w:line="251" w:lineRule="auto"/>
        <w:tabs>
          <w:tab w:leader="none" w:pos="2132" w:val="left"/>
        </w:tabs>
        <w:numPr>
          <w:ilvl w:val="2"/>
          <w:numId w:val="165"/>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229" w:lineRule="exact"/>
        <w:rPr>
          <w:rFonts w:ascii="Arial" w:cs="Arial" w:eastAsia="Arial" w:hAnsi="Arial"/>
          <w:sz w:val="16"/>
          <w:szCs w:val="16"/>
          <w:color w:val="auto"/>
        </w:rPr>
      </w:pPr>
    </w:p>
    <w:p>
      <w:pPr>
        <w:ind w:left="1292" w:right="120" w:firstLine="4"/>
        <w:spacing w:after="0" w:line="260" w:lineRule="auto"/>
        <w:tabs>
          <w:tab w:leader="none" w:pos="1553"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Voting Stock</w:t>
      </w:r>
      <w:r>
        <w:rPr>
          <w:rFonts w:ascii="Arial" w:cs="Arial" w:eastAsia="Arial" w:hAnsi="Arial"/>
          <w:sz w:val="16"/>
          <w:szCs w:val="16"/>
          <w:color w:val="auto"/>
        </w:rPr>
        <w:t>" shall mean all shares of any class of capital stock of the Corporation which are entitled to vote generally in the election of directors;</w:t>
      </w:r>
    </w:p>
    <w:p>
      <w:pPr>
        <w:spacing w:after="0" w:line="222" w:lineRule="exact"/>
        <w:rPr>
          <w:rFonts w:ascii="Arial" w:cs="Arial" w:eastAsia="Arial" w:hAnsi="Arial"/>
          <w:sz w:val="16"/>
          <w:szCs w:val="16"/>
          <w:color w:val="auto"/>
        </w:rPr>
      </w:pPr>
    </w:p>
    <w:p>
      <w:pPr>
        <w:jc w:val="both"/>
        <w:ind w:left="1292" w:right="60" w:firstLine="4"/>
        <w:spacing w:after="0" w:line="251" w:lineRule="auto"/>
        <w:tabs>
          <w:tab w:leader="none" w:pos="156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229" w:lineRule="exact"/>
        <w:rPr>
          <w:rFonts w:ascii="Arial" w:cs="Arial" w:eastAsia="Arial" w:hAnsi="Arial"/>
          <w:sz w:val="16"/>
          <w:szCs w:val="16"/>
          <w:color w:val="auto"/>
        </w:rPr>
      </w:pPr>
    </w:p>
    <w:p>
      <w:pPr>
        <w:ind w:left="1532" w:hanging="236"/>
        <w:spacing w:after="0"/>
        <w:tabs>
          <w:tab w:leader="none" w:pos="153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Remaining Public Shareholders</w:t>
      </w:r>
      <w:r>
        <w:rPr>
          <w:rFonts w:ascii="Arial" w:cs="Arial" w:eastAsia="Arial" w:hAnsi="Arial"/>
          <w:sz w:val="16"/>
          <w:szCs w:val="16"/>
          <w:color w:val="auto"/>
        </w:rPr>
        <w:t>" shall mean the holders of the Corporation’s capital stock other than the Related Person.</w:t>
      </w:r>
    </w:p>
    <w:p>
      <w:pPr>
        <w:spacing w:after="0" w:line="248" w:lineRule="exact"/>
        <w:rPr>
          <w:rFonts w:ascii="Arial" w:cs="Arial" w:eastAsia="Arial" w:hAnsi="Arial"/>
          <w:sz w:val="16"/>
          <w:szCs w:val="16"/>
          <w:color w:val="auto"/>
        </w:rPr>
      </w:pPr>
    </w:p>
    <w:p>
      <w:pPr>
        <w:ind w:left="-8" w:right="120" w:firstLine="8"/>
        <w:spacing w:after="0" w:line="251" w:lineRule="auto"/>
        <w:tabs>
          <w:tab w:leader="none" w:pos="23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229" w:lineRule="exact"/>
        <w:rPr>
          <w:rFonts w:ascii="Arial" w:cs="Arial" w:eastAsia="Arial" w:hAnsi="Arial"/>
          <w:sz w:val="16"/>
          <w:szCs w:val="16"/>
          <w:color w:val="auto"/>
        </w:rPr>
      </w:pPr>
    </w:p>
    <w:p>
      <w:pPr>
        <w:ind w:left="-8" w:right="640" w:firstLine="8"/>
        <w:spacing w:after="0" w:line="260" w:lineRule="auto"/>
        <w:tabs>
          <w:tab w:leader="none" w:pos="23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Nothing contained in this Article 13 shall be construed to relieve any Related Person or any Affiliate or Associate of any Related Person from any fiduciary obligation imposed by law.</w:t>
      </w:r>
    </w:p>
    <w:p>
      <w:pPr>
        <w:spacing w:after="0" w:line="222" w:lineRule="exact"/>
        <w:rPr>
          <w:rFonts w:ascii="Arial" w:cs="Arial" w:eastAsia="Arial" w:hAnsi="Arial"/>
          <w:sz w:val="16"/>
          <w:szCs w:val="16"/>
          <w:color w:val="auto"/>
        </w:rPr>
      </w:pPr>
    </w:p>
    <w:p>
      <w:pPr>
        <w:ind w:left="-8" w:right="20" w:firstLine="8"/>
        <w:spacing w:after="0" w:line="248" w:lineRule="auto"/>
        <w:tabs>
          <w:tab w:leader="none" w:pos="18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fact that any action or transaction complies with the provisions of this Article 13 shall 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234" w:lineRule="exact"/>
        <w:rPr>
          <w:rFonts w:ascii="Arial" w:cs="Arial" w:eastAsia="Arial" w:hAnsi="Arial"/>
          <w:sz w:val="16"/>
          <w:szCs w:val="16"/>
          <w:color w:val="auto"/>
        </w:rPr>
      </w:pPr>
    </w:p>
    <w:p>
      <w:pPr>
        <w:ind w:left="-8" w:right="300" w:firstLine="8"/>
        <w:spacing w:after="0" w:line="251" w:lineRule="auto"/>
        <w:tabs>
          <w:tab w:leader="none" w:pos="181" w:val="left"/>
        </w:tabs>
        <w:numPr>
          <w:ilvl w:val="0"/>
          <w:numId w:val="166"/>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P94</w:t>
      </w:r>
    </w:p>
    <w:p>
      <w:pPr>
        <w:sectPr>
          <w:pgSz w:w="11900" w:h="16838" w:orient="portrait"/>
          <w:cols w:equalWidth="0" w:num="1">
            <w:col w:w="11232"/>
          </w:cols>
          <w:pgMar w:left="328" w:top="911" w:right="3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5863590" cy="765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65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P95</w:t>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26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P96</w:t>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314950" cy="68580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314950" cy="685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P97</w:t>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297805" cy="68065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297805"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P98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x"/>
      <w:numFmt w:val="bullet"/>
      <w:start w:val="1"/>
    </w:lvl>
  </w:abstractNum>
  <w:abstractNum w:abstractNumId="1">
    <w:nsid w:val="100F59DC"/>
    <w:multiLevelType w:val="hybridMultilevel"/>
    <w:lvl w:ilvl="0">
      <w:lvlJc w:val="left"/>
      <w:lvlText w:val="o"/>
      <w:numFmt w:val="bullet"/>
      <w:start w:val="1"/>
    </w:lvl>
  </w:abstractNum>
  <w:abstractNum w:abstractNumId="2">
    <w:nsid w:val="7FB7E0AA"/>
    <w:multiLevelType w:val="hybridMultilevel"/>
    <w:lvl w:ilvl="0">
      <w:lvlJc w:val="left"/>
      <w:lvlText w:val="(%1)"/>
      <w:numFmt w:val="decimal"/>
      <w:start w:val="1"/>
    </w:lvl>
  </w:abstractNum>
  <w:abstractNum w:abstractNumId="3">
    <w:nsid w:val="6EB5BD4"/>
    <w:multiLevelType w:val="hybridMultilevel"/>
    <w:lvl w:ilvl="0">
      <w:lvlJc w:val="left"/>
      <w:lvlText w:val="o"/>
      <w:numFmt w:val="bullet"/>
      <w:start w:val="1"/>
    </w:lvl>
    <w:lvl w:ilvl="1">
      <w:lvlJc w:val="left"/>
      <w:lvlText w:val="(%2)"/>
      <w:numFmt w:val="decimal"/>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ü"/>
      <w:numFmt w:val="bullet"/>
      <w:start w:val="1"/>
    </w:lvl>
  </w:abstractNum>
  <w:abstractNum w:abstractNumId="12">
    <w:nsid w:val="74DE0EE3"/>
    <w:multiLevelType w:val="hybridMultilevel"/>
    <w:lvl w:ilvl="0">
      <w:lvlJc w:val="left"/>
      <w:lvlText w:val="ü"/>
      <w:numFmt w:val="bullet"/>
      <w:start w:val="1"/>
    </w:lvl>
  </w:abstractNum>
  <w:abstractNum w:abstractNumId="13">
    <w:nsid w:val="68EBC550"/>
    <w:multiLevelType w:val="hybridMultilevel"/>
    <w:lvl w:ilvl="0">
      <w:lvlJc w:val="left"/>
      <w:lvlText w:val="ü"/>
      <w:numFmt w:val="bullet"/>
      <w:start w:val="1"/>
    </w:lvl>
  </w:abstractNum>
  <w:abstractNum w:abstractNumId="14">
    <w:nsid w:val="2DF6D648"/>
    <w:multiLevelType w:val="hybridMultilevel"/>
    <w:lvl w:ilvl="0">
      <w:lvlJc w:val="left"/>
      <w:lvlText w:val="ü"/>
      <w:numFmt w:val="bullet"/>
      <w:start w:val="1"/>
    </w:lvl>
  </w:abstractNum>
  <w:abstractNum w:abstractNumId="15">
    <w:nsid w:val="46B7D447"/>
    <w:multiLevelType w:val="hybridMultilevel"/>
    <w:lvl w:ilvl="0">
      <w:lvlJc w:val="left"/>
      <w:lvlText w:val="ü"/>
      <w:numFmt w:val="bullet"/>
      <w:start w:val="1"/>
    </w:lvl>
  </w:abstractNum>
  <w:abstractNum w:abstractNumId="16">
    <w:nsid w:val="4A2AC315"/>
    <w:multiLevelType w:val="hybridMultilevel"/>
    <w:lvl w:ilvl="0">
      <w:lvlJc w:val="left"/>
      <w:lvlText w:val="ü"/>
      <w:numFmt w:val="bullet"/>
      <w:start w:val="1"/>
    </w:lvl>
  </w:abstractNum>
  <w:abstractNum w:abstractNumId="17">
    <w:nsid w:val="39EE015C"/>
    <w:multiLevelType w:val="hybridMultilevel"/>
    <w:lvl w:ilvl="0">
      <w:lvlJc w:val="left"/>
      <w:lvlText w:val="ü"/>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lvl w:ilvl="1">
      <w:lvlJc w:val="left"/>
      <w:lvlText w:val="-"/>
      <w:numFmt w:val="bullet"/>
      <w:start w:val="1"/>
    </w:lvl>
  </w:abstractNum>
  <w:abstractNum w:abstractNumId="20">
    <w:nsid w:val="43F18422"/>
    <w:multiLevelType w:val="hybridMultilevel"/>
    <w:lvl w:ilvl="0">
      <w:lvlJc w:val="left"/>
      <w:lvlText w:val="•"/>
      <w:numFmt w:val="bullet"/>
      <w:start w:val="1"/>
    </w:lvl>
    <w:lvl w:ilvl="1">
      <w:lvlJc w:val="left"/>
      <w:lvlText w:val="-"/>
      <w:numFmt w:val="bullet"/>
      <w:start w:val="1"/>
    </w:lvl>
  </w:abstractNum>
  <w:abstractNum w:abstractNumId="21">
    <w:nsid w:val="60EF0119"/>
    <w:multiLevelType w:val="hybridMultilevel"/>
    <w:lvl w:ilvl="0">
      <w:lvlJc w:val="left"/>
      <w:lvlText w:val="•"/>
      <w:numFmt w:val="bullet"/>
      <w:start w:val="1"/>
    </w:lvl>
    <w:lvl w:ilvl="1">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lvl w:ilvl="1">
      <w:lvlJc w:val="left"/>
      <w:lvlText w:val="-"/>
      <w:numFmt w:val="bullet"/>
      <w:start w:val="1"/>
    </w:lvl>
  </w:abstractNum>
  <w:abstractNum w:abstractNumId="24">
    <w:nsid w:val="49DA307D"/>
    <w:multiLevelType w:val="hybridMultilevel"/>
    <w:lvl w:ilvl="0">
      <w:lvlJc w:val="left"/>
      <w:lvlText w:val="•"/>
      <w:numFmt w:val="bullet"/>
      <w:start w:val="1"/>
    </w:lvl>
    <w:lvl w:ilvl="1">
      <w:lvlJc w:val="left"/>
      <w:lvlText w:val="-"/>
      <w:numFmt w:val="bullet"/>
      <w:start w:val="1"/>
    </w:lvl>
  </w:abstractNum>
  <w:abstractNum w:abstractNumId="25">
    <w:nsid w:val="7055A5F5"/>
    <w:multiLevelType w:val="hybridMultilevel"/>
    <w:lvl w:ilvl="0">
      <w:lvlJc w:val="left"/>
      <w:lvlText w:val="•"/>
      <w:numFmt w:val="bullet"/>
      <w:start w:val="1"/>
    </w:lvl>
    <w:lvl w:ilvl="1">
      <w:lvlJc w:val="left"/>
      <w:lvlText w:val="-"/>
      <w:numFmt w:val="bullet"/>
      <w:start w:val="1"/>
    </w:lvl>
  </w:abstractNum>
  <w:abstractNum w:abstractNumId="26">
    <w:nsid w:val="5FB837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50801EE1"/>
    <w:multiLevelType w:val="hybridMultilevel"/>
    <w:lvl w:ilvl="0">
      <w:lvlJc w:val="left"/>
      <w:lvlText w:val="•"/>
      <w:numFmt w:val="bullet"/>
      <w:start w:val="1"/>
    </w:lvl>
    <w:lvl w:ilvl="1">
      <w:lvlJc w:val="left"/>
      <w:lvlText w:val="-"/>
      <w:numFmt w:val="bullet"/>
      <w:start w:val="1"/>
    </w:lvl>
  </w:abstractNum>
  <w:abstractNum w:abstractNumId="28">
    <w:nsid w:val="488AC1A"/>
    <w:multiLevelType w:val="hybridMultilevel"/>
    <w:lvl w:ilvl="0">
      <w:lvlJc w:val="left"/>
      <w:lvlText w:val="•"/>
      <w:numFmt w:val="bullet"/>
      <w:start w:val="1"/>
    </w:lvl>
    <w:lvl w:ilvl="1">
      <w:lvlJc w:val="left"/>
      <w:lvlText w:val="-"/>
      <w:numFmt w:val="bullet"/>
      <w:start w:val="1"/>
    </w:lvl>
  </w:abstractNum>
  <w:abstractNum w:abstractNumId="29">
    <w:nsid w:val="5FB8011C"/>
    <w:multiLevelType w:val="hybridMultilevel"/>
    <w:lvl w:ilvl="0">
      <w:lvlJc w:val="left"/>
      <w:lvlText w:val="•"/>
      <w:numFmt w:val="bullet"/>
      <w:start w:val="1"/>
    </w:lvl>
    <w:lvl w:ilvl="1">
      <w:lvlJc w:val="left"/>
      <w:lvlText w:val="-"/>
      <w:numFmt w:val="bullet"/>
      <w:start w:val="1"/>
    </w:lvl>
  </w:abstractNum>
  <w:abstractNum w:abstractNumId="30">
    <w:nsid w:val="6AA78F7F"/>
    <w:multiLevelType w:val="hybridMultilevel"/>
    <w:lvl w:ilvl="0">
      <w:lvlJc w:val="left"/>
      <w:lvlText w:val="•"/>
      <w:numFmt w:val="bullet"/>
      <w:start w:val="1"/>
    </w:lvl>
    <w:lvl w:ilvl="1">
      <w:lvlJc w:val="left"/>
      <w:lvlText w:val="-"/>
      <w:numFmt w:val="bullet"/>
      <w:start w:val="1"/>
    </w:lvl>
  </w:abstractNum>
  <w:abstractNum w:abstractNumId="31">
    <w:nsid w:val="7672BD23"/>
    <w:multiLevelType w:val="hybridMultilevel"/>
    <w:lvl w:ilvl="0">
      <w:lvlJc w:val="left"/>
      <w:lvlText w:val="•"/>
      <w:numFmt w:val="bullet"/>
      <w:start w:val="1"/>
    </w:lvl>
    <w:lvl w:ilvl="1">
      <w:lvlJc w:val="left"/>
      <w:lvlText w:val="-"/>
      <w:numFmt w:val="bullet"/>
      <w:start w:val="1"/>
    </w:lvl>
  </w:abstractNum>
  <w:abstractNum w:abstractNumId="32">
    <w:nsid w:val="6FC75AF8"/>
    <w:multiLevelType w:val="hybridMultilevel"/>
    <w:lvl w:ilvl="0">
      <w:lvlJc w:val="left"/>
      <w:lvlText w:val="•"/>
      <w:numFmt w:val="bullet"/>
      <w:start w:val="1"/>
    </w:lvl>
    <w:lvl w:ilvl="1">
      <w:lvlJc w:val="left"/>
      <w:lvlText w:val="-"/>
      <w:numFmt w:val="bullet"/>
      <w:start w:val="1"/>
    </w:lvl>
  </w:abstractNum>
  <w:abstractNum w:abstractNumId="33">
    <w:nsid w:val="6A5F7029"/>
    <w:multiLevelType w:val="hybridMultilevel"/>
    <w:lvl w:ilvl="0">
      <w:lvlJc w:val="left"/>
      <w:lvlText w:val="•"/>
      <w:numFmt w:val="bullet"/>
      <w:start w:val="1"/>
    </w:lvl>
    <w:lvl w:ilvl="1">
      <w:lvlJc w:val="left"/>
      <w:lvlText w:val="-"/>
      <w:numFmt w:val="bullet"/>
      <w:start w:val="1"/>
    </w:lvl>
  </w:abstractNum>
  <w:abstractNum w:abstractNumId="34">
    <w:nsid w:val="7D5E18F8"/>
    <w:multiLevelType w:val="hybridMultilevel"/>
    <w:lvl w:ilvl="0">
      <w:lvlJc w:val="left"/>
      <w:lvlText w:val="•"/>
      <w:numFmt w:val="bullet"/>
      <w:start w:val="1"/>
    </w:lvl>
    <w:lvl w:ilvl="1">
      <w:lvlJc w:val="left"/>
      <w:lvlText w:val="-"/>
      <w:numFmt w:val="bullet"/>
      <w:start w:val="1"/>
    </w:lvl>
  </w:abstractNum>
  <w:abstractNum w:abstractNumId="35">
    <w:nsid w:val="5F3534A4"/>
    <w:multiLevelType w:val="hybridMultilevel"/>
    <w:lvl w:ilvl="0">
      <w:lvlJc w:val="left"/>
      <w:lvlText w:val="1"/>
      <w:numFmt w:val="bullet"/>
      <w:start w:val="1"/>
    </w:lvl>
  </w:abstractNum>
  <w:abstractNum w:abstractNumId="36">
    <w:nsid w:val="73A1821B"/>
    <w:multiLevelType w:val="hybridMultilevel"/>
    <w:lvl w:ilvl="0">
      <w:lvlJc w:val="left"/>
      <w:lvlText w:val="2"/>
      <w:numFmt w:val="bullet"/>
      <w:start w:val="1"/>
    </w:lvl>
  </w:abstractNum>
  <w:abstractNum w:abstractNumId="37">
    <w:nsid w:val="7DE67713"/>
    <w:multiLevelType w:val="hybridMultilevel"/>
    <w:lvl w:ilvl="0">
      <w:lvlJc w:val="left"/>
      <w:lvlText w:val="3"/>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C"/>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lvl w:ilvl="1">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1"/>
      <w:numFmt w:val="bullet"/>
      <w:start w:val="1"/>
    </w:lvl>
  </w:abstractNum>
  <w:abstractNum w:abstractNumId="57">
    <w:nsid w:val="7C58FD05"/>
    <w:multiLevelType w:val="hybridMultilevel"/>
    <w:lvl w:ilvl="0">
      <w:lvlJc w:val="left"/>
      <w:lvlText w:val="2"/>
      <w:numFmt w:val="bullet"/>
      <w:start w:val="1"/>
    </w:lvl>
  </w:abstractNum>
  <w:abstractNum w:abstractNumId="58">
    <w:nsid w:val="23D86AAC"/>
    <w:multiLevelType w:val="hybridMultilevel"/>
    <w:lvl w:ilvl="0">
      <w:lvlJc w:val="left"/>
      <w:lvlText w:val="3"/>
      <w:numFmt w:val="bullet"/>
      <w:start w:val="1"/>
    </w:lvl>
  </w:abstractNum>
  <w:abstractNum w:abstractNumId="59">
    <w:nsid w:val="45E6D486"/>
    <w:multiLevelType w:val="hybridMultilevel"/>
    <w:lvl w:ilvl="0">
      <w:lvlJc w:val="left"/>
      <w:lvlText w:val="4"/>
      <w:numFmt w:val="bullet"/>
      <w:start w:val="1"/>
    </w:lvl>
  </w:abstractNum>
  <w:abstractNum w:abstractNumId="60">
    <w:nsid w:val="5C10FE21"/>
    <w:multiLevelType w:val="hybridMultilevel"/>
    <w:lvl w:ilvl="0">
      <w:lvlJc w:val="left"/>
      <w:lvlText w:val="5"/>
      <w:numFmt w:val="bullet"/>
      <w:start w:val="1"/>
    </w:lvl>
  </w:abstractNum>
  <w:abstractNum w:abstractNumId="61">
    <w:nsid w:val="E7FFA2B"/>
    <w:multiLevelType w:val="hybridMultilevel"/>
    <w:lvl w:ilvl="0">
      <w:lvlJc w:val="left"/>
      <w:lvlText w:val="6"/>
      <w:numFmt w:val="bullet"/>
      <w:start w:val="1"/>
    </w:lvl>
  </w:abstractNum>
  <w:abstractNum w:abstractNumId="62">
    <w:nsid w:val="3C5991AA"/>
    <w:multiLevelType w:val="hybridMultilevel"/>
    <w:lvl w:ilvl="0">
      <w:lvlJc w:val="left"/>
      <w:lvlText w:val="1"/>
      <w:numFmt w:val="bullet"/>
      <w:start w:val="1"/>
    </w:lvl>
  </w:abstractNum>
  <w:abstractNum w:abstractNumId="63">
    <w:nsid w:val="4BD8591A"/>
    <w:multiLevelType w:val="hybridMultilevel"/>
    <w:lvl w:ilvl="0">
      <w:lvlJc w:val="left"/>
      <w:lvlText w:val="2"/>
      <w:numFmt w:val="bullet"/>
      <w:start w:val="1"/>
    </w:lvl>
  </w:abstractNum>
  <w:abstractNum w:abstractNumId="64">
    <w:nsid w:val="78DF6A55"/>
    <w:multiLevelType w:val="hybridMultilevel"/>
    <w:lvl w:ilvl="0">
      <w:lvlJc w:val="left"/>
      <w:lvlText w:val="3"/>
      <w:numFmt w:val="bullet"/>
      <w:start w:val="1"/>
    </w:lvl>
  </w:abstractNum>
  <w:abstractNum w:abstractNumId="65">
    <w:nsid w:val="39B7AAA2"/>
    <w:multiLevelType w:val="hybridMultilevel"/>
    <w:lvl w:ilvl="0">
      <w:lvlJc w:val="left"/>
      <w:lvlText w:val="4"/>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lvl w:ilvl="1">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lvl w:ilvl="1">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1"/>
      <w:numFmt w:val="bullet"/>
      <w:start w:val="1"/>
    </w:lvl>
  </w:abstractNum>
  <w:abstractNum w:abstractNumId="81">
    <w:nsid w:val="53B0A9E"/>
    <w:multiLevelType w:val="hybridMultilevel"/>
    <w:lvl w:ilvl="0">
      <w:lvlJc w:val="left"/>
      <w:lvlText w:val="1"/>
      <w:numFmt w:val="bullet"/>
      <w:start w:val="1"/>
    </w:lvl>
  </w:abstractNum>
  <w:abstractNum w:abstractNumId="82">
    <w:nsid w:val="34FD6B4F"/>
    <w:multiLevelType w:val="hybridMultilevel"/>
    <w:lvl w:ilvl="0">
      <w:lvlJc w:val="left"/>
      <w:lvlText w:val="2"/>
      <w:numFmt w:val="bullet"/>
      <w:start w:val="1"/>
    </w:lvl>
  </w:abstractNum>
  <w:abstractNum w:abstractNumId="83">
    <w:nsid w:val="5915FF32"/>
    <w:multiLevelType w:val="hybridMultilevel"/>
    <w:lvl w:ilvl="0">
      <w:lvlJc w:val="left"/>
      <w:lvlText w:val="1"/>
      <w:numFmt w:val="bullet"/>
      <w:start w:val="1"/>
    </w:lvl>
  </w:abstractNum>
  <w:abstractNum w:abstractNumId="84">
    <w:nsid w:val="56438D15"/>
    <w:multiLevelType w:val="hybridMultilevel"/>
    <w:lvl w:ilvl="0">
      <w:lvlJc w:val="left"/>
      <w:lvlText w:val="2"/>
      <w:numFmt w:val="bullet"/>
      <w:start w:val="1"/>
    </w:lvl>
  </w:abstractNum>
  <w:abstractNum w:abstractNumId="85">
    <w:nsid w:val="519E3149"/>
    <w:multiLevelType w:val="hybridMultilevel"/>
    <w:lvl w:ilvl="0">
      <w:lvlJc w:val="left"/>
      <w:lvlText w:val="3"/>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1)"/>
      <w:numFmt w:val="lowerRoman"/>
      <w:start w:val="2"/>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lvl w:ilvl="1">
      <w:lvlJc w:val="left"/>
      <w:lvlText w:val="•"/>
      <w:numFmt w:val="bullet"/>
      <w:start w:val="1"/>
    </w:lvl>
  </w:abstractNum>
  <w:abstractNum w:abstractNumId="95">
    <w:nsid w:val="57A61A29"/>
    <w:multiLevelType w:val="hybridMultilevel"/>
    <w:lvl w:ilvl="0">
      <w:lvlJc w:val="left"/>
      <w:lvlText w:val="•"/>
      <w:numFmt w:val="bullet"/>
      <w:start w:val="1"/>
    </w:lvl>
  </w:abstractNum>
  <w:abstractNum w:abstractNumId="96">
    <w:nsid w:val="5399C654"/>
    <w:multiLevelType w:val="hybridMultilevel"/>
    <w:lvl w:ilvl="0">
      <w:lvlJc w:val="left"/>
      <w:lvlText w:val="%1"/>
      <w:numFmt w:val="decimal"/>
      <w:start w:val="1"/>
    </w:lvl>
    <w:lvl w:ilvl="1">
      <w:lvlJc w:val="left"/>
      <w:lvlText w:val="(%2)"/>
      <w:numFmt w:val="lowerLetter"/>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
      <w:numFmt w:val="bullet"/>
      <w:start w:val="1"/>
    </w:lvl>
  </w:abstractNum>
  <w:abstractNum w:abstractNumId="99">
    <w:nsid w:val="B37E80A"/>
    <w:multiLevelType w:val="hybridMultilevel"/>
    <w:lvl w:ilvl="0">
      <w:lvlJc w:val="left"/>
      <w:lvlText w:val="*"/>
      <w:numFmt w:val="bullet"/>
      <w:start w:val="1"/>
    </w:lvl>
  </w:abstractNum>
  <w:abstractNum w:abstractNumId="100">
    <w:nsid w:val="2157F6BC"/>
    <w:multiLevelType w:val="hybridMultilevel"/>
    <w:lvl w:ilvl="0">
      <w:lvlJc w:val="left"/>
      <w:lvlText w:val="*"/>
      <w:numFmt w:val="bullet"/>
      <w:start w:val="1"/>
    </w:lvl>
  </w:abstractNum>
  <w:abstractNum w:abstractNumId="101">
    <w:nsid w:val="704E1DD5"/>
    <w:multiLevelType w:val="hybridMultilevel"/>
    <w:lvl w:ilvl="0">
      <w:lvlJc w:val="left"/>
      <w:lvlText w:val="2"/>
      <w:numFmt w:val="bullet"/>
      <w:start w:val="1"/>
    </w:lvl>
  </w:abstractNum>
  <w:abstractNum w:abstractNumId="102">
    <w:nsid w:val="57D2F10E"/>
    <w:multiLevelType w:val="hybridMultilevel"/>
    <w:lvl w:ilvl="0">
      <w:lvlJc w:val="left"/>
      <w:lvlText w:val="3"/>
      <w:numFmt w:val="bullet"/>
      <w:start w:val="1"/>
    </w:lvl>
  </w:abstractNum>
  <w:abstractNum w:abstractNumId="103">
    <w:nsid w:val="BFFAE18"/>
    <w:multiLevelType w:val="hybridMultilevel"/>
    <w:lvl w:ilvl="0">
      <w:lvlJc w:val="left"/>
      <w:lvlText w:val="4"/>
      <w:numFmt w:val="bullet"/>
      <w:start w:val="1"/>
    </w:lvl>
  </w:abstractNum>
  <w:abstractNum w:abstractNumId="104">
    <w:nsid w:val="E3E47A8"/>
    <w:multiLevelType w:val="hybridMultilevel"/>
    <w:lvl w:ilvl="0">
      <w:lvlJc w:val="left"/>
      <w:lvlText w:val="5"/>
      <w:numFmt w:val="bullet"/>
      <w:start w:val="1"/>
    </w:lvl>
  </w:abstractNum>
  <w:abstractNum w:abstractNumId="105">
    <w:nsid w:val="2E48F044"/>
    <w:multiLevelType w:val="hybridMultilevel"/>
    <w:lvl w:ilvl="0">
      <w:lvlJc w:val="left"/>
      <w:lvlText w:val="6"/>
      <w:numFmt w:val="bullet"/>
      <w:start w:val="1"/>
    </w:lvl>
  </w:abstractNum>
  <w:abstractNum w:abstractNumId="106">
    <w:nsid w:val="49D0FEAC"/>
    <w:multiLevelType w:val="hybridMultilevel"/>
    <w:lvl w:ilvl="0">
      <w:lvlJc w:val="left"/>
      <w:lvlText w:val="7"/>
      <w:numFmt w:val="bullet"/>
      <w:start w:val="1"/>
    </w:lvl>
  </w:abstractNum>
  <w:abstractNum w:abstractNumId="107">
    <w:nsid w:val="4BEE5A5B"/>
    <w:multiLevelType w:val="hybridMultilevel"/>
    <w:lvl w:ilvl="0">
      <w:lvlJc w:val="left"/>
      <w:lvlText w:val="1"/>
      <w:numFmt w:val="bullet"/>
      <w:start w:val="1"/>
    </w:lvl>
  </w:abstractNum>
  <w:abstractNum w:abstractNumId="108">
    <w:nsid w:val="5551B9F3"/>
    <w:multiLevelType w:val="hybridMultilevel"/>
    <w:lvl w:ilvl="0">
      <w:lvlJc w:val="left"/>
      <w:lvlText w:val="2"/>
      <w:numFmt w:val="bullet"/>
      <w:start w:val="1"/>
    </w:lvl>
  </w:abstractNum>
  <w:abstractNum w:abstractNumId="109">
    <w:nsid w:val="24F6AB8E"/>
    <w:multiLevelType w:val="hybridMultilevel"/>
    <w:lvl w:ilvl="0">
      <w:lvlJc w:val="left"/>
      <w:lvlText w:val="3"/>
      <w:numFmt w:val="bullet"/>
      <w:start w:val="1"/>
    </w:lvl>
  </w:abstractNum>
  <w:abstractNum w:abstractNumId="110">
    <w:nsid w:val="634C574C"/>
    <w:multiLevelType w:val="hybridMultilevel"/>
    <w:lvl w:ilvl="0">
      <w:lvlJc w:val="left"/>
      <w:lvlText w:val="4"/>
      <w:numFmt w:val="bullet"/>
      <w:start w:val="1"/>
    </w:lvl>
  </w:abstractNum>
  <w:abstractNum w:abstractNumId="111">
    <w:nsid w:val="24E99DD7"/>
    <w:multiLevelType w:val="hybridMultilevel"/>
    <w:lvl w:ilvl="0">
      <w:lvlJc w:val="left"/>
      <w:lvlText w:val="5"/>
      <w:numFmt w:val="bullet"/>
      <w:start w:val="1"/>
    </w:lvl>
  </w:abstractNum>
  <w:abstractNum w:abstractNumId="112">
    <w:nsid w:val="2A31B62D"/>
    <w:multiLevelType w:val="hybridMultilevel"/>
    <w:lvl w:ilvl="0">
      <w:lvlJc w:val="left"/>
      <w:lvlText w:val="6"/>
      <w:numFmt w:val="bullet"/>
      <w:start w:val="1"/>
    </w:lvl>
  </w:abstractNum>
  <w:abstractNum w:abstractNumId="113">
    <w:nsid w:val="1849C29B"/>
    <w:multiLevelType w:val="hybridMultilevel"/>
    <w:lvl w:ilvl="0">
      <w:lvlJc w:val="left"/>
      <w:lvlText w:val="7"/>
      <w:numFmt w:val="bullet"/>
      <w:start w:val="1"/>
    </w:lvl>
  </w:abstractNum>
  <w:abstractNum w:abstractNumId="114">
    <w:nsid w:val="7DFF9D09"/>
    <w:multiLevelType w:val="hybridMultilevel"/>
    <w:lvl w:ilvl="0">
      <w:lvlJc w:val="left"/>
      <w:lvlText w:val="1"/>
      <w:numFmt w:val="bullet"/>
      <w:start w:val="1"/>
    </w:lvl>
  </w:abstractNum>
  <w:abstractNum w:abstractNumId="115">
    <w:nsid w:val="754342"/>
    <w:multiLevelType w:val="hybridMultilevel"/>
    <w:lvl w:ilvl="0">
      <w:lvlJc w:val="left"/>
      <w:lvlText w:val="2"/>
      <w:numFmt w:val="bullet"/>
      <w:start w:val="1"/>
    </w:lvl>
  </w:abstractNum>
  <w:abstractNum w:abstractNumId="116">
    <w:nsid w:val="69E7F3E5"/>
    <w:multiLevelType w:val="hybridMultilevel"/>
    <w:lvl w:ilvl="0">
      <w:lvlJc w:val="left"/>
      <w:lvlText w:val="3"/>
      <w:numFmt w:val="bullet"/>
      <w:start w:val="1"/>
    </w:lvl>
  </w:abstractNum>
  <w:abstractNum w:abstractNumId="117">
    <w:nsid w:val="2A6DE806"/>
    <w:multiLevelType w:val="hybridMultilevel"/>
    <w:lvl w:ilvl="0">
      <w:lvlJc w:val="left"/>
      <w:lvlText w:val="4"/>
      <w:numFmt w:val="bullet"/>
      <w:start w:val="1"/>
    </w:lvl>
  </w:abstractNum>
  <w:abstractNum w:abstractNumId="118">
    <w:nsid w:val="1816F8C4"/>
    <w:multiLevelType w:val="hybridMultilevel"/>
    <w:lvl w:ilvl="0">
      <w:lvlJc w:val="left"/>
      <w:lvlText w:val="5"/>
      <w:numFmt w:val="bullet"/>
      <w:start w:val="1"/>
    </w:lvl>
  </w:abstractNum>
  <w:abstractNum w:abstractNumId="119">
    <w:nsid w:val="37DF2233"/>
    <w:multiLevelType w:val="hybridMultilevel"/>
    <w:lvl w:ilvl="0">
      <w:lvlJc w:val="left"/>
      <w:lvlText w:val="6"/>
      <w:numFmt w:val="bullet"/>
      <w:start w:val="1"/>
    </w:lvl>
  </w:abstractNum>
  <w:abstractNum w:abstractNumId="120">
    <w:nsid w:val="7AB49DAF"/>
    <w:multiLevelType w:val="hybridMultilevel"/>
    <w:lvl w:ilvl="0">
      <w:lvlJc w:val="left"/>
      <w:lvlText w:val="7"/>
      <w:numFmt w:val="bullet"/>
      <w:start w:val="1"/>
    </w:lvl>
  </w:abstractNum>
  <w:abstractNum w:abstractNumId="121">
    <w:nsid w:val="759F82CD"/>
    <w:multiLevelType w:val="hybridMultilevel"/>
    <w:lvl w:ilvl="0">
      <w:lvlJc w:val="left"/>
      <w:lvlText w:val="8"/>
      <w:numFmt w:val="bullet"/>
      <w:start w:val="1"/>
    </w:lvl>
  </w:abstractNum>
  <w:abstractNum w:abstractNumId="122">
    <w:nsid w:val="61E74EA3"/>
    <w:multiLevelType w:val="hybridMultilevel"/>
    <w:lvl w:ilvl="0">
      <w:lvlJc w:val="left"/>
      <w:lvlText w:val="1"/>
      <w:numFmt w:val="bullet"/>
      <w:start w:val="1"/>
    </w:lvl>
  </w:abstractNum>
  <w:abstractNum w:abstractNumId="123">
    <w:nsid w:val="597B4D84"/>
    <w:multiLevelType w:val="hybridMultilevel"/>
    <w:lvl w:ilvl="0">
      <w:lvlJc w:val="left"/>
      <w:lvlText w:val="2"/>
      <w:numFmt w:val="bullet"/>
      <w:start w:val="1"/>
    </w:lvl>
  </w:abstractNum>
  <w:abstractNum w:abstractNumId="124">
    <w:nsid w:val="F819E7F"/>
    <w:multiLevelType w:val="hybridMultilevel"/>
    <w:lvl w:ilvl="0">
      <w:lvlJc w:val="left"/>
      <w:lvlText w:val="3"/>
      <w:numFmt w:val="bullet"/>
      <w:start w:val="1"/>
    </w:lvl>
  </w:abstractNum>
  <w:abstractNum w:abstractNumId="125">
    <w:nsid w:val="57C7D42D"/>
    <w:multiLevelType w:val="hybridMultilevel"/>
    <w:lvl w:ilvl="0">
      <w:lvlJc w:val="left"/>
      <w:lvlText w:val="4"/>
      <w:numFmt w:val="bullet"/>
      <w:start w:val="1"/>
    </w:lvl>
  </w:abstractNum>
  <w:abstractNum w:abstractNumId="126">
    <w:nsid w:val="312167AD"/>
    <w:multiLevelType w:val="hybridMultilevel"/>
    <w:lvl w:ilvl="0">
      <w:lvlJc w:val="left"/>
      <w:lvlText w:val="5"/>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1"/>
      <w:numFmt w:val="bullet"/>
      <w:start w:val="1"/>
    </w:lvl>
  </w:abstractNum>
  <w:abstractNum w:abstractNumId="129">
    <w:nsid w:val="75486E47"/>
    <w:multiLevelType w:val="hybridMultilevel"/>
    <w:lvl w:ilvl="0">
      <w:lvlJc w:val="left"/>
      <w:lvlText w:val="•"/>
      <w:numFmt w:val="bullet"/>
      <w:start w:val="1"/>
    </w:lvl>
  </w:abstractNum>
  <w:abstractNum w:abstractNumId="130">
    <w:nsid w:val="6E534CDE"/>
    <w:multiLevelType w:val="hybridMultilevel"/>
    <w:lvl w:ilvl="0">
      <w:lvlJc w:val="left"/>
      <w:lvlText w:val="1"/>
      <w:numFmt w:val="bullet"/>
      <w:start w:val="1"/>
    </w:lvl>
  </w:abstractNum>
  <w:abstractNum w:abstractNumId="131">
    <w:nsid w:val="1A0DDE32"/>
    <w:multiLevelType w:val="hybridMultilevel"/>
    <w:lvl w:ilvl="0">
      <w:lvlJc w:val="left"/>
      <w:lvlText w:val="2"/>
      <w:numFmt w:val="bullet"/>
      <w:start w:val="1"/>
    </w:lvl>
  </w:abstractNum>
  <w:abstractNum w:abstractNumId="132">
    <w:nsid w:val="65968C1C"/>
    <w:multiLevelType w:val="hybridMultilevel"/>
    <w:lvl w:ilvl="0">
      <w:lvlJc w:val="left"/>
      <w:lvlText w:val="3"/>
      <w:numFmt w:val="bullet"/>
      <w:start w:val="1"/>
    </w:lvl>
  </w:abstractNum>
  <w:abstractNum w:abstractNumId="133">
    <w:nsid w:val="46263DEC"/>
    <w:multiLevelType w:val="hybridMultilevel"/>
    <w:lvl w:ilvl="0">
      <w:lvlJc w:val="left"/>
      <w:lvlText w:val="1"/>
      <w:numFmt w:val="bullet"/>
      <w:start w:val="1"/>
    </w:lvl>
  </w:abstractNum>
  <w:abstractNum w:abstractNumId="134">
    <w:nsid w:val="260D8C4A"/>
    <w:multiLevelType w:val="hybridMultilevel"/>
    <w:lvl w:ilvl="0">
      <w:lvlJc w:val="left"/>
      <w:lvlText w:val="2"/>
      <w:numFmt w:val="bullet"/>
      <w:start w:val="1"/>
    </w:lvl>
  </w:abstractNum>
  <w:abstractNum w:abstractNumId="135">
    <w:nsid w:val="73D4D3C4"/>
    <w:multiLevelType w:val="hybridMultilevel"/>
    <w:lvl w:ilvl="0">
      <w:lvlJc w:val="left"/>
      <w:lvlText w:val="3"/>
      <w:numFmt w:val="bullet"/>
      <w:start w:val="1"/>
    </w:lvl>
    <w:lvl w:ilvl="1">
      <w:lvlJc w:val="left"/>
      <w:lvlText w:val="•"/>
      <w:numFmt w:val="bullet"/>
      <w:start w:val="1"/>
    </w:lvl>
  </w:abstractNum>
  <w:abstractNum w:abstractNumId="136">
    <w:nsid w:val="746F2E30"/>
    <w:multiLevelType w:val="hybridMultilevel"/>
    <w:lvl w:ilvl="0">
      <w:lvlJc w:val="left"/>
      <w:lvlText w:val="•"/>
      <w:numFmt w:val="bullet"/>
      <w:start w:val="1"/>
    </w:lvl>
    <w:lvl w:ilvl="1">
      <w:lvlJc w:val="left"/>
      <w:lvlText w:val="•"/>
      <w:numFmt w:val="bullet"/>
      <w:start w:val="1"/>
    </w:lvl>
  </w:abstractNum>
  <w:abstractNum w:abstractNumId="137">
    <w:nsid w:val="6FDE8AF6"/>
    <w:multiLevelType w:val="hybridMultilevel"/>
    <w:lvl w:ilvl="0">
      <w:lvlJc w:val="left"/>
      <w:lvlText w:val="(%1)"/>
      <w:numFmt w:val="lowerRoman"/>
      <w:start w:val="2"/>
    </w:lvl>
  </w:abstractNum>
  <w:abstractNum w:abstractNumId="138">
    <w:nsid w:val="3FC32E20"/>
    <w:multiLevelType w:val="hybridMultilevel"/>
    <w:lvl w:ilvl="0">
      <w:lvlJc w:val="left"/>
      <w:lvlText w:val="•"/>
      <w:numFmt w:val="bullet"/>
      <w:start w:val="1"/>
    </w:lvl>
  </w:abstractNum>
  <w:abstractNum w:abstractNumId="139">
    <w:nsid w:val="49C0E823"/>
    <w:multiLevelType w:val="hybridMultilevel"/>
    <w:lvl w:ilvl="0">
      <w:lvlJc w:val="left"/>
      <w:lvlText w:val="•"/>
      <w:numFmt w:val="bullet"/>
      <w:start w:val="1"/>
    </w:lvl>
  </w:abstractNum>
  <w:abstractNum w:abstractNumId="140">
    <w:nsid w:val="14D53685"/>
    <w:multiLevelType w:val="hybridMultilevel"/>
    <w:lvl w:ilvl="0">
      <w:lvlJc w:val="left"/>
      <w:lvlText w:val="•"/>
      <w:numFmt w:val="bullet"/>
      <w:start w:val="1"/>
    </w:lvl>
    <w:lvl w:ilvl="1">
      <w:lvlJc w:val="left"/>
      <w:lvlText w:val="◦"/>
      <w:numFmt w:val="bullet"/>
      <w:start w:val="1"/>
    </w:lvl>
  </w:abstractNum>
  <w:abstractNum w:abstractNumId="141">
    <w:nsid w:val="230F856C"/>
    <w:multiLevelType w:val="hybridMultilevel"/>
    <w:lvl w:ilvl="0">
      <w:lvlJc w:val="left"/>
      <w:lvlText w:val="%1."/>
      <w:numFmt w:val="decimal"/>
      <w:start w:val="1"/>
    </w:lvl>
  </w:abstractNum>
  <w:abstractNum w:abstractNumId="142">
    <w:nsid w:val="6EAA85FB"/>
    <w:multiLevelType w:val="hybridMultilevel"/>
    <w:lvl w:ilvl="0">
      <w:lvlJc w:val="left"/>
      <w:lvlText w:val="%1."/>
      <w:numFmt w:val="decimal"/>
      <w:start w:val="4"/>
    </w:lvl>
  </w:abstractNum>
  <w:abstractNum w:abstractNumId="143">
    <w:nsid w:val="3F06ECB2"/>
    <w:multiLevelType w:val="hybridMultilevel"/>
    <w:lvl w:ilvl="0">
      <w:lvlJc w:val="left"/>
      <w:lvlText w:val="•"/>
      <w:numFmt w:val="bullet"/>
      <w:start w:val="1"/>
    </w:lvl>
  </w:abstractNum>
  <w:abstractNum w:abstractNumId="144">
    <w:nsid w:val="3B594807"/>
    <w:multiLevelType w:val="hybridMultilevel"/>
    <w:lvl w:ilvl="0">
      <w:lvlJc w:val="left"/>
      <w:lvlText w:val="1"/>
      <w:numFmt w:val="bullet"/>
      <w:start w:val="1"/>
    </w:lvl>
  </w:abstractNum>
  <w:abstractNum w:abstractNumId="145">
    <w:nsid w:val="6CAA2304"/>
    <w:multiLevelType w:val="hybridMultilevel"/>
    <w:lvl w:ilvl="0">
      <w:lvlJc w:val="left"/>
      <w:lvlText w:val="•"/>
      <w:numFmt w:val="bullet"/>
      <w:start w:val="1"/>
    </w:lvl>
  </w:abstractNum>
  <w:abstractNum w:abstractNumId="146">
    <w:nsid w:val="3F7C2FF4"/>
    <w:multiLevelType w:val="hybridMultilevel"/>
    <w:lvl w:ilvl="0">
      <w:lvlJc w:val="left"/>
      <w:lvlText w:val="•"/>
      <w:numFmt w:val="bullet"/>
      <w:start w:val="1"/>
    </w:lvl>
  </w:abstractNum>
  <w:abstractNum w:abstractNumId="147">
    <w:nsid w:val="25413BEC"/>
    <w:multiLevelType w:val="hybridMultilevel"/>
    <w:lvl w:ilvl="0">
      <w:lvlJc w:val="left"/>
      <w:lvlText w:val="•"/>
      <w:numFmt w:val="bullet"/>
      <w:start w:val="1"/>
    </w:lvl>
  </w:abstractNum>
  <w:abstractNum w:abstractNumId="148">
    <w:nsid w:val="17180B0B"/>
    <w:multiLevelType w:val="hybridMultilevel"/>
    <w:lvl w:ilvl="0">
      <w:lvlJc w:val="left"/>
      <w:lvlText w:val="7"/>
      <w:numFmt w:val="bullet"/>
      <w:start w:val="1"/>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
      <w:numFmt w:val="bullet"/>
      <w:start w:val="1"/>
    </w:lvl>
  </w:abstractNum>
  <w:abstractNum w:abstractNumId="151">
    <w:nsid w:val="11CCA8BA"/>
    <w:multiLevelType w:val="hybridMultilevel"/>
    <w:lvl w:ilvl="0">
      <w:lvlJc w:val="left"/>
      <w:lvlText w:val="•"/>
      <w:numFmt w:val="bullet"/>
      <w:start w:val="1"/>
    </w:lvl>
    <w:lvl w:ilvl="1">
      <w:lvlJc w:val="left"/>
      <w:lvlText w:val="•"/>
      <w:numFmt w:val="bullet"/>
      <w:start w:val="1"/>
    </w:lvl>
  </w:abstractNum>
  <w:abstractNum w:abstractNumId="152">
    <w:nsid w:val="4D32AB86"/>
    <w:multiLevelType w:val="hybridMultilevel"/>
    <w:lvl w:ilvl="0">
      <w:lvlJc w:val="left"/>
      <w:lvlText w:val="•"/>
      <w:numFmt w:val="bullet"/>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
      <w:numFmt w:val="bullet"/>
      <w:start w:val="1"/>
    </w:lvl>
  </w:abstractNum>
  <w:abstractNum w:abstractNumId="155">
    <w:nsid w:val="5CB44A05"/>
    <w:multiLevelType w:val="hybridMultilevel"/>
    <w:lvl w:ilvl="0">
      <w:lvlJc w:val="left"/>
      <w:lvlText w:val="•"/>
      <w:numFmt w:val="bullet"/>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1)"/>
      <w:numFmt w:val="lowerLetter"/>
      <w:start w:val="1"/>
    </w:lvl>
  </w:abstractNum>
  <w:abstractNum w:abstractNumId="160">
    <w:nsid w:val="11B1CC33"/>
    <w:multiLevelType w:val="hybridMultilevel"/>
    <w:lvl w:ilvl="0">
      <w:lvlJc w:val="left"/>
      <w:lvlText w:val="%1."/>
      <w:numFmt w:val="decimal"/>
      <w:start w:val="9"/>
    </w:lvl>
    <w:lvl w:ilvl="1">
      <w:lvlJc w:val="left"/>
      <w:lvlText w:val="(%2)"/>
      <w:numFmt w:val="lowerLetter"/>
      <w:start w:val="1"/>
    </w:lvl>
  </w:abstractNum>
  <w:abstractNum w:abstractNumId="161">
    <w:nsid w:val="2E22FBB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62">
    <w:nsid w:val="29934699"/>
    <w:multiLevelType w:val="hybridMultilevel"/>
    <w:lvl w:ilvl="0">
      <w:lvlJc w:val="left"/>
      <w:lvlText w:val="(%1)"/>
      <w:numFmt w:val="lowerRoman"/>
      <w:start w:val="3"/>
    </w:lvl>
  </w:abstractNum>
  <w:abstractNum w:abstractNumId="163">
    <w:nsid w:val="77485850"/>
    <w:multiLevelType w:val="hybridMultilevel"/>
    <w:lvl w:ilvl="0">
      <w:lvlJc w:val="left"/>
      <w:lvlText w:val="(%1)"/>
      <w:numFmt w:val="lowerLetter"/>
      <w:start w:val="2"/>
    </w:lvl>
    <w:lvl w:ilvl="1">
      <w:lvlJc w:val="left"/>
      <w:lvlText w:val="(%2)"/>
      <w:numFmt w:val="lowerRoman"/>
      <w:start w:val="1"/>
    </w:lvl>
  </w:abstractNum>
  <w:abstractNum w:abstractNumId="164">
    <w:nsid w:val="744939A3"/>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65">
    <w:nsid w:val="4FA0D2E3"/>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2021-02-18T16:13:06Z</dcterms:created>
  <dcterms:modified xsi:type="dcterms:W3CDTF">2021-02-18T16:13:06Z</dcterms:modified>
</cp:coreProperties>
</file>