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ELI LILLY AND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001-06351</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35-0470950</w:t>
            </w:r>
          </w:p>
        </w:tc>
      </w:tr>
      <w:tr>
        <w:trPr>
          <w:trHeight w:val="149"/>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0"/>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Lilly Corporate Center</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Indianapolis, Indiana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46285</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(317) 276-2000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(no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1"/>
              </w:rPr>
              <w:t>LLY</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1.625% Notes due 2026</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LLY26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2.125% Notes due 2030</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LLY30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0.625% Notes due 2031</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LLY31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0.500% Notes due 2033</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LLY33</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6.77% Notes due 2036</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LLY36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1.625% Notes due 2043</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LLY43</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1.700% Notes due 2049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LLY49A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1.125% Notes due 2051</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LLY51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1.375% Notes due 2061</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LLY61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50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May 20, 2026, Eli Lilly and Company (the “Company”) completed its offering of $750,000,000 aggregate principal amount of its Floating Rate Notes due 2028 (the “2028 Floating Rate Notes”), $500,000,000 aggregate principal amount of its Floating Rate Notes due 2029 (the “2029 Floating Rate Notes” and, together with the 2028 Floating Rate Notes, the “Floating Rate Notes”), $750,000,000 aggregate principal amount of its 4.150% Notes due 2029 (the “2029 Notes”), $1,500,000,000 aggregate principal amount of its 4.375% Notes due 2031 (the “2031 Notes”), $1,250,000,000 aggregate principal amount of its 4.650% Notes due 2033 (the “2033 Notes”), $1,500,000,000 aggregate principal amount of its 4.850% Notes due 2036 (the “2036 Notes”), $1,750,000,000 aggregate principal amount of its 5.600% Notes due 2056 (the “2056 Notes”) and $1,000,000,000 aggregate principal amount of its 5.700% Notes due 2066 (the “2066 Notes” and, collectively with the 2029 Notes, the 2031 Notes, the 2033 Notes, the 2036 Notes and the 2056 Notes, the “Fixed Rate Notes,” and together with the Floating Rate Notes, the “Notes”).</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Notes were sold pursuant to an underwriting agreement (the “Underwriting Agreement”), by and among the Company, Morgan Stanley &amp; Co. LLC, Citigroup Global Markets Inc., Deutsche Bank Securities Inc. and Goldman Sachs &amp; Co. LLC, as representatives of the several underwriters named therein. Each series of Notes was issued pursuant to an Indenture (the “Indenture”), dated February 1, 1991, between the Company and Deutsche Bank Trust Company Americas (as successor to Citibank, N.A.), as trustee, and an officers’ certificate setting forth the terms of the Notes (including the forms of such Notes as exhibits). The offering of the Notes was registered on a Registration Statement on Form S-3 (File No. 333-285052). After deduction of underwriting discounts and before deduction of estimated offering expenses payable by the Company, net proceeds from the offering to the Company were approximately $8.94 billion.</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Floating Rate Notes accrue interest at a floating rate, reset and payable quarterly, equal to Compounded SOFR (as defined in the accompanying form of officers’ certificate relating to the Floating Rate Notes) plus 0.350% (for the 2028 Floating Rate Notes) or 0.460% (for the 2029 Floating Rate Notes). The Fixed Rate Notes accrue interest at a rate per annum, payable semi-annually, of 4.650% (for the 2029 Notes), 4.375% (for the 2031 Notes), 4.650% (for the 2033 Notes), 4.850% (for the 2036 Notes), 5.600% (for the 2056 Notes), or 5.700% (for the 2066 Notes). Except as contemplated in the following paragraph and subject to the mandatory redemption provisions described below for the applicable series of Notes, each series of Notes matures on May 20 of the year of its stated maturity.</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Upon the occurrence of an Event of Default (as defined in the Indenture) with respect to a series of Notes, the principal amount of the Notes of that series may be declared, and become, immediately due and payable. The Company may, at its election, redeem the Fixed Rate Notes, in whole or in part, from time to time at the redemption prices and on the terms and conditions set forth in the Fixed Rate Notes. In addition, certain series of the Fixed Rate Notes are subject to the mandatory redemption provisions described below. Subject to the mandatory redemption provisions described below for the applicable series of Floating Rate Notes, the Company may not redeem the Floating Rate Notes at its option prior to maturity.</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the event that (x) the Centessa Acquisition (as defined in the applicable Notes) is not consummated on or prior to the date that is five (5) business days after the later of (i) March 31, 2027 or (ii) any later date as the parties to the Centessa Agreement (as defined in the applicable Notes) may agree as the “Outside Date” thereunder or (y) the Company notifies the trustee in writing that it will not pursue the consummation of the Centessa Acquisition, the Company will be required to redeem the 2029 Floating Rate Notes, the 2029 Notes, the 2031 Notes, the 2033 Notes and the 2036 Notes (collectively, the “Centessa Mandatorily Redeemable Notes”) then outstanding (such redemption, the “Centessa Special Mandatory Redemption”) at a redemption price equal to 101% of the principal amount of such Centessa Mandatorily Redeemable Notes plus accrued and unpaid interest, if any, to, but excluding, the mandatory redemption date. The 2028 Floating Rate Notes, the 2056 Notes and the 2066 Notes do not constitute Centessa Mandatorily Redeemable Notes and will not be subject to the Centessa Special Mandatory Redemption.</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above description of the Underwriting Agreement and the Notes is qualified in its entirety by reference to the Underwriting Agreement, the forms of officers’ certificate, the Indenture and the forms of the Notes filed as exhibits hereto, which exhibits are incorporated by reference herein.</w:t>
      </w:r>
    </w:p>
    <w:p>
      <w:pPr>
        <w:sectPr>
          <w:pgSz w:w="11900" w:h="16838" w:orient="portrait"/>
          <w:cols w:equalWidth="0" w:num="1">
            <w:col w:w="11000"/>
          </w:cols>
          <w:pgMar w:left="440" w:top="293" w:right="459" w:bottom="1440"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ind w:left="784" w:hanging="784"/>
        <w:spacing w:after="0" w:line="282" w:lineRule="auto"/>
        <w:tabs>
          <w:tab w:leader="none" w:pos="9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0000EE"/>
        </w:rPr>
        <w:t>Underwriting Agreement, dated May 6, 2026, among Eli Lilly and Company and Morgan Stanley &amp; Co. LLC, Citigroup Global Markets Inc., Deutsche Bank Securities Inc. and Goldman Sachs &amp; Co. LLC, as representatives of the several underwriters named therein.</w:t>
      </w:r>
    </w:p>
    <w:p>
      <w:pPr>
        <w:spacing w:after="0" w:line="53" w:lineRule="exact"/>
        <w:rPr>
          <w:rFonts w:ascii="Times New Roman" w:cs="Times New Roman" w:eastAsia="Times New Roman" w:hAnsi="Times New Roman"/>
          <w:sz w:val="18"/>
          <w:szCs w:val="18"/>
          <w:color w:val="auto"/>
        </w:rPr>
      </w:pPr>
    </w:p>
    <w:p>
      <w:pPr>
        <w:ind w:left="784" w:right="280" w:hanging="784"/>
        <w:spacing w:after="0" w:line="282" w:lineRule="auto"/>
        <w:tabs>
          <w:tab w:leader="none" w:pos="91"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hyperlink r:id="rId19">
        <w:r>
          <w:rPr>
            <w:rFonts w:ascii="Times New Roman" w:cs="Times New Roman" w:eastAsia="Times New Roman" w:hAnsi="Times New Roman"/>
            <w:sz w:val="18"/>
            <w:szCs w:val="18"/>
            <w:u w:val="single" w:color="auto"/>
            <w:color w:val="0000EE"/>
          </w:rPr>
          <w:t>Indenture, dated February 1, 1991, among Eli Lilly and Company and Deutsche Bank Trust Company Americas, as successor to Citibank,</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N.A., as Trustee.</w:t>
        </w:r>
      </w:hyperlink>
    </w:p>
    <w:p>
      <w:pPr>
        <w:spacing w:after="0" w:line="53" w:lineRule="exact"/>
        <w:rPr>
          <w:rFonts w:ascii="Times New Roman" w:cs="Times New Roman" w:eastAsia="Times New Roman" w:hAnsi="Times New Roman"/>
          <w:sz w:val="18"/>
          <w:szCs w:val="18"/>
          <w:u w:val="single" w:color="auto"/>
          <w:color w:val="0000EE"/>
        </w:rPr>
      </w:pPr>
    </w:p>
    <w:p>
      <w:pPr>
        <w:ind w:left="784" w:right="580" w:hanging="784"/>
        <w:spacing w:after="0" w:line="282" w:lineRule="auto"/>
        <w:tabs>
          <w:tab w:leader="none" w:pos="91"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hyperlink r:id="rId20">
        <w:r>
          <w:rPr>
            <w:rFonts w:ascii="Times New Roman" w:cs="Times New Roman" w:eastAsia="Times New Roman" w:hAnsi="Times New Roman"/>
            <w:sz w:val="18"/>
            <w:szCs w:val="18"/>
            <w:u w:val="single" w:color="auto"/>
            <w:color w:val="0000EE"/>
          </w:rPr>
          <w:t>Tripartite Agreement, dated September 13, 2007, appointing Deutsche Bank Trust Company Americas as Successor Trustee under the</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Indenture listed above.</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4.3</w:t>
      </w:r>
      <w:r>
        <w:rPr>
          <w:rFonts w:ascii="Times New Roman" w:cs="Times New Roman" w:eastAsia="Times New Roman" w:hAnsi="Times New Roman"/>
          <w:sz w:val="17"/>
          <w:szCs w:val="17"/>
          <w:u w:val="single" w:color="auto"/>
          <w:color w:val="0000EE"/>
        </w:rPr>
        <w:t>Form of Officers’ Certificate setting forth the terms and form of the Fixed Rate Notes.</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4.4</w:t>
      </w:r>
      <w:r>
        <w:rPr>
          <w:rFonts w:ascii="Times New Roman" w:cs="Times New Roman" w:eastAsia="Times New Roman" w:hAnsi="Times New Roman"/>
          <w:sz w:val="17"/>
          <w:szCs w:val="17"/>
          <w:u w:val="single" w:color="auto"/>
          <w:color w:val="0000EE"/>
        </w:rPr>
        <w:t>Form of Officers’ Certificate setting forth the terms and form of the Floating Rate Notes.</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4.5</w:t>
      </w:r>
      <w:r>
        <w:rPr>
          <w:rFonts w:ascii="Times New Roman" w:cs="Times New Roman" w:eastAsia="Times New Roman" w:hAnsi="Times New Roman"/>
          <w:sz w:val="17"/>
          <w:szCs w:val="17"/>
          <w:u w:val="single" w:color="auto"/>
          <w:color w:val="0000EE"/>
        </w:rPr>
        <w:t>Form of Floating Rate Note due 2028 (included in Exhibit 4.4 above).</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4.6</w:t>
      </w:r>
      <w:r>
        <w:rPr>
          <w:rFonts w:ascii="Times New Roman" w:cs="Times New Roman" w:eastAsia="Times New Roman" w:hAnsi="Times New Roman"/>
          <w:sz w:val="17"/>
          <w:szCs w:val="17"/>
          <w:u w:val="single" w:color="auto"/>
          <w:color w:val="0000EE"/>
        </w:rPr>
        <w:t>Form of Floating Rate Note due 2029 (included in Exhibit 4.4 above).</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4.7</w:t>
      </w:r>
      <w:r>
        <w:rPr>
          <w:rFonts w:ascii="Times New Roman" w:cs="Times New Roman" w:eastAsia="Times New Roman" w:hAnsi="Times New Roman"/>
          <w:sz w:val="17"/>
          <w:szCs w:val="17"/>
          <w:u w:val="single" w:color="auto"/>
          <w:color w:val="0000EE"/>
        </w:rPr>
        <w:t>Form of 4.150% Note due 2029 (included in Exhibit 4.3 above).</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4.8</w:t>
      </w:r>
      <w:r>
        <w:rPr>
          <w:rFonts w:ascii="Times New Roman" w:cs="Times New Roman" w:eastAsia="Times New Roman" w:hAnsi="Times New Roman"/>
          <w:sz w:val="17"/>
          <w:szCs w:val="17"/>
          <w:u w:val="single" w:color="auto"/>
          <w:color w:val="0000EE"/>
        </w:rPr>
        <w:t>Form of 4.375% Note due 2031 (included in Exhibit 4.3 above).</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4.9</w:t>
      </w:r>
      <w:r>
        <w:rPr>
          <w:rFonts w:ascii="Times New Roman" w:cs="Times New Roman" w:eastAsia="Times New Roman" w:hAnsi="Times New Roman"/>
          <w:sz w:val="17"/>
          <w:szCs w:val="17"/>
          <w:u w:val="single" w:color="auto"/>
          <w:color w:val="0000EE"/>
        </w:rPr>
        <w:t>Form of 4.650% Note due 2033 (included in Exhibit 4.3 above).</w:t>
      </w:r>
    </w:p>
    <w:p>
      <w:pPr>
        <w:spacing w:after="0" w:line="129" w:lineRule="exact"/>
        <w:rPr>
          <w:rFonts w:ascii="Times New Roman" w:cs="Times New Roman" w:eastAsia="Times New Roman" w:hAnsi="Times New Roman"/>
          <w:sz w:val="18"/>
          <w:szCs w:val="18"/>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7"/>
          <w:szCs w:val="17"/>
          <w:u w:val="single" w:color="auto"/>
          <w:color w:val="0000EE"/>
        </w:rPr>
        <w:t>Form of 4.850% Note due 2036 (included in Exhibit 4.3 above).</w:t>
      </w:r>
    </w:p>
    <w:p>
      <w:pPr>
        <w:spacing w:after="0" w:line="117" w:lineRule="exact"/>
        <w:rPr>
          <w:rFonts w:ascii="Times New Roman" w:cs="Times New Roman" w:eastAsia="Times New Roman" w:hAnsi="Times New Roman"/>
          <w:sz w:val="18"/>
          <w:szCs w:val="18"/>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u w:val="single" w:color="auto"/>
          <w:color w:val="0000EE"/>
        </w:rPr>
        <w:t>Form of 5.600% Note due 2056 (included in Exhibit 4.3 above).</w:t>
      </w:r>
    </w:p>
    <w:p>
      <w:pPr>
        <w:spacing w:after="0" w:line="117" w:lineRule="exact"/>
        <w:rPr>
          <w:rFonts w:ascii="Times New Roman" w:cs="Times New Roman" w:eastAsia="Times New Roman" w:hAnsi="Times New Roman"/>
          <w:sz w:val="18"/>
          <w:szCs w:val="18"/>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7"/>
          <w:szCs w:val="17"/>
          <w:u w:val="single" w:color="auto"/>
          <w:color w:val="0000EE"/>
        </w:rPr>
        <w:t>Form of 5.700% Note due 2066 (included in Exhibit 4.3 above).</w:t>
      </w:r>
    </w:p>
    <w:p>
      <w:pPr>
        <w:spacing w:after="0" w:line="117" w:lineRule="exact"/>
        <w:rPr>
          <w:rFonts w:ascii="Times New Roman" w:cs="Times New Roman" w:eastAsia="Times New Roman" w:hAnsi="Times New Roman"/>
          <w:sz w:val="18"/>
          <w:szCs w:val="18"/>
          <w:color w:val="auto"/>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Kirkland &amp; Ellis LLP.</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5.2</w:t>
      </w:r>
      <w:r>
        <w:rPr>
          <w:rFonts w:ascii="Times New Roman" w:cs="Times New Roman" w:eastAsia="Times New Roman" w:hAnsi="Times New Roman"/>
          <w:sz w:val="17"/>
          <w:szCs w:val="17"/>
          <w:u w:val="single" w:color="auto"/>
          <w:color w:val="0000EE"/>
        </w:rPr>
        <w:t>Opinion of Jamie Burnett, Esq.</w:t>
      </w:r>
    </w:p>
    <w:p>
      <w:pPr>
        <w:spacing w:after="0" w:line="129" w:lineRule="exact"/>
        <w:rPr>
          <w:rFonts w:ascii="Times New Roman" w:cs="Times New Roman" w:eastAsia="Times New Roman" w:hAnsi="Times New Roman"/>
          <w:sz w:val="18"/>
          <w:szCs w:val="18"/>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Kirkland &amp; Ellis LLP (included as part of Exhibit 5.1).</w:t>
      </w:r>
    </w:p>
    <w:p>
      <w:pPr>
        <w:spacing w:after="0" w:line="117" w:lineRule="exact"/>
        <w:rPr>
          <w:rFonts w:ascii="Times New Roman" w:cs="Times New Roman" w:eastAsia="Times New Roman" w:hAnsi="Times New Roman"/>
          <w:sz w:val="18"/>
          <w:szCs w:val="18"/>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Jamie Burnett, Esq. (included as part of Exhibit 5.2).</w:t>
      </w:r>
    </w:p>
    <w:p>
      <w:pPr>
        <w:spacing w:after="0" w:line="117" w:lineRule="exact"/>
        <w:rPr>
          <w:rFonts w:ascii="Times New Roman" w:cs="Times New Roman" w:eastAsia="Times New Roman" w:hAnsi="Times New Roman"/>
          <w:sz w:val="18"/>
          <w:szCs w:val="18"/>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6" w:lineRule="exact"/>
        <w:rPr>
          <w:rFonts w:ascii="Times New Roman" w:cs="Times New Roman" w:eastAsia="Times New Roman" w:hAnsi="Times New Roman"/>
          <w:sz w:val="18"/>
          <w:szCs w:val="18"/>
          <w:color w:val="auto"/>
        </w:rPr>
      </w:pPr>
    </w:p>
    <w:p>
      <w:pPr>
        <w:ind w:left="224" w:right="100" w:hanging="224"/>
        <w:spacing w:after="0" w:line="262" w:lineRule="auto"/>
        <w:tabs>
          <w:tab w:leader="none" w:pos="2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Incorporated by reference to the same-numbered exhibit of the Company’s Registration Statement on Form S-3 (File No. 333-186979), filed with the Securities and Exchange Commission (“SEC”) on March 1, 2013.</w:t>
      </w:r>
    </w:p>
    <w:p>
      <w:pPr>
        <w:ind w:left="224" w:right="60" w:hanging="224"/>
        <w:spacing w:after="0" w:line="260" w:lineRule="auto"/>
        <w:tabs>
          <w:tab w:leader="none" w:pos="224"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Incorporated by reference to the same-numbered exhibit of the Company’s Annual Report on Form 10-K for the year ended December 31, 2008 (File No. 001-06351), filed with the SEC on February 27, 2009.</w:t>
      </w:r>
    </w:p>
    <w:p>
      <w:pPr>
        <w:sectPr>
          <w:pgSz w:w="11900" w:h="16838" w:orient="portrait"/>
          <w:cols w:equalWidth="0" w:num="1">
            <w:col w:w="11004"/>
          </w:cols>
          <w:pgMar w:left="436" w:top="293" w:right="459" w:bottom="1440" w:gutter="0" w:footer="0" w:header="0"/>
        </w:sectPr>
      </w:pPr>
    </w:p>
    <w:bookmarkStart w:id="3" w:name="page4"/>
    <w:bookmarkEnd w:id="3"/>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ELI LILLY AND COMPANY</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 Haug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Jon Haug</w:t>
      </w:r>
    </w:p>
    <w:p>
      <w:pPr>
        <w:spacing w:after="0" w:line="27" w:lineRule="exact"/>
        <w:rPr>
          <w:sz w:val="20"/>
          <w:szCs w:val="20"/>
          <w:color w:val="auto"/>
        </w:rPr>
      </w:pPr>
    </w:p>
    <w:p>
      <w:pPr>
        <w:jc w:val="both"/>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Senior Vice President, Treasurer and Corporate</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Finance and Investment Banking</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Dated: May 20, 2026</w:t>
      </w:r>
    </w:p>
    <w:p>
      <w:pPr>
        <w:sectPr>
          <w:pgSz w:w="11900" w:h="16838" w:orient="portrait"/>
          <w:cols w:equalWidth="0" w:num="1">
            <w:col w:w="10600"/>
          </w:cols>
          <w:pgMar w:left="440" w:top="293" w:right="8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 LILLY AND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Representatives of the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Deutsche Bank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Columbus Circle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Eli Lilly and Company, an Indiana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to the several Underwriters listed in Schedule 1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you are acting as representatives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$750,000,000 in aggregate principal amount of its Floating Rate Notes due 2028 (the “</w:t>
      </w:r>
      <w:r>
        <w:rPr>
          <w:rFonts w:ascii="Times New Roman" w:cs="Times New Roman" w:eastAsia="Times New Roman" w:hAnsi="Times New Roman"/>
          <w:sz w:val="18"/>
          <w:szCs w:val="18"/>
          <w:b w:val="1"/>
          <w:bCs w:val="1"/>
          <w:color w:val="auto"/>
        </w:rPr>
        <w:t>2028 Floating Rate Notes</w:t>
      </w:r>
      <w:r>
        <w:rPr>
          <w:rFonts w:ascii="Times New Roman" w:cs="Times New Roman" w:eastAsia="Times New Roman" w:hAnsi="Times New Roman"/>
          <w:sz w:val="18"/>
          <w:szCs w:val="18"/>
          <w:color w:val="auto"/>
        </w:rPr>
        <w:t>”), $500,000,000 in aggregate principal amount of its Floating Rate Notes due 2029 (the “</w:t>
      </w:r>
      <w:r>
        <w:rPr>
          <w:rFonts w:ascii="Times New Roman" w:cs="Times New Roman" w:eastAsia="Times New Roman" w:hAnsi="Times New Roman"/>
          <w:sz w:val="18"/>
          <w:szCs w:val="18"/>
          <w:b w:val="1"/>
          <w:bCs w:val="1"/>
          <w:color w:val="auto"/>
        </w:rPr>
        <w:t>2029 Floating Rate Notes</w:t>
      </w:r>
      <w:r>
        <w:rPr>
          <w:rFonts w:ascii="Times New Roman" w:cs="Times New Roman" w:eastAsia="Times New Roman" w:hAnsi="Times New Roman"/>
          <w:sz w:val="18"/>
          <w:szCs w:val="18"/>
          <w:color w:val="auto"/>
        </w:rPr>
        <w:t>”), $750,000,000 in aggregate principal amount of its 4.150% Notes due 2029 (the “</w:t>
      </w:r>
      <w:r>
        <w:rPr>
          <w:rFonts w:ascii="Times New Roman" w:cs="Times New Roman" w:eastAsia="Times New Roman" w:hAnsi="Times New Roman"/>
          <w:sz w:val="18"/>
          <w:szCs w:val="18"/>
          <w:b w:val="1"/>
          <w:bCs w:val="1"/>
          <w:color w:val="auto"/>
        </w:rPr>
        <w:t>2029 Notes</w:t>
      </w:r>
      <w:r>
        <w:rPr>
          <w:rFonts w:ascii="Times New Roman" w:cs="Times New Roman" w:eastAsia="Times New Roman" w:hAnsi="Times New Roman"/>
          <w:sz w:val="18"/>
          <w:szCs w:val="18"/>
          <w:color w:val="auto"/>
        </w:rPr>
        <w:t>”), $1,500,000,000 in aggregate principal amount of its 4.375% Notes due 2031 (the “</w:t>
      </w:r>
      <w:r>
        <w:rPr>
          <w:rFonts w:ascii="Times New Roman" w:cs="Times New Roman" w:eastAsia="Times New Roman" w:hAnsi="Times New Roman"/>
          <w:sz w:val="18"/>
          <w:szCs w:val="18"/>
          <w:b w:val="1"/>
          <w:bCs w:val="1"/>
          <w:color w:val="auto"/>
        </w:rPr>
        <w:t>2031 Notes</w:t>
      </w:r>
      <w:r>
        <w:rPr>
          <w:rFonts w:ascii="Times New Roman" w:cs="Times New Roman" w:eastAsia="Times New Roman" w:hAnsi="Times New Roman"/>
          <w:sz w:val="18"/>
          <w:szCs w:val="18"/>
          <w:color w:val="auto"/>
        </w:rPr>
        <w:t>”), $1,250,000,000 in aggregate principal amount of its 4.650% Notes due 2033 (the “</w:t>
      </w:r>
      <w:r>
        <w:rPr>
          <w:rFonts w:ascii="Times New Roman" w:cs="Times New Roman" w:eastAsia="Times New Roman" w:hAnsi="Times New Roman"/>
          <w:sz w:val="18"/>
          <w:szCs w:val="18"/>
          <w:b w:val="1"/>
          <w:bCs w:val="1"/>
          <w:color w:val="auto"/>
        </w:rPr>
        <w:t>2033 Notes</w:t>
      </w:r>
      <w:r>
        <w:rPr>
          <w:rFonts w:ascii="Times New Roman" w:cs="Times New Roman" w:eastAsia="Times New Roman" w:hAnsi="Times New Roman"/>
          <w:sz w:val="18"/>
          <w:szCs w:val="18"/>
          <w:color w:val="auto"/>
        </w:rPr>
        <w:t>”), $1,500,000,000 in aggregate principal amount of its 4.850% Notes due 2036 (the “</w:t>
      </w:r>
      <w:r>
        <w:rPr>
          <w:rFonts w:ascii="Times New Roman" w:cs="Times New Roman" w:eastAsia="Times New Roman" w:hAnsi="Times New Roman"/>
          <w:sz w:val="18"/>
          <w:szCs w:val="18"/>
          <w:b w:val="1"/>
          <w:bCs w:val="1"/>
          <w:color w:val="auto"/>
        </w:rPr>
        <w:t>2036 Notes</w:t>
      </w:r>
      <w:r>
        <w:rPr>
          <w:rFonts w:ascii="Times New Roman" w:cs="Times New Roman" w:eastAsia="Times New Roman" w:hAnsi="Times New Roman"/>
          <w:sz w:val="18"/>
          <w:szCs w:val="18"/>
          <w:color w:val="auto"/>
        </w:rPr>
        <w:t>”), $1,750,000,000 in aggregate principal amount of its 5.600% Notes due 2056 (the “</w:t>
      </w:r>
      <w:r>
        <w:rPr>
          <w:rFonts w:ascii="Times New Roman" w:cs="Times New Roman" w:eastAsia="Times New Roman" w:hAnsi="Times New Roman"/>
          <w:sz w:val="18"/>
          <w:szCs w:val="18"/>
          <w:b w:val="1"/>
          <w:bCs w:val="1"/>
          <w:color w:val="auto"/>
        </w:rPr>
        <w:t>2056 Notes</w:t>
      </w:r>
      <w:r>
        <w:rPr>
          <w:rFonts w:ascii="Times New Roman" w:cs="Times New Roman" w:eastAsia="Times New Roman" w:hAnsi="Times New Roman"/>
          <w:sz w:val="18"/>
          <w:szCs w:val="18"/>
          <w:color w:val="auto"/>
        </w:rPr>
        <w:t>”), and $1,000,000,000 in aggregate principal amount of its 5.700% Notes due 2066 (the “</w:t>
      </w:r>
      <w:r>
        <w:rPr>
          <w:rFonts w:ascii="Times New Roman" w:cs="Times New Roman" w:eastAsia="Times New Roman" w:hAnsi="Times New Roman"/>
          <w:sz w:val="18"/>
          <w:szCs w:val="18"/>
          <w:b w:val="1"/>
          <w:bCs w:val="1"/>
          <w:color w:val="auto"/>
        </w:rPr>
        <w:t>2066 Notes</w:t>
      </w:r>
      <w:r>
        <w:rPr>
          <w:rFonts w:ascii="Times New Roman" w:cs="Times New Roman" w:eastAsia="Times New Roman" w:hAnsi="Times New Roman"/>
          <w:sz w:val="18"/>
          <w:szCs w:val="18"/>
          <w:color w:val="auto"/>
        </w:rPr>
        <w:t>” and, collectively with the 2028 Floating Rate Notes, 2029 Floating Rate Notes, 2029 Notes, 2031 Notes, 2033 Notes, 2036 Notes and 2056 Notes,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in each case on the terms set forth in Schedule 2 hereto. The Securities will be issued pursuant to an Indenture, dated as of February 1, 1991 (as may be supplemented from time to time,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Deutsche Bank Trust Company Americas, a New York banking corporation (as successor to Citibank, N.A., the original trustee),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5" w:name="page6"/>
    <w:bookmarkEnd w:id="5"/>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agrees to issue and sell the Securities to the several Underwriters as provided in this Underwriting Agreement (this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each Underwriter, on the basis of the accuracy of the representations and warranties as of the Time of Sale and as of the Closing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(as defined below) and the agreements set forth herein and incorporated by reference herein, and subject to the conditions set forth herein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incorporated by reference herein, agrees, severally and not jointly, to purchase from the Company the respective principal amount of Securities set forth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opposite such Underwriter’s name in Schedule 1 hereto at a price equal to (i) 99.850% of the principal amount of the 2028 Floating Rate Notes, (ii)</w:t>
      </w:r>
    </w:p>
    <w:p>
      <w:pPr>
        <w:spacing w:after="0" w:line="9" w:lineRule="exact"/>
        <w:rPr>
          <w:sz w:val="20"/>
          <w:szCs w:val="20"/>
          <w:color w:val="auto"/>
        </w:rPr>
      </w:pPr>
    </w:p>
    <w:p>
      <w:pPr>
        <w:ind w:left="4"/>
        <w:spacing w:after="0" w:line="265" w:lineRule="auto"/>
        <w:rPr>
          <w:sz w:val="20"/>
          <w:szCs w:val="20"/>
          <w:color w:val="auto"/>
        </w:rPr>
      </w:pPr>
      <w:r>
        <w:rPr>
          <w:rFonts w:ascii="Times New Roman" w:cs="Times New Roman" w:eastAsia="Times New Roman" w:hAnsi="Times New Roman"/>
          <w:sz w:val="17"/>
          <w:szCs w:val="17"/>
          <w:color w:val="auto"/>
        </w:rPr>
        <w:t>99.750% of the principal amount of the 2029 Floating Rate Notes, (iii) 99.691% of the principal amount of the 2029 Notes, (iv) 99.543% of the principal amount of the 2031 Notes, (v) 99.607% of the principal amount of the 2033 Notes, (vi) 99.190% of the principal amount of the 2036 Notes, (vii)</w:t>
      </w:r>
    </w:p>
    <w:p>
      <w:pPr>
        <w:ind w:left="4" w:right="120"/>
        <w:spacing w:after="0" w:line="255" w:lineRule="auto"/>
        <w:rPr>
          <w:sz w:val="20"/>
          <w:szCs w:val="20"/>
          <w:color w:val="auto"/>
        </w:rPr>
      </w:pPr>
      <w:r>
        <w:rPr>
          <w:rFonts w:ascii="Times New Roman" w:cs="Times New Roman" w:eastAsia="Times New Roman" w:hAnsi="Times New Roman"/>
          <w:sz w:val="18"/>
          <w:szCs w:val="18"/>
          <w:color w:val="auto"/>
        </w:rPr>
        <w:t>98.976% of the principal amount of the 2056 Notes and (viii) 98.641% of the principal amount of the 2066 Notes, in each case, plus accrued interest, if any, from May 20, 2026 to the Closing Date. The Company will not be obligated to deliver any of the Securities except upon payment for all the Securities to be purchased as provided herein.</w:t>
      </w:r>
    </w:p>
    <w:p>
      <w:pPr>
        <w:spacing w:after="0" w:line="186"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The Company understands that the Underwriters intend to make a public offering of the Securities as soon after the effectiveness of this Agreement as in the judgment of the Representatives is advisable, and initially to offer the Securities on the terms set forth in the Time of Sale Information and the Prospectus. Schedule 3 hereto sets forth the Time of Sale Information made available at the Time of Sale. The Company acknowledges and agrees that the Underwriters may offer and sell Securities to or through any affiliate of an Underwriter and that any such affiliate may offer and sell Securities purchased by it to or through any Underwriter.</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In the event that any Underwriter that is a (i) “covered entity” as that term is defined in, and interpreted in accordance with, 12 C.F.R.</w:t>
      </w:r>
    </w:p>
    <w:p>
      <w:pPr>
        <w:spacing w:after="0" w:line="27" w:lineRule="exact"/>
        <w:rPr>
          <w:sz w:val="20"/>
          <w:szCs w:val="20"/>
          <w:color w:val="auto"/>
        </w:rPr>
      </w:pPr>
    </w:p>
    <w:p>
      <w:pPr>
        <w:ind w:left="4" w:hanging="4"/>
        <w:spacing w:after="0" w:line="252" w:lineRule="auto"/>
        <w:tabs>
          <w:tab w:leader="none" w:pos="1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252.82(b), (ii) a “covered bank” as that term is defined in, and interpreted in accordance with, 12 C.F.R. § 47.3(b), or (iii) a “covered FSI” as that term is defined in, and interpreted in accordance with, 12 C.F.R. § 382.2(b) (each, a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becomes subject to a proceeding under (a) the Federal Deposit Insurance Act and the regulations promulgated thereunder and (b) Title II of the Dodd-Frank Wall Street Reform and Consumer Protection Act and the regulations promulgated thereunder (each, a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8" w:lineRule="exact"/>
        <w:rPr>
          <w:sz w:val="20"/>
          <w:szCs w:val="20"/>
          <w:color w:val="auto"/>
        </w:rPr>
      </w:pPr>
    </w:p>
    <w:p>
      <w:pPr>
        <w:ind w:left="4" w:right="60" w:firstLine="991"/>
        <w:spacing w:after="0" w:line="277" w:lineRule="auto"/>
        <w:rPr>
          <w:sz w:val="20"/>
          <w:szCs w:val="20"/>
          <w:color w:val="auto"/>
        </w:rPr>
      </w:pPr>
      <w:r>
        <w:rPr>
          <w:rFonts w:ascii="Times New Roman" w:cs="Times New Roman" w:eastAsia="Times New Roman" w:hAnsi="Times New Roman"/>
          <w:sz w:val="17"/>
          <w:szCs w:val="17"/>
          <w:color w:val="auto"/>
        </w:rPr>
        <w:t>In the event that any Underwriter that is a Covered Entity or a BHC Act Affiliate (as defined by the meaning assigned to the term “affiliate” in, and interpreted in accordance with, 12 U.S.C. § 1841(k)) of such Underwriter becomes subject to a proceeding under the U.S. Special Resolution Regime, Default Rights (as that term is defined in, and interpreted in accordance with, 12 C.F.R. §§ 252.81, 47.2 or 382.1, as applicable)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ectPr>
          <w:pgSz w:w="11900" w:h="16838" w:orient="portrait"/>
          <w:cols w:equalWidth="0" w:num="1">
            <w:col w:w="11004"/>
          </w:cols>
          <w:pgMar w:left="436" w:top="270" w:right="459" w:bottom="1440" w:gutter="0" w:footer="0" w:header="0"/>
        </w:sectPr>
      </w:pPr>
    </w:p>
    <w:bookmarkStart w:id="6" w:name="page7"/>
    <w:bookmarkEnd w:id="6"/>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for and delivery of the Securities shall be made through the offices of Davis Polk &amp; Wardwell LLP, 450 Lexington Avenue, New York, New York 10017 at 10:00 A.M., New York City time, on May 20, 2026, or at such other time or place on the same or such other date, not later than the seventh business day thereafter, as the Representatives and the Company may agree upon in writing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Payment for the Securities shall be made by wire transfer in immediately available funds to the account(s) specified by the Company to the Representatives against delivery to the nominee of The Depository Trust Company, for the account of the Underwriters, of one or more global notes representing each of the Securities (collectively, the “</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with any transfer taxes payable in connection with the sale of the Securities duly paid by the Company. The Global Note (or a true copy thereof) will be made available for inspection by the Representatives not later than 1:00 P.M., New York City time, on the business day prior to the Closing Date.</w:t>
      </w:r>
    </w:p>
    <w:p>
      <w:pPr>
        <w:spacing w:after="0" w:line="183"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The Company hereby irrevocably waives, to the fullest extent permitted by applicable law, any and all right to trial by jury in any legal proceeding arising out of or relating to this Agreement or the transactions contemplated hereby.</w:t>
      </w:r>
    </w:p>
    <w:p>
      <w:pPr>
        <w:spacing w:after="0" w:line="162"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Other than as described immediately below, all provisions contained in the document entitled Eli Lilly and Company Underwriting Agreement Standard Provisions (Debt Securities), dated February 20, 2014 (the “</w:t>
      </w:r>
      <w:r>
        <w:rPr>
          <w:rFonts w:ascii="Times New Roman" w:cs="Times New Roman" w:eastAsia="Times New Roman" w:hAnsi="Times New Roman"/>
          <w:sz w:val="18"/>
          <w:szCs w:val="18"/>
          <w:b w:val="1"/>
          <w:bCs w:val="1"/>
          <w:color w:val="auto"/>
        </w:rPr>
        <w:t>Standard Provisions</w:t>
      </w:r>
      <w:r>
        <w:rPr>
          <w:rFonts w:ascii="Times New Roman" w:cs="Times New Roman" w:eastAsia="Times New Roman" w:hAnsi="Times New Roman"/>
          <w:sz w:val="18"/>
          <w:szCs w:val="18"/>
          <w:color w:val="auto"/>
        </w:rPr>
        <w:t>”), are incorporated by reference herein in their entirety and shall be deemed to be a part of this Agreement to the same extent as if such provisions had been set forth in full herein, except that if any term defined in such Standard Provisions is otherwise defined herein, the definition set forth herein shall control.</w:t>
      </w:r>
    </w:p>
    <w:p>
      <w:pPr>
        <w:spacing w:after="0" w:line="180" w:lineRule="exact"/>
        <w:rPr>
          <w:sz w:val="20"/>
          <w:szCs w:val="20"/>
          <w:color w:val="auto"/>
        </w:rPr>
      </w:pPr>
    </w:p>
    <w:p>
      <w:pPr>
        <w:ind w:left="680" w:hanging="244"/>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1(t) of the Standard Provisions shall be modified to replace “Her Majesty’s Treasury” with “HM Treasury”;</w:t>
      </w:r>
    </w:p>
    <w:p>
      <w:pPr>
        <w:spacing w:after="0" w:line="225" w:lineRule="exact"/>
        <w:rPr>
          <w:rFonts w:ascii="Times New Roman" w:cs="Times New Roman" w:eastAsia="Times New Roman" w:hAnsi="Times New Roman"/>
          <w:sz w:val="18"/>
          <w:szCs w:val="18"/>
          <w:color w:val="auto"/>
        </w:rPr>
      </w:pPr>
    </w:p>
    <w:p>
      <w:pPr>
        <w:ind w:right="180" w:firstLine="436"/>
        <w:spacing w:after="0" w:line="266"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4(a) of the Standard Provisions shall be modified to replace “Standard &amp; Poor’s, a Division of The McGraw-Hill Companies, Inc. or Moody’s Investors Service” with “S&amp;P Global Ratings, a division of S&amp;P Global Inc., and its successors or Moody’s Investors Service, Inc., a subsidiary of Moody’s Corporation, and its successors”;</w:t>
      </w:r>
    </w:p>
    <w:p>
      <w:pPr>
        <w:spacing w:after="0" w:line="175" w:lineRule="exact"/>
        <w:rPr>
          <w:rFonts w:ascii="Times New Roman" w:cs="Times New Roman" w:eastAsia="Times New Roman" w:hAnsi="Times New Roman"/>
          <w:sz w:val="18"/>
          <w:szCs w:val="18"/>
          <w:color w:val="auto"/>
        </w:rPr>
      </w:pPr>
    </w:p>
    <w:p>
      <w:pPr>
        <w:ind w:right="80" w:firstLine="436"/>
        <w:spacing w:after="0" w:line="282" w:lineRule="auto"/>
        <w:tabs>
          <w:tab w:leader="none" w:pos="6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4(d) of the Standard Provisions shall be deleted in its entirety and replaced with: “(d) The Representative(s) shall have received on the Closing Date an opinion and a negative assurance letter of Kirkland &amp; Ellis LLP, dated the Closing Date.”;</w:t>
      </w:r>
    </w:p>
    <w:p>
      <w:pPr>
        <w:spacing w:after="0" w:line="161"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4(f) of the Standard Provisions shall be deleted in its entirety and replaced with: “(f) The Representative(s) shall have received on the Closing Date an opinion and a negative assurance letter of Davis Polk &amp; Wardwell LLP, special counsel for the Underwriters, or other counsel acceptable to the Representative(s), dated the Closing Date, to the effect set forth in Exhibits C-1 and C-2.”; and</w:t>
      </w:r>
    </w:p>
    <w:p>
      <w:pPr>
        <w:sectPr>
          <w:pgSz w:w="11900" w:h="16838" w:orient="portrait"/>
          <w:cols w:equalWidth="0" w:num="1">
            <w:col w:w="11000"/>
          </w:cols>
          <w:pgMar w:left="440" w:top="270" w:right="459" w:bottom="1440" w:gutter="0" w:footer="0" w:header="0"/>
        </w:sectPr>
      </w:pPr>
    </w:p>
    <w:bookmarkStart w:id="7" w:name="page8"/>
    <w:bookmarkEnd w:id="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 Exhibit A of the Standard Provisions shall be deleted in its entirety and replaced with: “Reserved.”</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This Agreement may be signed in counterparts (which may include counterparts delivered by any standard form of telecommunication), each of which shall be an original and all of which together shall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All statements, requests, notices and agreements shall be in writing (including transmissions by electronic mail or facsimile) and, if to the Underwriters, shall be sufficient in all respects if delivered or sent to the Representatives at the offices or facsimile numbers thereof specified in Schedule 2 hereto, as may be amended from time to time by written notice to the Company; and if to the Company, shall be sufficient in all respects if delivered or sent to the Company at the offices of the Company at Lilly Corporate Center, Indianapolis, Indiana 46285, Attention: Treasury team, email: lilly_dcm@lists.lilly.com.</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Remainder of this Page Intentionally Left Blank; Signature Pages Follow</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70" w:right="499" w:bottom="1440" w:gutter="0" w:footer="0" w:header="0"/>
        </w:sectPr>
      </w:pPr>
    </w:p>
    <w:bookmarkStart w:id="8" w:name="page9"/>
    <w:bookmarkEnd w:id="8"/>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ELI LILLY AND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Jon Haug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Jon Haug</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Title:Senior Vice President, Treasurer and Corporate</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Finance and Investment Banking</w:t>
      </w:r>
    </w:p>
    <w:p>
      <w:pPr>
        <w:spacing w:after="0" w:line="2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Underwriting Agreement</w:t>
      </w:r>
      <w:r>
        <w:rPr>
          <w:rFonts w:ascii="Times New Roman" w:cs="Times New Roman" w:eastAsia="Times New Roman" w:hAnsi="Times New Roman"/>
          <w:sz w:val="18"/>
          <w:szCs w:val="18"/>
          <w:color w:val="auto"/>
        </w:rPr>
        <w:t>]</w:t>
      </w:r>
    </w:p>
    <w:p>
      <w:pPr>
        <w:sectPr>
          <w:pgSz w:w="11900" w:h="16838" w:orient="portrait"/>
          <w:cols w:equalWidth="0" w:num="1">
            <w:col w:w="10760"/>
          </w:cols>
          <w:pgMar w:left="440" w:top="270" w:right="6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as of May 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Thomas Hadley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Thomas Hadley</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jc w:val="right"/>
        <w:ind w:right="27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as of May 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Adam D. Bordner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Adam D. Bordner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jc w:val="right"/>
        <w:ind w:right="27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as of May 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Kevin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Kevin Prior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Dina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Dina Zhang</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jc w:val="right"/>
        <w:ind w:right="27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as of May 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Karim Saleh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Karim Saleh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jc w:val="right"/>
        <w:ind w:right="27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Schedule 1</w:t>
            </w:r>
          </w:p>
        </w:tc>
        <w:tc>
          <w:tcPr>
            <w:tcW w:w="0" w:type="dxa"/>
            <w:vAlign w:val="bottom"/>
          </w:tcPr>
          <w:p>
            <w:pPr>
              <w:spacing w:after="0"/>
              <w:rPr>
                <w:sz w:val="1"/>
                <w:szCs w:val="1"/>
                <w:color w:val="auto"/>
              </w:rPr>
            </w:pPr>
          </w:p>
        </w:tc>
      </w:tr>
      <w:tr>
        <w:trPr>
          <w:trHeight w:val="392"/>
        </w:trPr>
        <w:tc>
          <w:tcPr>
            <w:tcW w:w="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2028</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2029</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84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Floating</w:t>
            </w: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Floating</w:t>
            </w:r>
          </w:p>
        </w:tc>
        <w:tc>
          <w:tcPr>
            <w:tcW w:w="8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2029 Notes</w:t>
            </w:r>
          </w:p>
        </w:tc>
        <w:tc>
          <w:tcPr>
            <w:tcW w:w="10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2031 Notes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2033 Notes</w:t>
            </w:r>
          </w:p>
        </w:tc>
        <w:tc>
          <w:tcPr>
            <w:tcW w:w="10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2036 Notes</w:t>
            </w:r>
          </w:p>
        </w:tc>
        <w:tc>
          <w:tcPr>
            <w:tcW w:w="10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2056 Notes</w:t>
            </w:r>
          </w:p>
        </w:tc>
        <w:tc>
          <w:tcPr>
            <w:tcW w:w="12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2066 Notes</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Rate Notes</w:t>
            </w:r>
          </w:p>
        </w:tc>
        <w:tc>
          <w:tcPr>
            <w:tcW w:w="80" w:type="dxa"/>
            <w:vAlign w:val="bottom"/>
          </w:tcPr>
          <w:p>
            <w:pPr>
              <w:spacing w:after="0"/>
              <w:rPr>
                <w:sz w:val="15"/>
                <w:szCs w:val="15"/>
                <w:color w:val="auto"/>
              </w:rPr>
            </w:pPr>
          </w:p>
        </w:tc>
        <w:tc>
          <w:tcPr>
            <w:tcW w:w="82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Rate Notes</w:t>
            </w:r>
          </w:p>
        </w:tc>
        <w:tc>
          <w:tcPr>
            <w:tcW w:w="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620" w:type="dxa"/>
            <w:vAlign w:val="bottom"/>
            <w:tcBorders>
              <w:top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Morgan Stanley &amp; Co. LLC</w:t>
            </w:r>
          </w:p>
        </w:tc>
        <w:tc>
          <w:tcPr>
            <w:tcW w:w="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w w:val="99"/>
              </w:rPr>
              <w:t>$ 120,000,000</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80,000,000</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$ 120,000,000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240,000,000</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200,000,000</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240,000,000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280,000,000</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160,000,000</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Citigroup Global Markets Inc.</w:t>
            </w:r>
          </w:p>
        </w:tc>
        <w:tc>
          <w:tcPr>
            <w:tcW w:w="8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120,000,000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80,000,000</w:t>
            </w:r>
          </w:p>
        </w:tc>
        <w:tc>
          <w:tcPr>
            <w:tcW w:w="10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120,000,000</w:t>
            </w:r>
          </w:p>
        </w:tc>
        <w:tc>
          <w:tcPr>
            <w:tcW w:w="1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240,000,000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200,000,000</w:t>
            </w:r>
          </w:p>
        </w:tc>
        <w:tc>
          <w:tcPr>
            <w:tcW w:w="10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240,000,000</w:t>
            </w:r>
          </w:p>
        </w:tc>
        <w:tc>
          <w:tcPr>
            <w:tcW w:w="10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280,000,000</w:t>
            </w:r>
          </w:p>
        </w:tc>
        <w:tc>
          <w:tcPr>
            <w:tcW w:w="12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160,000,000</w:t>
            </w:r>
          </w:p>
        </w:tc>
        <w:tc>
          <w:tcPr>
            <w:tcW w:w="0" w:type="dxa"/>
            <w:vAlign w:val="bottom"/>
          </w:tcPr>
          <w:p>
            <w:pPr>
              <w:spacing w:after="0"/>
              <w:rPr>
                <w:sz w:val="1"/>
                <w:szCs w:val="1"/>
                <w:color w:val="auto"/>
              </w:rPr>
            </w:pPr>
          </w:p>
        </w:tc>
      </w:tr>
      <w:tr>
        <w:trPr>
          <w:trHeight w:val="148"/>
        </w:trPr>
        <w:tc>
          <w:tcPr>
            <w:tcW w:w="2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Deutsche Bank Securities Inc.</w:t>
            </w:r>
          </w:p>
        </w:tc>
        <w:tc>
          <w:tcPr>
            <w:tcW w:w="86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120,000,000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80,000,000</w:t>
            </w:r>
          </w:p>
        </w:tc>
        <w:tc>
          <w:tcPr>
            <w:tcW w:w="10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120,000,000</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240,000,000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200,000,000</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240,000,000</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280,000,000</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160,000,000</w:t>
            </w: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Goldman Sachs &amp; Co. LLC</w:t>
            </w:r>
          </w:p>
        </w:tc>
        <w:tc>
          <w:tcPr>
            <w:tcW w:w="8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120,000,000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80,000,000</w:t>
            </w:r>
          </w:p>
        </w:tc>
        <w:tc>
          <w:tcPr>
            <w:tcW w:w="10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120,000,000</w:t>
            </w:r>
          </w:p>
        </w:tc>
        <w:tc>
          <w:tcPr>
            <w:tcW w:w="1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240,000,000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200,000,000</w:t>
            </w:r>
          </w:p>
        </w:tc>
        <w:tc>
          <w:tcPr>
            <w:tcW w:w="10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240,000,000</w:t>
            </w:r>
          </w:p>
        </w:tc>
        <w:tc>
          <w:tcPr>
            <w:tcW w:w="10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280,000,000</w:t>
            </w:r>
          </w:p>
        </w:tc>
        <w:tc>
          <w:tcPr>
            <w:tcW w:w="12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160,000,000</w:t>
            </w:r>
          </w:p>
        </w:tc>
        <w:tc>
          <w:tcPr>
            <w:tcW w:w="0" w:type="dxa"/>
            <w:vAlign w:val="bottom"/>
          </w:tcPr>
          <w:p>
            <w:pPr>
              <w:spacing w:after="0"/>
              <w:rPr>
                <w:sz w:val="1"/>
                <w:szCs w:val="1"/>
                <w:color w:val="auto"/>
              </w:rPr>
            </w:pPr>
          </w:p>
        </w:tc>
      </w:tr>
      <w:tr>
        <w:trPr>
          <w:trHeight w:val="148"/>
        </w:trPr>
        <w:tc>
          <w:tcPr>
            <w:tcW w:w="2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BNP Paribas Securities Corp.</w:t>
            </w:r>
          </w:p>
        </w:tc>
        <w:tc>
          <w:tcPr>
            <w:tcW w:w="86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78,750,000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52,500,000</w:t>
            </w:r>
          </w:p>
        </w:tc>
        <w:tc>
          <w:tcPr>
            <w:tcW w:w="10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78,750,000</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157,500,000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131,250,000</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157,500,000</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183,750,000</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105,000,000</w:t>
            </w:r>
          </w:p>
        </w:tc>
        <w:tc>
          <w:tcPr>
            <w:tcW w:w="0" w:type="dxa"/>
            <w:vAlign w:val="bottom"/>
          </w:tcPr>
          <w:p>
            <w:pPr>
              <w:spacing w:after="0"/>
              <w:rPr>
                <w:sz w:val="1"/>
                <w:szCs w:val="1"/>
                <w:color w:val="auto"/>
              </w:rPr>
            </w:pPr>
          </w:p>
        </w:tc>
      </w:tr>
      <w:tr>
        <w:trPr>
          <w:trHeight w:val="149"/>
        </w:trPr>
        <w:tc>
          <w:tcPr>
            <w:tcW w:w="2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J.P. Morgan Securities LLC</w:t>
            </w:r>
          </w:p>
        </w:tc>
        <w:tc>
          <w:tcPr>
            <w:tcW w:w="8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78,750,000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52,500,000</w:t>
            </w:r>
          </w:p>
        </w:tc>
        <w:tc>
          <w:tcPr>
            <w:tcW w:w="10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78,750,000</w:t>
            </w:r>
          </w:p>
        </w:tc>
        <w:tc>
          <w:tcPr>
            <w:tcW w:w="1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157,500,000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131,250,000</w:t>
            </w:r>
          </w:p>
        </w:tc>
        <w:tc>
          <w:tcPr>
            <w:tcW w:w="10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157,500,000</w:t>
            </w:r>
          </w:p>
        </w:tc>
        <w:tc>
          <w:tcPr>
            <w:tcW w:w="10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183,750,000</w:t>
            </w:r>
          </w:p>
        </w:tc>
        <w:tc>
          <w:tcPr>
            <w:tcW w:w="12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105,000,000</w:t>
            </w:r>
          </w:p>
        </w:tc>
        <w:tc>
          <w:tcPr>
            <w:tcW w:w="0" w:type="dxa"/>
            <w:vAlign w:val="bottom"/>
          </w:tcPr>
          <w:p>
            <w:pPr>
              <w:spacing w:after="0"/>
              <w:rPr>
                <w:sz w:val="1"/>
                <w:szCs w:val="1"/>
                <w:color w:val="auto"/>
              </w:rPr>
            </w:pPr>
          </w:p>
        </w:tc>
      </w:tr>
      <w:tr>
        <w:trPr>
          <w:trHeight w:val="148"/>
        </w:trPr>
        <w:tc>
          <w:tcPr>
            <w:tcW w:w="2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BofA Securities, Inc.</w:t>
            </w:r>
          </w:p>
        </w:tc>
        <w:tc>
          <w:tcPr>
            <w:tcW w:w="86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52,500,000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35,000,000</w:t>
            </w:r>
          </w:p>
        </w:tc>
        <w:tc>
          <w:tcPr>
            <w:tcW w:w="10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52,500,000</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105,000,000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87,500,000</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105,000,000</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122,500,000</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70,000,000</w:t>
            </w: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Barclays Capital Inc.</w:t>
            </w:r>
          </w:p>
        </w:tc>
        <w:tc>
          <w:tcPr>
            <w:tcW w:w="8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26,250,000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17,500,000</w:t>
            </w:r>
          </w:p>
        </w:tc>
        <w:tc>
          <w:tcPr>
            <w:tcW w:w="10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26,250,000</w:t>
            </w:r>
          </w:p>
        </w:tc>
        <w:tc>
          <w:tcPr>
            <w:tcW w:w="1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52,500,000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43,750,000</w:t>
            </w:r>
          </w:p>
        </w:tc>
        <w:tc>
          <w:tcPr>
            <w:tcW w:w="10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52,500,000</w:t>
            </w:r>
          </w:p>
        </w:tc>
        <w:tc>
          <w:tcPr>
            <w:tcW w:w="10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61,250,000</w:t>
            </w:r>
          </w:p>
        </w:tc>
        <w:tc>
          <w:tcPr>
            <w:tcW w:w="12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35,000,000</w:t>
            </w:r>
          </w:p>
        </w:tc>
        <w:tc>
          <w:tcPr>
            <w:tcW w:w="0" w:type="dxa"/>
            <w:vAlign w:val="bottom"/>
          </w:tcPr>
          <w:p>
            <w:pPr>
              <w:spacing w:after="0"/>
              <w:rPr>
                <w:sz w:val="1"/>
                <w:szCs w:val="1"/>
                <w:color w:val="auto"/>
              </w:rPr>
            </w:pPr>
          </w:p>
        </w:tc>
      </w:tr>
      <w:tr>
        <w:trPr>
          <w:trHeight w:val="148"/>
        </w:trPr>
        <w:tc>
          <w:tcPr>
            <w:tcW w:w="2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Mizuho Securities USA LLC</w:t>
            </w:r>
          </w:p>
        </w:tc>
        <w:tc>
          <w:tcPr>
            <w:tcW w:w="86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26,250,000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17,500,000</w:t>
            </w:r>
          </w:p>
        </w:tc>
        <w:tc>
          <w:tcPr>
            <w:tcW w:w="10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26,250,000</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52,500,000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43,750,000</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52,500,000</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61,250,000</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35,000,000</w:t>
            </w: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Loop Capital Markets LLC</w:t>
            </w:r>
          </w:p>
        </w:tc>
        <w:tc>
          <w:tcPr>
            <w:tcW w:w="8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3,750,000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2,500,000</w:t>
            </w:r>
          </w:p>
        </w:tc>
        <w:tc>
          <w:tcPr>
            <w:tcW w:w="10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3,750,000</w:t>
            </w:r>
          </w:p>
        </w:tc>
        <w:tc>
          <w:tcPr>
            <w:tcW w:w="1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7,500,000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6,250,000</w:t>
            </w:r>
          </w:p>
        </w:tc>
        <w:tc>
          <w:tcPr>
            <w:tcW w:w="10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7,500,000</w:t>
            </w:r>
          </w:p>
        </w:tc>
        <w:tc>
          <w:tcPr>
            <w:tcW w:w="10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8,750,000</w:t>
            </w:r>
          </w:p>
        </w:tc>
        <w:tc>
          <w:tcPr>
            <w:tcW w:w="12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Penserra Securities LLC</w:t>
            </w:r>
          </w:p>
        </w:tc>
        <w:tc>
          <w:tcPr>
            <w:tcW w:w="86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3,750,000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2,500,000</w:t>
            </w:r>
          </w:p>
        </w:tc>
        <w:tc>
          <w:tcPr>
            <w:tcW w:w="10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3,750,000</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7,500,000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6,250,000</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7,500,000</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8,750,000</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0" w:type="dxa"/>
            <w:vAlign w:val="bottom"/>
          </w:tcPr>
          <w:p>
            <w:pPr>
              <w:spacing w:after="0"/>
              <w:rPr>
                <w:sz w:val="1"/>
                <w:szCs w:val="1"/>
                <w:color w:val="auto"/>
              </w:rPr>
            </w:pPr>
          </w:p>
        </w:tc>
      </w:tr>
      <w:tr>
        <w:trPr>
          <w:trHeight w:val="155"/>
        </w:trPr>
        <w:tc>
          <w:tcPr>
            <w:tcW w:w="2620" w:type="dxa"/>
            <w:vAlign w:val="bottom"/>
            <w:gridSpan w:val="2"/>
          </w:tcPr>
          <w:p>
            <w:pPr>
              <w:ind w:left="28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$ 750,000,000</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500,000,000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$ 750,000,000</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1,500,000,000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1,250,000,000</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1,500,000,000</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1,750,000,000</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1,000,000,000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Addresses for Notices to the Representatives: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1585 Broadway, 29th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Investment Banking Division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Fax: (212) 507-8999</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Fax: (646) 291-1469</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Columbus Circle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Debt Capital Markets Syndicate, with a copy to General Counsel</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dbcapmarkets.gcnotices@list.db.com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Registration Department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registration-syndops@ny.email.gs.com</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Fax: (212) 902-9316</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 of the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Securities shall have the terms set forth in the Prospectus, including those set forth in Schedule 4 to the Agreement.</w:t>
      </w:r>
    </w:p>
    <w:p>
      <w:pPr>
        <w:sectPr>
          <w:pgSz w:w="11900" w:h="16838" w:orient="portrait"/>
          <w:cols w:equalWidth="0" w:num="1">
            <w:col w:w="11020"/>
          </w:cols>
          <w:pgMar w:left="440" w:top="266" w:right="4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of Sale Information</w:t>
      </w:r>
    </w:p>
    <w:p>
      <w:pPr>
        <w:spacing w:after="0" w:line="135" w:lineRule="exact"/>
        <w:rPr>
          <w:sz w:val="20"/>
          <w:szCs w:val="20"/>
          <w:color w:val="auto"/>
        </w:rPr>
      </w:pPr>
    </w:p>
    <w:p>
      <w:pPr>
        <w:ind w:left="960" w:hanging="532"/>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Prospectus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Term Sheet included in Schedule 4</w:t>
      </w:r>
    </w:p>
    <w:p>
      <w:pPr>
        <w:sectPr>
          <w:pgSz w:w="11900" w:h="16838" w:orient="portrait"/>
          <w:cols w:equalWidth="0" w:num="1">
            <w:col w:w="11020"/>
          </w:cols>
          <w:pgMar w:left="440" w:top="266" w:right="4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Final Pricing Term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173990</wp:posOffset>
            </wp:positionV>
            <wp:extent cx="1003300" cy="548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100330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 Lilly and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$9,000,000,000 aggregate principal amount of Notes offered, consisting of:</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Floating Rate Notes due 2028 (the “2028 Floating Rate Notes”)</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Floating Rate Notes due 2029 (the “2029 Floating Rate Notes”)</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4.150% Notes due 2029 (the “2029 Notes”)</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4.375% Notes due 2031 (the “2031 Notes”)</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4.650% Notes due 2033 (the “2033 Notes”)</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4.850% Notes due 2036 (the “2036 Notes”)</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5.600% Notes due 2056 (the “2056 Notes”)</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5.700% Notes due 2066 (the “2066 Notes”)</w:t>
      </w:r>
    </w:p>
    <w:p>
      <w:pPr>
        <w:spacing w:after="0" w:line="207" w:lineRule="exact"/>
        <w:rPr>
          <w:sz w:val="20"/>
          <w:szCs w:val="20"/>
          <w:color w:val="auto"/>
        </w:rPr>
      </w:pPr>
    </w:p>
    <w:p>
      <w:pPr>
        <w:jc w:val="center"/>
        <w:ind w:right="20"/>
        <w:spacing w:after="0" w:line="266" w:lineRule="auto"/>
        <w:rPr>
          <w:sz w:val="20"/>
          <w:szCs w:val="20"/>
          <w:color w:val="auto"/>
        </w:rPr>
      </w:pPr>
      <w:r>
        <w:rPr>
          <w:rFonts w:ascii="Times New Roman" w:cs="Times New Roman" w:eastAsia="Times New Roman" w:hAnsi="Times New Roman"/>
          <w:sz w:val="18"/>
          <w:szCs w:val="18"/>
          <w:color w:val="auto"/>
        </w:rPr>
        <w:t>(The 2028 Floating Rate Notes and the 2029 Floating Rate Notes are collectively referred to as the “Floating Rate Notes.” The 2029 Notes, the 2031 Notes, the 2033 Notes, the 2036 Notes, the 2056 Notes and the 2066 Notes are collectively referred to as the “Fixed Rate Notes.” The Fixed Rate Notes, together with the Floating Rate Notes, are collectively referred to as the “Notes”)</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pricing term sheet (the “Pricing Term Sheet”) supplements the prospectus supplement issued by Eli Lilly and Company on May 6, 2026 (the “Preliminary Prospectus Supplement”) and the accompanying prospectus dated February 19, 2025 (the “Prospectus”) and supersedes the information in the Preliminary Prospectus Supplement and Prospectus. Other information presented in the Preliminary Prospectus Supplement is deemed to have changed to the extent affected by the changes described herein. Otherwise, this Pricing Term Sheet is qualified in its entirety by reference to the Preliminary Prospectus Supplement and the Prospectus and should be read together with the Preliminary Prospectus Supplement, the Prospectus and the documents incorporated or deemed to be incorporated by reference therein before a decision is made to invest in the Notes.</w:t>
      </w:r>
    </w:p>
    <w:p>
      <w:pPr>
        <w:sectPr>
          <w:pgSz w:w="11900" w:h="16838" w:orient="portrait"/>
          <w:cols w:equalWidth="0" w:num="1">
            <w:col w:w="11020"/>
          </w:cols>
          <w:pgMar w:left="440" w:top="266" w:right="439" w:bottom="1440" w:gutter="0" w:footer="0" w:header="0"/>
        </w:sectPr>
      </w:pP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Eli Lilly and Company</w:t>
      </w:r>
    </w:p>
    <w:p>
      <w:pPr>
        <w:spacing w:after="0" w:line="128" w:lineRule="exact"/>
        <w:rPr>
          <w:sz w:val="20"/>
          <w:szCs w:val="20"/>
          <w:color w:val="auto"/>
        </w:rPr>
      </w:pPr>
    </w:p>
    <w:p>
      <w:pPr>
        <w:sectPr>
          <w:pgSz w:w="11900" w:h="16838" w:orient="portrait"/>
          <w:cols w:equalWidth="0" w:num="2">
            <w:col w:w="2580" w:space="720"/>
            <w:col w:w="7720"/>
          </w:cols>
          <w:pgMar w:left="440" w:top="266"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May 6, 2026</w:t>
      </w:r>
    </w:p>
    <w:p>
      <w:pPr>
        <w:spacing w:after="0" w:line="129" w:lineRule="exact"/>
        <w:rPr>
          <w:sz w:val="20"/>
          <w:szCs w:val="20"/>
          <w:color w:val="auto"/>
        </w:rPr>
      </w:pPr>
    </w:p>
    <w:p>
      <w:pPr>
        <w:sectPr>
          <w:pgSz w:w="11900" w:h="16838" w:orient="portrait"/>
          <w:cols w:equalWidth="0" w:num="2">
            <w:col w:w="2580" w:space="720"/>
            <w:col w:w="7720"/>
          </w:cols>
          <w:pgMar w:left="440" w:top="266"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129" w:lineRule="exact"/>
        <w:rPr>
          <w:sz w:val="20"/>
          <w:szCs w:val="20"/>
          <w:color w:val="auto"/>
        </w:rPr>
      </w:pPr>
    </w:p>
    <w:p>
      <w:pPr>
        <w:sectPr>
          <w:pgSz w:w="11900" w:h="16838" w:orient="portrait"/>
          <w:cols w:equalWidth="0" w:num="2">
            <w:col w:w="2580" w:space="720"/>
            <w:col w:w="7720"/>
          </w:cols>
          <w:pgMar w:left="440" w:top="266"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May 20, 2026; T+10</w:t>
      </w:r>
    </w:p>
    <w:p>
      <w:pPr>
        <w:spacing w:after="0" w:line="129" w:lineRule="exact"/>
        <w:rPr>
          <w:sz w:val="20"/>
          <w:szCs w:val="20"/>
          <w:color w:val="auto"/>
        </w:rPr>
      </w:pPr>
    </w:p>
    <w:p>
      <w:pPr>
        <w:sectPr>
          <w:pgSz w:w="11900" w:h="16838" w:orient="portrait"/>
          <w:cols w:equalWidth="0" w:num="2">
            <w:col w:w="2580" w:space="720"/>
            <w:col w:w="7720"/>
          </w:cols>
          <w:pgMar w:left="440" w:top="266"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Day Count Convention: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Actual / 360 for the Floating Rate Notes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 360 for the Fixed Rate Notes</w:t>
      </w:r>
    </w:p>
    <w:p>
      <w:pPr>
        <w:spacing w:after="0" w:line="112" w:lineRule="exact"/>
        <w:rPr>
          <w:sz w:val="20"/>
          <w:szCs w:val="20"/>
          <w:color w:val="auto"/>
        </w:rPr>
      </w:pPr>
    </w:p>
    <w:p>
      <w:pPr>
        <w:sectPr>
          <w:pgSz w:w="11900" w:h="16838" w:orient="portrait"/>
          <w:cols w:equalWidth="0" w:num="2">
            <w:col w:w="2580" w:space="720"/>
            <w:col w:w="7720"/>
          </w:cols>
          <w:pgMar w:left="440" w:top="266"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Citigroup Global Markets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Deutsche Bank Securities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ectPr>
          <w:pgSz w:w="11900" w:h="16838" w:orient="portrait"/>
          <w:cols w:equalWidth="0" w:num="2">
            <w:col w:w="2580" w:space="720"/>
            <w:col w:w="7720"/>
          </w:cols>
          <w:pgMar w:left="440" w:top="266" w:right="4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The 2028 Floating Rate Notes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Offered: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Basis: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Compounded SOFR: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Reset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Interest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Determination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Observation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Provisions: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 Agent: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-213360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Penserra Securities LLC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$750,000,000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 of principal amount, plus accrued interest, if any, from May 20,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Compounded SOFR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 basis points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May 20, August 20 and November 20 of each year, commencing August 20,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Floating Rate Interest Payment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interest rate will be Compounded SOFR determined on August 18, 2026, plus 35 basis points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second U.S. Government Securities Business Day preceding each Floating Rate Interest Payment Date</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period from and including a Floating Rate Interest Payment Date to, but excluding, the immediately succeeding Floating Rate Interest Payment Date (such succeeding Floating Rate Interest Payment Date, the “Latter Floating Rate Interest Payment Date”); provided that (i) the initial interest period for the 2028 Floating Rate Notes will be the period from and including the Settlement Date to, but excluding, the immediately succeeding Floating Rate Interest Payment Date for the 2028 Floating Rate Notes and (ii) the final interest period for the 2028 Floating Rate Notes will be the period from and including the Floating Rate Interest Payment Date immediately preceding the maturity date of the 2028 Floating Rate Notes to, but excluding, the maturity date of the 2028 Floating Rate Notes</w:t>
      </w:r>
    </w:p>
    <w:p>
      <w:pPr>
        <w:spacing w:after="0" w:line="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period from and including two U.S. Government Securities Business Days preceding the first date of such relevant Interest Period to but excluding two U.S. Government Securities Business Days preceding the Latter Floating Rate Interest Payment Date for such relevant Interest Period for the 2028 Floating Rate Notes; provided that the first Observation Period for the 2028 Floating Rate Notes shall be the period from and including two U.S. Government Securities Business Days preceding the Settlement Date to, but excluding, the two U.S. Government Securities Business Days preceding the first Floating Rate Interest Payment Date for the 2028 Floating Rate Notes</w:t>
      </w:r>
    </w:p>
    <w:p>
      <w:pPr>
        <w:spacing w:after="0" w:line="81" w:lineRule="exact"/>
        <w:rPr>
          <w:sz w:val="20"/>
          <w:szCs w:val="20"/>
          <w:color w:val="auto"/>
        </w:rPr>
      </w:pPr>
    </w:p>
    <w:p>
      <w:pPr>
        <w:ind w:right="2240"/>
        <w:spacing w:after="0" w:line="391" w:lineRule="auto"/>
        <w:rPr>
          <w:sz w:val="20"/>
          <w:szCs w:val="20"/>
          <w:color w:val="auto"/>
        </w:rPr>
      </w:pPr>
      <w:r>
        <w:rPr>
          <w:rFonts w:ascii="Times New Roman" w:cs="Times New Roman" w:eastAsia="Times New Roman" w:hAnsi="Times New Roman"/>
          <w:sz w:val="18"/>
          <w:szCs w:val="18"/>
          <w:color w:val="auto"/>
        </w:rPr>
        <w:t>The 2028 Floating Rate Notes will not be redeemable prior to their maturity Initially, Deutsche Bank Trust Company Americas 532457 DH8 / US532457DH81</w:t>
      </w:r>
    </w:p>
    <w:p>
      <w:pPr>
        <w:sectPr>
          <w:pgSz w:w="11900" w:h="16838" w:orient="portrait"/>
          <w:cols w:equalWidth="0" w:num="2">
            <w:col w:w="2460" w:space="720"/>
            <w:col w:w="7700"/>
          </w:cols>
          <w:pgMar w:left="560" w:top="270"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2029 Floating Rate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Offered: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Basis: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Compounded SOFR: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Reset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Interest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Determination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Observation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Special Mandatory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 Agent:</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-2172335</wp:posOffset>
            </wp:positionH>
            <wp:positionV relativeFrom="paragraph">
              <wp:posOffset>-419100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May 20, 2029</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100.000% of principal amount, plus accrued interest, if any, from May 20, 2026</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Compounded SOFR</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+46 basis points</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February 20, May 20, August 20 and November 20 of each year, commencing August 20, 2026</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Each Floating Rate Interest Payment Date</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The initial interest rate will be Compounded SOFR determined on August 18, 2026, plus 46 basis points</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7"/>
          <w:szCs w:val="17"/>
          <w:color w:val="auto"/>
        </w:rPr>
        <w:t>The second U.S. Government Securities Business Day preceding each Floating Rate Interest Payment Date</w:t>
      </w:r>
    </w:p>
    <w:p>
      <w:pPr>
        <w:spacing w:after="0" w:line="129" w:lineRule="exact"/>
        <w:rPr>
          <w:sz w:val="20"/>
          <w:szCs w:val="20"/>
          <w:color w:val="auto"/>
        </w:rPr>
      </w:pPr>
    </w:p>
    <w:p>
      <w:pPr>
        <w:ind w:left="10"/>
        <w:spacing w:after="0" w:line="254" w:lineRule="auto"/>
        <w:rPr>
          <w:sz w:val="20"/>
          <w:szCs w:val="20"/>
          <w:color w:val="auto"/>
        </w:rPr>
      </w:pPr>
      <w:r>
        <w:rPr>
          <w:rFonts w:ascii="Times New Roman" w:cs="Times New Roman" w:eastAsia="Times New Roman" w:hAnsi="Times New Roman"/>
          <w:sz w:val="18"/>
          <w:szCs w:val="18"/>
          <w:color w:val="auto"/>
        </w:rPr>
        <w:t>The period from and including a Floating Rate Interest Payment Date to, but excluding, the immediately succeeding Floating Rate Interest Payment Date (such succeeding Floating Rate Interest Payment Date, the “Latter Floating Rate Interest Payment Date”); provided that (i) the initial interest period for the 2029 Floating Rate Notes will be the period from and including the Settlement Date to, but excluding, the immediately succeeding Floating Rate Interest Payment Date for the 2029 Floating Rate Notes and (ii) the final interest period for the 2029 Floating Rate Notes will be the period from and including the Floating Rate Interest Payment Date immediately preceding the maturity date of the 2029 Floating Rate Notes to, but excluding, the maturity date of the 2029 Floating Rate Notes</w:t>
      </w:r>
    </w:p>
    <w:p>
      <w:pPr>
        <w:spacing w:after="0" w:line="84" w:lineRule="exact"/>
        <w:rPr>
          <w:sz w:val="20"/>
          <w:szCs w:val="20"/>
          <w:color w:val="auto"/>
        </w:rPr>
      </w:pPr>
    </w:p>
    <w:p>
      <w:pPr>
        <w:ind w:left="10" w:right="20"/>
        <w:spacing w:after="0" w:line="255" w:lineRule="auto"/>
        <w:rPr>
          <w:sz w:val="20"/>
          <w:szCs w:val="20"/>
          <w:color w:val="auto"/>
        </w:rPr>
      </w:pPr>
      <w:r>
        <w:rPr>
          <w:rFonts w:ascii="Times New Roman" w:cs="Times New Roman" w:eastAsia="Times New Roman" w:hAnsi="Times New Roman"/>
          <w:sz w:val="18"/>
          <w:szCs w:val="18"/>
          <w:color w:val="auto"/>
        </w:rPr>
        <w:t>The period from and including two U.S. Government Securities Business Days preceding the first date of such relevant Interest Period to but excluding two U.S. Government Securities Business Days preceding the Latter Floating Rate Interest Payment Date for such relevant Interest Period for the 2029 Floating Rate Notes; provided that the first Observation Period shall for the 2029 Floating Rate Notes be the period from and including two U.S. Government Securities Business Days preceding the Settlement Date to, but excluding, the two U.S. Government Securities Business Days preceding the first Floating Rate Interest Payment Date for the 2029 Floating Rate Notes</w:t>
      </w:r>
    </w:p>
    <w:p>
      <w:pPr>
        <w:spacing w:after="0" w:line="81" w:lineRule="exact"/>
        <w:rPr>
          <w:sz w:val="20"/>
          <w:szCs w:val="20"/>
          <w:color w:val="auto"/>
        </w:rPr>
      </w:pPr>
    </w:p>
    <w:p>
      <w:pPr>
        <w:ind w:left="10" w:right="320"/>
        <w:spacing w:after="0" w:line="282" w:lineRule="auto"/>
        <w:rPr>
          <w:sz w:val="20"/>
          <w:szCs w:val="20"/>
          <w:color w:val="auto"/>
        </w:rPr>
      </w:pPr>
      <w:r>
        <w:rPr>
          <w:rFonts w:ascii="Times New Roman" w:cs="Times New Roman" w:eastAsia="Times New Roman" w:hAnsi="Times New Roman"/>
          <w:sz w:val="18"/>
          <w:szCs w:val="18"/>
          <w:color w:val="auto"/>
        </w:rPr>
        <w:t>Subject to the special mandatory redemption provision described below, the Issuer may not redeem the 2029 Floating Rate Notes at its option prior to maturity</w:t>
      </w:r>
    </w:p>
    <w:p>
      <w:pPr>
        <w:spacing w:after="0" w:line="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In the event that (x) the Centessa Acquisition is not consummated on or prior to the date that is five</w:t>
      </w:r>
    </w:p>
    <w:p>
      <w:pPr>
        <w:spacing w:after="0" w:line="27" w:lineRule="exact"/>
        <w:rPr>
          <w:sz w:val="20"/>
          <w:szCs w:val="20"/>
          <w:color w:val="auto"/>
        </w:rPr>
      </w:pPr>
    </w:p>
    <w:p>
      <w:pPr>
        <w:ind w:left="10" w:hanging="10"/>
        <w:spacing w:after="0" w:line="252"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later of (i) March 31, 2027 or (ii) any later date as the parties to the Centessa Agreement may agree as the “Outside Date” thereunder or (y) the Issuer notifies the trustee in writing that the Issuer will not pursue the consummation of the Centessa Acquisition, the Issuer will be required to redeem the 2029 Floating Rate Notes then outstanding at a redemption price equal to 101% of the principal amount of such 2029 Floating Rate Notes plus accrued and unpaid interest, if any, to, but excluding, the Centessa Special Mandatory Redemption Date</w:t>
      </w:r>
    </w:p>
    <w:p>
      <w:pPr>
        <w:spacing w:after="0" w:line="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Initially, Deutsche Bank Trust Company Americas</w:t>
      </w:r>
    </w:p>
    <w:p>
      <w:pPr>
        <w:sectPr>
          <w:pgSz w:w="11900" w:h="16838" w:orient="portrait"/>
          <w:cols w:equalWidth="0" w:num="2">
            <w:col w:w="2450" w:space="720"/>
            <w:col w:w="7710"/>
          </w:cols>
          <w:pgMar w:left="560" w:top="266"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CUSIP / ISIN: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2029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Offered: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Provisions: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Make-whole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Mandatory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 ISIN: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2031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Offered: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20" w:lineRule="exact"/>
        <w:rPr>
          <w:sz w:val="20"/>
          <w:szCs w:val="20"/>
          <w:color w:val="auto"/>
        </w:rPr>
      </w:pPr>
      <w:r>
        <w:rPr>
          <w:sz w:val="20"/>
          <w:szCs w:val="20"/>
          <w:color w:val="auto"/>
        </w:rPr>
        <w:br w:type="column"/>
      </w:r>
    </w:p>
    <w:p>
      <w:pPr>
        <w:ind w:left="10"/>
        <w:spacing w:after="0"/>
        <w:rPr>
          <w:sz w:val="20"/>
          <w:szCs w:val="20"/>
          <w:color w:val="auto"/>
        </w:rPr>
      </w:pPr>
      <w:r>
        <w:rPr>
          <w:rFonts w:ascii="Times New Roman" w:cs="Times New Roman" w:eastAsia="Times New Roman" w:hAnsi="Times New Roman"/>
          <w:sz w:val="18"/>
          <w:szCs w:val="18"/>
          <w:color w:val="auto"/>
        </w:rPr>
        <w:t>532457 DJ4 / US532457DJ48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-2172335</wp:posOffset>
            </wp:positionH>
            <wp:positionV relativeFrom="paragraph">
              <wp:posOffset>-213360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$750,000,000</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May 20, 2029</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4.150% per year</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99.941% of principal amount, plus accrued interest, if any, from May 20, 2026</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4.171%</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UST 3.875% due April 15, 2029</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T + 28 basis points</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99-30+ / 3.891%</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May 20 and November 20 of each year, commencing November 20, 2026</w:t>
      </w:r>
    </w:p>
    <w:p>
      <w:pPr>
        <w:spacing w:after="0" w:line="200" w:lineRule="exact"/>
        <w:rPr>
          <w:sz w:val="20"/>
          <w:szCs w:val="20"/>
          <w:color w:val="auto"/>
        </w:rPr>
      </w:pPr>
    </w:p>
    <w:p>
      <w:pPr>
        <w:spacing w:after="0" w:line="2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At any time prior to April 20, 2029 at a discount rate of Treasury plus 5 basis points</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On or after April 20, 2029 at 100%</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In the event that (x) the Centessa Acquisition is not consummated on or prior to the date that is five</w:t>
      </w:r>
    </w:p>
    <w:p>
      <w:pPr>
        <w:spacing w:after="0" w:line="27" w:lineRule="exact"/>
        <w:rPr>
          <w:sz w:val="20"/>
          <w:szCs w:val="20"/>
          <w:color w:val="auto"/>
        </w:rPr>
      </w:pPr>
    </w:p>
    <w:p>
      <w:pPr>
        <w:ind w:left="10" w:hanging="10"/>
        <w:spacing w:after="0" w:line="252" w:lineRule="auto"/>
        <w:tabs>
          <w:tab w:leader="none" w:pos="2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later of (i) March 31, 2027 or (ii) any later date as the parties to the Centessa Agreement may agree as the “Outside Date” thereunder or (y) the Issuer notifies the trustee in writing that the Issuer will not pursue the consummation of the Centessa Acquisition, the Issuer will be required to redeem the 2029 Notes then outstanding at a redemption price equal to 101% of the principal amount of such 2029 Notes plus accrued and unpaid interest, if any, to, but excluding, the Centessa Special Mandatory Redemption Date</w:t>
      </w:r>
    </w:p>
    <w:p>
      <w:pPr>
        <w:spacing w:after="0" w:line="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532457 DK1 / US532457DK11</w:t>
      </w:r>
    </w:p>
    <w:p>
      <w:pPr>
        <w:spacing w:after="0" w:line="200" w:lineRule="exact"/>
        <w:rPr>
          <w:sz w:val="20"/>
          <w:szCs w:val="20"/>
          <w:color w:val="auto"/>
        </w:rPr>
      </w:pPr>
    </w:p>
    <w:p>
      <w:pPr>
        <w:spacing w:after="0" w:line="34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$1,500,000,000</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May 20, 2031</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4.375% per year</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99.893% of principal amount, plus accrued interest, if any, from May 20, 2026</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4.399%</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UST 3.875% due April 30, 2031</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T + 40 basis points</w:t>
      </w:r>
    </w:p>
    <w:p>
      <w:pPr>
        <w:spacing w:after="0" w:line="2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 xml:space="preserve">99-14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4</w:t>
      </w:r>
      <w:r>
        <w:rPr>
          <w:rFonts w:ascii="Times New Roman" w:cs="Times New Roman" w:eastAsia="Times New Roman" w:hAnsi="Times New Roman"/>
          <w:sz w:val="18"/>
          <w:szCs w:val="18"/>
          <w:color w:val="auto"/>
        </w:rPr>
        <w:t xml:space="preserve"> / 3.999%</w:t>
      </w:r>
    </w:p>
    <w:p>
      <w:pPr>
        <w:spacing w:after="0" w:line="1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May 20 and November 20 of each year, commencing November 20, 2026</w:t>
      </w:r>
    </w:p>
    <w:p>
      <w:pPr>
        <w:sectPr>
          <w:pgSz w:w="11900" w:h="16838" w:orient="portrait"/>
          <w:cols w:equalWidth="0" w:num="2">
            <w:col w:w="2700" w:space="470"/>
            <w:col w:w="7630"/>
          </w:cols>
          <w:pgMar w:left="560" w:top="270" w:right="5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Redemption Provisions: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Make-whole call:</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Mandatory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 ISIN: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2033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Offered: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Provisions: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Make-whole call:</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Mandatory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 ISIN: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2036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Offered:</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At any time prior to April 20, 2031 at a discount rate of Treasury plus 10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-2172335</wp:posOffset>
            </wp:positionH>
            <wp:positionV relativeFrom="paragraph">
              <wp:posOffset>-419100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On or after April 20, 2031 at 100%</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In the event that (x) the Centessa Acquisition is not consummated on or prior to the date that is five</w:t>
      </w:r>
    </w:p>
    <w:p>
      <w:pPr>
        <w:spacing w:after="0" w:line="27" w:lineRule="exact"/>
        <w:rPr>
          <w:sz w:val="20"/>
          <w:szCs w:val="20"/>
          <w:color w:val="auto"/>
        </w:rPr>
      </w:pPr>
    </w:p>
    <w:p>
      <w:pPr>
        <w:ind w:left="10" w:hanging="10"/>
        <w:spacing w:after="0" w:line="252"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later of (i) March 31, 2027 or (ii) any later date as the parties to the Centessa Agreement may agree as the “Outside Date” thereunder or (y) the Issuer notifies the trustee in writing that the Issuer will not pursue the consummation of the Centessa Acquisition, the Issuer will be required to redeem the 2031 Notes then outstanding at a redemption price equal to 101% of the principal amount of such 2031 Notes plus accrued and unpaid interest, if any, to, but excluding, the Centessa Special Mandatory Redemption Date</w:t>
      </w:r>
    </w:p>
    <w:p>
      <w:pPr>
        <w:spacing w:after="0" w:line="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532457 DL9 / US532457DL93</w:t>
      </w:r>
    </w:p>
    <w:p>
      <w:pPr>
        <w:spacing w:after="0" w:line="200" w:lineRule="exact"/>
        <w:rPr>
          <w:sz w:val="20"/>
          <w:szCs w:val="20"/>
          <w:color w:val="auto"/>
        </w:rPr>
      </w:pPr>
    </w:p>
    <w:p>
      <w:pPr>
        <w:spacing w:after="0" w:line="34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$1,250,000,000</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May 20, 2033</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4.650% per year</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99.982% of principal amount, plus accrued interest, if any, from May 20, 2026</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4.653%</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UST 4.125% due April 30, 2033</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T + 48 basis points</w:t>
      </w:r>
    </w:p>
    <w:p>
      <w:pPr>
        <w:spacing w:after="0" w:line="2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 xml:space="preserve">99-22 </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4</w:t>
      </w:r>
      <w:r>
        <w:rPr>
          <w:rFonts w:ascii="Times New Roman" w:cs="Times New Roman" w:eastAsia="Times New Roman" w:hAnsi="Times New Roman"/>
          <w:sz w:val="18"/>
          <w:szCs w:val="18"/>
          <w:color w:val="auto"/>
        </w:rPr>
        <w:t xml:space="preserve"> / 4.173%</w:t>
      </w:r>
    </w:p>
    <w:p>
      <w:pPr>
        <w:spacing w:after="0" w:line="1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May 20 and November 20 of each year, commencing November 20, 2026</w:t>
      </w:r>
    </w:p>
    <w:p>
      <w:pPr>
        <w:spacing w:after="0" w:line="200" w:lineRule="exact"/>
        <w:rPr>
          <w:sz w:val="20"/>
          <w:szCs w:val="20"/>
          <w:color w:val="auto"/>
        </w:rPr>
      </w:pPr>
    </w:p>
    <w:p>
      <w:pPr>
        <w:spacing w:after="0" w:line="22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At any time prior to March 20, 2033 at a discount rate of Treasury plus 10 basis points</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On or after March 20, 2033 at 100%</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In the event that (x) the Centessa Acquisition is not consummated on or prior to the date that is five</w:t>
      </w:r>
    </w:p>
    <w:p>
      <w:pPr>
        <w:spacing w:after="0" w:line="27" w:lineRule="exact"/>
        <w:rPr>
          <w:sz w:val="20"/>
          <w:szCs w:val="20"/>
          <w:color w:val="auto"/>
        </w:rPr>
      </w:pPr>
    </w:p>
    <w:p>
      <w:pPr>
        <w:ind w:left="10" w:hanging="10"/>
        <w:spacing w:after="0" w:line="252" w:lineRule="auto"/>
        <w:tabs>
          <w:tab w:leader="none" w:pos="2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later of (i) March 31, 2027 or (ii) any later date as the parties to the Centessa Agreement may agree as the “Outside Date” thereunder or (y) the Issuer notifies the trustee in writing that the Issuer will not pursue the consummation of the Centessa Acquisition, the Issuer will be required to redeem the 2033 Notes then outstanding at a redemption price equal to 101% of the principal amount of such 2033 Notes plus accrued and unpaid interest, if any, to, but excluding, the Centessa Special Mandatory Redemption Date</w:t>
      </w:r>
    </w:p>
    <w:p>
      <w:pPr>
        <w:spacing w:after="0" w:line="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532457 DM7 / US532457DM76</w:t>
      </w:r>
    </w:p>
    <w:p>
      <w:pPr>
        <w:spacing w:after="0" w:line="200" w:lineRule="exact"/>
        <w:rPr>
          <w:sz w:val="20"/>
          <w:szCs w:val="20"/>
          <w:color w:val="auto"/>
        </w:rPr>
      </w:pPr>
    </w:p>
    <w:p>
      <w:pPr>
        <w:spacing w:after="0" w:line="2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$1,500,000,000</w:t>
      </w:r>
    </w:p>
    <w:p>
      <w:pPr>
        <w:sectPr>
          <w:pgSz w:w="11900" w:h="16838" w:orient="portrait"/>
          <w:cols w:equalWidth="0" w:num="2">
            <w:col w:w="2700" w:space="470"/>
            <w:col w:w="7630"/>
          </w:cols>
          <w:pgMar w:left="560" w:top="270" w:right="5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Provisions: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Make-whole call:</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Mandatory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 ISIN: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2056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Offered: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Provisions: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Make-whole call:</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 ISIN:</w:t>
      </w:r>
    </w:p>
    <w:p>
      <w:pPr>
        <w:spacing w:after="0" w:line="20" w:lineRule="exact"/>
        <w:rPr>
          <w:sz w:val="20"/>
          <w:szCs w:val="20"/>
          <w:color w:val="auto"/>
        </w:rPr>
      </w:pPr>
      <w:r>
        <w:rPr>
          <w:sz w:val="20"/>
          <w:szCs w:val="20"/>
          <w:color w:val="auto"/>
        </w:rPr>
        <w:br w:type="column"/>
      </w:r>
    </w:p>
    <w:p>
      <w:pPr>
        <w:ind w:left="10"/>
        <w:spacing w:after="0"/>
        <w:rPr>
          <w:sz w:val="20"/>
          <w:szCs w:val="20"/>
          <w:color w:val="auto"/>
        </w:rPr>
      </w:pPr>
      <w:r>
        <w:rPr>
          <w:rFonts w:ascii="Times New Roman" w:cs="Times New Roman" w:eastAsia="Times New Roman" w:hAnsi="Times New Roman"/>
          <w:sz w:val="18"/>
          <w:szCs w:val="18"/>
          <w:color w:val="auto"/>
        </w:rPr>
        <w:t>May 20,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-2172335</wp:posOffset>
            </wp:positionH>
            <wp:positionV relativeFrom="paragraph">
              <wp:posOffset>-281940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4.850% per year</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99.640% of principal amount, plus accrued interest, if any, from May 20, 2026</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4.896%</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UST 4.125% due February 15, 2036</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T + 55 basis points</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98-08 / 4.346%</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May 20 and November 20 of each year, commencing November 20, 2026</w:t>
      </w:r>
    </w:p>
    <w:p>
      <w:pPr>
        <w:spacing w:after="0" w:line="200" w:lineRule="exact"/>
        <w:rPr>
          <w:sz w:val="20"/>
          <w:szCs w:val="20"/>
          <w:color w:val="auto"/>
        </w:rPr>
      </w:pPr>
    </w:p>
    <w:p>
      <w:pPr>
        <w:spacing w:after="0" w:line="2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At any time prior to February 20, 2036 at a discount rate of Treasury plus 10 basis points</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On or after February 20, 2036 at 100%</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In the event that (x) the Centessa Acquisition is not consummated on or prior to the date that is five</w:t>
      </w:r>
    </w:p>
    <w:p>
      <w:pPr>
        <w:spacing w:after="0" w:line="27" w:lineRule="exact"/>
        <w:rPr>
          <w:sz w:val="20"/>
          <w:szCs w:val="20"/>
          <w:color w:val="auto"/>
        </w:rPr>
      </w:pPr>
    </w:p>
    <w:p>
      <w:pPr>
        <w:ind w:left="10" w:hanging="10"/>
        <w:spacing w:after="0" w:line="252" w:lineRule="auto"/>
        <w:tabs>
          <w:tab w:leader="none" w:pos="2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later of (i) March 31, 2027 or (ii) any later date as the parties to the Centessa Agreement may agree as the “Outside Date” thereunder or (y) the Issuer notifies the trustee in writing that the Issuer will not pursue the consummation of the Centessa Acquisition, the Issuer will be required to redeem the 2036 Notes then outstanding at a redemption price equal to 101% of the principal amount of such 2036 Notes plus accrued and unpaid interest, if any, to, but excluding, the Centessa Special Mandatory Redemption Date</w:t>
      </w:r>
    </w:p>
    <w:p>
      <w:pPr>
        <w:spacing w:after="0" w:line="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532457 DR6 / US532457DR63</w:t>
      </w:r>
    </w:p>
    <w:p>
      <w:pPr>
        <w:spacing w:after="0" w:line="200" w:lineRule="exact"/>
        <w:rPr>
          <w:sz w:val="20"/>
          <w:szCs w:val="20"/>
          <w:color w:val="auto"/>
        </w:rPr>
      </w:pPr>
    </w:p>
    <w:p>
      <w:pPr>
        <w:spacing w:after="0" w:line="34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$1,750,000,000</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May 20, 2056</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5.600% per year</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99.726% of principal amount, plus accrued interest, if any, from May 20, 2026</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5.619%</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UST 4.625% due November 15, 2055</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T + 68 basis points</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95-04+ / 4.939%</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May 20 and November 20 of each year, commencing November 20, 2026</w:t>
      </w:r>
    </w:p>
    <w:p>
      <w:pPr>
        <w:spacing w:after="0" w:line="200" w:lineRule="exact"/>
        <w:rPr>
          <w:sz w:val="20"/>
          <w:szCs w:val="20"/>
          <w:color w:val="auto"/>
        </w:rPr>
      </w:pPr>
    </w:p>
    <w:p>
      <w:pPr>
        <w:spacing w:after="0" w:line="2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At any time prior to November 20, 2055 at a discount rate of Treasury plus 12.5 basis points</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On or after November 20, 2055 at 100%</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532457 DP0 / US532457DP08</w:t>
      </w:r>
    </w:p>
    <w:p>
      <w:pPr>
        <w:sectPr>
          <w:pgSz w:w="11900" w:h="16838" w:orient="portrait"/>
          <w:cols w:equalWidth="0" w:num="2">
            <w:col w:w="2700" w:space="470"/>
            <w:col w:w="7630"/>
          </w:cols>
          <w:pgMar w:left="560" w:top="378" w:right="539" w:bottom="1440" w:gutter="0" w:footer="0" w:header="0"/>
        </w:sectPr>
      </w:pPr>
    </w:p>
    <w:bookmarkStart w:id="22" w:name="page23"/>
    <w:bookmarkEnd w:id="22"/>
    <w:tbl>
      <w:tblPr>
        <w:tblLayout w:type="fixed"/>
        <w:tblInd w:w="124" w:type="dxa"/>
        <w:tblCellMar>
          <w:top w:w="0" w:type="dxa"/>
          <w:left w:w="0" w:type="dxa"/>
          <w:bottom w:w="0" w:type="dxa"/>
          <w:right w:w="0" w:type="dxa"/>
        </w:tblCellMar>
      </w:tblPr>
      <w:tr>
        <w:trPr>
          <w:trHeight w:val="207"/>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The 2066 Notes</w:t>
            </w:r>
          </w:p>
        </w:tc>
        <w:tc>
          <w:tcPr>
            <w:tcW w:w="1760" w:type="dxa"/>
            <w:vAlign w:val="bottom"/>
          </w:tcPr>
          <w:p>
            <w:pPr>
              <w:spacing w:after="0"/>
              <w:rPr>
                <w:sz w:val="17"/>
                <w:szCs w:val="17"/>
                <w:color w:val="auto"/>
              </w:rPr>
            </w:pPr>
          </w:p>
        </w:tc>
        <w:tc>
          <w:tcPr>
            <w:tcW w:w="6740" w:type="dxa"/>
            <w:vAlign w:val="bottom"/>
          </w:tcPr>
          <w:p>
            <w:pPr>
              <w:spacing w:after="0"/>
              <w:rPr>
                <w:sz w:val="17"/>
                <w:szCs w:val="17"/>
                <w:color w:val="auto"/>
              </w:rPr>
            </w:pPr>
          </w:p>
        </w:tc>
      </w:tr>
      <w:tr>
        <w:trPr>
          <w:trHeight w:val="34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Amount Offered:</w:t>
            </w:r>
          </w:p>
        </w:tc>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$1,000,000,000</w:t>
            </w:r>
          </w:p>
        </w:tc>
      </w:tr>
      <w:tr>
        <w:trPr>
          <w:trHeight w:val="32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May 20, 2066</w:t>
            </w:r>
          </w:p>
        </w:tc>
      </w:tr>
      <w:tr>
        <w:trPr>
          <w:trHeight w:val="32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Coupon:</w:t>
            </w:r>
          </w:p>
        </w:tc>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5.700% per year</w:t>
            </w:r>
          </w:p>
        </w:tc>
      </w:tr>
      <w:tr>
        <w:trPr>
          <w:trHeight w:val="32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99.391% of principal amount, plus accrued interest, if any, from May 20, 2026</w:t>
            </w:r>
          </w:p>
        </w:tc>
      </w:tr>
      <w:tr>
        <w:trPr>
          <w:trHeight w:val="32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5.739%</w:t>
            </w:r>
          </w:p>
        </w:tc>
      </w:tr>
      <w:tr>
        <w:trPr>
          <w:trHeight w:val="32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UST 4.625% due November 15, 2055</w:t>
            </w:r>
          </w:p>
        </w:tc>
      </w:tr>
      <w:tr>
        <w:trPr>
          <w:trHeight w:val="32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 + 80 basis points</w:t>
            </w:r>
          </w:p>
        </w:tc>
      </w:tr>
      <w:tr>
        <w:trPr>
          <w:trHeight w:val="32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Benchmark Treasury Price and Yield:</w:t>
            </w:r>
          </w:p>
        </w:tc>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95-04+ / 4.939%</w:t>
            </w:r>
          </w:p>
        </w:tc>
      </w:tr>
      <w:tr>
        <w:trPr>
          <w:trHeight w:val="32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May 20 and November 20 of each year, commencing November 20, 2026</w:t>
            </w:r>
          </w:p>
        </w:tc>
      </w:tr>
      <w:tr>
        <w:trPr>
          <w:trHeight w:val="32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Redemption Provisions:</w:t>
            </w:r>
          </w:p>
        </w:tc>
        <w:tc>
          <w:tcPr>
            <w:tcW w:w="6740" w:type="dxa"/>
            <w:vAlign w:val="bottom"/>
          </w:tcPr>
          <w:p>
            <w:pPr>
              <w:spacing w:after="0"/>
              <w:rPr>
                <w:sz w:val="24"/>
                <w:szCs w:val="24"/>
                <w:color w:val="auto"/>
              </w:rPr>
            </w:pPr>
          </w:p>
        </w:tc>
      </w:tr>
      <w:tr>
        <w:trPr>
          <w:trHeight w:val="324"/>
        </w:trPr>
        <w:tc>
          <w:tcPr>
            <w:tcW w:w="2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Make-whole call:</w:t>
            </w:r>
          </w:p>
        </w:tc>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At any time prior to November 20, 2065 at a discount rate of Treasury plus 15 basis points</w:t>
            </w:r>
          </w:p>
        </w:tc>
      </w:tr>
      <w:tr>
        <w:trPr>
          <w:trHeight w:val="324"/>
        </w:trPr>
        <w:tc>
          <w:tcPr>
            <w:tcW w:w="2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Par call:</w:t>
            </w:r>
          </w:p>
        </w:tc>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On or after November 20, 2065 at 100%</w:t>
            </w:r>
          </w:p>
        </w:tc>
      </w:tr>
      <w:tr>
        <w:trPr>
          <w:trHeight w:val="32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 ISIN:</w:t>
            </w:r>
          </w:p>
        </w:tc>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532457 DQ8 / US532457DQ80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44" w:hanging="544"/>
        <w:spacing w:after="0"/>
        <w:tabs>
          <w:tab w:leader="none" w:pos="5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securities rating is not a recommendation to buy, sell or hold securities and may be subject to revision or withdrawal at any time.</w:t>
      </w:r>
    </w:p>
    <w:p>
      <w:pPr>
        <w:spacing w:after="0" w:line="27" w:lineRule="exact"/>
        <w:rPr>
          <w:sz w:val="20"/>
          <w:szCs w:val="20"/>
          <w:color w:val="auto"/>
        </w:rPr>
      </w:pPr>
    </w:p>
    <w:p>
      <w:pPr>
        <w:jc w:val="both"/>
        <w:ind w:left="544" w:right="20" w:hanging="544"/>
        <w:spacing w:after="0" w:line="253" w:lineRule="auto"/>
        <w:tabs>
          <w:tab w:leader="none" w:pos="5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Rule 15c6-1 under the Securities Exchange Act of 1934, as amended, trades in the secondary market are required to settle in one business day, unless the parties to any such trade expressly agree otherwise. Accordingly, purchasers who wish to trade the Notes prior to delivery will be required, by virtue of the fact that the Notes initially will settle in T+10, to specify an alternative settlement cycle at the time of any such trade to prevent failed settlement and should consult their own advisors.</w:t>
      </w:r>
    </w:p>
    <w:p>
      <w:pPr>
        <w:spacing w:after="0" w:line="185"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(No. 333-285052) (including a prospectus) with the Securities and Exchange Commission (the “SEC”) for the offering to which this communication relates. Before you invest, you should read the prospectus in that registration statement, the preliminary prospectus relating to this offering and the other documents the Issuer has filed with the SEC for more complete information about the Issuer and this offering. You may get these documents for free by visiting EDGAR on the SEC’s website at www.sec.gov. Alternatively, the Issuer, any underwriter or any dealer participating in the offering will arrange to send you the prospectus and the prospectus supplement if you request it by calling Morgan Stanley &amp; Co. LLC at +1-866-718-1649, Citigroup Global Markets Inc. at +1-800-831-9146, Deutsche Bank Securities Inc. at +1-800-503-4611 or Goldman Sachs &amp; Co. LLC at +1-866-471-2526.</w:t>
      </w:r>
    </w:p>
    <w:p>
      <w:pPr>
        <w:spacing w:after="0" w:line="185" w:lineRule="exact"/>
        <w:rPr>
          <w:sz w:val="20"/>
          <w:szCs w:val="20"/>
          <w:color w:val="auto"/>
        </w:rPr>
      </w:pPr>
    </w:p>
    <w:p>
      <w:pPr>
        <w:ind w:left="4" w:right="5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ectPr>
          <w:pgSz w:w="11900" w:h="16838" w:orient="portrait"/>
          <w:cols w:equalWidth="0" w:num="1">
            <w:col w:w="10984"/>
          </w:cols>
          <w:pgMar w:left="436" w:top="257" w:right="47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ELI LILLY AND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PROVISIONS (DEBT SECURITIES)</w:t>
      </w:r>
    </w:p>
    <w:p>
      <w:pPr>
        <w:spacing w:after="0" w:line="121"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8"/>
          <w:szCs w:val="18"/>
          <w:color w:val="auto"/>
        </w:rPr>
        <w:t>February 20, 2014</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From time to time, Eli Lilly and Company, an Indiana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may enter into one or more underwriting agreements in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Annex A hereto that provide for the sale of designated securities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to the several underwriters named therein (each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certain Underwriter(s) named therein shall act as representative(s)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The standard provisions set forth herein may be incorporated by reference in any such underwriting agreement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The Underwriting Agreement, including the provisions incorporated therein by reference, is herein referred to as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Terms defined in the Underwriting Agreement are used herein as therein defined.</w:t>
      </w:r>
    </w:p>
    <w:p>
      <w:pPr>
        <w:spacing w:after="0" w:line="203"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Company has prepared and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and the rules and regulations of the Commission thereunder (collectively,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a registration statement on Form S–3 relating to,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debt securities to be issued from time to time by the Company. The Company has also filed, or proposes to file, with the Commission pursuant to Rule 424 under the Securities Act a prospectus generally relating to the debt securities (the “</w:t>
      </w:r>
      <w:r>
        <w:rPr>
          <w:rFonts w:ascii="Times New Roman" w:cs="Times New Roman" w:eastAsia="Times New Roman" w:hAnsi="Times New Roman"/>
          <w:sz w:val="18"/>
          <w:szCs w:val="18"/>
          <w:b w:val="1"/>
          <w:bCs w:val="1"/>
          <w:color w:val="auto"/>
        </w:rPr>
        <w:t>Basic Prospectus</w:t>
      </w:r>
      <w:r>
        <w:rPr>
          <w:rFonts w:ascii="Times New Roman" w:cs="Times New Roman" w:eastAsia="Times New Roman" w:hAnsi="Times New Roman"/>
          <w:sz w:val="18"/>
          <w:szCs w:val="18"/>
          <w:color w:val="auto"/>
        </w:rPr>
        <w:t>”) and a prospectus supplement specifically relating to the Offered Securities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The registration statement, as amended at the time it becomes effective, including the information, if any, deemed pursuant to Rule 430A, 430B or 430C under the Securities Act to be part of the registration statement at the time of its effectiveness (“</w:t>
      </w:r>
      <w:r>
        <w:rPr>
          <w:rFonts w:ascii="Times New Roman" w:cs="Times New Roman" w:eastAsia="Times New Roman" w:hAnsi="Times New Roman"/>
          <w:sz w:val="18"/>
          <w:szCs w:val="18"/>
          <w:b w:val="1"/>
          <w:bCs w:val="1"/>
          <w:color w:val="auto"/>
        </w:rPr>
        <w:t>Rule 430 Information</w:t>
      </w:r>
      <w:r>
        <w:rPr>
          <w:rFonts w:ascii="Times New Roman" w:cs="Times New Roman" w:eastAsia="Times New Roman" w:hAnsi="Times New Roman"/>
          <w:sz w:val="18"/>
          <w:szCs w:val="18"/>
          <w:color w:val="auto"/>
        </w:rPr>
        <w:t>”), is referred to herein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as used herein,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Basic Prospectus as supplemented by the prospectus supplement specifically relating to the Offered Securities in the form first used (or made available upon request of purchasers pursuant to Rule 173 under the Securities Act) in connection with confirmation of sales of the Offered Securities and the term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the preliminary prospectus supplement specifically relating to the Offered Securities together with the Basic Prospectus. Capitalized terms used but not defined herein shall have the meanings given to such terms in the Registration Statement and the Prospectus. References herein to the Registration Statement, the Basic Prospectus, the Preliminary Prospectus or the Prospectus shall be deemed to refer to and include the documents incorporated by reference therein. The terms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amend</w:t>
      </w:r>
      <w:r>
        <w:rPr>
          <w:rFonts w:ascii="Times New Roman" w:cs="Times New Roman" w:eastAsia="Times New Roman" w:hAnsi="Times New Roman"/>
          <w:sz w:val="18"/>
          <w:szCs w:val="18"/>
          <w:color w:val="auto"/>
        </w:rPr>
        <w:t>” as used herein with respect to the Registration</w:t>
      </w:r>
    </w:p>
    <w:p>
      <w:pPr>
        <w:sectPr>
          <w:pgSz w:w="11900" w:h="16838" w:orient="portrait"/>
          <w:cols w:equalWidth="0" w:num="1">
            <w:col w:w="11020"/>
          </w:cols>
          <w:pgMar w:left="440" w:top="266" w:right="439" w:bottom="1440" w:gutter="0" w:footer="0" w:header="0"/>
        </w:sectPr>
      </w:pPr>
    </w:p>
    <w:bookmarkStart w:id="24" w:name="page25"/>
    <w:bookmarkEnd w:id="2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Statement, any Preliminary Prospectus or the Prospectus shall be deemed to include any documents filed by the Company under the Securities Exchange Act of 1934, as amended, and the rules and regulations of the Commission thereunder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subsequent to the date of the Underwriting Agreement which are deemed to be incorporated by reference therein. For purposes of this Agreement, the term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the effective date of the Registration Statement with respect to the offering of the Offered Securities, as determined for the Company pursuant to Section 11 of the Securities Act and Item 512 of Regulation S-K, as applicable.</w:t>
      </w:r>
    </w:p>
    <w:p>
      <w:pPr>
        <w:spacing w:after="0" w:line="179"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At or prior to the time when sales of the Offered Securities will be first made (the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 the Company will prepare certain information (collectively, the “</w:t>
      </w:r>
      <w:r>
        <w:rPr>
          <w:rFonts w:ascii="Times New Roman" w:cs="Times New Roman" w:eastAsia="Times New Roman" w:hAnsi="Times New Roman"/>
          <w:sz w:val="18"/>
          <w:szCs w:val="18"/>
          <w:b w:val="1"/>
          <w:bCs w:val="1"/>
          <w:color w:val="auto"/>
        </w:rPr>
        <w:t>Time of Sale Information</w:t>
      </w:r>
      <w:r>
        <w:rPr>
          <w:rFonts w:ascii="Times New Roman" w:cs="Times New Roman" w:eastAsia="Times New Roman" w:hAnsi="Times New Roman"/>
          <w:sz w:val="18"/>
          <w:szCs w:val="18"/>
          <w:color w:val="auto"/>
        </w:rPr>
        <w:t>”) which information will be identified in Schedule 3 to the Underwriting Agreement, or such other schedule as specified therein, for such offering as constituting part of the Time of Sale Information.</w:t>
      </w:r>
    </w:p>
    <w:p>
      <w:pPr>
        <w:spacing w:after="0" w:line="173" w:lineRule="exact"/>
        <w:rPr>
          <w:sz w:val="20"/>
          <w:szCs w:val="20"/>
          <w:color w:val="auto"/>
        </w:rPr>
      </w:pPr>
    </w:p>
    <w:p>
      <w:pPr>
        <w:ind w:left="620" w:hanging="184"/>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The Company represents and warrants to each of the Underwriters that:</w:t>
      </w:r>
    </w:p>
    <w:p>
      <w:pPr>
        <w:spacing w:after="0" w:line="119" w:lineRule="exact"/>
        <w:rPr>
          <w:rFonts w:ascii="Times New Roman" w:cs="Times New Roman" w:eastAsia="Times New Roman" w:hAnsi="Times New Roman"/>
          <w:sz w:val="18"/>
          <w:szCs w:val="18"/>
          <w:color w:val="auto"/>
        </w:rPr>
      </w:pPr>
    </w:p>
    <w:p>
      <w:pPr>
        <w:ind w:left="440" w:firstLine="419"/>
        <w:spacing w:after="0" w:line="268" w:lineRule="auto"/>
        <w:tabs>
          <w:tab w:leader="none" w:pos="1108"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 is an “automatic shelf registration statement” as defined in Rule 405 under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to the best of the knowledge of the Company, threatened by the Commission; as of the Effective Time, the Registration Statement complied in all material respects with the Securities Act and the Trust Indenture Act of 1939, as amended, and the rules and regulations of the Commission thereunder (collectively, the “</w:t>
      </w:r>
      <w:r>
        <w:rPr>
          <w:rFonts w:ascii="Times New Roman" w:cs="Times New Roman" w:eastAsia="Times New Roman" w:hAnsi="Times New Roman"/>
          <w:sz w:val="17"/>
          <w:szCs w:val="17"/>
          <w:b w:val="1"/>
          <w:bCs w:val="1"/>
          <w:color w:val="auto"/>
        </w:rPr>
        <w:t>Trust Indenture Act</w:t>
      </w:r>
      <w:r>
        <w:rPr>
          <w:rFonts w:ascii="Times New Roman" w:cs="Times New Roman" w:eastAsia="Times New Roman" w:hAnsi="Times New Roman"/>
          <w:sz w:val="17"/>
          <w:szCs w:val="17"/>
          <w:color w:val="auto"/>
        </w:rPr>
        <w:t xml:space="preserve">”), and did not or will not contain any untrue statement of a material fact or omit to state a material fact required to be stated therein or necessary in order to make the statements therein not misleading; and as of the date of the Prospectus Supplement and any amendment or supplement thereto and as of the Closing Date, the Prospectus did not and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Company makes no representation and warranty with respect to (i) that part of the Registration Statement that constitutes the Statement of Eligibility (Form T-1) of the Trustee under the Trust Indenture Act or (ii) any statements or omissions in the Registration Statement or the Prospectus or any amendment or supplement thereto made in reliance upon and in conformity with information relating to any Underwriter furnished to the Company in writing by such Underwriter through the Representative(s) expressly for use therein.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5" w:name="page26"/>
    <w:bookmarkEnd w:id="25"/>
    <w:p>
      <w:pPr>
        <w:ind w:left="4" w:firstLine="419"/>
        <w:spacing w:after="0" w:line="255" w:lineRule="auto"/>
        <w:tabs>
          <w:tab w:leader="none" w:pos="68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Time of Sale Information, at the Time of Sale and at the Closing Date, did not and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Time of Sale Information. No statement of material fact included in the Prospectus has been omitted from the Time of Sale Information and no statement of material fact included in the Time of Sale Information that is required to be included in the Prospectus has been omitted therefrom.</w:t>
      </w:r>
    </w:p>
    <w:p>
      <w:pPr>
        <w:spacing w:after="0" w:line="80" w:lineRule="exact"/>
        <w:rPr>
          <w:rFonts w:ascii="Times New Roman" w:cs="Times New Roman" w:eastAsia="Times New Roman" w:hAnsi="Times New Roman"/>
          <w:sz w:val="18"/>
          <w:szCs w:val="18"/>
          <w:color w:val="auto"/>
        </w:rPr>
      </w:pPr>
    </w:p>
    <w:p>
      <w:pPr>
        <w:ind w:left="4" w:right="120" w:firstLine="419"/>
        <w:spacing w:after="0" w:line="253" w:lineRule="auto"/>
        <w:tabs>
          <w:tab w:leader="none" w:pos="6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(including its agents and representatives, other than the Underwriters in their capacity as such) has not prepared, made, used, authorized, approved or referred to and, without the consent of the Representatives, will not prepare, make, use, authorize, approve or refer to any “written communication” (as defined in Rule 405 under the Securities Act) that constitutes an offer to sell or solicitation of an offer to buy the Offered Securities (each such communication by the Company or its agents and representatives (other than a communication referred to in clauses (i), (ii) and (iii) below) an “</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other than (i) any document not constituting a prospectus pursuant to Section 2(a)(10)(a) of the Securities Act or Rule 134 under the Securities Act, (ii) the Preliminary Prospectus, (iii) the Prospectus, (iv) the documents listed on Schedule 3 to the Underwriting Agreement as constituting the Time of Sale Information, (v) any electronic road show or</w:t>
      </w:r>
    </w:p>
    <w:p>
      <w:pPr>
        <w:spacing w:after="0" w:line="2" w:lineRule="exact"/>
        <w:rPr>
          <w:rFonts w:ascii="Times New Roman" w:cs="Times New Roman" w:eastAsia="Times New Roman" w:hAnsi="Times New Roman"/>
          <w:sz w:val="18"/>
          <w:szCs w:val="18"/>
          <w:color w:val="auto"/>
        </w:rPr>
      </w:pPr>
    </w:p>
    <w:p>
      <w:pPr>
        <w:ind w:left="4" w:right="140" w:hanging="4"/>
        <w:spacing w:after="0" w:line="270" w:lineRule="auto"/>
        <w:tabs>
          <w:tab w:leader="none" w:pos="30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other written communications in connection with the offering contemplated hereby approved in writing in advance by the Representative(s). Each such Issuer Free Writing Prospectus complied in all material respects with the Securities Act, has been or will be (within the time period specified in Rule 433 under the Securities Act) filed in accordance with the Securities Act (to the extent required thereby) and, when taken together with the Preliminary Prospectus accompanying, or delivered prior to delivery of, or filed prior to the first use of such Issuer Free Writing Prospectus,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10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4"/>
          </w:cols>
          <w:pgMar w:left="876" w:top="270" w:right="45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makes no representation and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any Issuer Free Writing Prospectus or Preliminary Prospectus.</w:t>
      </w:r>
    </w:p>
    <w:p>
      <w:pPr>
        <w:spacing w:after="0" w:line="68" w:lineRule="exact"/>
        <w:rPr>
          <w:sz w:val="20"/>
          <w:szCs w:val="20"/>
          <w:color w:val="auto"/>
        </w:rPr>
      </w:pPr>
    </w:p>
    <w:p>
      <w:pPr>
        <w:jc w:val="both"/>
        <w:ind w:right="60" w:firstLine="419"/>
        <w:spacing w:after="0" w:line="261" w:lineRule="auto"/>
        <w:tabs>
          <w:tab w:leader="none" w:pos="6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document, if any, filed or to be filed pursuant to the Exchange Act and incorporated by reference in the Registration Statement, the Prospectus and the Time of Sale Information complied or will comply when so filed in all material respects with the Exchange Act, and did not or will not contain any untrue statement of a material fact or omit to state a material fact necessary to make the statements therein, in the light of the circumstances under which they were made, not misleading.</w:t>
      </w:r>
    </w:p>
    <w:p>
      <w:pPr>
        <w:spacing w:after="0" w:line="71" w:lineRule="exact"/>
        <w:rPr>
          <w:rFonts w:ascii="Times New Roman" w:cs="Times New Roman" w:eastAsia="Times New Roman" w:hAnsi="Times New Roman"/>
          <w:sz w:val="18"/>
          <w:szCs w:val="18"/>
          <w:color w:val="auto"/>
        </w:rPr>
      </w:pPr>
    </w:p>
    <w:p>
      <w:pPr>
        <w:ind w:firstLine="419"/>
        <w:spacing w:after="0" w:line="258" w:lineRule="auto"/>
        <w:tabs>
          <w:tab w:leader="none" w:pos="6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is validly existing as a corporation in good standing under the laws of the State of Indiana, has the corporate power and authority to own its property and to conduct its business as described in the Registration Statement, the Time of Sale Information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consolidated subsidiaries, taken as a whole.</w:t>
      </w:r>
    </w:p>
    <w:p>
      <w:pPr>
        <w:spacing w:after="0" w:line="75" w:lineRule="exact"/>
        <w:rPr>
          <w:rFonts w:ascii="Times New Roman" w:cs="Times New Roman" w:eastAsia="Times New Roman" w:hAnsi="Times New Roman"/>
          <w:sz w:val="18"/>
          <w:szCs w:val="18"/>
          <w:color w:val="auto"/>
        </w:rPr>
      </w:pPr>
    </w:p>
    <w:p>
      <w:pPr>
        <w:ind w:right="120" w:firstLine="419"/>
        <w:spacing w:after="0" w:line="255" w:lineRule="auto"/>
        <w:tabs>
          <w:tab w:leader="none" w:pos="6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significant subsidiary (as defined in Regulation S-X of the Commission) of the Company has been duly incorporated or organized, as applicable, is validly existing as a corporation or other entity, as applicable, in good standing under the laws of the jurisdiction of its incorporation or organization, as applicable, has the corporate or other power and authority to own its property and to conduct its business as described in the Registration Statement, the Time of Sale Information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consolidated subsidiaries, taken as a whole.</w:t>
      </w:r>
    </w:p>
    <w:p>
      <w:pPr>
        <w:spacing w:after="0" w:line="80"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27" w:name="page28"/>
    <w:bookmarkEnd w:id="27"/>
    <w:p>
      <w:pPr>
        <w:ind w:left="4" w:right="60" w:firstLine="419"/>
        <w:spacing w:after="0" w:line="261" w:lineRule="auto"/>
        <w:tabs>
          <w:tab w:leader="none" w:pos="68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Indenture has been duly qualified under the Trust Indenture Act and has been duly authorized, executed and delivered by the Company and is a valid and binding agreement of the Company, enforceable against the Company in accordance with its terms except as (i) the enforceability thereof may be limited by bankruptcy, insolvency or similar laws affecting creditors’ rights generally and (ii) rights of acceleration, if any, and the availability of equitable remedies may be limited by equitable principles of general applicability.</w:t>
      </w:r>
    </w:p>
    <w:p>
      <w:pPr>
        <w:spacing w:after="0" w:line="71" w:lineRule="exact"/>
        <w:rPr>
          <w:rFonts w:ascii="Times New Roman" w:cs="Times New Roman" w:eastAsia="Times New Roman" w:hAnsi="Times New Roman"/>
          <w:sz w:val="18"/>
          <w:szCs w:val="18"/>
          <w:color w:val="auto"/>
        </w:rPr>
      </w:pPr>
    </w:p>
    <w:p>
      <w:pPr>
        <w:ind w:left="4" w:right="200" w:firstLine="419"/>
        <w:spacing w:after="0" w:line="270" w:lineRule="auto"/>
        <w:tabs>
          <w:tab w:leader="none" w:pos="64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Offered Securities have been duly authorized and, when executed and authenticated in accordance with the provisions of the Indenture and delivered to and paid for by the Underwriters in accordance with the terms of the Underwriting Agreement, will be entitled to the benefits of the Indenture and will be valid and binding obligations of the Company, enforceable against the Company in accordance with their terms except as (i) the enforceability thereof may be limited by bankruptcy, insolvency or similar laws affecting creditors’ rights generally and</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acceleration, if any, and the availability of equitable remedies may be limited by equitable principles of general applicability.</w:t>
      </w:r>
    </w:p>
    <w:p>
      <w:pPr>
        <w:spacing w:after="0" w:line="98" w:lineRule="exact"/>
        <w:rPr>
          <w:rFonts w:ascii="Times New Roman" w:cs="Times New Roman" w:eastAsia="Times New Roman" w:hAnsi="Times New Roman"/>
          <w:sz w:val="18"/>
          <w:szCs w:val="18"/>
          <w:color w:val="auto"/>
        </w:rPr>
      </w:pPr>
    </w:p>
    <w:p>
      <w:pPr>
        <w:ind w:left="4" w:right="40" w:firstLine="419"/>
        <w:spacing w:after="0" w:line="254" w:lineRule="auto"/>
        <w:tabs>
          <w:tab w:leader="none" w:pos="64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and the performance by the Company of its obligations under, this Agreement, the Indenture and the Offered Securities will not contravene any provision of applicable law or the certificate of incorporation or by-laws of the Company or any agreement or other instrument binding upon the Company or any of its significant subsidiaries that is material to the Company and its subsidiaries, taken as a whole, or any judgment, order or decree of any governmental body, agency or court having jurisdiction over the Company or any significant subsidiary, and no consent, approval or authorization or order of or qualification with any governmental body or agency is required for the performance by the Company of its obligations under this Agreement, the Indenture or the Offered Securities, except such as have been obtained and except as may be required by the securities or Blue Sky laws of the various states in connection with the offer and sale of the Offered Securities.</w:t>
      </w:r>
    </w:p>
    <w:p>
      <w:pPr>
        <w:spacing w:after="0" w:line="83" w:lineRule="exact"/>
        <w:rPr>
          <w:rFonts w:ascii="Times New Roman" w:cs="Times New Roman" w:eastAsia="Times New Roman" w:hAnsi="Times New Roman"/>
          <w:sz w:val="18"/>
          <w:szCs w:val="18"/>
          <w:color w:val="auto"/>
        </w:rPr>
      </w:pPr>
    </w:p>
    <w:p>
      <w:pPr>
        <w:ind w:left="4" w:firstLine="419"/>
        <w:spacing w:after="0" w:line="312" w:lineRule="auto"/>
        <w:tabs>
          <w:tab w:leader="none" w:pos="68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has not been any material adverse change in the condition, financial or otherwise, or in the earnings, business or operations of the Company and its subsidiaries, taken as a whole, from that set forth in the Registration Statement, the Prospectus and the Time of Sale Information.</w:t>
      </w:r>
    </w:p>
    <w:p>
      <w:pPr>
        <w:spacing w:after="0" w:line="31" w:lineRule="exact"/>
        <w:rPr>
          <w:rFonts w:ascii="Times New Roman" w:cs="Times New Roman" w:eastAsia="Times New Roman" w:hAnsi="Times New Roman"/>
          <w:sz w:val="17"/>
          <w:szCs w:val="17"/>
          <w:color w:val="auto"/>
        </w:rPr>
      </w:pPr>
    </w:p>
    <w:p>
      <w:pPr>
        <w:ind w:left="4" w:right="40" w:firstLine="419"/>
        <w:spacing w:after="0" w:line="277" w:lineRule="auto"/>
        <w:tabs>
          <w:tab w:leader="none" w:pos="64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legal or governmental proceedings pending or threatened to which the Company or any of its subsidiaries is a party or to which any of the properties of the Company or any of its subsidiaries is subject that are required to be described in the Registration Statement, the Time of Sale Information or the Prospectus and are not so described or any statutes, regulations, contracts or other documents that are required to be described in the Registration Statement and the Prospectus or to be filed or incorporated by reference as exhibits to the Registration Statement that are not described, filed or incorporated as required in or with the Registration Statement, the Time of Sale Information and the Prospectus.</w:t>
      </w:r>
    </w:p>
    <w:p>
      <w:pPr>
        <w:spacing w:after="0" w:line="100"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44"/>
          </w:cols>
          <w:pgMar w:left="876" w:top="270" w:right="479" w:bottom="1440" w:gutter="0" w:footer="0" w:header="0"/>
        </w:sectPr>
      </w:pPr>
    </w:p>
    <w:bookmarkStart w:id="28" w:name="page29"/>
    <w:bookmarkEnd w:id="28"/>
    <w:p>
      <w:pPr>
        <w:ind w:firstLine="419"/>
        <w:spacing w:after="0" w:line="258" w:lineRule="auto"/>
        <w:tabs>
          <w:tab w:leader="none" w:pos="7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Company and its significant subsidiaries has all necessary consents, authorizations, approvals, orders, certificates and permits of and from, and has made all declarations and filings with, all federal, state, local and other governmental authorities, all self-regulatory organizations and all courts and other tribunals, to own, lease, license and use its properties and assets and to conduct its business in the manner described in the Registration Statement, the Time of Sale Information and the Prospectus, except to the extent that the failure to possess, declare or file would not have a material adverse effect on the Company and its subsidiaries, taken as a whole.</w:t>
      </w:r>
    </w:p>
    <w:p>
      <w:pPr>
        <w:spacing w:after="0" w:line="75" w:lineRule="exact"/>
        <w:rPr>
          <w:rFonts w:ascii="Times New Roman" w:cs="Times New Roman" w:eastAsia="Times New Roman" w:hAnsi="Times New Roman"/>
          <w:sz w:val="18"/>
          <w:szCs w:val="18"/>
          <w:color w:val="auto"/>
        </w:rPr>
      </w:pPr>
    </w:p>
    <w:p>
      <w:pPr>
        <w:ind w:right="60" w:firstLine="419"/>
        <w:spacing w:after="0" w:line="256" w:lineRule="auto"/>
        <w:tabs>
          <w:tab w:leader="none" w:pos="6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an effective system of “disclosure controls and procedures” (as defined in Rule 13a-15(e) under the Exchange Act) that is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evaluations of the effectiveness of its disclosure controls and procedures as required by Rule 13a-15 under the Exchange Act.</w:t>
      </w:r>
    </w:p>
    <w:p>
      <w:pPr>
        <w:spacing w:after="0" w:line="79"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systems of “internal control over financial reporting” (as defined in Rule 13a-15(f) under the Exchange Act) that comply with the requirements of the Exchange Act and have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generally accepted accounting principles,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Time of Sale Information and the Prospectus, there are no material weaknesses in the Company’s internal controls.</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29" w:name="page30"/>
    <w:bookmarkEnd w:id="29"/>
    <w:p>
      <w:pPr>
        <w:ind w:right="80" w:firstLine="419"/>
        <w:spacing w:after="0" w:line="266" w:lineRule="auto"/>
        <w:tabs>
          <w:tab w:leader="none" w:pos="6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is and has been no failure on the part of the Company or any of the Company’s directors or officers, in their capacities as such, to comply in all material respects with all applicable provisions of the Sarbanes-Oxley Act of 2002 and the rules and regulations promulgated in connection therewith, including Section 402 related to loans and Sections 302 and 906 related to certifications.</w:t>
      </w:r>
    </w:p>
    <w:p>
      <w:pPr>
        <w:spacing w:after="0" w:line="67" w:lineRule="exact"/>
        <w:rPr>
          <w:rFonts w:ascii="Times New Roman" w:cs="Times New Roman" w:eastAsia="Times New Roman" w:hAnsi="Times New Roman"/>
          <w:sz w:val="18"/>
          <w:szCs w:val="18"/>
          <w:color w:val="auto"/>
        </w:rPr>
      </w:pPr>
    </w:p>
    <w:p>
      <w:pPr>
        <w:ind w:right="120" w:firstLine="419"/>
        <w:spacing w:after="0" w:line="266" w:lineRule="auto"/>
        <w:tabs>
          <w:tab w:leader="none" w:pos="6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the eXtensible Business Reporting Language included as an exhibit to the Registration Statement fairly presents the information called for in all material respects and has been prepared in accordance with the Commission’s rules and guidelines applicable thereto.</w:t>
      </w:r>
    </w:p>
    <w:p>
      <w:pPr>
        <w:spacing w:after="0" w:line="67" w:lineRule="exact"/>
        <w:rPr>
          <w:rFonts w:ascii="Times New Roman" w:cs="Times New Roman" w:eastAsia="Times New Roman" w:hAnsi="Times New Roman"/>
          <w:sz w:val="18"/>
          <w:szCs w:val="18"/>
          <w:color w:val="auto"/>
        </w:rPr>
      </w:pPr>
    </w:p>
    <w:p>
      <w:pPr>
        <w:ind w:firstLine="419"/>
        <w:spacing w:after="0" w:line="254" w:lineRule="auto"/>
        <w:tabs>
          <w:tab w:leader="none" w:pos="6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policies and procedures in place that are reasonably designed to ensure compliance with the various anti-corruption laws in the regions in which the Company conducts business. Except as set forth in the Registration Statement, the Prospectus and the Time of Sale Information, there are no material existing, pending, or to the Company’s knowledge, threatened proceedings that involve allegations that the Company, any of its subsidiaries or any of its directors, officers, agents, employees, or affiliates has violated either (i) the Foreign Corrupt Practices Act of 1977, as amended, and the rules and regulations thereunder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or (ii) the U.K. Bribery Act 2010.</w:t>
      </w:r>
    </w:p>
    <w:p>
      <w:pPr>
        <w:spacing w:after="0" w:line="80" w:lineRule="exact"/>
        <w:rPr>
          <w:rFonts w:ascii="Times New Roman" w:cs="Times New Roman" w:eastAsia="Times New Roman" w:hAnsi="Times New Roman"/>
          <w:sz w:val="18"/>
          <w:szCs w:val="18"/>
          <w:color w:val="auto"/>
        </w:rPr>
      </w:pPr>
    </w:p>
    <w:p>
      <w:pPr>
        <w:jc w:val="both"/>
        <w:ind w:right="80" w:firstLine="419"/>
        <w:spacing w:after="0" w:line="258" w:lineRule="auto"/>
        <w:tabs>
          <w:tab w:leader="none" w:pos="6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in all material respects with applicable financial recordkeeping and reporting requirements of the Currency and Foreign Transactions Reporting Act of 1970, as amended. No action, suit or proceeding by or before any Governmental Entity involving the Company or any of its subsidiaries with respect to the money laundering statutes of all jurisdictions, the rules and regulations thereunder and any related or similar rules, regulations or guidelines, issued, administered or enforced by any Governmental Entity is pending or, to the best knowledge of the Company, threatened.</w:t>
      </w:r>
    </w:p>
    <w:p>
      <w:pPr>
        <w:spacing w:after="0" w:line="11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20"/>
          </w:cols>
          <w:pgMar w:left="880" w:top="270" w:right="499" w:bottom="1440" w:gutter="0" w:footer="0" w:header="0"/>
        </w:sectPr>
      </w:pPr>
    </w:p>
    <w:bookmarkStart w:id="30" w:name="page31"/>
    <w:bookmarkEnd w:id="30"/>
    <w:p>
      <w:pPr>
        <w:ind w:left="440" w:firstLine="419"/>
        <w:spacing w:after="0" w:line="254" w:lineRule="auto"/>
        <w:tabs>
          <w:tab w:leader="none" w:pos="107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 of the Company, any of its subsidiaries or, to the knowledge of the Company, any of its directors, officers, agents, employees, or affiliates is (i)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currently the subject or target of any sanctions administered or enforced by the United States Government, including, without limitation, the U.S. Department of the Treasury’s Office of Foreign Assets Control, the United Nations Security Council, the European Union, Her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 (ii) located, organized or resident in a country or territory that is the subject of Sanctions. The Company will not, directly or indirectly, use the proceeds of the sale of the Notes, or lend, contribute or otherwise make available such proceeds to any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w:t>
      </w:r>
    </w:p>
    <w:p>
      <w:pPr>
        <w:spacing w:after="0" w:line="80"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“ineligible issuer” and is a “well-known seasoned issuer,” in each case as defined under the Securities Act, in each case at the times specified in the Securities Act in connection with the offering of the Offered Securities.</w:t>
      </w:r>
    </w:p>
    <w:p>
      <w:pPr>
        <w:spacing w:after="0" w:line="159" w:lineRule="exact"/>
        <w:rPr>
          <w:rFonts w:ascii="Times New Roman" w:cs="Times New Roman" w:eastAsia="Times New Roman" w:hAnsi="Times New Roman"/>
          <w:sz w:val="18"/>
          <w:szCs w:val="18"/>
          <w:color w:val="auto"/>
        </w:rPr>
      </w:pPr>
    </w:p>
    <w:p>
      <w:pPr>
        <w:ind w:right="20" w:firstLine="436"/>
        <w:spacing w:after="0" w:line="267"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Public Offering. </w:t>
      </w:r>
      <w:r>
        <w:rPr>
          <w:rFonts w:ascii="Times New Roman" w:cs="Times New Roman" w:eastAsia="Times New Roman" w:hAnsi="Times New Roman"/>
          <w:sz w:val="18"/>
          <w:szCs w:val="18"/>
          <w:color w:val="auto"/>
        </w:rPr>
        <w:t>The Company is advised by the Representative(s) that the Underwriters propose to make a public offering of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portions of the Offered Securities as soon after this Agreement has been entered into as in the Representative(s)’ judgment is advisable. The terms of the public offering of the Offered Securities are set forth in the Time of Sale Information and the Prospectus.</w:t>
      </w:r>
    </w:p>
    <w:p>
      <w:pPr>
        <w:spacing w:after="0" w:line="173" w:lineRule="exact"/>
        <w:rPr>
          <w:rFonts w:ascii="Times New Roman" w:cs="Times New Roman" w:eastAsia="Times New Roman" w:hAnsi="Times New Roman"/>
          <w:sz w:val="18"/>
          <w:szCs w:val="18"/>
          <w:color w:val="auto"/>
        </w:rPr>
      </w:pPr>
    </w:p>
    <w:p>
      <w:pPr>
        <w:ind w:right="20" w:firstLine="436"/>
        <w:spacing w:after="0" w:line="258"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and Delivery</w:t>
      </w:r>
      <w:r>
        <w:rPr>
          <w:rFonts w:ascii="Times New Roman" w:cs="Times New Roman" w:eastAsia="Times New Roman" w:hAnsi="Times New Roman"/>
          <w:sz w:val="18"/>
          <w:szCs w:val="18"/>
          <w:color w:val="auto"/>
        </w:rPr>
        <w:t>. Payment for the Offered Securities shall be made in the funds and manner specified and at the time and place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Underwriting Agreement, upon delivery to the Representative(s) for the respective accounts of the several Underwriters of the Offered Securities, registered in such names and in such denominations as the Representative(s) shall request in writing not less than two full business days prior to the date of delivery. The Company shall not be obligated to deliver any Offered Securities except upon payment for all the Offered Securities to be purchased as herein provided.</w:t>
      </w:r>
    </w:p>
    <w:p>
      <w:pPr>
        <w:spacing w:after="0" w:line="185"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acknowledges and agrees that the Underwriters are acting solely in the capacity of an arm’s length contractual counterparty to the Company with respect to any offering of securities contemplated hereby (including in connection with determining the terms of the offering) and not as a financial advisor or a fiduciary to, or an agent of, the Company or any other person. Additionally, no such Underwriter is advising the Company or any other person as to any legal, tax, investment, accounting or regulatory matters in 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1" w:name="page32"/>
    <w:bookmarkEnd w:id="31"/>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jurisdiction. The Company shall consult with its own advisors concerning such matters and shall be responsible for making its own independent investigation and appraisal of the transactions contemplated hereby, and such Underwriters shall have no responsibility or liability to the Company with respect thereto. Any review by such Underwriters named in the Underwriting Agreement of the Company, the transactions contemplated thereby or other matters relating to such transactions will be performed solely for the benefit of the Underwriters and shall not be on behalf of the Company.</w:t>
      </w:r>
    </w:p>
    <w:p>
      <w:pPr>
        <w:spacing w:after="0" w:line="178" w:lineRule="exact"/>
        <w:rPr>
          <w:sz w:val="20"/>
          <w:szCs w:val="20"/>
          <w:color w:val="auto"/>
        </w:rPr>
      </w:pPr>
    </w:p>
    <w:p>
      <w:pPr>
        <w:ind w:left="620" w:hanging="184"/>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Closing</w:t>
      </w:r>
      <w:r>
        <w:rPr>
          <w:rFonts w:ascii="Times New Roman" w:cs="Times New Roman" w:eastAsia="Times New Roman" w:hAnsi="Times New Roman"/>
          <w:sz w:val="18"/>
          <w:szCs w:val="18"/>
          <w:color w:val="auto"/>
        </w:rPr>
        <w:t>. The several obligations of the Underwriters hereunder are subject to the following conditions:</w:t>
      </w:r>
    </w:p>
    <w:p>
      <w:pPr>
        <w:spacing w:after="0" w:line="119" w:lineRule="exact"/>
        <w:rPr>
          <w:rFonts w:ascii="Times New Roman" w:cs="Times New Roman" w:eastAsia="Times New Roman" w:hAnsi="Times New Roman"/>
          <w:sz w:val="18"/>
          <w:szCs w:val="18"/>
          <w:color w:val="auto"/>
        </w:rPr>
      </w:pPr>
    </w:p>
    <w:p>
      <w:pPr>
        <w:ind w:left="440" w:right="200" w:firstLine="419"/>
        <w:spacing w:after="0" w:line="289" w:lineRule="auto"/>
        <w:tabs>
          <w:tab w:leader="none" w:pos="1108"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Subsequent to the earlier of (x) the Time of Sale and (y) the execution and delivery of the Underwriting Agreement and prior to the Closing Date, there shall not have been any downgrading, nor any notice given of any intended or potential downgrading in the rating accorded any of the Company’s securities by Standard &amp; Poor’s, a Division of The McGraw-Hill Companies, Inc. or Moody’s Investors Service;</w:t>
      </w:r>
    </w:p>
    <w:p>
      <w:pPr>
        <w:spacing w:after="0" w:line="49" w:lineRule="exact"/>
        <w:rPr>
          <w:rFonts w:ascii="Times New Roman" w:cs="Times New Roman" w:eastAsia="Times New Roman" w:hAnsi="Times New Roman"/>
          <w:sz w:val="17"/>
          <w:szCs w:val="17"/>
          <w:color w:val="auto"/>
        </w:rPr>
      </w:pPr>
    </w:p>
    <w:p>
      <w:pPr>
        <w:ind w:left="440" w:right="60" w:firstLine="419"/>
        <w:spacing w:after="0" w:line="261" w:lineRule="auto"/>
        <w:tabs>
          <w:tab w:leader="none" w:pos="111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change in the condition, financial or otherwise, or in the earnings, business or operations, of the Company and its subsidiaries, taken as a whole, from that set forth in the Time of Sale Information (excluding any amendment or supplement thereto) and the Prospectus, that is material and adverse and that makes it impracticable or inadvisable to market or deliver the Offered Securities on the terms and in the manner contemplated in the Prospectus; and</w:t>
      </w:r>
    </w:p>
    <w:p>
      <w:pPr>
        <w:spacing w:after="0" w:line="71" w:lineRule="exact"/>
        <w:rPr>
          <w:rFonts w:ascii="Times New Roman" w:cs="Times New Roman" w:eastAsia="Times New Roman" w:hAnsi="Times New Roman"/>
          <w:sz w:val="18"/>
          <w:szCs w:val="18"/>
          <w:color w:val="auto"/>
        </w:rPr>
      </w:pPr>
    </w:p>
    <w:p>
      <w:pPr>
        <w:jc w:val="both"/>
        <w:ind w:left="440" w:right="100" w:firstLine="419"/>
        <w:spacing w:after="0" w:line="261" w:lineRule="auto"/>
        <w:tabs>
          <w:tab w:leader="none" w:pos="110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on the Closing Date a certificate, dated the Closing Date and signed by an executive officer of the Company, to the effect set forth in clause (b)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on or before the Closing Date.</w:t>
      </w:r>
    </w:p>
    <w:p>
      <w:pPr>
        <w:spacing w:after="0" w:line="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 officer signing and delivering such certificate may rely upon the best of his knowledge as to proceedings threatened.</w:t>
      </w:r>
    </w:p>
    <w:p>
      <w:pPr>
        <w:spacing w:after="0" w:line="117" w:lineRule="exact"/>
        <w:rPr>
          <w:sz w:val="20"/>
          <w:szCs w:val="20"/>
          <w:color w:val="auto"/>
        </w:rPr>
      </w:pPr>
    </w:p>
    <w:p>
      <w:pPr>
        <w:ind w:left="440" w:right="280" w:firstLine="419"/>
        <w:spacing w:after="0" w:line="282" w:lineRule="auto"/>
        <w:tabs>
          <w:tab w:leader="none" w:pos="11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on the Closing Date an opinion of counsel of Covington &amp; Burling LLP, dated the Closing Date, to the effect set forth in Exhibit A.</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0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on the Closing Date an opinion of a deputy general counsel of the Company, dated the Closing Date, to the effect set forth in Exhibit B.</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70" w:right="499" w:bottom="1440" w:gutter="0" w:footer="0" w:header="0"/>
        </w:sectPr>
      </w:pPr>
    </w:p>
    <w:bookmarkStart w:id="32" w:name="page33"/>
    <w:bookmarkEnd w:id="32"/>
    <w:p>
      <w:pPr>
        <w:ind w:left="440" w:right="680" w:firstLine="419"/>
        <w:spacing w:after="0" w:line="312" w:lineRule="auto"/>
        <w:tabs>
          <w:tab w:leader="none" w:pos="1088"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Representative(s) shall have received on the Closing Date opinions of Davis Polk &amp; Wardwell LLP, special counsel for the Underwriters, or other counsel acceptable to the Representative(s), dated the Closing Date, to the effect set forth in Exhibits C-1 and C-2.</w:t>
      </w:r>
    </w:p>
    <w:p>
      <w:pPr>
        <w:spacing w:after="0" w:line="31" w:lineRule="exact"/>
        <w:rPr>
          <w:rFonts w:ascii="Times New Roman" w:cs="Times New Roman" w:eastAsia="Times New Roman" w:hAnsi="Times New Roman"/>
          <w:sz w:val="17"/>
          <w:szCs w:val="17"/>
          <w:color w:val="auto"/>
        </w:rPr>
      </w:pPr>
    </w:p>
    <w:p>
      <w:pPr>
        <w:ind w:left="440" w:firstLine="419"/>
        <w:spacing w:after="0" w:line="281" w:lineRule="auto"/>
        <w:tabs>
          <w:tab w:leader="none" w:pos="1118"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Representative(s) shall have received on the date of the Underwriting Agreement and on the Closing Date letters, dated as of such dates, in form and substance reasonably satisfactory to the Representative(s), from the Company’s independent auditors, containing statements and information of the type ordinarily included in accountants’ “comfort letters” to underwriters with respect to the financial statements and certain financial information contained in or incorporated by reference into the Registration Statement, the Time of Sale Information and the Prospectus.</w:t>
      </w:r>
    </w:p>
    <w:p>
      <w:pPr>
        <w:spacing w:after="0" w:line="162"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Company</w:t>
      </w:r>
      <w:r>
        <w:rPr>
          <w:rFonts w:ascii="Times New Roman" w:cs="Times New Roman" w:eastAsia="Times New Roman" w:hAnsi="Times New Roman"/>
          <w:sz w:val="18"/>
          <w:szCs w:val="18"/>
          <w:color w:val="auto"/>
        </w:rPr>
        <w:t>. In further consideration of the agreements of the Underwriters contained herein, the Company covenants as</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98" w:lineRule="exact"/>
        <w:rPr>
          <w:rFonts w:ascii="Times New Roman" w:cs="Times New Roman" w:eastAsia="Times New Roman" w:hAnsi="Times New Roman"/>
          <w:sz w:val="18"/>
          <w:szCs w:val="18"/>
          <w:color w:val="auto"/>
        </w:rPr>
      </w:pPr>
    </w:p>
    <w:p>
      <w:pPr>
        <w:ind w:left="440" w:right="60" w:firstLine="419"/>
        <w:spacing w:after="0" w:line="253" w:lineRule="auto"/>
        <w:tabs>
          <w:tab w:leader="none" w:pos="110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file the final Prospectus with the Commission within the time periods specified by Rule 424(b) and Rule 430A, 430B or 430C under the Securities Act, as applicable, will file any Issuer Free Writing Prospectus (including the Term Sheet in the form of Schedule 4 hereto) to the extent required by Rule 433 under the Securities Act; and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Securities Act) is required in connection with the offering or sale of the Offered Securities;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fees for this offering within the time period required by Rule 456(b)(1)(i) under the Securities Act and in any event prior to the Closing Date.</w:t>
      </w:r>
    </w:p>
    <w:p>
      <w:pPr>
        <w:spacing w:after="0" w:line="86" w:lineRule="exact"/>
        <w:rPr>
          <w:rFonts w:ascii="Times New Roman" w:cs="Times New Roman" w:eastAsia="Times New Roman" w:hAnsi="Times New Roman"/>
          <w:sz w:val="18"/>
          <w:szCs w:val="18"/>
          <w:color w:val="auto"/>
        </w:rPr>
      </w:pPr>
    </w:p>
    <w:p>
      <w:pPr>
        <w:jc w:val="both"/>
        <w:ind w:left="440" w:right="240" w:firstLine="419"/>
        <w:spacing w:after="0" w:line="261" w:lineRule="auto"/>
        <w:tabs>
          <w:tab w:leader="none" w:pos="111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the Representative(s), without charge, a copy of the Registration Statement (including exhibits thereto) and for delivery to each other Underwriter a copy of the Registration Statement (without exhibits thereto) and, during the Prospectus Delivery Period (as defined below), as many copies of the Prospectus, any documents incorporated by reference therein and any supplements and amendments thereto or to the Registration Statement and each Issuer Free Writing Prospectus (if applicable) as the Representative(s) may reasonably request.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3" w:name="page34"/>
    <w:bookmarkEnd w:id="33"/>
    <w:p>
      <w:pPr>
        <w:ind w:firstLine="419"/>
        <w:spacing w:after="0" w:line="254" w:lineRule="auto"/>
        <w:tabs>
          <w:tab w:leader="none" w:pos="66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During the Prospectus Delivery Period, before making, preparing, using, authorizing, approving, referring to or filing any Issuer Free Writing Prospectus, and before amending or supplementing the Registration Statement (other than an amendment relating exclusively to securities other than the Offered Securities) or the Prospectus with respect to the Offered Securities, to furnish to the Representative(s) a copy of each such proposed Issuer Free Writing Prospectus, amendment or supplement and, with respect to any such filing on or after the date hereof and prior to the Closing Date, not to make, prepare, use, authorize, approve, refer to or file any such Issuer Free Writing Prospectus or to file any such proposed amendment or supplement to which the Representative(s) reasonably object;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shall not apply to filings required to be made with the Commission in order to comply with the Exchange Act so long as any such filing is provided to the Representatives a reasonable amount of time in advance of such filing.</w:t>
      </w:r>
    </w:p>
    <w:p>
      <w:pPr>
        <w:spacing w:after="0" w:line="83" w:lineRule="exact"/>
        <w:rPr>
          <w:rFonts w:ascii="Times New Roman" w:cs="Times New Roman" w:eastAsia="Times New Roman" w:hAnsi="Times New Roman"/>
          <w:sz w:val="18"/>
          <w:szCs w:val="18"/>
          <w:color w:val="auto"/>
        </w:rPr>
      </w:pPr>
    </w:p>
    <w:p>
      <w:pPr>
        <w:ind w:right="100" w:firstLine="419"/>
        <w:spacing w:after="0" w:line="253" w:lineRule="auto"/>
        <w:tabs>
          <w:tab w:leader="none" w:pos="6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such period after the first date of the public offering of the Offered Securities as in the opinion of counsel for the Underwriters the Prospectus (or, in lieu thereof, the notice referred to in Rule 173(a) under the Securities Act) is required by law to be delivered in connection with sales by an Underwriter or dealer (the “</w:t>
      </w:r>
      <w:r>
        <w:rPr>
          <w:rFonts w:ascii="Times New Roman" w:cs="Times New Roman" w:eastAsia="Times New Roman" w:hAnsi="Times New Roman"/>
          <w:sz w:val="18"/>
          <w:szCs w:val="18"/>
          <w:b w:val="1"/>
          <w:bCs w:val="1"/>
          <w:color w:val="auto"/>
        </w:rPr>
        <w:t>Prospectus Delivery Period</w:t>
      </w:r>
      <w:r>
        <w:rPr>
          <w:rFonts w:ascii="Times New Roman" w:cs="Times New Roman" w:eastAsia="Times New Roman" w:hAnsi="Times New Roman"/>
          <w:sz w:val="18"/>
          <w:szCs w:val="18"/>
          <w:color w:val="auto"/>
        </w:rPr>
        <w:t>”), any event shall occur or condition exists as a result of which it is necessary to amend or supplement the Prospectus, the Time of Sale Information or any Issuer Free Writing Prospectus in order that the same not include an untrue statement of a material fact or omit to state a material fact necessary in order to make the statements therein, in the light of the circumstances existing when the Prospectus, the Time of Sale Information or any Issuer Free Writing Prospectus is delivered to a purchaser, not misleading, or if, in the opinion of the Company, it is necessary at any time to amend or supplement the Prospectus, the Time of Sale Information or any Issuer Free Writing Prospectus, as then amended or supplemented to comply with applicable law, forthwith to prepare and furnish, at its own expense, to the Underwriters either amendments or supplements to the Prospectus, the Time of Sale Information or any Issuer Free Writing Prospectus that will correct such untrue statement or omission or will effect such compliance.</w:t>
      </w:r>
    </w:p>
    <w:p>
      <w:pPr>
        <w:spacing w:after="0" w:line="86" w:lineRule="exact"/>
        <w:rPr>
          <w:rFonts w:ascii="Times New Roman" w:cs="Times New Roman" w:eastAsia="Times New Roman" w:hAnsi="Times New Roman"/>
          <w:sz w:val="18"/>
          <w:szCs w:val="18"/>
          <w:color w:val="auto"/>
        </w:rPr>
      </w:pPr>
    </w:p>
    <w:p>
      <w:pPr>
        <w:ind w:right="160" w:firstLine="419"/>
        <w:spacing w:after="0" w:line="266" w:lineRule="auto"/>
        <w:tabs>
          <w:tab w:leader="none" w:pos="66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endeavor to qualify, and to cooperate with the Underwriters in an endeavor to qualify, the Offered Securities for offer and sale under the securities or Blue Sky laws of such jurisdictions as the Representative(s) shall reasonably request and to pay all expenses (including reasonable fees and disbursements of one counsel for the Underwriters not to exceed $5,000) in connection with such qualification</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80"/>
          </w:cols>
          <w:pgMar w:left="880" w:top="270" w:right="439" w:bottom="1440" w:gutter="0" w:footer="0" w:header="0"/>
        </w:sectPr>
      </w:pPr>
    </w:p>
    <w:bookmarkStart w:id="34" w:name="page35"/>
    <w:bookmarkEnd w:id="34"/>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in connection with (i) the determination of the eligibility of the Offered Securities for investment under the laws of such jurisdictions as the Representative(s) may designate and (ii) any review of the offering of the Offered Securities by the Financial Industry Regulatory Authority, Inc.;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 </w:t>
      </w:r>
      <w:r>
        <w:rPr>
          <w:rFonts w:ascii="Times New Roman" w:cs="Times New Roman" w:eastAsia="Times New Roman" w:hAnsi="Times New Roman"/>
          <w:sz w:val="18"/>
          <w:szCs w:val="18"/>
          <w:color w:val="auto"/>
        </w:rPr>
        <w:t>that the Company need not qualify the Offered Securities for offer and sale in any jurisdiction where such qualification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reasonable opinion of the Company, be unduly burdensome to the Company.</w:t>
      </w:r>
    </w:p>
    <w:p>
      <w:pPr>
        <w:spacing w:after="0" w:line="72" w:lineRule="exact"/>
        <w:rPr>
          <w:sz w:val="20"/>
          <w:szCs w:val="20"/>
          <w:color w:val="auto"/>
        </w:rPr>
      </w:pPr>
    </w:p>
    <w:p>
      <w:pPr>
        <w:jc w:val="both"/>
        <w:ind w:right="20" w:firstLine="419"/>
        <w:spacing w:after="0" w:line="266" w:lineRule="auto"/>
        <w:tabs>
          <w:tab w:leader="none" w:pos="6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the Company’s security holders and to the Representative(s) as soon as reasonably practicable an earnings statement covering a twelve month period beginning on the first day of the first full fiscal quarter after the date of this Agreement, which earnings statement shall satisfy the provisions of Section 11(a) of the Securities Act.</w:t>
      </w:r>
    </w:p>
    <w:p>
      <w:pPr>
        <w:spacing w:after="0" w:line="67" w:lineRule="exact"/>
        <w:rPr>
          <w:rFonts w:ascii="Times New Roman" w:cs="Times New Roman" w:eastAsia="Times New Roman" w:hAnsi="Times New Roman"/>
          <w:sz w:val="18"/>
          <w:szCs w:val="18"/>
          <w:color w:val="auto"/>
        </w:rPr>
      </w:pPr>
    </w:p>
    <w:p>
      <w:pPr>
        <w:ind w:right="20" w:firstLine="419"/>
        <w:spacing w:after="0" w:line="258" w:lineRule="auto"/>
        <w:tabs>
          <w:tab w:leader="none" w:pos="67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beginning on the date of the Underwriting Agreement and continuing to and including the later of (1) the Closing Date and (2) the termination of this Underwriting Agreement, not to offer, sell, contract to sell or otherwise dispose of any debt securities of the Company or warrants to purchase debt securities of the Company substantially similar to the Offered Securities (other than (i) the Offered Securities and (ii) medium-term notes and commercial paper issued in the ordinary course of business), without the prior written consent of the Representative(s).</w:t>
      </w:r>
    </w:p>
    <w:p>
      <w:pPr>
        <w:spacing w:after="0" w:line="75"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all costs, expenses, fees and taxes incident to the preparation, printing, authorization, issuance, sale and delivery of the Offered Securities; the costs incident to the preparation, printing and filing under the Securities Act of the Registration Statement, any Preliminary Prospectus, any Issuer Free Writing Prospectus, any Time of Sale Information and the Prospectus, including any amendments, supplements and exhibits thereto; the costs incident to the preparation, printing and filing of any document and any amendments and exhibits thereto required to be filed by the Company under the Exchange Act; the costs of distributing the Registration Statement as originally filed and each amendment and post-effective amendment thereof (including exhibits), any Preliminary Prospectus, the Prospectus, any Issuer Free Writing Prospectus, any Time of Sale Information and any documents incorporated by reference in any of the foregoing documents; the costs of any filings with the Financial Industry Regulatory Authority, Inc. in connection with the Offered Securities; fees paid to rating agencies in connection with the rating of any debt securities; the fees and expenses of qualifying the Offered Securities under the securities laws of the jurisdictions as provided in this Section and of preparing and printing a Blue Sky Memorandum, and a memorandum concerning the legality of Offered</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35" w:name="page36"/>
    <w:bookmarkEnd w:id="35"/>
    <w:p>
      <w:pPr>
        <w:ind w:left="380"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Securities as an investment (including fees and expenses of one counsel to the Underwriters in connection therewith); and all other costs and expenses incident to the performance of the Company’s obligations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provided in this Section and in Section 10 hereof, the Underwriters shall pay their own costs and expenses, including the fees and expenses of their counsel and the expenses of advertising any offering of the Offered Securities made by the Underwriters.</w:t>
      </w:r>
    </w:p>
    <w:p>
      <w:pPr>
        <w:spacing w:after="0" w:line="70" w:lineRule="exact"/>
        <w:rPr>
          <w:sz w:val="20"/>
          <w:szCs w:val="20"/>
          <w:color w:val="auto"/>
        </w:rPr>
      </w:pPr>
    </w:p>
    <w:p>
      <w:pPr>
        <w:ind w:left="380" w:right="480" w:firstLine="419"/>
        <w:spacing w:after="0" w:line="284" w:lineRule="auto"/>
        <w:tabs>
          <w:tab w:leader="none" w:pos="101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 Retention</w:t>
      </w:r>
      <w:r>
        <w:rPr>
          <w:rFonts w:ascii="Times New Roman" w:cs="Times New Roman" w:eastAsia="Times New Roman" w:hAnsi="Times New Roman"/>
          <w:sz w:val="18"/>
          <w:szCs w:val="18"/>
          <w:color w:val="auto"/>
        </w:rPr>
        <w:t>. The Company will, pursuant to reasonable procedures developed in good faith, retain copies of each Issuer 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Writing Prospectus that is not filed with the Commission in accordance with Rule 433 under the Securities Act.</w:t>
      </w:r>
    </w:p>
    <w:p>
      <w:pPr>
        <w:spacing w:after="0" w:line="158" w:lineRule="exact"/>
        <w:rPr>
          <w:rFonts w:ascii="Times New Roman" w:cs="Times New Roman" w:eastAsia="Times New Roman" w:hAnsi="Times New Roman"/>
          <w:sz w:val="18"/>
          <w:szCs w:val="18"/>
          <w:color w:val="auto"/>
        </w:rPr>
      </w:pPr>
    </w:p>
    <w:p>
      <w:pPr>
        <w:ind w:left="560" w:hanging="184"/>
        <w:spacing w:after="0"/>
        <w:tabs>
          <w:tab w:leader="none" w:pos="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Agreements of the Underwriters</w:t>
      </w:r>
      <w:r>
        <w:rPr>
          <w:rFonts w:ascii="Times New Roman" w:cs="Times New Roman" w:eastAsia="Times New Roman" w:hAnsi="Times New Roman"/>
          <w:sz w:val="18"/>
          <w:szCs w:val="18"/>
          <w:color w:val="auto"/>
        </w:rPr>
        <w:t>. Each Underwriter hereby represents and agrees that</w:t>
      </w:r>
    </w:p>
    <w:p>
      <w:pPr>
        <w:spacing w:after="0" w:line="119" w:lineRule="exact"/>
        <w:rPr>
          <w:rFonts w:ascii="Times New Roman" w:cs="Times New Roman" w:eastAsia="Times New Roman" w:hAnsi="Times New Roman"/>
          <w:sz w:val="18"/>
          <w:szCs w:val="18"/>
          <w:color w:val="auto"/>
        </w:rPr>
      </w:pPr>
    </w:p>
    <w:p>
      <w:pPr>
        <w:ind w:left="380" w:firstLine="419"/>
        <w:spacing w:after="0" w:line="254" w:lineRule="auto"/>
        <w:tabs>
          <w:tab w:leader="none" w:pos="104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solely a result of use by such underwriter, would not trigger an obligation to file such free writing prospectus with the Commission pursuant to Rule 433 under the Securities Act, (ii) any Issuer Free Writing Prospectus listed on Schedule 3 to the Underwriting Agreement or prepared pursuant to Section 1(c) or Section 5(c) above (including any electronic road show), or (iii) any free writing prospectus prepared by such underwriter and approved by the Company in advance in writing (each such free writing prospectus referred to in clauses (i) or (iii), an “</w:t>
      </w:r>
      <w:r>
        <w:rPr>
          <w:rFonts w:ascii="Times New Roman" w:cs="Times New Roman" w:eastAsia="Times New Roman" w:hAnsi="Times New Roman"/>
          <w:sz w:val="18"/>
          <w:szCs w:val="18"/>
          <w:b w:val="1"/>
          <w:bCs w:val="1"/>
          <w:color w:val="auto"/>
        </w:rPr>
        <w:t>Underwriter Free Writing Prospectus</w:t>
      </w:r>
      <w:r>
        <w:rPr>
          <w:rFonts w:ascii="Times New Roman" w:cs="Times New Roman" w:eastAsia="Times New Roman" w:hAnsi="Times New Roman"/>
          <w:sz w:val="18"/>
          <w:szCs w:val="18"/>
          <w:color w:val="auto"/>
        </w:rPr>
        <w:t>.”) Notwithstanding the foregoing the Underwriters may use a term sheet substantially in the form of Schedule 4 to the Underwriting Agreement without the consent of the Company.</w:t>
      </w:r>
    </w:p>
    <w:p>
      <w:pPr>
        <w:spacing w:after="0" w:line="80" w:lineRule="exact"/>
        <w:rPr>
          <w:rFonts w:ascii="Times New Roman" w:cs="Times New Roman" w:eastAsia="Times New Roman" w:hAnsi="Times New Roman"/>
          <w:sz w:val="18"/>
          <w:szCs w:val="18"/>
          <w:color w:val="auto"/>
        </w:rPr>
      </w:pPr>
    </w:p>
    <w:p>
      <w:pPr>
        <w:ind w:left="380" w:right="140" w:firstLine="419"/>
        <w:spacing w:after="0" w:line="282" w:lineRule="auto"/>
        <w:tabs>
          <w:tab w:leader="none" w:pos="105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Securities Act with respect to the offering of the Offered Securities (and will promptly notify the Company if any such proceeding against it is initiated during the Prospectus Delivery Period).</w:t>
      </w:r>
    </w:p>
    <w:p>
      <w:pPr>
        <w:spacing w:after="0" w:line="159" w:lineRule="exact"/>
        <w:rPr>
          <w:rFonts w:ascii="Times New Roman" w:cs="Times New Roman" w:eastAsia="Times New Roman" w:hAnsi="Times New Roman"/>
          <w:sz w:val="18"/>
          <w:szCs w:val="18"/>
          <w:color w:val="auto"/>
        </w:rPr>
      </w:pPr>
    </w:p>
    <w:p>
      <w:pPr>
        <w:ind w:left="-60" w:right="500" w:firstLine="436"/>
        <w:spacing w:after="0" w:line="267" w:lineRule="auto"/>
        <w:tabs>
          <w:tab w:leader="none" w:pos="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and Contribution</w:t>
      </w:r>
      <w:r>
        <w:rPr>
          <w:rFonts w:ascii="Times New Roman" w:cs="Times New Roman" w:eastAsia="Times New Roman" w:hAnsi="Times New Roman"/>
          <w:sz w:val="18"/>
          <w:szCs w:val="18"/>
          <w:color w:val="auto"/>
        </w:rPr>
        <w:t>. The Company agrees to indemnify and hold harmless each Underwriter and the directors,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and agents of each Underwriter and each person, if any, who controls such Underwriter within the meaning of either Section 15 of the Securities Act or Section 20 of the Exchange Act from and against any and all losses, claims,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80"/>
          </w:cols>
          <w:pgMar w:left="500" w:top="270" w:right="519" w:bottom="1440" w:gutter="0" w:footer="0" w:header="0"/>
        </w:sectPr>
      </w:pPr>
    </w:p>
    <w:bookmarkStart w:id="36" w:name="page37"/>
    <w:bookmarkEnd w:id="3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damages and liabilities caused by (i) any untrue statement or alleged untrue statement of a material fact contained in the Registration Statement, or caused by any omission or alleged omission to state therein a material fact required to be stated therein or necessary to make the statements therein not misleading, or (ii) any untrue statement or alleged untrue statement of a material fact contained in the Prospectus (or any amendment or supplement thereto), any Issuer Free Writing Prospectus or any Time of Sale Information,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are caused by any such untrue statement or omission or alleged untrue statement or omission based upon information relating to any Underwriter furnished to the Company in writing by such Underwriter through the Representative(s) expressly for use therein.</w:t>
      </w:r>
    </w:p>
    <w:p>
      <w:pPr>
        <w:spacing w:after="0" w:line="19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each Underwriter, but only with reference to information relating to such Underwriter furnished to the Company by such Underwriter in writing through the Representative(s) expressly for use in the Registration Statement, the Prospectus or any amendments or supplements thereto, any Issuer Free Writing Prospectus or any Time of Sale Information.</w:t>
      </w:r>
    </w:p>
    <w:p>
      <w:pPr>
        <w:spacing w:after="0" w:line="183"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In case any proceeding (including any governmental investigation) shall be instituted involving any person in respect of which indemnity may be sought pursuant to either of the two preceding paragraphs, such person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and the indemnifying party, upon request of the indemnified party, shall retain counsel reasonably satisfactory to the indemnified party to represent the indemnified party and any others entitled to indemnification pursuant to this Section 7 that the indemnifying party may designate in such proceeding and shall pay the fees and disbursements of such counsel reasonably incurred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fees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37" w:name="page38"/>
    <w:bookmarkEnd w:id="37"/>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8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If the indemnification provided for in the first or second paragraph in this Section 7 is unavailable to an indemnified party or insufficient in respect of any losses, claims, damages or liabilities referred to therein in connection with any offering of Offered Securities,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and the Underwriters from the offering of the Offered Securities or (ii) if the allocation provided by clause (i) above is not permitted by applicable law, in such proportion as is appropriate to reflect not only the relative benefits referred to in clause (i) above but also the relative fault of the Company and of the Underwriters in connection with the statements or omissions that resulted in such losses, claims, damages or liabilities, as well as any other relevant equitable considerations. The relative benefits received by the Company and the Underwriters in connection with the offering of the Offered Securities shall be deemed to be in the same respective proportions as the total net proceeds from the offering of such Offered Securities (before deducting expenses) received by the Company bear to the total discounts and commissions received by the Underwriters, in each case as set forth in the table on the cover of the Prospectus Supplement, in respect thereof. The relative fault of the Company and of the Underwriters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38" w:name="page39"/>
    <w:bookmarkEnd w:id="38"/>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the Underwriters agree that it would not be just or equitable if contribution pursuant to this Section 7 were determined by pro rata allocation (even if the Underwriters were treated as one entity for such purpose) or by any other method of allocation that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7, no Underwriter shall be required to contribute any amount in excess of the amount by which the total price at which the Offered Securities underwritten by it and distributed to the public were offered to the public exceeds the amount of any damages that such Underwriter has otherwise been required to pay by reason of such untrue or allegedly untrue statement or omission or alleged omission. No person guilty of fraudulent misrepresentation (within the meaning of Section 11(f) of the Securities Act) shall be entitled to contribution from any person who was not guilty of such fraudulent misrepresentation. The Underwriters’ respective obligations to contribute pursuant to this Section 7 are several in proportion to the respective principal amounts of the aggregate principal amount of Offered Securities purchased by each of such Underwriters under the Underwriting Agreement, and not joint. The remedies provided for in this Section 7 are not exclusive and shall not limit any rights or remedies which may otherwise be available to any indemnified party at law or in equity.</w:t>
      </w:r>
    </w:p>
    <w:p>
      <w:pPr>
        <w:spacing w:after="0" w:line="18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indemnity and contribution provisions contained in this Section 7 and the representations and warranties of the Company contained herein shall remain operative and in full force and effect regardless of (i) any termination of this Agreement, (ii) any investigation made by or on behalf of any Underwriter or any person controlling any Underwriter or by or on behalf of the Company, its directors or officers or any person controlling the Company and (iii) acceptance of and payment for any of the Offered Securities.</w:t>
      </w:r>
    </w:p>
    <w:p>
      <w:pPr>
        <w:spacing w:after="0" w:line="178" w:lineRule="exact"/>
        <w:rPr>
          <w:sz w:val="20"/>
          <w:szCs w:val="20"/>
          <w:color w:val="auto"/>
        </w:rPr>
      </w:pPr>
    </w:p>
    <w:p>
      <w:pPr>
        <w:ind w:right="200" w:firstLine="436"/>
        <w:spacing w:after="0" w:line="256" w:lineRule="auto"/>
        <w:tabs>
          <w:tab w:leader="none" w:pos="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This Agreement shall be subject to termination in the Representative(s)’ absolute discretion, by notice given to the Company,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earlier of the Time of Sale and the execution and delivery of the Underwriting Agreement and prior to the Closing Date, any of the following shall have occurred: (i) a suspension or material limitation in trading in securities generally on the New York Stock Exchange or on NYSE Alternext US; (ii) a suspension or material limitation in trading in the Company’s securities on any exchange or in any over-the-counter market;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39" w:name="page40"/>
    <w:bookmarkEnd w:id="39"/>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war or (v) the occurrence of any other calamity or crisis or any change in financial, political or economic conditions in the United States or elsewhere, if the effect of any such event specified in clause (iv) or (v) in the judgment of the Representative(s) makes it impracticable or inadvisable to proceed with the public offering or the delivery of the Offered Securities on the terms and in the manner contemplated in the Time of Sale Information and the Prospectus.</w:t>
      </w:r>
    </w:p>
    <w:p>
      <w:pPr>
        <w:spacing w:after="0" w:line="178" w:lineRule="exact"/>
        <w:rPr>
          <w:sz w:val="20"/>
          <w:szCs w:val="20"/>
          <w:color w:val="auto"/>
        </w:rPr>
      </w:pPr>
    </w:p>
    <w:p>
      <w:pPr>
        <w:ind w:right="20" w:firstLine="436"/>
        <w:spacing w:after="0" w:line="252" w:lineRule="auto"/>
        <w:tabs>
          <w:tab w:leader="none" w:pos="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Defaulting Underwriters</w:t>
      </w:r>
      <w:r>
        <w:rPr>
          <w:rFonts w:ascii="Times New Roman" w:cs="Times New Roman" w:eastAsia="Times New Roman" w:hAnsi="Times New Roman"/>
          <w:sz w:val="18"/>
          <w:szCs w:val="18"/>
          <w:color w:val="auto"/>
        </w:rPr>
        <w:t>. If on the Closing Date any one or more of the Underwriters shall fail or refuse to purchase Offered Securities that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has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above bears to the aggregate amount of Offered Securities set forth opposite the names of all such non-defaulting Underwriters, or in such other proportions as the Representative(s) may specify, to purchase the Offered Securities which such defaulting Underwriter or Underwriters agreed but failed or refused to purchase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amount of Offered Securities that any Underwriter has agreed to purchase pursuant to this Agreement be increased pursuant to this Section 9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Representative(s) and the Company for the purchase of such Offered Securities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then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94" w:lineRule="exact"/>
        <w:rPr>
          <w:rFonts w:ascii="Times New Roman" w:cs="Times New Roman" w:eastAsia="Times New Roman" w:hAnsi="Times New Roman"/>
          <w:sz w:val="18"/>
          <w:szCs w:val="18"/>
          <w:color w:val="auto"/>
        </w:rPr>
      </w:pPr>
    </w:p>
    <w:p>
      <w:pPr>
        <w:ind w:firstLine="436"/>
        <w:spacing w:after="0" w:line="257" w:lineRule="auto"/>
        <w:tabs>
          <w:tab w:leader="none" w:pos="71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Expenses Upon Termination</w:t>
      </w:r>
      <w:r>
        <w:rPr>
          <w:rFonts w:ascii="Times New Roman" w:cs="Times New Roman" w:eastAsia="Times New Roman" w:hAnsi="Times New Roman"/>
          <w:sz w:val="18"/>
          <w:szCs w:val="18"/>
          <w:color w:val="auto"/>
        </w:rPr>
        <w:t>. If this Agreement shall be terminated by the Representative(s) because of any failure or refusal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 of the Company to comply with the terms or to fulfill any of the conditions of this Agreement, or if for any reason the Company shall be unable to perform its obligations under this Agreement, the Company will reimburse the Underwriters for all out-of-pocket expenses (including the reasonable fees and disbursements of their counsel) reasonably incurred by such Underwriters in connection with the Offered Securities, and upon demand, the Company shall pay the full amount to the Representative(s). If this Agreement is terminated pursuant to Section 8 hereof or pursuant to Section 9 hereof, the Company shall not be obligated to reimburse the Underwriters for such expenses.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40" w:name="page41"/>
    <w:bookmarkEnd w:id="40"/>
    <w:p>
      <w:pPr>
        <w:ind w:left="-40" w:right="80" w:firstLine="436"/>
        <w:spacing w:after="0" w:line="284" w:lineRule="auto"/>
        <w:tabs>
          <w:tab w:leader="none" w:pos="6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r>
        <w:rPr>
          <w:rFonts w:ascii="Times New Roman" w:cs="Times New Roman" w:eastAsia="Times New Roman" w:hAnsi="Times New Roman"/>
          <w:sz w:val="18"/>
          <w:szCs w:val="18"/>
          <w:color w:val="auto"/>
        </w:rPr>
        <w:t>. The Underwriting Agreement may be signed in any number of counterparts, each of which shall be an original, with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as if the signatures thereto and hereto were upon the same instrument.</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internal laws of the State of New York.</w:t>
      </w:r>
    </w:p>
    <w:p>
      <w:pPr>
        <w:spacing w:after="0" w:line="223" w:lineRule="exact"/>
        <w:rPr>
          <w:sz w:val="20"/>
          <w:szCs w:val="20"/>
          <w:color w:val="auto"/>
        </w:rPr>
      </w:pPr>
    </w:p>
    <w:p>
      <w:pPr>
        <w:ind w:left="-40" w:firstLine="436"/>
        <w:spacing w:after="0" w:line="284" w:lineRule="auto"/>
        <w:tabs>
          <w:tab w:leader="none" w:pos="6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 deemed a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480" w:top="268" w:right="499" w:bottom="1440" w:gutter="0" w:footer="0" w:header="0"/>
        </w:sectPr>
      </w:pPr>
    </w:p>
    <w:bookmarkStart w:id="41" w:name="page42"/>
    <w:bookmarkEnd w:id="41"/>
    <w:p>
      <w:pPr>
        <w:ind w:left="103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Underwriting Agreement]</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Underwriting Agreement</w:t>
      </w:r>
    </w:p>
    <w:p>
      <w:pPr>
        <w:spacing w:after="0" w:line="225" w:lineRule="exact"/>
        <w:rPr>
          <w:sz w:val="20"/>
          <w:szCs w:val="20"/>
          <w:color w:val="auto"/>
        </w:rPr>
      </w:pPr>
    </w:p>
    <w:p>
      <w:pPr>
        <w:ind w:left="9664"/>
        <w:spacing w:after="0"/>
        <w:rPr>
          <w:sz w:val="20"/>
          <w:szCs w:val="20"/>
          <w:color w:val="auto"/>
        </w:rPr>
      </w:pPr>
      <w:r>
        <w:rPr>
          <w:rFonts w:ascii="Times New Roman" w:cs="Times New Roman" w:eastAsia="Times New Roman" w:hAnsi="Times New Roman"/>
          <w:sz w:val="18"/>
          <w:szCs w:val="18"/>
          <w:color w:val="auto"/>
        </w:rPr>
        <w:t>__________, 20__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[Name(s) of Representative(s)]</w:t>
      </w:r>
    </w:p>
    <w:p>
      <w:pPr>
        <w:spacing w:after="0" w:line="27" w:lineRule="exact"/>
        <w:rPr>
          <w:sz w:val="20"/>
          <w:szCs w:val="20"/>
          <w:color w:val="auto"/>
        </w:rPr>
      </w:pPr>
    </w:p>
    <w:p>
      <w:pPr>
        <w:ind w:left="164" w:hanging="164"/>
        <w:spacing w:after="0"/>
        <w:tabs>
          <w:tab w:leader="none" w:pos="164"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Representative(s) of the</w:t>
      </w:r>
    </w:p>
    <w:p>
      <w:pPr>
        <w:spacing w:after="0" w:line="32" w:lineRule="exact"/>
        <w:rPr>
          <w:rFonts w:ascii="Times New Roman" w:cs="Times New Roman" w:eastAsia="Times New Roman" w:hAnsi="Times New Roman"/>
          <w:sz w:val="16"/>
          <w:szCs w:val="16"/>
          <w:color w:val="auto"/>
        </w:rPr>
      </w:pPr>
    </w:p>
    <w:p>
      <w:pPr>
        <w:ind w:left="184" w:hanging="184"/>
        <w:spacing w:after="0"/>
        <w:tabs>
          <w:tab w:leader="none" w:pos="18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Underwriters listed</w:t>
      </w:r>
    </w:p>
    <w:p>
      <w:pPr>
        <w:spacing w:after="0" w:line="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Schedule 1 hereto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 [Name(s) and Address(es) of Representative(s)]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right="100" w:firstLine="991"/>
        <w:spacing w:after="0" w:line="278" w:lineRule="auto"/>
        <w:rPr>
          <w:sz w:val="20"/>
          <w:szCs w:val="20"/>
          <w:color w:val="auto"/>
        </w:rPr>
      </w:pPr>
      <w:r>
        <w:rPr>
          <w:rFonts w:ascii="Times New Roman" w:cs="Times New Roman" w:eastAsia="Times New Roman" w:hAnsi="Times New Roman"/>
          <w:sz w:val="17"/>
          <w:szCs w:val="17"/>
          <w:color w:val="auto"/>
        </w:rPr>
        <w:t>Eli Lilly and Company, an Indiana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proposes to issue and sell to the several Underwriters listed in Schedule 1 hereto (the “</w:t>
      </w:r>
      <w:r>
        <w:rPr>
          <w:rFonts w:ascii="Times New Roman" w:cs="Times New Roman" w:eastAsia="Times New Roman" w:hAnsi="Times New Roman"/>
          <w:sz w:val="17"/>
          <w:szCs w:val="17"/>
          <w:b w:val="1"/>
          <w:bCs w:val="1"/>
          <w:color w:val="auto"/>
        </w:rPr>
        <w:t>Underwriters</w:t>
      </w:r>
      <w:r>
        <w:rPr>
          <w:rFonts w:ascii="Times New Roman" w:cs="Times New Roman" w:eastAsia="Times New Roman" w:hAnsi="Times New Roman"/>
          <w:sz w:val="17"/>
          <w:szCs w:val="17"/>
          <w:color w:val="auto"/>
        </w:rPr>
        <w:t>”), for whom you are acting as representative(s) (the “</w:t>
      </w:r>
      <w:r>
        <w:rPr>
          <w:rFonts w:ascii="Times New Roman" w:cs="Times New Roman" w:eastAsia="Times New Roman" w:hAnsi="Times New Roman"/>
          <w:sz w:val="17"/>
          <w:szCs w:val="17"/>
          <w:b w:val="1"/>
          <w:bCs w:val="1"/>
          <w:color w:val="auto"/>
        </w:rPr>
        <w:t>Representative(s)</w:t>
      </w:r>
      <w:r>
        <w:rPr>
          <w:rFonts w:ascii="Times New Roman" w:cs="Times New Roman" w:eastAsia="Times New Roman" w:hAnsi="Times New Roman"/>
          <w:sz w:val="17"/>
          <w:szCs w:val="17"/>
          <w:color w:val="auto"/>
        </w:rPr>
        <w:t>”), $____________ principal amount of its</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_____% Notes due 20__ having the terms set forth in Schedule 2 hereto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Securities will be issued pursuant to an Indenture dated</w:t>
      </w:r>
    </w:p>
    <w:p>
      <w:pPr>
        <w:spacing w:after="0" w:line="9" w:lineRule="exact"/>
        <w:rPr>
          <w:sz w:val="20"/>
          <w:szCs w:val="20"/>
          <w:color w:val="auto"/>
        </w:rPr>
      </w:pPr>
    </w:p>
    <w:p>
      <w:pPr>
        <w:ind w:left="4" w:right="720"/>
        <w:spacing w:after="0" w:line="260" w:lineRule="auto"/>
        <w:rPr>
          <w:sz w:val="20"/>
          <w:szCs w:val="20"/>
          <w:color w:val="auto"/>
        </w:rPr>
      </w:pPr>
      <w:r>
        <w:rPr>
          <w:rFonts w:ascii="Times New Roman" w:cs="Times New Roman" w:eastAsia="Times New Roman" w:hAnsi="Times New Roman"/>
          <w:sz w:val="18"/>
          <w:szCs w:val="18"/>
          <w:color w:val="auto"/>
        </w:rPr>
        <w:t>as of February 1, 1991 (as may be supplemented from time to time,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Citibank, N.A.,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 w:firstLine="991"/>
        <w:spacing w:after="0" w:line="277" w:lineRule="auto"/>
        <w:rPr>
          <w:sz w:val="20"/>
          <w:szCs w:val="20"/>
          <w:color w:val="auto"/>
        </w:rPr>
      </w:pPr>
      <w:r>
        <w:rPr>
          <w:rFonts w:ascii="Times New Roman" w:cs="Times New Roman" w:eastAsia="Times New Roman" w:hAnsi="Times New Roman"/>
          <w:sz w:val="17"/>
          <w:szCs w:val="17"/>
          <w:color w:val="auto"/>
        </w:rPr>
        <w:t>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principal amount of Securities set forth opposite such Underwriter’s name in Schedule 1 hereto at a price equal to _____% of the principal amount thereof plus accrued interest, if any, from ______________, 20__ to the Closing Date (as defined below). The Company will not be obligated to deliver any of the Securities except upon payment for all the Securities to be purchased as provided herein.</w:t>
      </w:r>
    </w:p>
    <w:p>
      <w:pPr>
        <w:spacing w:after="0" w:line="168"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The Company understands that the Underwriters intend to make a public offering of the Securities as soon after the effectiveness of this Agreement as in the judgment of the Representative(s) is advisable, and initially to offer the Securities on the terms set forth in the Time of Sale Information and the Prospectus. Schedule 3 hereto sets forth the Time of Sale Information made available at the Time of Sale. The Company acknowledges and agrees that the Underwriters may offer and sell Securities to or through any affiliate of an Underwriter and that any such affiliate may offer and sell Securities purchased by it to or through any Underwriter.</w:t>
      </w:r>
    </w:p>
    <w:p>
      <w:pPr>
        <w:sectPr>
          <w:pgSz w:w="11900" w:h="16838" w:orient="portrait"/>
          <w:cols w:equalWidth="0" w:num="1">
            <w:col w:w="11024"/>
          </w:cols>
          <w:pgMar w:left="436" w:top="266" w:right="439" w:bottom="1440" w:gutter="0" w:footer="0" w:header="0"/>
        </w:sectPr>
      </w:pPr>
    </w:p>
    <w:bookmarkStart w:id="42" w:name="page43"/>
    <w:bookmarkEnd w:id="4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for and delivery of the Securities shall be made at the offices of [</w:t>
      </w:r>
      <w:r>
        <w:rPr>
          <w:rFonts w:ascii="Times New Roman" w:cs="Times New Roman" w:eastAsia="Times New Roman" w:hAnsi="Times New Roman"/>
          <w:sz w:val="18"/>
          <w:szCs w:val="18"/>
          <w:i w:val="1"/>
          <w:iCs w:val="1"/>
          <w:color w:val="auto"/>
        </w:rPr>
        <w:t>specify closing location</w:t>
      </w:r>
      <w:r>
        <w:rPr>
          <w:rFonts w:ascii="Times New Roman" w:cs="Times New Roman" w:eastAsia="Times New Roman" w:hAnsi="Times New Roman"/>
          <w:sz w:val="18"/>
          <w:szCs w:val="18"/>
          <w:color w:val="auto"/>
        </w:rPr>
        <w:t>] at 10:00 A.M., New York City time, 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 20__, or at such other time or place on the same or such other date, not later than the fifth business day thereafter,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and the Company may agree upon in writing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Payment for the Securities shall be made by wire transfer in immediately available funds to the account(s) specified by the Company to the Representative(s) against delivery to the nominee of The Depository Trust Company, for the account of the Underwriters, of one or more global notes representing the Securities (collectively, the “</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with any transfer taxes payable in connection with the sale of the Securities duly paid by the Company. The Global Note (or a true copy thereof) will be made available for inspection by the Representative(s) not later than 1:00 P.M., New York City time, on the business day prior to the Closing Date.</w:t>
      </w:r>
    </w:p>
    <w:p>
      <w:pPr>
        <w:spacing w:after="0" w:line="183"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All provisions contained in the document entitled Eli Lilly and Company Underwriting Agreement Standard Provisions (Debt Securities) are incorporated by reference herein in their entirety and shall be deemed to be a part of this Underwriting Agreement to the same extent as if such provisions had been set forth in full herein, except that if any term defined in such Underwriting Agreement Standard Provisions (Debt Securities) is otherwise defined herein, the definition set forth herein shall control.</w:t>
      </w:r>
    </w:p>
    <w:p>
      <w:pPr>
        <w:spacing w:after="0" w:line="180"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This Agreement may be signed in counterparts (which may include counterparts delivered by any standard form of telecommunication), each of which shall be an original and all of which together shall constitute one and the same instrument.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8" w:right="459" w:bottom="1440" w:gutter="0" w:footer="0" w:header="0"/>
        </w:sectPr>
      </w:pPr>
    </w:p>
    <w:bookmarkStart w:id="43" w:name="page44"/>
    <w:bookmarkEnd w:id="43"/>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ELI LILLY AND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__________, 20__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REPRESENTATIVE(S)]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[themselves] and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-119380</wp:posOffset>
            </wp:positionV>
            <wp:extent cx="26314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3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20"/>
          </w:cols>
          <w:pgMar w:left="440" w:top="270" w:right="9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9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w w:val="99"/>
              </w:rPr>
              <w:t>Schedule 1</w:t>
            </w:r>
          </w:p>
        </w:tc>
      </w:tr>
      <w:tr>
        <w:trPr>
          <w:trHeight w:val="398"/>
        </w:trPr>
        <w:tc>
          <w:tcPr>
            <w:tcW w:w="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908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Principal Amount</w:t>
            </w:r>
          </w:p>
        </w:tc>
      </w:tr>
      <w:tr>
        <w:trPr>
          <w:trHeight w:val="216"/>
        </w:trPr>
        <w:tc>
          <w:tcPr>
            <w:tcW w:w="780" w:type="dxa"/>
            <w:vAlign w:val="bottom"/>
            <w:tcBorders>
              <w:top w:val="single" w:sz="8" w:color="auto"/>
            </w:tcBorders>
            <w:shd w:val="clear" w:color="auto" w:fill="CCEEFF"/>
          </w:tcPr>
          <w:p>
            <w:pPr>
              <w:spacing w:after="0"/>
              <w:rPr>
                <w:sz w:val="18"/>
                <w:szCs w:val="18"/>
                <w:color w:val="auto"/>
              </w:rPr>
            </w:pPr>
          </w:p>
        </w:tc>
        <w:tc>
          <w:tcPr>
            <w:tcW w:w="9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8"/>
                <w:szCs w:val="18"/>
                <w:color w:val="auto"/>
              </w:rPr>
            </w:pPr>
          </w:p>
        </w:tc>
      </w:tr>
      <w:tr>
        <w:trPr>
          <w:trHeight w:val="228"/>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0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and Address(es) for Notices: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Terms of the Securities: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Title of Securities: _____% Notes due 20__</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Aggregate Principal Amount of Securities: $____________</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Maturity Date: ___________, 20__</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Interest Rate: ____%</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Interest Payment Dates: _________ and ________, commencing</w:t>
      </w:r>
    </w:p>
    <w:p>
      <w:pPr>
        <w:spacing w:after="0" w:line="27" w:lineRule="exact"/>
        <w:rPr>
          <w:sz w:val="20"/>
          <w:szCs w:val="20"/>
          <w:color w:val="auto"/>
        </w:rPr>
      </w:pPr>
    </w:p>
    <w:p>
      <w:pPr>
        <w:ind w:left="980" w:right="6500" w:firstLine="999"/>
        <w:spacing w:after="0" w:line="519" w:lineRule="auto"/>
        <w:tabs>
          <w:tab w:leader="none" w:pos="2151"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_________, 20__ Record Dates:          _______ and ________</w:t>
      </w:r>
    </w:p>
    <w:p>
      <w:pPr>
        <w:ind w:left="980" w:right="8300"/>
        <w:spacing w:after="0" w:line="5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Redemption Provisions: [Other Provisions:]</w:t>
      </w:r>
    </w:p>
    <w:p>
      <w:pPr>
        <w:sectPr>
          <w:pgSz w:w="11900" w:h="16838" w:orient="portrait"/>
          <w:cols w:equalWidth="0" w:num="1">
            <w:col w:w="11020"/>
          </w:cols>
          <w:pgMar w:left="440" w:top="266" w:right="4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of Sale Information</w:t>
      </w:r>
    </w:p>
    <w:p>
      <w:pPr>
        <w:spacing w:after="0" w:line="135" w:lineRule="exact"/>
        <w:rPr>
          <w:sz w:val="20"/>
          <w:szCs w:val="20"/>
          <w:color w:val="auto"/>
        </w:rPr>
      </w:pPr>
    </w:p>
    <w:p>
      <w:pPr>
        <w:ind w:left="960" w:hanging="532"/>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Prospectus.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Term Sheet included in Schedule 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each Issuer Free Writing Prospectus to be included in the Time of Sale Information]</w:t>
      </w:r>
    </w:p>
    <w:p>
      <w:pPr>
        <w:sectPr>
          <w:pgSz w:w="11900" w:h="16838" w:orient="portrait"/>
          <w:cols w:equalWidth="0" w:num="1">
            <w:col w:w="11020"/>
          </w:cols>
          <w:pgMar w:left="440" w:top="266" w:right="4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Eli Lilly and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Pricing Term Sheet</w:t>
      </w:r>
    </w:p>
    <w:p>
      <w:pPr>
        <w:sectPr>
          <w:pgSz w:w="11900" w:h="16838" w:orient="portrait"/>
          <w:cols w:equalWidth="0" w:num="1">
            <w:col w:w="11020"/>
          </w:cols>
          <w:pgMar w:left="440" w:top="266" w:right="4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 Lilly and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 __, 20__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 of face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 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 and _______, commencing ______, 20__</w:t>
      </w:r>
    </w:p>
    <w:p>
      <w:pPr>
        <w:spacing w:after="0" w:line="128" w:lineRule="exact"/>
        <w:rPr>
          <w:sz w:val="20"/>
          <w:szCs w:val="20"/>
          <w:color w:val="auto"/>
        </w:rPr>
      </w:pPr>
    </w:p>
    <w:p>
      <w:pPr>
        <w:sectPr>
          <w:pgSz w:w="11900" w:h="16838" w:orient="portrait"/>
          <w:cols w:equalWidth="0" w:num="2">
            <w:col w:w="3360" w:space="720"/>
            <w:col w:w="69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Redemption Provisions:</w:t>
      </w:r>
    </w:p>
    <w:p>
      <w:pPr>
        <w:sectPr>
          <w:pgSz w:w="11900" w:h="16838" w:orient="portrait"/>
          <w:cols w:equalWidth="0" w:num="1">
            <w:col w:w="11020"/>
          </w:cols>
          <w:pgMar w:left="440" w:top="266" w:right="43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Make-whole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any time at a discount rate of Treasury plus __basis points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T+_; _________ __, 20__</w:t>
      </w:r>
    </w:p>
    <w:p>
      <w:pPr>
        <w:spacing w:after="0" w:line="117" w:lineRule="exact"/>
        <w:rPr>
          <w:sz w:val="20"/>
          <w:szCs w:val="20"/>
          <w:color w:val="auto"/>
        </w:rPr>
      </w:pPr>
    </w:p>
    <w:p>
      <w:pPr>
        <w:sectPr>
          <w:pgSz w:w="11900" w:h="16838" w:orient="portrait"/>
          <w:cols w:equalWidth="0" w:num="2">
            <w:col w:w="3360" w:space="720"/>
            <w:col w:w="69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CUSIP: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Ratings:</w:t>
      </w:r>
    </w:p>
    <w:p>
      <w:pPr>
        <w:sectPr>
          <w:pgSz w:w="11900" w:h="16838" w:orient="portrait"/>
          <w:cols w:equalWidth="0" w:num="1">
            <w:col w:w="11020"/>
          </w:cols>
          <w:pgMar w:left="440" w:top="266" w:right="439" w:bottom="1440" w:gutter="0" w:footer="0" w:header="0"/>
          <w:type w:val="continuous"/>
        </w:sectPr>
      </w:pPr>
    </w:p>
    <w:p>
      <w:pPr>
        <w:spacing w:after="0" w:line="34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toll-free [        ] [or emailing [        ] at [        ].]</w:t>
      </w:r>
    </w:p>
    <w:p>
      <w:pPr>
        <w:sectPr>
          <w:pgSz w:w="11900" w:h="16838" w:orient="portrait"/>
          <w:cols w:equalWidth="0" w:num="1">
            <w:col w:w="11020"/>
          </w:cols>
          <w:pgMar w:left="440" w:top="266" w:right="439" w:bottom="1440" w:gutter="0" w:footer="0" w:header="0"/>
          <w:type w:val="continuous"/>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OPINION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COVINGTON &amp; BURLING LLP</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[Closing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Managing Underwriters]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Representatives of the Underwriters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set forth on Schedule [__] of the Underwriting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[c/o][name of lead manager]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lead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We have acted as special counsel to Eli Lilly and Company, an Indiana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in connection with the issuance and sale on the date hereof by the Company of $[amount] aggregate principal amount of its [designation of security]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under the Indenture, dated as of February 1, 1991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between the Company and Deutsche Bank Trust Company Americas (as successor to Citibank, N.A.), as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and the purchase of the Notes by the several underwriters (the “</w:t>
      </w:r>
      <w:r>
        <w:rPr>
          <w:rFonts w:ascii="Times New Roman" w:cs="Times New Roman" w:eastAsia="Times New Roman" w:hAnsi="Times New Roman"/>
          <w:sz w:val="18"/>
          <w:szCs w:val="18"/>
          <w:i w:val="1"/>
          <w:iCs w:val="1"/>
          <w:color w:val="auto"/>
        </w:rPr>
        <w:t>Underwriters</w:t>
      </w:r>
      <w:r>
        <w:rPr>
          <w:rFonts w:ascii="Times New Roman" w:cs="Times New Roman" w:eastAsia="Times New Roman" w:hAnsi="Times New Roman"/>
          <w:sz w:val="18"/>
          <w:szCs w:val="18"/>
          <w:color w:val="auto"/>
        </w:rPr>
        <w:t>”) set forth on Schedule 1 of the Underwriting Agreement, dated _______, 20__ (the “</w:t>
      </w:r>
      <w:r>
        <w:rPr>
          <w:rFonts w:ascii="Times New Roman" w:cs="Times New Roman" w:eastAsia="Times New Roman" w:hAnsi="Times New Roman"/>
          <w:sz w:val="18"/>
          <w:szCs w:val="18"/>
          <w:i w:val="1"/>
          <w:iCs w:val="1"/>
          <w:color w:val="auto"/>
        </w:rPr>
        <w:t>Underwriting Agreement</w:t>
      </w:r>
      <w:r>
        <w:rPr>
          <w:rFonts w:ascii="Times New Roman" w:cs="Times New Roman" w:eastAsia="Times New Roman" w:hAnsi="Times New Roman"/>
          <w:sz w:val="18"/>
          <w:szCs w:val="18"/>
          <w:color w:val="auto"/>
        </w:rPr>
        <w:t>”), among the Company and ____, ____ and ____, as representatives of the Underwriters (the</w:t>
      </w:r>
    </w:p>
    <w:p>
      <w:pPr>
        <w:spacing w:after="0" w:line="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Representatives</w:t>
      </w:r>
      <w:r>
        <w:rPr>
          <w:rFonts w:ascii="Times New Roman" w:cs="Times New Roman" w:eastAsia="Times New Roman" w:hAnsi="Times New Roman"/>
          <w:sz w:val="18"/>
          <w:szCs w:val="18"/>
          <w:color w:val="auto"/>
        </w:rPr>
        <w:t>”). This letter is delivered to you pursuant to Section 4(d) of the Standard Provisions (Debt Securities) attached to, and incorporated in, the Underwriting Agreement. Unless otherwise defined herein, capitalized terms used herein have the meanings provided in the Underwriting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reviewed:</w:t>
      </w:r>
    </w:p>
    <w:p>
      <w:pPr>
        <w:spacing w:after="0" w:line="131" w:lineRule="exact"/>
        <w:rPr>
          <w:sz w:val="20"/>
          <w:szCs w:val="20"/>
          <w:color w:val="auto"/>
        </w:rPr>
      </w:pPr>
    </w:p>
    <w:p>
      <w:pPr>
        <w:ind w:left="960" w:hanging="532"/>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Agreement;</w:t>
      </w:r>
    </w:p>
    <w:p>
      <w:pPr>
        <w:spacing w:after="0" w:line="130" w:lineRule="exact"/>
        <w:rPr>
          <w:rFonts w:ascii="Times New Roman" w:cs="Times New Roman" w:eastAsia="Times New Roman" w:hAnsi="Times New Roman"/>
          <w:sz w:val="18"/>
          <w:szCs w:val="18"/>
          <w:color w:val="auto"/>
        </w:rPr>
      </w:pPr>
    </w:p>
    <w:p>
      <w:pPr>
        <w:ind w:left="960" w:right="100" w:hanging="532"/>
        <w:spacing w:after="0" w:line="266"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Registration Statement on Form S-3, Registration No. 333-_______, filed with the Securities and Exchange Commission (the “</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on _______, 20__ (the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xml:space="preserve">”), registering,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Notes for sale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w:t>
      </w:r>
    </w:p>
    <w:p>
      <w:pPr>
        <w:sectPr>
          <w:pgSz w:w="11900" w:h="16838" w:orient="portrait"/>
          <w:cols w:equalWidth="0" w:num="1">
            <w:col w:w="11020"/>
          </w:cols>
          <w:pgMar w:left="440" w:top="266" w:right="439" w:bottom="1440" w:gutter="0" w:footer="0" w:header="0"/>
        </w:sectPr>
      </w:pPr>
    </w:p>
    <w:bookmarkStart w:id="49" w:name="page50"/>
    <w:bookmarkEnd w:id="49"/>
    <w:p>
      <w:pPr>
        <w:ind w:left="960" w:hanging="532"/>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copy of the Global Note representing the ____ Notes furnished by the Trustee;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Global Note representing the ____ Notes furnished by the Trustee;</w:t>
      </w:r>
    </w:p>
    <w:p>
      <w:pPr>
        <w:spacing w:after="0" w:line="128" w:lineRule="exact"/>
        <w:rPr>
          <w:rFonts w:ascii="Times New Roman" w:cs="Times New Roman" w:eastAsia="Times New Roman" w:hAnsi="Times New Roman"/>
          <w:sz w:val="18"/>
          <w:szCs w:val="18"/>
          <w:color w:val="auto"/>
        </w:rPr>
      </w:pPr>
    </w:p>
    <w:p>
      <w:pPr>
        <w:jc w:val="both"/>
        <w:ind w:left="960" w:right="60" w:hanging="532"/>
        <w:spacing w:after="0" w:line="267"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prospectus, consisting of the prospectus, dated _______, 20__ (the “</w:t>
      </w:r>
      <w:r>
        <w:rPr>
          <w:rFonts w:ascii="Times New Roman" w:cs="Times New Roman" w:eastAsia="Times New Roman" w:hAnsi="Times New Roman"/>
          <w:sz w:val="18"/>
          <w:szCs w:val="18"/>
          <w:i w:val="1"/>
          <w:iCs w:val="1"/>
          <w:color w:val="auto"/>
        </w:rPr>
        <w:t>Base Prospectus</w:t>
      </w:r>
      <w:r>
        <w:rPr>
          <w:rFonts w:ascii="Times New Roman" w:cs="Times New Roman" w:eastAsia="Times New Roman" w:hAnsi="Times New Roman"/>
          <w:sz w:val="18"/>
          <w:szCs w:val="18"/>
          <w:color w:val="auto"/>
        </w:rPr>
        <w:t>”), as supplemented by a preliminary prospectus supplement, dated _______, 20__, with respect to the offer and sale of the Notes, filed with the Commission on _______, 20__ pursuant to Rule 424(b) under the Securities Act (the “</w:t>
      </w:r>
      <w:r>
        <w:rPr>
          <w:rFonts w:ascii="Times New Roman" w:cs="Times New Roman" w:eastAsia="Times New Roman" w:hAnsi="Times New Roman"/>
          <w:sz w:val="18"/>
          <w:szCs w:val="18"/>
          <w:i w:val="1"/>
          <w:iCs w:val="1"/>
          <w:color w:val="auto"/>
        </w:rPr>
        <w:t>Preliminary Prospectus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term sheet, dated _______, 20__, relating to the offering of the Notes, filed with the Commission on _______, 20__ pursuant to Rule 433(d) under the Securities Act (together with the Preliminary Prospectus, the “</w:t>
      </w:r>
      <w:r>
        <w:rPr>
          <w:rFonts w:ascii="Times New Roman" w:cs="Times New Roman" w:eastAsia="Times New Roman" w:hAnsi="Times New Roman"/>
          <w:sz w:val="18"/>
          <w:szCs w:val="18"/>
          <w:i w:val="1"/>
          <w:iCs w:val="1"/>
          <w:color w:val="auto"/>
        </w:rPr>
        <w:t>General Disclosure Package</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960" w:right="220" w:hanging="532"/>
        <w:spacing w:after="0" w:line="266"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prospectus, consisting of the Base Prospectus, as supplemented by a final prospectus supplement, dated _______, 20__, with respect to the offer and sale of the Notes, filed with the Commission on _______, 20__ pursuant to Rule 424(b) under the Securities Act (the “</w:t>
      </w: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We also have reviewed such corporate records, certificates and other documents, and such questions of law, as we have deemed necessary or appropriate for the purposes of this opinion. The Underwriting Agreement, the Notes and the Indenture are collectively referred to as the “</w:t>
      </w:r>
      <w:r>
        <w:rPr>
          <w:rFonts w:ascii="Times New Roman" w:cs="Times New Roman" w:eastAsia="Times New Roman" w:hAnsi="Times New Roman"/>
          <w:sz w:val="17"/>
          <w:szCs w:val="17"/>
          <w:i w:val="1"/>
          <w:iCs w:val="1"/>
          <w:color w:val="auto"/>
        </w:rPr>
        <w:t>Documents</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We have assumed that all signatures are genuine, that all documents submitted to us as originals are authentic and that all copies of documents submitted to us conform to the originals. We have assumed further that (i) the Company is a corporation duly organized, validly existing and in good standing under the laws of the State of Indiana and has all legal right, power and authority and, except as set forth in our opinion in paragraph 10 below, has obtained all authorizations and approvals of governmental authorities necessary (A) to issue and sell the Notes and (B) to execute, deliver and perform its obligations under the Documents, (ii) the issuance and sale of the Notes and the execution, delivery and performance by the Company of its obligations under the Documents have been duly authorized by the Company, (iii) the Notes have been duly executed and delivered by the Company (except to the extent that the execution and delivery thereof is governed by the laws of the State of New York), (iv) the Underwriting Agreement has been duly executed and delivered by the Company (except to the extent that the execution and delivery thereof is governed by the laws of the State of New York), and (v) the Indenture has been duly executed and delivered by the Company. We have assumed further that the Trustee and the Representatives have duly authorized, executed and delivered the Documents to which each is a party.</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have made no investigation for the purpose of verifying the assumptions set forth herein.</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have relied as to certain matters on information obtained from public officials, officers of the Company and other sources believed by us to be responsible, and on information regarding the Company contained in the Registration Statement and the Prospectus.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statement in paragraph 5 below as to stop orders and related proceedings is based solely on a review of the list of stop orders on the Commission’s website at http://www.sec.gov/litigation/stoporders.shtml at ___ a.m.(New York City time) on the date hereof.</w:t>
      </w:r>
    </w:p>
    <w:p>
      <w:pPr>
        <w:spacing w:after="0" w:line="160"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As used in this opinion, all references to the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Preliminary Prospectus</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 include all documents incorporated by reference therein, to the extent not modified or superseded by statements or other information in the Registration Statement, Preliminary Prospectus or Prospectus or in later filed material so incorporated. In addition, the qualification in paragraphs 5 and 9 of this letter “to the best of our knowledge” and “known to us” mean the actual knowledge, but not constructive or imputed knowledge, of the attorneys in our firm who have rendered legal services on behalf of our firm for the Company, without any representation or implication that any inquiry has been made with respect to such statements.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upon the foregoing, and subject to the qualifications set forth below, we are of the opinion that:</w:t>
      </w:r>
    </w:p>
    <w:p>
      <w:pPr>
        <w:spacing w:after="0" w:line="117" w:lineRule="exact"/>
        <w:rPr>
          <w:sz w:val="20"/>
          <w:szCs w:val="20"/>
          <w:color w:val="auto"/>
        </w:rPr>
      </w:pPr>
    </w:p>
    <w:p>
      <w:pPr>
        <w:ind w:left="440" w:right="100" w:firstLine="423"/>
        <w:spacing w:after="0" w:line="266" w:lineRule="auto"/>
        <w:rPr>
          <w:sz w:val="20"/>
          <w:szCs w:val="20"/>
          <w:color w:val="auto"/>
        </w:rPr>
      </w:pPr>
      <w:r>
        <w:rPr>
          <w:rFonts w:ascii="Times New Roman" w:cs="Times New Roman" w:eastAsia="Times New Roman" w:hAnsi="Times New Roman"/>
          <w:sz w:val="18"/>
          <w:szCs w:val="18"/>
          <w:color w:val="auto"/>
        </w:rPr>
        <w:t>The Indenture is the valid and binding obligation of the Company, enforceable against the Company in accordance with its terms, subject to bankruptcy, insolvency, fraudulent transfer, reorganization, moratorium and other laws of general applicability relating to or affecting creditors’ rights and to general equity principles. The Indenture has been qualified under the Trust Indenture Act of 1939, as amended.</w:t>
      </w:r>
    </w:p>
    <w:p>
      <w:pPr>
        <w:spacing w:after="0" w:line="68" w:lineRule="exact"/>
        <w:rPr>
          <w:sz w:val="20"/>
          <w:szCs w:val="20"/>
          <w:color w:val="auto"/>
        </w:rPr>
      </w:pPr>
    </w:p>
    <w:p>
      <w:pPr>
        <w:ind w:left="440" w:firstLine="423"/>
        <w:spacing w:after="0" w:line="282" w:lineRule="auto"/>
        <w:rPr>
          <w:sz w:val="20"/>
          <w:szCs w:val="20"/>
          <w:color w:val="auto"/>
        </w:rPr>
      </w:pPr>
      <w:r>
        <w:rPr>
          <w:rFonts w:ascii="Times New Roman" w:cs="Times New Roman" w:eastAsia="Times New Roman" w:hAnsi="Times New Roman"/>
          <w:sz w:val="18"/>
          <w:szCs w:val="18"/>
          <w:color w:val="auto"/>
        </w:rPr>
        <w:t>The Company has duly executed and delivered the Notes (insofar as the validity of such execution and delivery is governed by the law of the State of New York).</w:t>
      </w:r>
    </w:p>
    <w:p>
      <w:pPr>
        <w:spacing w:after="0" w:line="54" w:lineRule="exact"/>
        <w:rPr>
          <w:sz w:val="20"/>
          <w:szCs w:val="20"/>
          <w:color w:val="auto"/>
        </w:rPr>
      </w:pPr>
    </w:p>
    <w:p>
      <w:pPr>
        <w:ind w:left="440" w:right="580" w:firstLine="423"/>
        <w:spacing w:after="0" w:line="282" w:lineRule="auto"/>
        <w:rPr>
          <w:sz w:val="20"/>
          <w:szCs w:val="20"/>
          <w:color w:val="auto"/>
        </w:rPr>
      </w:pPr>
      <w:r>
        <w:rPr>
          <w:rFonts w:ascii="Times New Roman" w:cs="Times New Roman" w:eastAsia="Times New Roman" w:hAnsi="Times New Roman"/>
          <w:sz w:val="18"/>
          <w:szCs w:val="18"/>
          <w:color w:val="auto"/>
        </w:rPr>
        <w:t>The Company has duly executed and delivered the Underwriting Agreement (insofar as the validity of such execution and delivery is governed by the law of the State of New York).</w:t>
      </w:r>
    </w:p>
    <w:p>
      <w:pPr>
        <w:spacing w:after="0" w:line="54" w:lineRule="exact"/>
        <w:rPr>
          <w:sz w:val="20"/>
          <w:szCs w:val="20"/>
          <w:color w:val="auto"/>
        </w:rPr>
      </w:pPr>
    </w:p>
    <w:p>
      <w:pPr>
        <w:ind w:left="440" w:right="60" w:firstLine="423"/>
        <w:spacing w:after="0" w:line="258" w:lineRule="auto"/>
        <w:rPr>
          <w:sz w:val="20"/>
          <w:szCs w:val="20"/>
          <w:color w:val="auto"/>
        </w:rPr>
      </w:pPr>
      <w:r>
        <w:rPr>
          <w:rFonts w:ascii="Times New Roman" w:cs="Times New Roman" w:eastAsia="Times New Roman" w:hAnsi="Times New Roman"/>
          <w:sz w:val="18"/>
          <w:szCs w:val="18"/>
          <w:color w:val="auto"/>
        </w:rPr>
        <w:t>When the Notes have been (a) duly authenticated and delivered by the Trustee in accordance with the Indenture and (b) issued and delivered by the Company against payment of the purchase price therefor in accordance with the Underwriting Agreement, the Notes will constitute valid and binding obligations of the Company, enforceable against the Company in accordance with their terms, subject to bankruptcy, insolvency, fraudulent transfer, reorganization, moratorium and other laws of general applicability relating to or affecting creditors’ rights and to general equity principles and will be entitled to the benefits of the Indenture.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51" w:name="page52"/>
    <w:bookmarkEnd w:id="51"/>
    <w:p>
      <w:pPr>
        <w:ind w:right="22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Registration Statement is effective under the Securities Act, and, to the best of our knowledge, no stop order suspending the effectiveness of the Registration Statement has been issued under the Securities Act and no proceedings for that purpose have been instituted or are pending or threatened by the Commission.</w:t>
      </w:r>
    </w:p>
    <w:p>
      <w:pPr>
        <w:spacing w:after="0" w:line="68" w:lineRule="exact"/>
        <w:rPr>
          <w:sz w:val="20"/>
          <w:szCs w:val="20"/>
          <w:color w:val="auto"/>
        </w:rPr>
      </w:pPr>
    </w:p>
    <w:p>
      <w:pPr>
        <w:jc w:val="both"/>
        <w:ind w:right="300" w:firstLine="423"/>
        <w:spacing w:after="0" w:line="266" w:lineRule="auto"/>
        <w:rPr>
          <w:sz w:val="20"/>
          <w:szCs w:val="20"/>
          <w:color w:val="auto"/>
        </w:rPr>
      </w:pPr>
      <w:r>
        <w:rPr>
          <w:rFonts w:ascii="Times New Roman" w:cs="Times New Roman" w:eastAsia="Times New Roman" w:hAnsi="Times New Roman"/>
          <w:sz w:val="18"/>
          <w:szCs w:val="18"/>
          <w:color w:val="auto"/>
        </w:rPr>
        <w:t>The statements in the General Disclosure Package and the Prospectus under the captions “Description of the Notes” and “Description of Debt Securities,” insofar as such statements constitute summaries of the documents referred to therein, are accurate in all material respects and fairly summarize such documents.</w:t>
      </w:r>
    </w:p>
    <w:p>
      <w:pPr>
        <w:spacing w:after="0" w:line="68" w:lineRule="exact"/>
        <w:rPr>
          <w:sz w:val="20"/>
          <w:szCs w:val="20"/>
          <w:color w:val="auto"/>
        </w:rPr>
      </w:pPr>
    </w:p>
    <w:p>
      <w:pPr>
        <w:jc w:val="both"/>
        <w:ind w:right="60" w:firstLine="423"/>
        <w:spacing w:after="0" w:line="266" w:lineRule="auto"/>
        <w:rPr>
          <w:sz w:val="20"/>
          <w:szCs w:val="20"/>
          <w:color w:val="auto"/>
        </w:rPr>
      </w:pPr>
      <w:r>
        <w:rPr>
          <w:rFonts w:ascii="Times New Roman" w:cs="Times New Roman" w:eastAsia="Times New Roman" w:hAnsi="Times New Roman"/>
          <w:sz w:val="18"/>
          <w:szCs w:val="18"/>
          <w:color w:val="auto"/>
        </w:rPr>
        <w:t>The statements in the General Disclosure Package and the Prospectus under the caption “Material U.S. Federal Tax Considerations,” insofar as such statements constitute summaries of the laws, regulations, legal matters, or legal documents referred to therein, are accurate in all material respects and fairly summarize the matters referred to therein.</w:t>
      </w:r>
    </w:p>
    <w:p>
      <w:pPr>
        <w:spacing w:after="0" w:line="68" w:lineRule="exact"/>
        <w:rPr>
          <w:sz w:val="20"/>
          <w:szCs w:val="20"/>
          <w:color w:val="auto"/>
        </w:rPr>
      </w:pPr>
    </w:p>
    <w:p>
      <w:pPr>
        <w:ind w:right="40" w:firstLine="423"/>
        <w:spacing w:after="0" w:line="258" w:lineRule="auto"/>
        <w:rPr>
          <w:sz w:val="20"/>
          <w:szCs w:val="20"/>
          <w:color w:val="auto"/>
        </w:rPr>
      </w:pPr>
      <w:r>
        <w:rPr>
          <w:rFonts w:ascii="Times New Roman" w:cs="Times New Roman" w:eastAsia="Times New Roman" w:hAnsi="Times New Roman"/>
          <w:sz w:val="18"/>
          <w:szCs w:val="18"/>
          <w:color w:val="auto"/>
        </w:rPr>
        <w:t>The Registration Statement, on the date of the effectiveness of the Registration Statement as provided in Rule 430B(f)(2) under the Securities Act, and the Prospectus, as of the date thereof (excluding (i) the financial statements, including the notes thereto, and the other financial data included therein and (ii) the Statement of Eligibility on Form T-1 filed as Exhibit 25.1 to the Registration Statement, as to which we express no opinion) complied as to form in all material respects with the requirements of the Securities Act and the rules and regulations of the Commission thereunder.</w:t>
      </w:r>
    </w:p>
    <w:p>
      <w:pPr>
        <w:spacing w:after="0" w:line="75" w:lineRule="exact"/>
        <w:rPr>
          <w:sz w:val="20"/>
          <w:szCs w:val="20"/>
          <w:color w:val="auto"/>
        </w:rPr>
      </w:pPr>
    </w:p>
    <w:p>
      <w:pPr>
        <w:ind w:right="160" w:firstLine="423"/>
        <w:spacing w:after="0" w:line="266" w:lineRule="auto"/>
        <w:rPr>
          <w:sz w:val="20"/>
          <w:szCs w:val="20"/>
          <w:color w:val="auto"/>
        </w:rPr>
      </w:pPr>
      <w:r>
        <w:rPr>
          <w:rFonts w:ascii="Times New Roman" w:cs="Times New Roman" w:eastAsia="Times New Roman" w:hAnsi="Times New Roman"/>
          <w:sz w:val="18"/>
          <w:szCs w:val="18"/>
          <w:color w:val="auto"/>
        </w:rPr>
        <w:t>The issuance of the Notes and the execution and delivery of the Underwriting Agreement by the Company and the consummation by the Company of the transactions contemplated thereby in accordance with the terms thereof do not violate any New York or federal statute, law, rule or regulation known to us to which the Company is subject.</w:t>
      </w:r>
    </w:p>
    <w:p>
      <w:pPr>
        <w:spacing w:after="0" w:line="68" w:lineRule="exact"/>
        <w:rPr>
          <w:sz w:val="20"/>
          <w:szCs w:val="20"/>
          <w:color w:val="auto"/>
        </w:rPr>
      </w:pPr>
    </w:p>
    <w:p>
      <w:pPr>
        <w:ind w:firstLine="423"/>
        <w:spacing w:after="0" w:line="261" w:lineRule="auto"/>
        <w:rPr>
          <w:sz w:val="20"/>
          <w:szCs w:val="20"/>
          <w:color w:val="auto"/>
        </w:rPr>
      </w:pPr>
      <w:r>
        <w:rPr>
          <w:rFonts w:ascii="Times New Roman" w:cs="Times New Roman" w:eastAsia="Times New Roman" w:hAnsi="Times New Roman"/>
          <w:sz w:val="18"/>
          <w:szCs w:val="18"/>
          <w:color w:val="auto"/>
        </w:rPr>
        <w:t>No consent, approval, authorization or other action by or filing with any governmental agency or instrumentality of the State of New York or the United States of America is required on the part of the Company for the issuance of the Notes or the execution and delivery of the Underwriting Agreement or the consummation of the transactions contemplated thereby in accordance with the terms thereof, except (i) those already obtained or made and (ii) those required under federal and state securities laws.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opinions are subject to the following qualifications:</w:t>
      </w:r>
    </w:p>
    <w:p>
      <w:pPr>
        <w:spacing w:after="0" w:line="131" w:lineRule="exact"/>
        <w:rPr>
          <w:sz w:val="20"/>
          <w:szCs w:val="20"/>
          <w:color w:val="auto"/>
        </w:rPr>
      </w:pPr>
    </w:p>
    <w:p>
      <w:pPr>
        <w:ind w:left="980" w:hanging="439"/>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w:t>
      </w:r>
    </w:p>
    <w:p>
      <w:pPr>
        <w:spacing w:after="0" w:line="130" w:lineRule="exact"/>
        <w:rPr>
          <w:rFonts w:ascii="Times New Roman" w:cs="Times New Roman" w:eastAsia="Times New Roman" w:hAnsi="Times New Roman"/>
          <w:sz w:val="18"/>
          <w:szCs w:val="18"/>
          <w:color w:val="auto"/>
        </w:rPr>
      </w:pPr>
    </w:p>
    <w:p>
      <w:pPr>
        <w:ind w:left="1520" w:right="60" w:hanging="533"/>
        <w:spacing w:after="0" w:line="282" w:lineRule="auto"/>
        <w:tabs>
          <w:tab w:leader="none" w:pos="15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waivers of defenses, subrogation and related rights, rights to trial by jury, rights to object to venue, or other rights or benefits bestowed by operation of law;</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52" w:name="page53"/>
    <w:bookmarkEnd w:id="52"/>
    <w:p>
      <w:pPr>
        <w:jc w:val="both"/>
        <w:ind w:left="1960" w:right="120" w:hanging="533"/>
        <w:spacing w:after="0" w:line="266" w:lineRule="auto"/>
        <w:tabs>
          <w:tab w:leader="none" w:pos="19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 contribution, or exculpation provisions, or provisions for the non-survival of representations, to the extent they purport to indemnify any party against, or release or limit any party’s liability for, its own breach or failure to comply with statutory obligations, or to the extent such provisions are contrary to public policy;</w:t>
      </w:r>
    </w:p>
    <w:p>
      <w:pPr>
        <w:spacing w:after="0" w:line="81"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liquidated damages and penalties, penalty interest and interest on interest;</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requiring amendments and waivers to be in writing;</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making notices effective even if not actually received; or</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purporting to make a party’s determination conclusive.</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any state securities or blue sky laws, rules or regulations or as to any federal or state anti-fraud statute, rule or regulation. To the extent we are passing upon the compliance of the Documents and the transactions contemplated thereby with federal securities laws, we have necessarily assumed the accuracy, completeness and fairness of the statements made or included in the General Disclosure Package and the Prospectus, except as set forth in our opinions in paragraphs 6 and 7 above.</w:t>
      </w:r>
    </w:p>
    <w:p>
      <w:pPr>
        <w:spacing w:after="0" w:line="71"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any legal requirements or restrictions applicable to the Underwriters or any investor.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opinions in paragraphs 9 and 10 above are limited to laws and regulations that in our experience are normally applicable to</w:t>
      </w:r>
    </w:p>
    <w:p>
      <w:pPr>
        <w:spacing w:after="0" w:line="27" w:lineRule="exact"/>
        <w:rPr>
          <w:rFonts w:ascii="Times New Roman" w:cs="Times New Roman" w:eastAsia="Times New Roman" w:hAnsi="Times New Roman"/>
          <w:sz w:val="18"/>
          <w:szCs w:val="18"/>
          <w:color w:val="auto"/>
        </w:rPr>
      </w:pPr>
    </w:p>
    <w:p>
      <w:pPr>
        <w:ind w:left="4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of the type contemplated by the Documents and do not extend to laws or regulations relating to, or to licenses, permits, approvals and filings necessary for, the conduct of the Company’s business or to any environmental laws or regulations.</w:t>
      </w:r>
    </w:p>
    <w:p>
      <w:pPr>
        <w:spacing w:after="0" w:line="73"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1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set forth in paragraph 7 above, we express no opinion as to any tax laws or the Employee Retirement Income Security Act of 1974, as amended, or any comparable state law.</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addition, in accordance with our understanding with the Company as to the scope of our services in connection with the offering of the Notes, as special counsel to the Company, we reviewed the Registration Statement, the General Disclosure Package and the Prospectus and participated in discussions with your representatives and those of the Company, your counsel and the Company’s accountants. On the basis of the information which was reviewed by us in the course of the performance of the services referred to above, considered in the light of our understanding of the applicable law and the experience we have gained through our practice</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70" w:right="519" w:bottom="1440" w:gutter="0" w:footer="0" w:header="0"/>
        </w:sectPr>
      </w:pPr>
    </w:p>
    <w:bookmarkStart w:id="53" w:name="page54"/>
    <w:bookmarkEnd w:id="5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the federal securities laws, we confirm to you that nothing which came to our attention in the course of such review has caused us to believe that:</w:t>
      </w:r>
    </w:p>
    <w:p>
      <w:pPr>
        <w:spacing w:after="0" w:line="27" w:lineRule="exact"/>
        <w:rPr>
          <w:sz w:val="20"/>
          <w:szCs w:val="20"/>
          <w:color w:val="auto"/>
        </w:rPr>
      </w:pPr>
    </w:p>
    <w:p>
      <w:pPr>
        <w:ind w:left="4" w:right="40" w:hanging="4"/>
        <w:spacing w:after="0" w:line="252" w:lineRule="auto"/>
        <w:tabs>
          <w:tab w:leader="none" w:pos="24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the date of effectiveness of the Registration Statement as provided in Rule 430B(f)(2) of the Securities Act, contained any untrue statement of a material fact or omitted to state any material fact required to be stated therein or necessary to make the statements therein not misleading, (b) the General Disclosure Package, as of the Time of Sale, contained any untrue statement of a material fact or omitted to state any material fact necessary to make the statements therein, in the light of the circumstances under which they were made, not misleading; or (c) the Prospectus, as of its date or as of the date hereof, contained or contains any untrue statement of a material fact or omitted or omits to state any material fact necessary to make the statements therein, in the light of the circumstances under which they were made, not misleading.</w:t>
      </w:r>
    </w:p>
    <w:p>
      <w:pPr>
        <w:spacing w:after="0" w:line="190"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The limitations inherent in the independent verification of factual matters and the character of determinations involved in the registration process are such, however, that we do not assume any responsibility for the accuracy, completeness or fairness of the statements contained in the Registration Statement, General Disclosure Package or the Prospectus, except as specified in paragraphs 6 and 7 above. Also, we do not express any opinion or belief as to the financial statements, including the notes thereto, and the other financial data included or deemed incorporated by reference in the Registration Statement, the General Disclosure Package or the Prospectus or with respect to the Statement of Eligibility on Form T-1 filed as Exhibit 25.1 to the Registration Statement.</w:t>
      </w:r>
    </w:p>
    <w:p>
      <w:pPr>
        <w:spacing w:after="0" w:line="187"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We are members of the bar of the District of Columbia and the State of New York. We do not express any opinion herein on any law other than the law of the State of New York and, to the extent expressly referred to herein, the federal law of the United States of America.</w:t>
      </w:r>
    </w:p>
    <w:p>
      <w:pPr>
        <w:spacing w:after="0" w:line="162"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This letter is given to you as Representatives of the several Underwriters and is solely for the benefit of the Underwriters. It may not be disclosed to or relied upon any other person without our written consent.</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OPINION OF</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DEPUTY GENERAL COUNSEL OF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[Closing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Managing Underwriters]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Representatives of the Underwriters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set forth on Schedule [__] of the Underwriting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[c/o][name of lead manager]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lead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This opinion is being rendered to the Underwriters (as defined below) pursuant to the Underwriting Agreement (the “</w:t>
      </w:r>
      <w:r>
        <w:rPr>
          <w:rFonts w:ascii="Times New Roman" w:cs="Times New Roman" w:eastAsia="Times New Roman" w:hAnsi="Times New Roman"/>
          <w:sz w:val="17"/>
          <w:szCs w:val="17"/>
          <w:u w:val="single" w:color="auto"/>
          <w:color w:val="auto"/>
        </w:rPr>
        <w:t>Underwriting Agreement</w:t>
      </w:r>
      <w:r>
        <w:rPr>
          <w:rFonts w:ascii="Times New Roman" w:cs="Times New Roman" w:eastAsia="Times New Roman" w:hAnsi="Times New Roman"/>
          <w:sz w:val="17"/>
          <w:szCs w:val="17"/>
          <w:color w:val="auto"/>
        </w:rPr>
        <w:t>”), dated_______, 20__, between Eli Lilly and Company (the “Company”) and the underwriters named therein (the “</w:t>
      </w:r>
      <w:r>
        <w:rPr>
          <w:rFonts w:ascii="Times New Roman" w:cs="Times New Roman" w:eastAsia="Times New Roman" w:hAnsi="Times New Roman"/>
          <w:sz w:val="17"/>
          <w:szCs w:val="17"/>
          <w:u w:val="single" w:color="auto"/>
          <w:color w:val="auto"/>
        </w:rPr>
        <w:t>Underwriters</w:t>
      </w:r>
      <w:r>
        <w:rPr>
          <w:rFonts w:ascii="Times New Roman" w:cs="Times New Roman" w:eastAsia="Times New Roman" w:hAnsi="Times New Roman"/>
          <w:sz w:val="17"/>
          <w:szCs w:val="17"/>
          <w:color w:val="auto"/>
        </w:rPr>
        <w:t>”), pursuant to which the</w:t>
      </w:r>
    </w:p>
    <w:p>
      <w:pPr>
        <w:spacing w:after="0" w:line="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Underwriters severally agreed to purchase, and the Company agreed to sell to the Underwriters, $[amount] aggregate principal amount of the Company’s [designation of security]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 am the Secretary and Deputy General Counsel of the Company. This opinion is being rendered to the Underwriters and the Trustee (as defined below) at the request of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examined the corporate proceedings of the Company with respect to:</w:t>
      </w:r>
    </w:p>
    <w:p>
      <w:pPr>
        <w:spacing w:after="0" w:line="117" w:lineRule="exact"/>
        <w:rPr>
          <w:sz w:val="20"/>
          <w:szCs w:val="20"/>
          <w:color w:val="auto"/>
        </w:rPr>
      </w:pPr>
    </w:p>
    <w:p>
      <w:pPr>
        <w:ind w:left="680" w:hanging="244"/>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of the Company pursuant to its Amended Articles of Incorporation;</w:t>
      </w:r>
    </w:p>
    <w:p>
      <w:pPr>
        <w:spacing w:after="0" w:line="225"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of the execution by the Company of (1) the Indenture (the “Indenture”), dated as of February 1, 1991, between the Company and Deutsche Bank Trust Company Americas, as successor trustee (the “Trustee”) to Citibank, N.A., the original trustee and (2) the Underwriting Agreement;</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of the issuance of the Notes under the Indenture;</w:t>
      </w:r>
    </w:p>
    <w:p>
      <w:pPr>
        <w:sectPr>
          <w:pgSz w:w="11900" w:h="16838" w:orient="portrait"/>
          <w:cols w:equalWidth="0" w:num="1">
            <w:col w:w="11020"/>
          </w:cols>
          <w:pgMar w:left="440" w:top="266" w:right="439" w:bottom="1440" w:gutter="0" w:footer="0" w:header="0"/>
        </w:sectPr>
      </w:pPr>
    </w:p>
    <w:bookmarkStart w:id="55" w:name="page56"/>
    <w:bookmarkEnd w:id="55"/>
    <w:p>
      <w:pPr>
        <w:ind w:left="704" w:hanging="264"/>
        <w:spacing w:after="0"/>
        <w:tabs>
          <w:tab w:leader="none" w:pos="70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authorization of the sale of the Notes in accordance with the provisions of the Underwriting Agreement;</w:t>
      </w:r>
    </w:p>
    <w:p>
      <w:pPr>
        <w:spacing w:after="0" w:line="225" w:lineRule="exact"/>
        <w:rPr>
          <w:rFonts w:ascii="Times New Roman" w:cs="Times New Roman" w:eastAsia="Times New Roman" w:hAnsi="Times New Roman"/>
          <w:sz w:val="18"/>
          <w:szCs w:val="18"/>
          <w:color w:val="auto"/>
        </w:rPr>
      </w:pPr>
    </w:p>
    <w:p>
      <w:pPr>
        <w:ind w:left="4" w:right="120" w:firstLine="436"/>
        <w:spacing w:after="0" w:line="281" w:lineRule="auto"/>
        <w:tabs>
          <w:tab w:leader="none" w:pos="689"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Registration Statement on Form S-3 (File No. 333-_______) relating to the registration under the Securities Act of 1933, as amended (the “Act”), of the offer and sale of certain debt securities (including the Notes) of the Company, as filed by the Company with the Securities and Exchange Commission (the “Commission”) on _______, 20__, including the exhibits thereto and the Incorporated Documents (as defined below) (such Registration Statement, at the time it became effective on _______, 20__, being hereinafter called the “Registration Statement”);</w:t>
      </w:r>
    </w:p>
    <w:p>
      <w:pPr>
        <w:spacing w:after="0" w:line="164"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prospectus, dated _______, 20__, as filed by the Company with the Commission pursuant to Rule 424(b) under the Act on _______,</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20__ (such prospectus, including the Incorporated Documents, being hereinafter called the “Base Prospectus”);</w:t>
      </w:r>
    </w:p>
    <w:p>
      <w:pPr>
        <w:spacing w:after="0" w:line="206"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69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preliminary prospectus supplement, dated _______, 20__, as filed by the Company with the Commission pursuant to Rule 424(b) under the Act on ________, 20__ (such preliminary prospectus supplement, including the Base Prospectus attached thereto and the Incorporated Documents, being hereinafter called the “Preliminary Prospectus”); and</w:t>
      </w:r>
    </w:p>
    <w:p>
      <w:pPr>
        <w:spacing w:after="0" w:line="175" w:lineRule="exact"/>
        <w:rPr>
          <w:rFonts w:ascii="Times New Roman" w:cs="Times New Roman" w:eastAsia="Times New Roman" w:hAnsi="Times New Roman"/>
          <w:sz w:val="18"/>
          <w:szCs w:val="18"/>
          <w:color w:val="auto"/>
        </w:rPr>
      </w:pPr>
    </w:p>
    <w:p>
      <w:pPr>
        <w:ind w:left="4" w:right="240" w:firstLine="436"/>
        <w:spacing w:after="0" w:line="266" w:lineRule="auto"/>
        <w:tabs>
          <w:tab w:leader="none" w:pos="69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final prospectus supplement, dated _______, 20__, as filed by the Company with the Commission pursuant to Rule 424(b) under the Act on _______, 20__ (such final prospectus supplement, including the Base Prospectus attached thereto and the Incorporated Documents, being hereinafter called the “Prospectus”).</w:t>
      </w:r>
    </w:p>
    <w:p>
      <w:pPr>
        <w:spacing w:after="0" w:line="176"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color w:val="auto"/>
        </w:rPr>
        <w:t>As used herein, the term “Incorporated Documents,” when used with respect to the Registration Statement, the Base Prospectus, the Preliminary Prospectus or the Prospectus, as the case may be, means the documents filed by the Company with the Commission subsequent to December 31, 20__ and incorporated or deemed to be incorporated by reference in the Registration Statement, the Base Prospectus, the Preliminary Prospectus or the Prospectus, as the case may be, as of such date pursuant to Item 12 of Form S-3.</w:t>
      </w:r>
    </w:p>
    <w:p>
      <w:pPr>
        <w:spacing w:after="0" w:line="180"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In preparing this opinion, I have examined and relied upon, among other things, such certificates of public officials and of officers and employees of the Company and such originals or copies, certified or otherwise identified to my satisfaction, of corporate documents and records of the Company as I deemed necessary or appropriate for the purposes hereof.</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4"/>
          </w:cols>
          <w:pgMar w:left="436" w:top="270" w:right="519" w:bottom="1440" w:gutter="0" w:footer="0" w:header="0"/>
        </w:sectPr>
      </w:pPr>
    </w:p>
    <w:bookmarkStart w:id="56" w:name="page57"/>
    <w:bookmarkEnd w:id="56"/>
    <w:p>
      <w:pPr>
        <w:ind w:left="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basis of, and in reliance on, the foregoing and subject to the assumptions, exceptions, qualifications and limitations contained herein, I am of the opinion that:</w:t>
      </w:r>
    </w:p>
    <w:p>
      <w:pPr>
        <w:spacing w:after="0" w:line="67" w:lineRule="exact"/>
        <w:rPr>
          <w:sz w:val="20"/>
          <w:szCs w:val="20"/>
          <w:color w:val="auto"/>
        </w:rPr>
      </w:pPr>
    </w:p>
    <w:p>
      <w:pPr>
        <w:ind w:left="424" w:right="120" w:hanging="424"/>
        <w:spacing w:after="0" w:line="266"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in, and is a validly existing corporation under the laws of, the State of Indiana and has the corporate power and authority to carry on its business which it is now conducting and to own or lease and operate its assets and properties, as described in the Prospectus.</w:t>
      </w:r>
    </w:p>
    <w:p>
      <w:pPr>
        <w:spacing w:after="0" w:line="81" w:lineRule="exact"/>
        <w:rPr>
          <w:rFonts w:ascii="Times New Roman" w:cs="Times New Roman" w:eastAsia="Times New Roman" w:hAnsi="Times New Roman"/>
          <w:sz w:val="18"/>
          <w:szCs w:val="18"/>
          <w:color w:val="auto"/>
        </w:rPr>
      </w:pPr>
    </w:p>
    <w:p>
      <w:pPr>
        <w:ind w:left="424" w:right="40" w:hanging="424"/>
        <w:spacing w:after="0" w:line="266"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or approval by, notice to, or registration with any governmental authority of the State of Indiana (other than compliance with the blue sky or securities laws, as to which I give no opinion) is required on the part of the Company in connection with the consummation by the Company of the transactions contemplated by the Underwriting Agreement, the Indenture and the Notes.</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and the Underwriting Agreement have been duly and validly authorized, executed and delivered by the Company.</w:t>
      </w:r>
    </w:p>
    <w:p>
      <w:pPr>
        <w:spacing w:after="0" w:line="130" w:lineRule="exact"/>
        <w:rPr>
          <w:rFonts w:ascii="Times New Roman" w:cs="Times New Roman" w:eastAsia="Times New Roman" w:hAnsi="Times New Roman"/>
          <w:sz w:val="18"/>
          <w:szCs w:val="18"/>
          <w:color w:val="auto"/>
        </w:rPr>
      </w:pPr>
    </w:p>
    <w:p>
      <w:pPr>
        <w:jc w:val="both"/>
        <w:ind w:left="424" w:right="560" w:hanging="424"/>
        <w:spacing w:after="0" w:line="282"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the Notes by the Company pursuant to the Underwriting Agreement have been duly and validly authorized by all necessary corporate action on the part of the Company and the Notes have been duly and validly executed and delivered by the Company.</w:t>
      </w:r>
    </w:p>
    <w:p>
      <w:pPr>
        <w:spacing w:after="0" w:line="67" w:lineRule="exact"/>
        <w:rPr>
          <w:rFonts w:ascii="Times New Roman" w:cs="Times New Roman" w:eastAsia="Times New Roman" w:hAnsi="Times New Roman"/>
          <w:sz w:val="18"/>
          <w:szCs w:val="18"/>
          <w:color w:val="auto"/>
        </w:rPr>
      </w:pPr>
    </w:p>
    <w:p>
      <w:pPr>
        <w:jc w:val="both"/>
        <w:ind w:left="424" w:hanging="424"/>
        <w:spacing w:after="0" w:line="266"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filing of the Registration Statement or the Indenture by the Company, the execution, issuance and delivery of the Notes by the Company nor the consummation by the Company of the transactions contemplated by the Underwriting Agreement, nor compliance by the Company with any of the provisions thereof, will:</w:t>
      </w:r>
    </w:p>
    <w:p>
      <w:pPr>
        <w:spacing w:after="0" w:line="81" w:lineRule="exact"/>
        <w:rPr>
          <w:rFonts w:ascii="Times New Roman" w:cs="Times New Roman" w:eastAsia="Times New Roman" w:hAnsi="Times New Roman"/>
          <w:sz w:val="18"/>
          <w:szCs w:val="18"/>
          <w:color w:val="auto"/>
        </w:rPr>
      </w:pPr>
    </w:p>
    <w:p>
      <w:pPr>
        <w:ind w:left="964" w:hanging="532"/>
        <w:spacing w:after="0" w:line="256" w:lineRule="auto"/>
        <w:tabs>
          <w:tab w:leader="none" w:pos="96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or result in a breach of any provision of, or constitute a default (or an event which, with notice or lapse of time or both, would constitute a default) under, or result in the termination of, or accelerate the performance required by, or subject any of the properties or assets of the Company or any of its significant subsidiaries (as defined in Rule 1-02(w) of Regulation S-X under the Act) to any encumbrance, easement or other restriction that would detract materially from its value or materially impair its use in the operation of the Company’s business pursuant to any of the terms, conditions or provisions of, (i) the Amended Articles of Incorporation or the By-laws of the Company or the corresponding charter documents of its significant subsidiaries (as</w:t>
      </w:r>
    </w:p>
    <w:p>
      <w:pPr>
        <w:spacing w:after="0" w:line="120"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4"/>
          </w:cols>
          <w:pgMar w:left="436" w:top="270" w:right="539" w:bottom="1440" w:gutter="0" w:footer="0" w:header="0"/>
        </w:sectPr>
      </w:pPr>
    </w:p>
    <w:bookmarkStart w:id="57" w:name="page58"/>
    <w:bookmarkEnd w:id="57"/>
    <w:p>
      <w:pPr>
        <w:ind w:left="98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defined in Rule 1-02(w) of Regulation S-X under the Act) or (ii) to my knowledge, any note, bond, mortgage, indenture, deed of trust, license, agreement or other instrument or obligation known to me to which the Company or any of its significant subsidiaries (as defined in Rule 1-02(w) of Regulation S-X under the Act) is a party or by which they or any of their respective properties or assets may be bound or affected; or</w:t>
      </w:r>
    </w:p>
    <w:p>
      <w:pPr>
        <w:spacing w:after="0" w:line="85" w:lineRule="exact"/>
        <w:rPr>
          <w:sz w:val="20"/>
          <w:szCs w:val="20"/>
          <w:color w:val="auto"/>
        </w:rPr>
      </w:pPr>
    </w:p>
    <w:p>
      <w:pPr>
        <w:ind w:left="964" w:right="60" w:hanging="532"/>
        <w:spacing w:after="0" w:line="266" w:lineRule="auto"/>
        <w:tabs>
          <w:tab w:leader="none" w:pos="96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statute, rule or regulation of the State of Indiana (other than Indiana securities or blue sky laws, as to which I give no opinion) or, to my knowledge, any order, writ, injunction or decree applicable to the Company, any of its significant subsidiaries (as defined in Rule 1-02(w) of Regulation S-X under the Act) or any of their respective properties or assets.</w:t>
      </w:r>
    </w:p>
    <w:p>
      <w:pPr>
        <w:spacing w:after="0" w:line="202" w:lineRule="exact"/>
        <w:rPr>
          <w:rFonts w:ascii="Times New Roman" w:cs="Times New Roman" w:eastAsia="Times New Roman" w:hAnsi="Times New Roman"/>
          <w:sz w:val="18"/>
          <w:szCs w:val="18"/>
          <w:color w:val="auto"/>
        </w:rPr>
      </w:pPr>
    </w:p>
    <w:p>
      <w:pPr>
        <w:ind w:left="424" w:right="200" w:hanging="424"/>
        <w:spacing w:after="0" w:line="256"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of matters which have been brought to my attention, after due inquiry, and upon the basis of information furnished to me, after due inquiry, I am aware of no action, suit or proceeding pending or threatened against or affecting the Company or any of its significant subsidiaries (as defined in Rule 1-02(w) of Regulation S-X under the Act) or any of their respective properties before or by any court, governmental official, commission, board or other administrative agency, which would have a material adverse effect on the consolidated results of operations or financial position of the Company and its subsidiaries, taken as a whole, except as disclosed in the Registration Statement, the Preliminary Prospectus and the Prospectus.</w:t>
      </w:r>
    </w:p>
    <w:p>
      <w:pPr>
        <w:spacing w:after="0" w:line="214" w:lineRule="exact"/>
        <w:rPr>
          <w:rFonts w:ascii="Times New Roman" w:cs="Times New Roman" w:eastAsia="Times New Roman" w:hAnsi="Times New Roman"/>
          <w:sz w:val="18"/>
          <w:szCs w:val="18"/>
          <w:color w:val="auto"/>
        </w:rPr>
      </w:pPr>
    </w:p>
    <w:p>
      <w:pPr>
        <w:ind w:left="424" w:right="140" w:hanging="424"/>
        <w:spacing w:after="0" w:line="266"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in Item 3 of Part I of the Company’s annual report on Form 10-K for the year ended December 31, 20__ under the caption “Legal Proceedings” and in Item 15 of Part II of the Registration Statement, in each case insofar as such statements describe the provisions of laws or legal proceedings, fairly summarize in all material respects the matters referred to therein.</w:t>
      </w:r>
    </w:p>
    <w:p>
      <w:pPr>
        <w:spacing w:after="0" w:line="176" w:lineRule="exact"/>
        <w:rPr>
          <w:sz w:val="20"/>
          <w:szCs w:val="20"/>
          <w:color w:val="auto"/>
        </w:rPr>
      </w:pPr>
    </w:p>
    <w:p>
      <w:pPr>
        <w:ind w:left="4" w:right="80"/>
        <w:spacing w:after="0" w:line="312" w:lineRule="auto"/>
        <w:rPr>
          <w:sz w:val="20"/>
          <w:szCs w:val="20"/>
          <w:color w:val="auto"/>
        </w:rPr>
      </w:pPr>
      <w:r>
        <w:rPr>
          <w:rFonts w:ascii="Times New Roman" w:cs="Times New Roman" w:eastAsia="Times New Roman" w:hAnsi="Times New Roman"/>
          <w:sz w:val="17"/>
          <w:szCs w:val="17"/>
          <w:color w:val="auto"/>
        </w:rPr>
        <w:t>I am a member of the bar of the State of Indiana, and I express no opinion as to matters governed by the laws of any other jurisdiction (other than the federal laws of the United States of America), except that I express no opinion with respect to federal securities laws or state securities or blue sky laws.</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hereby consent that Covington &amp; Burling LLP and Davis Polk &amp; Wardwell LLP may rely upon this opinion as if it were addressed to them.</w:t>
      </w:r>
    </w:p>
    <w:p>
      <w:pPr>
        <w:spacing w:after="0" w:line="225"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The foregoing opinion is rendered as of the date hereof, and I assume no obligation to update such opinion to reflect any facts or circumstances which may hereafter come to my attention or any changes in the law which may hereafter occur.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58" w:name="page59"/>
    <w:bookmarkEnd w:id="58"/>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opinions expressed in this letter are solely for your benefit in connection with the issuance of the Notes and may not be used, disseminated or relied upon in any manner by you for any other purpose, or by any other person or entity for any purpose, without my prior written consent.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truly,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B. Lootens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 and Deputy General Counsel</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70" w:right="51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OPINION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[Closing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Managing Underwriters]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Representative[s] of the several Underwriters named in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[Schedule 1 to] the Underwriting Agreement referred to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[c/o][name of lead manager]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lead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160" w:firstLine="440"/>
        <w:spacing w:after="0" w:line="278" w:lineRule="auto"/>
        <w:rPr>
          <w:sz w:val="20"/>
          <w:szCs w:val="20"/>
          <w:color w:val="auto"/>
        </w:rPr>
      </w:pPr>
      <w:r>
        <w:rPr>
          <w:rFonts w:ascii="Times New Roman" w:cs="Times New Roman" w:eastAsia="Times New Roman" w:hAnsi="Times New Roman"/>
          <w:sz w:val="17"/>
          <w:szCs w:val="17"/>
          <w:color w:val="auto"/>
        </w:rPr>
        <w:t>We have acted as counsel for you and the other several Underwriters named in Schedule 1 (the “</w:t>
      </w:r>
      <w:r>
        <w:rPr>
          <w:rFonts w:ascii="Times New Roman" w:cs="Times New Roman" w:eastAsia="Times New Roman" w:hAnsi="Times New Roman"/>
          <w:sz w:val="17"/>
          <w:szCs w:val="17"/>
          <w:b w:val="1"/>
          <w:bCs w:val="1"/>
          <w:color w:val="auto"/>
        </w:rPr>
        <w:t>Underwriters</w:t>
      </w:r>
      <w:r>
        <w:rPr>
          <w:rFonts w:ascii="Times New Roman" w:cs="Times New Roman" w:eastAsia="Times New Roman" w:hAnsi="Times New Roman"/>
          <w:sz w:val="17"/>
          <w:szCs w:val="17"/>
          <w:color w:val="auto"/>
        </w:rPr>
        <w:t>”) to the Underwriting Agreement dated _______, 20__ (the “</w:t>
      </w:r>
      <w:r>
        <w:rPr>
          <w:rFonts w:ascii="Times New Roman" w:cs="Times New Roman" w:eastAsia="Times New Roman" w:hAnsi="Times New Roman"/>
          <w:sz w:val="17"/>
          <w:szCs w:val="17"/>
          <w:b w:val="1"/>
          <w:bCs w:val="1"/>
          <w:color w:val="auto"/>
        </w:rPr>
        <w:t>Underwriting Agreement</w:t>
      </w:r>
      <w:r>
        <w:rPr>
          <w:rFonts w:ascii="Times New Roman" w:cs="Times New Roman" w:eastAsia="Times New Roman" w:hAnsi="Times New Roman"/>
          <w:sz w:val="17"/>
          <w:szCs w:val="17"/>
          <w:color w:val="auto"/>
        </w:rPr>
        <w:t>”), including the Standard Provisions (Debt Securities) incorporated by reference therein dated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 20__, with Eli Lilly and Company, an Indiana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under which you and such other Underwriters have severally</w:t>
      </w:r>
    </w:p>
    <w:p>
      <w:pPr>
        <w:spacing w:after="0" w:line="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agreed to purchase from the Company $[amount] aggregate principal amount of its [designation of security]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The Notes are to be issued pursuant to the provisions of the Indenture dated as of February 1, 1991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Deutsche Bank Trust Company Americas, as successor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Citibank N.A. This opinion is being rendered to you pursuant to Section 4(f) of the Underwriting Agreement.</w:t>
      </w:r>
    </w:p>
    <w:p>
      <w:pPr>
        <w:spacing w:after="0" w:line="189"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We have examined originals or copies of such documents, corporate records, certificates of public officials and other instruments as we have deemed necessary or advisable for the purpose of rendering this opinion.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also reviewed the Company’s registration statement on Form S-3 (Registration No. 333-_____) [and Amendment(s) No. ___ thereto]</w:t>
      </w:r>
    </w:p>
    <w:p>
      <w:pPr>
        <w:spacing w:after="0" w:line="2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(including the documents incorporated by reference therein (the “</w:t>
      </w:r>
      <w:r>
        <w:rPr>
          <w:rFonts w:ascii="Times New Roman" w:cs="Times New Roman" w:eastAsia="Times New Roman" w:hAnsi="Times New Roman"/>
          <w:sz w:val="17"/>
          <w:szCs w:val="17"/>
          <w:b w:val="1"/>
          <w:bCs w:val="1"/>
          <w:color w:val="auto"/>
        </w:rPr>
        <w:t>Incorporated Documents</w:t>
      </w:r>
      <w:r>
        <w:rPr>
          <w:rFonts w:ascii="Times New Roman" w:cs="Times New Roman" w:eastAsia="Times New Roman" w:hAnsi="Times New Roman"/>
          <w:sz w:val="17"/>
          <w:szCs w:val="17"/>
          <w:color w:val="auto"/>
        </w:rPr>
        <w:t>”)) filed with the Securities and Exchange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pursuant to the provisions of the Securities Act of 1933, as amended (the “</w:t>
      </w:r>
      <w:r>
        <w:rPr>
          <w:rFonts w:ascii="Times New Roman" w:cs="Times New Roman" w:eastAsia="Times New Roman" w:hAnsi="Times New Roman"/>
          <w:sz w:val="17"/>
          <w:szCs w:val="17"/>
          <w:b w:val="1"/>
          <w:bCs w:val="1"/>
          <w:color w:val="auto"/>
        </w:rPr>
        <w:t>Act</w:t>
      </w:r>
      <w:r>
        <w:rPr>
          <w:rFonts w:ascii="Times New Roman" w:cs="Times New Roman" w:eastAsia="Times New Roman" w:hAnsi="Times New Roman"/>
          <w:sz w:val="17"/>
          <w:szCs w:val="17"/>
          <w:color w:val="auto"/>
        </w:rPr>
        <w:t>”), relating to the registration of securities (the “</w:t>
      </w:r>
      <w:r>
        <w:rPr>
          <w:rFonts w:ascii="Times New Roman" w:cs="Times New Roman" w:eastAsia="Times New Roman" w:hAnsi="Times New Roman"/>
          <w:sz w:val="17"/>
          <w:szCs w:val="17"/>
          <w:b w:val="1"/>
          <w:bCs w:val="1"/>
          <w:color w:val="auto"/>
        </w:rPr>
        <w:t>Shelf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 to be issued from time to time by the Company and have participated in the preparation of the preliminary prospectus supplement dated</w:t>
      </w:r>
    </w:p>
    <w:p>
      <w:pPr>
        <w:spacing w:after="0"/>
        <w:rPr>
          <w:sz w:val="20"/>
          <w:szCs w:val="20"/>
          <w:color w:val="auto"/>
        </w:rPr>
      </w:pPr>
      <w:r>
        <w:rPr>
          <w:rFonts w:ascii="Times New Roman" w:cs="Times New Roman" w:eastAsia="Times New Roman" w:hAnsi="Times New Roman"/>
          <w:sz w:val="18"/>
          <w:szCs w:val="18"/>
          <w:color w:val="auto"/>
        </w:rPr>
        <w:t>_______, 20__ (the “</w:t>
      </w:r>
      <w:r>
        <w:rPr>
          <w:rFonts w:ascii="Times New Roman" w:cs="Times New Roman" w:eastAsia="Times New Roman" w:hAnsi="Times New Roman"/>
          <w:sz w:val="18"/>
          <w:szCs w:val="18"/>
          <w:b w:val="1"/>
          <w:bCs w:val="1"/>
          <w:color w:val="auto"/>
        </w:rPr>
        <w:t>Preliminary Prospectus Supplement</w:t>
      </w:r>
      <w:r>
        <w:rPr>
          <w:rFonts w:ascii="Times New Roman" w:cs="Times New Roman" w:eastAsia="Times New Roman" w:hAnsi="Times New Roman"/>
          <w:sz w:val="18"/>
          <w:szCs w:val="18"/>
          <w:color w:val="auto"/>
        </w:rPr>
        <w:t>”) relating to the Securities, [list free writing prospectuses, if any, that form part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Package to be covered by the opinion] [and]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6"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prospectus supplement dated _________, 20__ relating to the Securities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The registration statement became effective</w:t>
      </w:r>
    </w:p>
    <w:p>
      <w:pPr>
        <w:spacing w:after="0" w:line="3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under the Act and the Indenture qualified under the Trust Indenture Act of 1939, as amended (the “</w:t>
      </w:r>
      <w:r>
        <w:rPr>
          <w:rFonts w:ascii="Times New Roman" w:cs="Times New Roman" w:eastAsia="Times New Roman" w:hAnsi="Times New Roman"/>
          <w:sz w:val="17"/>
          <w:szCs w:val="17"/>
          <w:b w:val="1"/>
          <w:bCs w:val="1"/>
          <w:color w:val="auto"/>
        </w:rPr>
        <w:t>Trust Indenture Act</w:t>
      </w:r>
      <w:r>
        <w:rPr>
          <w:rFonts w:ascii="Times New Roman" w:cs="Times New Roman" w:eastAsia="Times New Roman" w:hAnsi="Times New Roman"/>
          <w:sz w:val="17"/>
          <w:szCs w:val="17"/>
          <w:color w:val="auto"/>
        </w:rPr>
        <w:t>”), upon the filing of the registration statement with the Commission on date of filing pursuant to Rule 462(e). The registration statement [as amended] at the date of the Underwriting Agreement, including the Incorporated Documents and the information deemed to be part of the registration statement at the time of effectiveness pursuant to Rule 430B under the Act, is hereinafter referred to as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and the related prospectus (including the Incorporated Documents) dated ____________, 20__ relating to the Shelf Securities is hereinafter referred to as the “</w:t>
      </w:r>
      <w:r>
        <w:rPr>
          <w:rFonts w:ascii="Times New Roman" w:cs="Times New Roman" w:eastAsia="Times New Roman" w:hAnsi="Times New Roman"/>
          <w:sz w:val="17"/>
          <w:szCs w:val="17"/>
          <w:b w:val="1"/>
          <w:bCs w:val="1"/>
          <w:color w:val="auto"/>
        </w:rPr>
        <w:t>Basic Prospectus</w:t>
      </w:r>
      <w:r>
        <w:rPr>
          <w:rFonts w:ascii="Times New Roman" w:cs="Times New Roman" w:eastAsia="Times New Roman" w:hAnsi="Times New Roman"/>
          <w:sz w:val="17"/>
          <w:szCs w:val="17"/>
          <w:color w:val="auto"/>
        </w:rPr>
        <w:t>.” The Basic</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Prospectus, as supplemented by [the Preliminary Prospectus Supplement], together with the free writing prospectus[es] set forth in Schedule 3 to the Underwriting Agreement for the Securities are hereinafter called the “</w:t>
      </w:r>
      <w:r>
        <w:rPr>
          <w:rFonts w:ascii="Times New Roman" w:cs="Times New Roman" w:eastAsia="Times New Roman" w:hAnsi="Times New Roman"/>
          <w:sz w:val="18"/>
          <w:szCs w:val="18"/>
          <w:b w:val="1"/>
          <w:bCs w:val="1"/>
          <w:color w:val="auto"/>
        </w:rPr>
        <w:t>Disclosure Package</w:t>
      </w:r>
      <w:r>
        <w:rPr>
          <w:rFonts w:ascii="Times New Roman" w:cs="Times New Roman" w:eastAsia="Times New Roman" w:hAnsi="Times New Roman"/>
          <w:sz w:val="18"/>
          <w:szCs w:val="18"/>
          <w:color w:val="auto"/>
        </w:rPr>
        <w:t>.” The Basic Prospectus, as supplemented by the Prospectus Supplement, in the form first used to confirm sales of the Securities (or in the form first made available by the Company to the Underwriters to meet requests of purchasers of the Securities under Rule 173 under the Act), is hereinafter referred to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with or submitted to the Commission through its Electronic Data Gathering, Analysis and Retrieval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system (except for required EDGAR formatting changes) conform to the versions of such documents reviewed by us prior to such formatting,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but not defined herein are used as defined in the Underwriting Agreement.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40" w:top="266" w:right="539" w:bottom="1440" w:gutter="0" w:footer="0" w:header="0"/>
        </w:sectPr>
      </w:pPr>
    </w:p>
    <w:bookmarkStart w:id="61" w:name="page62"/>
    <w:bookmarkEnd w:id="6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Based upon the foregoing, and subject to the additional assumptions and qualifications set forth below, we are of the opinion that:</w:t>
      </w:r>
    </w:p>
    <w:p>
      <w:pPr>
        <w:spacing w:after="0" w:line="117" w:lineRule="exact"/>
        <w:rPr>
          <w:sz w:val="20"/>
          <w:szCs w:val="20"/>
          <w:color w:val="auto"/>
        </w:rPr>
      </w:pPr>
    </w:p>
    <w:p>
      <w:pPr>
        <w:ind w:left="440" w:right="40" w:firstLine="419"/>
        <w:spacing w:after="0" w:line="256" w:lineRule="auto"/>
        <w:tabs>
          <w:tab w:leader="none" w:pos="11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due authorization, execution and delivery by the Company, the Indenture is a valid and binding agreement of the Company, enforceable in accordance with its terms, subject to applicable bankruptcy, insolvency and similar laws affecting creditors’ rights generally, concepts of reasonableness and equitable principles of general applicability, provided that we express no opinion as to [(x)] the enforceability of any waiver of rights under any usury or stay law [or (y) the validity, legally binding effect or enforceability of any provision that permits holders to collect any portion of stated principal amount upon acceleration of the Notes to the extent determined to constitute unearned interest].</w:t>
      </w:r>
    </w:p>
    <w:p>
      <w:pPr>
        <w:spacing w:after="0" w:line="79" w:lineRule="exact"/>
        <w:rPr>
          <w:rFonts w:ascii="Times New Roman" w:cs="Times New Roman" w:eastAsia="Times New Roman" w:hAnsi="Times New Roman"/>
          <w:sz w:val="18"/>
          <w:szCs w:val="18"/>
          <w:color w:val="auto"/>
        </w:rPr>
      </w:pPr>
    </w:p>
    <w:p>
      <w:pPr>
        <w:ind w:left="440" w:right="120" w:firstLine="419"/>
        <w:spacing w:after="0" w:line="255" w:lineRule="auto"/>
        <w:tabs>
          <w:tab w:leader="none" w:pos="11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due authorization of the Notes by the Company, the Notes, when executed and authenticated in accordance with the provisions of the Indenture and delivered to and paid for by the Underwriters pursuant to the Underwriting Agreement, will be valid and binding obligations of the Company, enforceable in accordance with their terms, subject to applicable bankruptcy, insolvency and similar laws affecting creditors’ rights generally, concepts of reasonableness and equitable principles of general applicability, and will be entitled to the benefits of the Indenture, provided that we express no opinion as to [(x)] the enforceability of any waiver of rights under any usury or stay law or [(y) the validity, legally binding effect or enforceability of any provision that permits holders to collect any portion of stated principal amount upon acceleration of the Notes to the extent determined to constitute unearned interest].</w:t>
      </w:r>
    </w:p>
    <w:p>
      <w:pPr>
        <w:spacing w:after="0" w:line="18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We have considered the statements included in the Disclosure Package under the captions “[Description of the Notes,]” “[Underwriting,]” “[Description of Debt Securities]” and “[Plan of Distribution]” and in the Prospectus under the captions “[Description of the Notes,]” “[Underwriting,]” “[Description of Debt Securities]” and “[Plan of Distribution]” insofar as they summarize provisions of the Indenture, the Notes and the Underwriting Agreement. In our opinion, such statements fairly summarize these provisions in all material respects.</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rendering the opinions in paragraphs (1) and (2) above, we have assumed that each party to the Indenture, the Underwriting Agreement and the Notes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has been duly incorporated and is validly existing and in good standing under the laws of the jurisdiction of its organization. In addition, we have assumed that (i) the execution, delivery and performance by each party thereto of each Document to which it is a party, (a) are within its corporate powers, (b) 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provision of</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62" w:name="page63"/>
    <w:bookmarkEnd w:id="6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law or regulation or any judgment, injunction, order or decree or any agreement or other instrument binding upon such party and (ii) each Document (other than the Underwriting Agreement) is a valid, binding and enforceable agreement of each party thereto, (other than as expressly covered above in respect of the Company).</w:t>
      </w:r>
    </w:p>
    <w:p>
      <w:pPr>
        <w:spacing w:after="0" w:line="176"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We are members of the Bar of the State of New York and the foregoing opinion is limited to the laws of the State of New York and the federal laws of the United States of America. [Insofar as the foregoing opinion involves matters governed by the laws of Indiana, we have relied, without independent investigation, on the opinion of [name of counsel for the Company], counsel for the Company, delivered to you today pursuant to the Underwriting Agreement.]</w:t>
      </w:r>
    </w:p>
    <w:p>
      <w:pPr>
        <w:spacing w:after="0" w:line="180"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This opinion is rendered solely to you and the other several Underwriters in connection with the Underwriting Agreement. This opinion may not be relied upon by you for any other purpose or relied upon by any other person (including any person acquiring Securities from the several Underwriters) or furnished to any other person without our prior written consent.</w:t>
      </w:r>
    </w:p>
    <w:p>
      <w:pPr>
        <w:spacing w:after="0" w:line="17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10b-5 LETTER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[Closing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Managing Underwriters]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Representative[s] of the several Underwriters named in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[Schedule 1 to] the Underwriting Agreement referred to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[c/o][name of lead manager]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lead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160" w:firstLine="440"/>
        <w:spacing w:after="0" w:line="278" w:lineRule="auto"/>
        <w:rPr>
          <w:sz w:val="20"/>
          <w:szCs w:val="20"/>
          <w:color w:val="auto"/>
        </w:rPr>
      </w:pPr>
      <w:r>
        <w:rPr>
          <w:rFonts w:ascii="Times New Roman" w:cs="Times New Roman" w:eastAsia="Times New Roman" w:hAnsi="Times New Roman"/>
          <w:sz w:val="17"/>
          <w:szCs w:val="17"/>
          <w:color w:val="auto"/>
        </w:rPr>
        <w:t>We have acted as counsel for you and the other several Underwriters named in Schedule 1 (the “</w:t>
      </w:r>
      <w:r>
        <w:rPr>
          <w:rFonts w:ascii="Times New Roman" w:cs="Times New Roman" w:eastAsia="Times New Roman" w:hAnsi="Times New Roman"/>
          <w:sz w:val="17"/>
          <w:szCs w:val="17"/>
          <w:b w:val="1"/>
          <w:bCs w:val="1"/>
          <w:color w:val="auto"/>
        </w:rPr>
        <w:t>Underwriters</w:t>
      </w:r>
      <w:r>
        <w:rPr>
          <w:rFonts w:ascii="Times New Roman" w:cs="Times New Roman" w:eastAsia="Times New Roman" w:hAnsi="Times New Roman"/>
          <w:sz w:val="17"/>
          <w:szCs w:val="17"/>
          <w:color w:val="auto"/>
        </w:rPr>
        <w:t>”) to the Underwriting Agreement dated _______, 20__ (the “</w:t>
      </w:r>
      <w:r>
        <w:rPr>
          <w:rFonts w:ascii="Times New Roman" w:cs="Times New Roman" w:eastAsia="Times New Roman" w:hAnsi="Times New Roman"/>
          <w:sz w:val="17"/>
          <w:szCs w:val="17"/>
          <w:b w:val="1"/>
          <w:bCs w:val="1"/>
          <w:color w:val="auto"/>
        </w:rPr>
        <w:t>Underwriting Agreement</w:t>
      </w:r>
      <w:r>
        <w:rPr>
          <w:rFonts w:ascii="Times New Roman" w:cs="Times New Roman" w:eastAsia="Times New Roman" w:hAnsi="Times New Roman"/>
          <w:sz w:val="17"/>
          <w:szCs w:val="17"/>
          <w:color w:val="auto"/>
        </w:rPr>
        <w:t>”), including the Standard Provisions (Debt Securities) incorporated by reference therein dated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 20__, with Eli Lilly and Company, an Indiana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under which you and such other Underwriters have severally</w:t>
      </w:r>
    </w:p>
    <w:p>
      <w:pPr>
        <w:spacing w:after="0" w:line="9"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agreed to purchase from the Company $[amount] aggregate principal amount of its [designation of security]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This opinion is being rendered to you pursuant to Section 4(f) of the Underwriting Agreement.</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have reviewed the Company’s registration statement on Form S-3 (Registration No. 333-_____) [and Amendment Nos. ___ thereto] (including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incorporated by reference therein (the “</w:t>
      </w:r>
      <w:r>
        <w:rPr>
          <w:rFonts w:ascii="Times New Roman" w:cs="Times New Roman" w:eastAsia="Times New Roman" w:hAnsi="Times New Roman"/>
          <w:sz w:val="18"/>
          <w:szCs w:val="18"/>
          <w:b w:val="1"/>
          <w:bCs w:val="1"/>
          <w:color w:val="auto"/>
        </w:rPr>
        <w:t>Incorporated Documents</w:t>
      </w:r>
      <w:r>
        <w:rPr>
          <w:rFonts w:ascii="Times New Roman" w:cs="Times New Roman" w:eastAsia="Times New Roman" w:hAnsi="Times New Roman"/>
          <w:sz w:val="18"/>
          <w:szCs w:val="18"/>
          <w:color w:val="auto"/>
        </w:rPr>
        <w:t>”)) filed with the Securities and Exchange Commission (the</w:t>
      </w:r>
    </w:p>
    <w:p>
      <w:pPr>
        <w:spacing w:after="0" w:line="9"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pursuant to the provisions of the Securities Act of 1933, as amended (the “</w:t>
      </w:r>
      <w:r>
        <w:rPr>
          <w:rFonts w:ascii="Times New Roman" w:cs="Times New Roman" w:eastAsia="Times New Roman" w:hAnsi="Times New Roman"/>
          <w:sz w:val="17"/>
          <w:szCs w:val="17"/>
          <w:b w:val="1"/>
          <w:bCs w:val="1"/>
          <w:color w:val="auto"/>
        </w:rPr>
        <w:t>Act</w:t>
      </w:r>
      <w:r>
        <w:rPr>
          <w:rFonts w:ascii="Times New Roman" w:cs="Times New Roman" w:eastAsia="Times New Roman" w:hAnsi="Times New Roman"/>
          <w:sz w:val="17"/>
          <w:szCs w:val="17"/>
          <w:color w:val="auto"/>
        </w:rPr>
        <w:t>”), relating to the registration of securities (the “</w:t>
      </w:r>
      <w:r>
        <w:rPr>
          <w:rFonts w:ascii="Times New Roman" w:cs="Times New Roman" w:eastAsia="Times New Roman" w:hAnsi="Times New Roman"/>
          <w:sz w:val="17"/>
          <w:szCs w:val="17"/>
          <w:b w:val="1"/>
          <w:bCs w:val="1"/>
          <w:color w:val="auto"/>
        </w:rPr>
        <w:t>Shelf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 to be issued from time to time by the Company and have participated in the preparation of [the preliminary prospectus supplement dated</w:t>
      </w:r>
    </w:p>
    <w:p>
      <w:pPr>
        <w:spacing w:after="0"/>
        <w:rPr>
          <w:sz w:val="20"/>
          <w:szCs w:val="20"/>
          <w:color w:val="auto"/>
        </w:rPr>
      </w:pPr>
      <w:r>
        <w:rPr>
          <w:rFonts w:ascii="Times New Roman" w:cs="Times New Roman" w:eastAsia="Times New Roman" w:hAnsi="Times New Roman"/>
          <w:sz w:val="18"/>
          <w:szCs w:val="18"/>
          <w:color w:val="auto"/>
        </w:rPr>
        <w:t>_______, 20__ (the “</w:t>
      </w:r>
      <w:r>
        <w:rPr>
          <w:rFonts w:ascii="Times New Roman" w:cs="Times New Roman" w:eastAsia="Times New Roman" w:hAnsi="Times New Roman"/>
          <w:sz w:val="18"/>
          <w:szCs w:val="18"/>
          <w:b w:val="1"/>
          <w:bCs w:val="1"/>
          <w:color w:val="auto"/>
        </w:rPr>
        <w:t>Preliminary Prospectus Supplement</w:t>
      </w:r>
      <w:r>
        <w:rPr>
          <w:rFonts w:ascii="Times New Roman" w:cs="Times New Roman" w:eastAsia="Times New Roman" w:hAnsi="Times New Roman"/>
          <w:sz w:val="18"/>
          <w:szCs w:val="18"/>
          <w:color w:val="auto"/>
        </w:rPr>
        <w:t>”) relating to the Securities,] [list free writing prospectuses, if any, that form part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Package to be covered by the opinion] [and] the prospectus supplement dated _______, 20__ relating to the Securities (the “</w:t>
      </w:r>
      <w:r>
        <w:rPr>
          <w:rFonts w:ascii="Times New Roman" w:cs="Times New Roman" w:eastAsia="Times New Roman" w:hAnsi="Times New Roman"/>
          <w:sz w:val="18"/>
          <w:szCs w:val="18"/>
          <w:b w:val="1"/>
          <w:bCs w:val="1"/>
          <w:color w:val="auto"/>
        </w:rPr>
        <w:t>Prospectus</w:t>
      </w:r>
    </w:p>
    <w:p>
      <w:pPr>
        <w:spacing w:after="0" w:line="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b w:val="1"/>
          <w:bCs w:val="1"/>
          <w:color w:val="auto"/>
        </w:rPr>
        <w:t>Supplement</w:t>
      </w:r>
      <w:r>
        <w:rPr>
          <w:rFonts w:ascii="Times New Roman" w:cs="Times New Roman" w:eastAsia="Times New Roman" w:hAnsi="Times New Roman"/>
          <w:sz w:val="17"/>
          <w:szCs w:val="17"/>
          <w:color w:val="auto"/>
        </w:rPr>
        <w:t>”). The registration statement [as amended] at the date of the Underwriting Agreement, including the Incorporated Documents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information deemed to be part of the registration statement at the time of effectiveness pursuant to Rule 430B under the Act, is hereinafter referred to as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and the related prospectus (including the Incorporated Documents) dated _______, 20__ relating to the Shelf Securities</w:t>
      </w:r>
    </w:p>
    <w:p>
      <w:pPr>
        <w:ind w:right="20"/>
        <w:spacing w:after="0" w:line="253" w:lineRule="auto"/>
        <w:rPr>
          <w:sz w:val="20"/>
          <w:szCs w:val="20"/>
          <w:color w:val="auto"/>
        </w:rPr>
      </w:pPr>
      <w:r>
        <w:rPr>
          <w:rFonts w:ascii="Times New Roman" w:cs="Times New Roman" w:eastAsia="Times New Roman" w:hAnsi="Times New Roman"/>
          <w:sz w:val="18"/>
          <w:szCs w:val="18"/>
          <w:color w:val="auto"/>
        </w:rPr>
        <w:t>is hereinafter referred to as the “</w:t>
      </w:r>
      <w:r>
        <w:rPr>
          <w:rFonts w:ascii="Times New Roman" w:cs="Times New Roman" w:eastAsia="Times New Roman" w:hAnsi="Times New Roman"/>
          <w:sz w:val="18"/>
          <w:szCs w:val="18"/>
          <w:b w:val="1"/>
          <w:bCs w:val="1"/>
          <w:color w:val="auto"/>
        </w:rPr>
        <w:t>Basic Prospectus</w:t>
      </w:r>
      <w:r>
        <w:rPr>
          <w:rFonts w:ascii="Times New Roman" w:cs="Times New Roman" w:eastAsia="Times New Roman" w:hAnsi="Times New Roman"/>
          <w:sz w:val="18"/>
          <w:szCs w:val="18"/>
          <w:color w:val="auto"/>
        </w:rPr>
        <w:t>.” The Basic Prospectus, as supplemented by [the Preliminary Prospectus Supplement], together with the free writing prospectus[es] set forth in Schedule 3 to the Underwriting Agreement for the Securities are hereinafter called the “</w:t>
      </w:r>
      <w:r>
        <w:rPr>
          <w:rFonts w:ascii="Times New Roman" w:cs="Times New Roman" w:eastAsia="Times New Roman" w:hAnsi="Times New Roman"/>
          <w:sz w:val="18"/>
          <w:szCs w:val="18"/>
          <w:b w:val="1"/>
          <w:bCs w:val="1"/>
          <w:color w:val="auto"/>
        </w:rPr>
        <w:t>Disclosure Package</w:t>
      </w:r>
      <w:r>
        <w:rPr>
          <w:rFonts w:ascii="Times New Roman" w:cs="Times New Roman" w:eastAsia="Times New Roman" w:hAnsi="Times New Roman"/>
          <w:sz w:val="18"/>
          <w:szCs w:val="18"/>
          <w:color w:val="auto"/>
        </w:rPr>
        <w:t>.” The Basic Prospectus, as supplemented by the Prospectus Supplement, in the form first used to confirm sales of the Securities (or in the form first made available by the Company to the Underwriters to meet requests of purchasers of the Securities under Rule 173 under the Act), is hereinafter referred to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66" w:right="439" w:bottom="1440" w:gutter="0" w:footer="0" w:header="0"/>
        </w:sectPr>
      </w:pPr>
    </w:p>
    <w:bookmarkStart w:id="64" w:name="page65"/>
    <w:bookmarkEnd w:id="64"/>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have, without independent inquiry or investigation, assumed that all documents filed with or submitted to the Commission through its Electronic Data Gathering, Analysis and Retrieval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system (except for required EDGAR formatting changes) conform to the versions of such documents reviewed by us prior to such formatting.</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primary purpose of our professional engagement was not to establish or confirm factual matters or financial, accounting or quantitative information. Furthermore, many determinations involved in the preparation of the Registration Statement, the Disclosure Package and the Prospectus are of a wholly or partially non-legal character or relate to legal matters outside the scope of our opinion separately delivered to you today in respect of certain matters under the laws of the State of New York and the federal laws of the United States of America. As a result, we are not passing upon, and do not assume any responsibility for, the accuracy, completeness or fairness of the statements contained in the Registration Statement, the Disclosure Package or the Prospectus, and we have not ourselves checked the accuracy, completeness or fairness of, or otherwise verified, the information furnished in such documents (except to the extent expressly set forth in our opinion letter separately delivered to you today as to statements included in the Disclosure Package under the captions “[Description of the Notes,]” “[Underwriting,]” “[Description of Debt Securities]” and “[Plan of Distribution]” and in the Prospectus under the captions “[Description of the Notes,]” “[Underwriting,]” “[Description of Debt Securities]” and “[Plan of Distribution]”). However, in the course of our acting as counsel to you in connection with the review of the Registration Statement, the Disclosure Package and the Prospectus, we have generally reviewed and discussed with your representatives and with certain officers and employees of, and counsel and independent public accountants for, the Company the information furnished, whether or not subject to our check and verification. We have also reviewed and relied upon certain corporate records and documents, letters from counsel and accountants and oral and written statements of officers and other representatives of the Company and others as to the existence and consequence of certain factual and other matters.</w:t>
      </w:r>
    </w:p>
    <w:p>
      <w:pPr>
        <w:spacing w:after="0" w:line="197"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On the basis of the information gained in the course of the performance of the services rendered above, but without independent check or verification, except as stated above:</w:t>
      </w:r>
    </w:p>
    <w:p>
      <w:pPr>
        <w:spacing w:after="0" w:line="54" w:lineRule="exact"/>
        <w:rPr>
          <w:sz w:val="20"/>
          <w:szCs w:val="20"/>
          <w:color w:val="auto"/>
        </w:rPr>
      </w:pPr>
    </w:p>
    <w:p>
      <w:pPr>
        <w:ind w:right="80" w:firstLine="436"/>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the Prospectus appear on their face to be appropriately responsive in all material respects to the requirements of the Act and the applicable rules and regulations of the Commission thereunder and</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has come to our attention that causes us to believe that, insofar as relevant to the offering of the Securities:</w:t>
      </w:r>
    </w:p>
    <w:p>
      <w:pPr>
        <w:spacing w:after="0" w:line="225" w:lineRule="exact"/>
        <w:rPr>
          <w:sz w:val="20"/>
          <w:szCs w:val="20"/>
          <w:color w:val="auto"/>
        </w:rPr>
      </w:pPr>
    </w:p>
    <w:p>
      <w:pPr>
        <w:ind w:right="200" w:firstLine="436"/>
        <w:spacing w:after="0" w:line="282" w:lineRule="auto"/>
        <w:tabs>
          <w:tab w:leader="none" w:pos="68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the Underwriting Agreement, the Registration Statement contained any untrue statement of a material fact or omitted to state a material fact required to be stated therein or necessary to make the statements therein not misleading,</w:t>
      </w:r>
    </w:p>
    <w:p>
      <w:pPr>
        <w:spacing w:after="0" w:line="161" w:lineRule="exact"/>
        <w:rPr>
          <w:rFonts w:ascii="Times New Roman" w:cs="Times New Roman" w:eastAsia="Times New Roman" w:hAnsi="Times New Roman"/>
          <w:sz w:val="18"/>
          <w:szCs w:val="18"/>
          <w:color w:val="auto"/>
        </w:rPr>
      </w:pPr>
    </w:p>
    <w:p>
      <w:pPr>
        <w:ind w:right="220" w:firstLine="436"/>
        <w:spacing w:after="0" w:line="266" w:lineRule="auto"/>
        <w:tabs>
          <w:tab w:leader="none" w:pos="6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Sale, [[____] [a.m.][p.m.] (New York City time)], the Disclosure Package contained any untrue statement of a material fact or omitted to state a material fact necessary in order to make the statements therein, in the light of the circumstances under which they were made, not misleading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65" w:name="page66"/>
    <w:bookmarkEnd w:id="65"/>
    <w:p>
      <w:pPr>
        <w:ind w:firstLine="436"/>
        <w:spacing w:after="0" w:line="266" w:lineRule="auto"/>
        <w:tabs>
          <w:tab w:leader="none" w:pos="6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Prospectus as of the date of the Underwriting Agreement or as of the date hereof contained or contains any untrue statement of a material fact or omitted or omits to state a material fact necessary in order to make the statements therein, in the light of the circumstances under which they were made, not misleading.</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providing this letter to you and the other several Underwriters, we have not been called to pass upon, and we express no view regarding the financial statements or financial schedules or other financial or accounting data included in the Registration Statement, the Disclosure Package or the Prospectus or the Statement of Eligibility of the Trustee on Form T-1. In addition, we express no view as to the conveyance of the Disclosure Package or the information contained therein to investors.</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This letter is delivered solely to you and the other several Underwriters in connection with the Underwriting Agreement. This letter may not be relied upon by you or the other several Underwriters for any other purpose or relied upon by any other person (including any person acquiring Securities from the several Underwriters) or furnished to any other person without our prior written consent.</w:t>
      </w:r>
    </w:p>
    <w:p>
      <w:pPr>
        <w:spacing w:after="0" w:line="68"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u w:val="single" w:color="auto"/>
          <w:color w:val="auto"/>
        </w:rPr>
        <w:t>ELI LILLY AND COMPANY</w:t>
      </w:r>
    </w:p>
    <w:p>
      <w:pPr>
        <w:spacing w:after="0" w:line="12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Officers’ Certificate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3.01 of the Indenture</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2026</w:t>
      </w:r>
    </w:p>
    <w:p>
      <w:pPr>
        <w:spacing w:after="0" w:line="225"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The undersigned, Jon Haug, Senior Vice President, Treasurer and Corporate Finance and Investment Banking of Eli Lilly and Company, an Indiana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Christopher Anderson, Vice President, Leader of Corporate Securities and Assistant Secretary of the Company, pursuant to Section 3.01 of the Indenture, dated as of February 1, 1991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and Deutsche Bank Trust Company Americas (as successor to Citibank, N.A.),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as authorized by resolutions of the Board of Directors of the Company, dated August 12, 2025, and minutes of the Risk Management Committee of the Company at its meeting on April 27, 2026 (collectively,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Resolutions</w:t>
      </w:r>
      <w:r>
        <w:rPr>
          <w:rFonts w:ascii="Times New Roman" w:cs="Times New Roman" w:eastAsia="Times New Roman" w:hAnsi="Times New Roman"/>
          <w:sz w:val="18"/>
          <w:szCs w:val="18"/>
          <w:color w:val="auto"/>
        </w:rPr>
        <w:t>”), do hereby certify as follows:</w:t>
      </w:r>
    </w:p>
    <w:p>
      <w:pPr>
        <w:spacing w:after="0" w:line="79" w:lineRule="exact"/>
        <w:rPr>
          <w:sz w:val="20"/>
          <w:szCs w:val="20"/>
          <w:color w:val="auto"/>
        </w:rPr>
      </w:pPr>
    </w:p>
    <w:p>
      <w:pPr>
        <w:ind w:right="160" w:firstLine="987"/>
        <w:spacing w:after="0" w:line="258" w:lineRule="auto"/>
        <w:tabs>
          <w:tab w:leader="none" w:pos="120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hereby established six series of debt securities to be issued under the Indenture. The title of such series of the debt securities shall be (i) the “4.150% Notes due 2029” (the “</w:t>
      </w:r>
      <w:r>
        <w:rPr>
          <w:rFonts w:ascii="Times New Roman" w:cs="Times New Roman" w:eastAsia="Times New Roman" w:hAnsi="Times New Roman"/>
          <w:sz w:val="18"/>
          <w:szCs w:val="18"/>
          <w:u w:val="single" w:color="auto"/>
          <w:color w:val="auto"/>
        </w:rPr>
        <w:t>2029 Notes</w:t>
      </w:r>
      <w:r>
        <w:rPr>
          <w:rFonts w:ascii="Times New Roman" w:cs="Times New Roman" w:eastAsia="Times New Roman" w:hAnsi="Times New Roman"/>
          <w:sz w:val="18"/>
          <w:szCs w:val="18"/>
          <w:color w:val="auto"/>
        </w:rPr>
        <w:t>”), (ii) the “4.375% Notes due 2031” (the “</w:t>
      </w:r>
      <w:r>
        <w:rPr>
          <w:rFonts w:ascii="Times New Roman" w:cs="Times New Roman" w:eastAsia="Times New Roman" w:hAnsi="Times New Roman"/>
          <w:sz w:val="18"/>
          <w:szCs w:val="18"/>
          <w:u w:val="single" w:color="auto"/>
          <w:color w:val="auto"/>
        </w:rPr>
        <w:t>2031 Notes</w:t>
      </w:r>
      <w:r>
        <w:rPr>
          <w:rFonts w:ascii="Times New Roman" w:cs="Times New Roman" w:eastAsia="Times New Roman" w:hAnsi="Times New Roman"/>
          <w:sz w:val="18"/>
          <w:szCs w:val="18"/>
          <w:color w:val="auto"/>
        </w:rPr>
        <w:t>”), (iii) the “4.650% Notes due 2033” (the “</w:t>
      </w:r>
      <w:r>
        <w:rPr>
          <w:rFonts w:ascii="Times New Roman" w:cs="Times New Roman" w:eastAsia="Times New Roman" w:hAnsi="Times New Roman"/>
          <w:sz w:val="18"/>
          <w:szCs w:val="18"/>
          <w:u w:val="single" w:color="auto"/>
          <w:color w:val="auto"/>
        </w:rPr>
        <w:t>2033 Notes</w:t>
      </w:r>
      <w:r>
        <w:rPr>
          <w:rFonts w:ascii="Times New Roman" w:cs="Times New Roman" w:eastAsia="Times New Roman" w:hAnsi="Times New Roman"/>
          <w:sz w:val="18"/>
          <w:szCs w:val="18"/>
          <w:color w:val="auto"/>
        </w:rPr>
        <w:t>”), (iv) the “4.850% Notes due 2036” (the “</w:t>
      </w:r>
      <w:r>
        <w:rPr>
          <w:rFonts w:ascii="Times New Roman" w:cs="Times New Roman" w:eastAsia="Times New Roman" w:hAnsi="Times New Roman"/>
          <w:sz w:val="18"/>
          <w:szCs w:val="18"/>
          <w:u w:val="single" w:color="auto"/>
          <w:color w:val="auto"/>
        </w:rPr>
        <w:t>2036 Notes</w:t>
      </w:r>
      <w:r>
        <w:rPr>
          <w:rFonts w:ascii="Times New Roman" w:cs="Times New Roman" w:eastAsia="Times New Roman" w:hAnsi="Times New Roman"/>
          <w:sz w:val="18"/>
          <w:szCs w:val="18"/>
          <w:color w:val="auto"/>
        </w:rPr>
        <w:t>”), (v) the “5.600% Notes due 2056” (the “</w:t>
      </w:r>
      <w:r>
        <w:rPr>
          <w:rFonts w:ascii="Times New Roman" w:cs="Times New Roman" w:eastAsia="Times New Roman" w:hAnsi="Times New Roman"/>
          <w:sz w:val="18"/>
          <w:szCs w:val="18"/>
          <w:u w:val="single" w:color="auto"/>
          <w:color w:val="auto"/>
        </w:rPr>
        <w:t>2056 Notes</w:t>
      </w:r>
      <w:r>
        <w:rPr>
          <w:rFonts w:ascii="Times New Roman" w:cs="Times New Roman" w:eastAsia="Times New Roman" w:hAnsi="Times New Roman"/>
          <w:sz w:val="18"/>
          <w:szCs w:val="18"/>
          <w:color w:val="auto"/>
        </w:rPr>
        <w:t>”) and (vi) the “5.700% Notes due 2066” (the “</w:t>
      </w:r>
      <w:r>
        <w:rPr>
          <w:rFonts w:ascii="Times New Roman" w:cs="Times New Roman" w:eastAsia="Times New Roman" w:hAnsi="Times New Roman"/>
          <w:sz w:val="18"/>
          <w:szCs w:val="18"/>
          <w:u w:val="single" w:color="auto"/>
          <w:color w:val="auto"/>
        </w:rPr>
        <w:t>2066 Notes</w:t>
      </w:r>
      <w:r>
        <w:rPr>
          <w:rFonts w:ascii="Times New Roman" w:cs="Times New Roman" w:eastAsia="Times New Roman" w:hAnsi="Times New Roman"/>
          <w:sz w:val="18"/>
          <w:szCs w:val="18"/>
          <w:color w:val="auto"/>
        </w:rPr>
        <w:t>” and, collectively with the 2029 Notes, the 2031 Notes, the 2033 Notes, the 2036 Notes and the 2056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right="280" w:firstLine="987"/>
        <w:spacing w:after="0" w:line="266" w:lineRule="auto"/>
        <w:tabs>
          <w:tab w:leader="none" w:pos="125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six series of Notes shall be in the forms, and shall have the terms, set forth as Annex A-1, Annex A-2, Annex A-3, Annex A-4, Annex A-5 and Annex A-6, respectively, attached hereto. The Notes shall be issued in the form of Registered Securities and shall not be issued in the form of Bearer Securities.</w:t>
      </w:r>
    </w:p>
    <w:p>
      <w:pPr>
        <w:spacing w:after="0" w:line="175" w:lineRule="exact"/>
        <w:rPr>
          <w:rFonts w:ascii="Times New Roman" w:cs="Times New Roman" w:eastAsia="Times New Roman" w:hAnsi="Times New Roman"/>
          <w:sz w:val="18"/>
          <w:szCs w:val="18"/>
          <w:color w:val="auto"/>
        </w:rPr>
      </w:pPr>
    </w:p>
    <w:p>
      <w:pPr>
        <w:ind w:right="40" w:firstLine="987"/>
        <w:spacing w:after="0" w:line="271" w:lineRule="auto"/>
        <w:tabs>
          <w:tab w:leader="none" w:pos="130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initial limit upon the aggregate principal amount of the Notes that may be authenticated and delivered under the Indenture (except for Notes authenticated and delivered upon registration or transfer of, or in exchange for, or in lieu of, other Notes pursuant to Sections 3.04, 3.05, 3.06, 4.03 or 10.04 of the Indenture) is (i) Seven Hundred and Fifty Million Dollars ($750,000,000) with respect to the 2029 Notes, (ii) One Billion Five Hundred Million Dollars ($1,500,000,000) with respect to the 2031 Notes, (iii) One Billion Two Hundred and Fifty Million Dollars ($1,250,000,000) with respect to the 2033 Notes, (iv) One Billion Five Hundred Million Dollars ($1,500,000,000) with respect to the 2036 Notes, (v) One Billion Seven Hundred and Fifty Million Dollars ($1,750,000,000) with respect to the 2056 Notes and (vi) One Billion Dollars ($1,000,000,000) with respect to the 2066 Notes;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without the consent of the Holders of any Securities, the Company may at any time issue additional Securities having the same terms as the Notes of a particular series other than the date of original issuance and the first Interest Payment Date applicable to such additional Securities. Any such additional Securities shall constitute a single series of Securities with the applicable series of Notes under the Indenture.</w:t>
      </w:r>
    </w:p>
    <w:p>
      <w:pPr>
        <w:sectPr>
          <w:pgSz w:w="11900" w:h="16838" w:orient="portrait"/>
          <w:cols w:equalWidth="0" w:num="1">
            <w:col w:w="11020"/>
          </w:cols>
          <w:pgMar w:left="440" w:top="117" w:right="439" w:bottom="1440" w:gutter="0" w:footer="0" w:header="0"/>
        </w:sectPr>
      </w:pPr>
    </w:p>
    <w:bookmarkStart w:id="67" w:name="page68"/>
    <w:bookmarkEnd w:id="67"/>
    <w:p>
      <w:pPr>
        <w:ind w:right="20" w:firstLine="987"/>
        <w:spacing w:after="0" w:line="261" w:lineRule="auto"/>
        <w:tabs>
          <w:tab w:leader="none" w:pos="12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principal amount of the 2029 Notes shall be payable on May 20, 2029, the principal amount of the 2031 Notes shall be payable on May 20, 2031, the principal amount of the 2033 Notes shall be payable on May 20, 2033, the principal amount of the 2036 Notes shall be payable on May 20, 2036, the principal amount of the 2056 Notes shall be payable on May 20, 2056 and the principal amount of the 2066 Notes shall be payable on May 20, 2066, in each case, unless redeemed prior to such time in accordance with clause (xi) below.</w:t>
      </w:r>
    </w:p>
    <w:p>
      <w:pPr>
        <w:spacing w:after="0" w:line="179"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2029 Notes shall bear interest at the rate of 4.150% per annum, the 2031 Notes shall bear interest at the rate of 4.375% per annum, the 2033 Notes shall bear interest at the rate of 4.650% per annum, the 2036 Notes shall bear interest at the rate of 4.850% per annum, the 2056 Notes shall bear interest at the rate of 5.600% per annum and the 2066 Notes shall bear interest at the rate of 5.700% per annum, in each case, from May 20, 2026. The Interest Payment Dates for each series of Notes shall be May 20 and November 20 of each year, commencing November 20, 2026.</w:t>
      </w:r>
    </w:p>
    <w:p>
      <w:pPr>
        <w:spacing w:after="0" w:line="179" w:lineRule="exact"/>
        <w:rPr>
          <w:rFonts w:ascii="Times New Roman" w:cs="Times New Roman" w:eastAsia="Times New Roman" w:hAnsi="Times New Roman"/>
          <w:sz w:val="18"/>
          <w:szCs w:val="18"/>
          <w:color w:val="auto"/>
        </w:rPr>
      </w:pPr>
    </w:p>
    <w:p>
      <w:pPr>
        <w:ind w:right="60" w:firstLine="987"/>
        <w:spacing w:after="0" w:line="261" w:lineRule="auto"/>
        <w:tabs>
          <w:tab w:leader="none" w:pos="12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payable to the person in whose name a Note (or any Predecessor Security) is registered at the close of business on the Regular Record Date immediately preceding the applicable Interest Payment Date (or, in the case of Defaulted Interest, in the manner provided in Section 3.07 of the Indenture). The “Regular Record Date” for each series of Notes shall be May 5 and November 5 (whether or not a Business Day (as defined in each series of Notes)).</w:t>
      </w:r>
    </w:p>
    <w:p>
      <w:pPr>
        <w:spacing w:after="0" w:line="179"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denominated, and amounts due thereon shall be payable, solely in Dollars.</w:t>
      </w:r>
    </w:p>
    <w:p>
      <w:pPr>
        <w:spacing w:after="0" w:line="225" w:lineRule="exact"/>
        <w:rPr>
          <w:rFonts w:ascii="Times New Roman" w:cs="Times New Roman" w:eastAsia="Times New Roman" w:hAnsi="Times New Roman"/>
          <w:sz w:val="18"/>
          <w:szCs w:val="18"/>
          <w:color w:val="auto"/>
        </w:rPr>
      </w:pPr>
    </w:p>
    <w:p>
      <w:pPr>
        <w:ind w:right="140" w:firstLine="987"/>
        <w:spacing w:after="0" w:line="266" w:lineRule="auto"/>
        <w:tabs>
          <w:tab w:leader="none" w:pos="13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all times maintain a Place of Payment for the Notes in the Borough of Manhattan, the City of New York. The Company initially appoints Deutsche Bank Trust Company Americas, with a corporate trust office at 1 Columbus Circle, 4th Floor, New York, New York 10019, for such purpose.</w:t>
      </w:r>
    </w:p>
    <w:p>
      <w:pPr>
        <w:spacing w:after="0" w:line="17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hereby appointed as the initial Paying Agent and the initial Security Registrar with respect to each series of Notes.</w:t>
      </w:r>
    </w:p>
    <w:p>
      <w:pPr>
        <w:spacing w:after="0" w:line="225" w:lineRule="exact"/>
        <w:rPr>
          <w:rFonts w:ascii="Times New Roman" w:cs="Times New Roman" w:eastAsia="Times New Roman" w:hAnsi="Times New Roman"/>
          <w:sz w:val="18"/>
          <w:szCs w:val="18"/>
          <w:color w:val="auto"/>
        </w:rPr>
      </w:pPr>
    </w:p>
    <w:p>
      <w:pPr>
        <w:ind w:right="240" w:firstLine="987"/>
        <w:spacing w:after="0" w:line="282" w:lineRule="auto"/>
        <w:tabs>
          <w:tab w:leader="none" w:pos="12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not be subject to any sinking fund or analogous provisions, and no Holder of the Notes shall have any right to cause the Company to redeem any Notes at the option of the Holder.</w:t>
      </w:r>
    </w:p>
    <w:p>
      <w:pPr>
        <w:spacing w:after="0" w:line="161" w:lineRule="exact"/>
        <w:rPr>
          <w:rFonts w:ascii="Times New Roman" w:cs="Times New Roman" w:eastAsia="Times New Roman" w:hAnsi="Times New Roman"/>
          <w:sz w:val="18"/>
          <w:szCs w:val="18"/>
          <w:color w:val="auto"/>
        </w:rPr>
      </w:pPr>
    </w:p>
    <w:p>
      <w:pPr>
        <w:ind w:firstLine="987"/>
        <w:spacing w:after="0" w:line="258" w:lineRule="auto"/>
        <w:tabs>
          <w:tab w:leader="none" w:pos="12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series of Notes shall be redeemable, in whole or in part, at the option of the Company at any time at the redemption prices determined in accordance with, and upon the terms and the conditions set forth in, the applicable series of Notes and the Indenture. In addition, the 2029 Notes, 2031 Notes, 2033 Notes and 2036 Notes are subject to the Centessa Special Mandatory Redemption (as defined in each of the applicable series of Notes) and the terms specified in the applicable series of Notes shall govern such redemption. For the avoidance of doubt, an Officer’s Certificate shall be provided in connection with a Centessa Special Mandatory Redemption.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8" w:name="page69"/>
    <w:bookmarkEnd w:id="68"/>
    <w:p>
      <w:pPr>
        <w:jc w:val="both"/>
        <w:ind w:left="-40" w:right="40" w:firstLine="987"/>
        <w:spacing w:after="0" w:line="266" w:lineRule="auto"/>
        <w:tabs>
          <w:tab w:leader="none" w:pos="130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Notes shall be issuable in the form of Global Securities registered in the name of The Depository Trust Company, as Depositary, or its nominee. The Global Securities representing the Notes may be exchanged for definitive Notes only in the circumstances set forth in the seventh or eighth paragraphs of Section 3.05 of the Indenture and in accordance with Section 3.05 of the Indenture.</w:t>
      </w:r>
    </w:p>
    <w:p>
      <w:pPr>
        <w:spacing w:after="0" w:line="175" w:lineRule="exact"/>
        <w:rPr>
          <w:rFonts w:ascii="Times New Roman" w:cs="Times New Roman" w:eastAsia="Times New Roman" w:hAnsi="Times New Roman"/>
          <w:sz w:val="18"/>
          <w:szCs w:val="18"/>
          <w:color w:val="auto"/>
        </w:rPr>
      </w:pPr>
    </w:p>
    <w:p>
      <w:pPr>
        <w:ind w:left="-40" w:right="160" w:firstLine="987"/>
        <w:spacing w:after="0" w:line="282" w:lineRule="auto"/>
        <w:tabs>
          <w:tab w:leader="none" w:pos="135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issued in minimum denominations of two thousand Dollars ($2,000) and any integral multiples of one thousand Dollars ($1,000) in excess thereof.</w:t>
      </w:r>
    </w:p>
    <w:p>
      <w:pPr>
        <w:spacing w:after="0" w:line="161" w:lineRule="exact"/>
        <w:rPr>
          <w:rFonts w:ascii="Times New Roman" w:cs="Times New Roman" w:eastAsia="Times New Roman" w:hAnsi="Times New Roman"/>
          <w:sz w:val="18"/>
          <w:szCs w:val="18"/>
          <w:color w:val="auto"/>
        </w:rPr>
      </w:pPr>
    </w:p>
    <w:p>
      <w:pPr>
        <w:ind w:left="1340" w:hanging="393"/>
        <w:spacing w:after="0"/>
        <w:tabs>
          <w:tab w:leader="none" w:pos="13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12.02 of the Indenture shall be applicable to the Notes.</w:t>
      </w:r>
    </w:p>
    <w:p>
      <w:pPr>
        <w:spacing w:after="0" w:line="225" w:lineRule="exact"/>
        <w:rPr>
          <w:rFonts w:ascii="Times New Roman" w:cs="Times New Roman" w:eastAsia="Times New Roman" w:hAnsi="Times New Roman"/>
          <w:sz w:val="18"/>
          <w:szCs w:val="18"/>
          <w:color w:val="auto"/>
        </w:rPr>
      </w:pPr>
    </w:p>
    <w:p>
      <w:pPr>
        <w:ind w:left="1300" w:hanging="353"/>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rank equally and pari passu with all other unsecured and unsubordinated indebtedness of the Company.</w:t>
      </w:r>
    </w:p>
    <w:p>
      <w:pPr>
        <w:spacing w:after="0" w:line="225" w:lineRule="exact"/>
        <w:rPr>
          <w:rFonts w:ascii="Times New Roman" w:cs="Times New Roman" w:eastAsia="Times New Roman" w:hAnsi="Times New Roman"/>
          <w:sz w:val="18"/>
          <w:szCs w:val="18"/>
          <w:color w:val="auto"/>
        </w:rPr>
      </w:pPr>
    </w:p>
    <w:p>
      <w:pPr>
        <w:ind w:left="-40" w:right="360" w:firstLine="987"/>
        <w:spacing w:after="0" w:line="282" w:lineRule="auto"/>
        <w:tabs>
          <w:tab w:leader="none" w:pos="134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pay any additional amounts on the Notes to any Person, including any Holder who is not a United States Person, in respect of any tax, assessment or governmental charge withheld or deducted.</w:t>
      </w:r>
    </w:p>
    <w:p>
      <w:pPr>
        <w:spacing w:after="0" w:line="161" w:lineRule="exact"/>
        <w:rPr>
          <w:rFonts w:ascii="Times New Roman" w:cs="Times New Roman" w:eastAsia="Times New Roman" w:hAnsi="Times New Roman"/>
          <w:sz w:val="18"/>
          <w:szCs w:val="18"/>
          <w:color w:val="auto"/>
        </w:rPr>
      </w:pPr>
    </w:p>
    <w:p>
      <w:pPr>
        <w:ind w:left="1400" w:hanging="453"/>
        <w:spacing w:after="0"/>
        <w:tabs>
          <w:tab w:leader="none" w:pos="14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Notes, the following terms shall have the meanings set forth below:</w:t>
      </w:r>
    </w:p>
    <w:p>
      <w:pPr>
        <w:spacing w:after="0" w:line="117" w:lineRule="exact"/>
        <w:rPr>
          <w:rFonts w:ascii="Times New Roman" w:cs="Times New Roman" w:eastAsia="Times New Roman" w:hAnsi="Times New Roman"/>
          <w:sz w:val="18"/>
          <w:szCs w:val="18"/>
          <w:color w:val="auto"/>
        </w:rPr>
      </w:pPr>
    </w:p>
    <w:p>
      <w:pPr>
        <w:ind w:left="400" w:firstLine="419"/>
        <w:spacing w:after="0" w:line="253" w:lineRule="auto"/>
        <w:tabs>
          <w:tab w:leader="none" w:pos="107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Discharged</w:t>
      </w:r>
      <w:r>
        <w:rPr>
          <w:rFonts w:ascii="Times New Roman" w:cs="Times New Roman" w:eastAsia="Times New Roman" w:hAnsi="Times New Roman"/>
          <w:sz w:val="18"/>
          <w:szCs w:val="18"/>
          <w:color w:val="auto"/>
        </w:rPr>
        <w:t>” means that the Company will be deemed to have paid and discharged the entire indebtedness represented by, and obligations under, the Securities of the series as to which Section 12.02 of the Indenture is specified as applicable and to have satisfied all the obligations under the Indenture relating to the Securities of such series (and the Trustee, at the expense of the Company, will execute proper instruments acknowledging the same), except (A) the rights of Holders thereof to receive, from the trust fund described in Section 12.02(q)(1) of the Indenture, payment of the principal of and the interest, if any, on such Securities when such payments are due, (B) the Company’s obligations with respect to such Securities under Sections 3.05 and 3.06 (insofar as applicable to Securities of such series), 12.02 and 5.02 of the Indenture and the Company’s obligations to the Trustee under Section 7.05 of the Indenture, (C) the rights of Holders of Securities of any series with respect to the currency or currency units in which they are to receive payments of principal, premium, if any, and, interest and (D) the rights, powers, trusts, duties and immunities of the Trustee hereunder, will survive such discharge. The Company will reimburse the trust fund for any loss suffered by it as a result of any tax, fee or other charge imposed on or assessed against deposited U.S. Government Obligations or Foreign Government Securities, as the case may be, or any principal or interest paid on such obligations, and, subject to the provisions of Section 7.05 of the Indenture, will indemnify the Trustee against any claims made against the Trustee in connection with any such loss.</w:t>
      </w:r>
    </w:p>
    <w:p>
      <w:pPr>
        <w:spacing w:after="0" w:line="81" w:lineRule="exact"/>
        <w:rPr>
          <w:rFonts w:ascii="Times New Roman" w:cs="Times New Roman" w:eastAsia="Times New Roman" w:hAnsi="Times New Roman"/>
          <w:sz w:val="18"/>
          <w:szCs w:val="18"/>
          <w:color w:val="auto"/>
        </w:rPr>
      </w:pPr>
    </w:p>
    <w:p>
      <w:pPr>
        <w:ind w:left="1080" w:hanging="261"/>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when used with respect to any Security, means the Stated Maturity of an installment of interest on such</w:t>
      </w:r>
    </w:p>
    <w:p>
      <w:pPr>
        <w:spacing w:after="0" w:line="27"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w:t>
      </w:r>
    </w:p>
    <w:p>
      <w:pPr>
        <w:spacing w:after="0" w:line="98" w:lineRule="exact"/>
        <w:rPr>
          <w:rFonts w:ascii="Times New Roman" w:cs="Times New Roman" w:eastAsia="Times New Roman" w:hAnsi="Times New Roman"/>
          <w:sz w:val="18"/>
          <w:szCs w:val="18"/>
          <w:color w:val="auto"/>
        </w:rPr>
      </w:pPr>
    </w:p>
    <w:p>
      <w:pPr>
        <w:ind w:left="400" w:right="420" w:firstLine="419"/>
        <w:spacing w:after="0" w:line="282" w:lineRule="auto"/>
        <w:tabs>
          <w:tab w:leader="none" w:pos="107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Record Date</w:t>
      </w:r>
      <w:r>
        <w:rPr>
          <w:rFonts w:ascii="Times New Roman" w:cs="Times New Roman" w:eastAsia="Times New Roman" w:hAnsi="Times New Roman"/>
          <w:sz w:val="18"/>
          <w:szCs w:val="18"/>
          <w:color w:val="auto"/>
        </w:rPr>
        <w:t>” for the payment of any Defaulted Interest on the Registered Security of any series means a date fixed by the Trustee pursuant to Section 3.07 of the Indenture.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80" w:top="270" w:right="479" w:bottom="1440" w:gutter="0" w:footer="0" w:header="0"/>
        </w:sectPr>
      </w:pPr>
    </w:p>
    <w:bookmarkStart w:id="69" w:name="page70"/>
    <w:bookmarkEnd w:id="69"/>
    <w:p>
      <w:pPr>
        <w:ind w:firstLine="987"/>
        <w:spacing w:after="0" w:line="266" w:lineRule="auto"/>
        <w:tabs>
          <w:tab w:leader="none" w:pos="148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undersigned has read and understands the provisions of the Indenture setting forth the covenants and conditions relating to the authentication and delivery by the Trustee of the Notes, and in respect of compliance with which this certificate is being delivered, and all definitions in the Indenture relating thereto.</w:t>
      </w:r>
    </w:p>
    <w:p>
      <w:pPr>
        <w:spacing w:after="0" w:line="175" w:lineRule="exact"/>
        <w:rPr>
          <w:rFonts w:ascii="Times New Roman" w:cs="Times New Roman" w:eastAsia="Times New Roman" w:hAnsi="Times New Roman"/>
          <w:sz w:val="18"/>
          <w:szCs w:val="18"/>
          <w:color w:val="auto"/>
        </w:rPr>
      </w:pPr>
    </w:p>
    <w:p>
      <w:pPr>
        <w:ind w:right="100" w:firstLine="987"/>
        <w:spacing w:after="0" w:line="261" w:lineRule="auto"/>
        <w:tabs>
          <w:tab w:leader="none" w:pos="138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undersigned has examined the Board Resolutions adopted as of or prior to the date hereof relating to the issuance, execution, authentication, delivery and dating of the Notes, and such agreements, certificates of public officials, certificates of officers or other representatives of the Company and such other documents, certificates and corporate or other records as he or she has deemed necessary or appropriate as a basis for the opinion hereinafter expressed.</w:t>
      </w:r>
    </w:p>
    <w:p>
      <w:pPr>
        <w:spacing w:after="0" w:line="179" w:lineRule="exact"/>
        <w:rPr>
          <w:rFonts w:ascii="Times New Roman" w:cs="Times New Roman" w:eastAsia="Times New Roman" w:hAnsi="Times New Roman"/>
          <w:sz w:val="18"/>
          <w:szCs w:val="18"/>
          <w:color w:val="auto"/>
        </w:rPr>
      </w:pPr>
    </w:p>
    <w:p>
      <w:pPr>
        <w:ind w:right="220" w:firstLine="987"/>
        <w:spacing w:after="0" w:line="266" w:lineRule="auto"/>
        <w:tabs>
          <w:tab w:leader="none" w:pos="13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examinations or investigations described in paragraphs (xviii) and (xix) are sufficient to enable each of the undersigned to express an informed opinion as to whether or not the conditions precedent referred to above have been complied with in accordance with the terms of the Indenture.</w:t>
      </w:r>
    </w:p>
    <w:p>
      <w:pPr>
        <w:spacing w:after="0" w:line="175" w:lineRule="exact"/>
        <w:rPr>
          <w:rFonts w:ascii="Times New Roman" w:cs="Times New Roman" w:eastAsia="Times New Roman" w:hAnsi="Times New Roman"/>
          <w:sz w:val="18"/>
          <w:szCs w:val="18"/>
          <w:color w:val="auto"/>
        </w:rPr>
      </w:pPr>
    </w:p>
    <w:p>
      <w:pPr>
        <w:ind w:right="540" w:firstLine="987"/>
        <w:spacing w:after="0" w:line="266" w:lineRule="auto"/>
        <w:tabs>
          <w:tab w:leader="none" w:pos="138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each of the undersigned, all covenants and conditions precedent to the issuance by the Company and the authentication and delivery by the Trustee of the Notes, as requested in the order, dated as of the date hereof, pursuant to which the Company has requested that the Trustee authenticate and deliver the Notes, have been complied with in accordance with the terms of the Indenture.</w:t>
      </w:r>
    </w:p>
    <w:p>
      <w:pPr>
        <w:spacing w:after="0" w:line="1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Capitalized terms used herein without definition shall have the respective meanings ascribed to such terms in the Indenture.</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[The Remainder of This Page Intentionally Left Blank; Signature Page Follows]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hereunto set their hands on the date first set forth above.</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ELI LILLY AND 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 Haug</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Senior Vice President, Treasurer and Corporate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Finance and Investment Banking</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Christopher Anderson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Title: Vice President, Leader of Corporate Securities and</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Assistant Secretary</w:t>
      </w:r>
    </w:p>
    <w:p>
      <w:pPr>
        <w:sectPr>
          <w:pgSz w:w="11900" w:h="16838" w:orient="portrait"/>
          <w:cols w:equalWidth="0" w:num="1">
            <w:col w:w="9720"/>
          </w:cols>
          <w:pgMar w:left="1420" w:top="270" w:right="75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4.150% NOTE DUE 2029</w:t>
      </w:r>
    </w:p>
    <w:p>
      <w:pPr>
        <w:sectPr>
          <w:pgSz w:w="11900" w:h="16838" w:orient="portrait"/>
          <w:cols w:equalWidth="0" w:num="1">
            <w:col w:w="9019"/>
          </w:cols>
          <w:pgMar w:left="1440" w:top="266" w:right="1440"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880" w:type="dxa"/>
            <w:vAlign w:val="bottom"/>
            <w:gridSpan w:val="6"/>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8"/>
              </w:rPr>
              <w:t>ELI LILLY AND COMPANY</w:t>
            </w:r>
          </w:p>
        </w:tc>
      </w:tr>
      <w:tr>
        <w:trPr>
          <w:trHeight w:val="283"/>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880" w:type="dxa"/>
            <w:vAlign w:val="bottom"/>
            <w:gridSpan w:val="6"/>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w w:val="99"/>
              </w:rPr>
              <w:t>4.</w:t>
            </w:r>
            <w:r>
              <w:rPr>
                <w:rFonts w:ascii="Times New Roman" w:cs="Times New Roman" w:eastAsia="Times New Roman" w:hAnsi="Times New Roman"/>
                <w:sz w:val="18"/>
                <w:szCs w:val="18"/>
                <w:b w:val="1"/>
                <w:bCs w:val="1"/>
                <w:u w:val="single" w:color="auto"/>
                <w:color w:val="auto"/>
                <w:w w:val="99"/>
              </w:rPr>
              <w:t>150%</w:t>
            </w:r>
            <w:r>
              <w:rPr>
                <w:rFonts w:ascii="Times New Roman" w:cs="Times New Roman" w:eastAsia="Times New Roman" w:hAnsi="Times New Roman"/>
                <w:sz w:val="18"/>
                <w:szCs w:val="18"/>
                <w:b w:val="1"/>
                <w:bCs w:val="1"/>
                <w:color w:val="auto"/>
                <w:w w:val="99"/>
              </w:rPr>
              <w:t xml:space="preserve"> Note due 2029</w:t>
            </w:r>
          </w:p>
        </w:tc>
      </w:tr>
      <w:tr>
        <w:trPr>
          <w:trHeight w:val="439"/>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Certificate No. </w:t>
            </w:r>
            <w:r>
              <w:rPr>
                <w:rFonts w:ascii="Times New Roman" w:cs="Times New Roman" w:eastAsia="Times New Roman" w:hAnsi="Times New Roman"/>
                <w:sz w:val="18"/>
                <w:szCs w:val="18"/>
                <w:color w:val="auto"/>
              </w:rPr>
              <w:t>[*]</w:t>
            </w:r>
          </w:p>
        </w:tc>
        <w:tc>
          <w:tcPr>
            <w:tcW w:w="144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3720" w:type="dxa"/>
            <w:vAlign w:val="bottom"/>
            <w:gridSpan w:val="4"/>
          </w:tcPr>
          <w:p>
            <w:pPr>
              <w:ind w:left="180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532457 DK1</w:t>
            </w:r>
          </w:p>
        </w:tc>
      </w:tr>
      <w:tr>
        <w:trPr>
          <w:trHeight w:val="20"/>
        </w:trPr>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Registered Global Security</w:t>
            </w: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720" w:type="dxa"/>
            <w:vAlign w:val="bottom"/>
            <w:gridSpan w:val="4"/>
          </w:tcPr>
          <w:p>
            <w:pPr>
              <w:ind w:left="1800"/>
              <w:spacing w:after="0"/>
              <w:rPr>
                <w:sz w:val="20"/>
                <w:szCs w:val="20"/>
                <w:color w:val="auto"/>
              </w:rPr>
            </w:pPr>
            <w:r>
              <w:rPr>
                <w:rFonts w:ascii="Times New Roman" w:cs="Times New Roman" w:eastAsia="Times New Roman" w:hAnsi="Times New Roman"/>
                <w:sz w:val="18"/>
                <w:szCs w:val="18"/>
                <w:b w:val="1"/>
                <w:bCs w:val="1"/>
                <w:color w:val="auto"/>
                <w:w w:val="98"/>
              </w:rPr>
              <w:t xml:space="preserve">ISIN No. </w:t>
            </w:r>
            <w:r>
              <w:rPr>
                <w:rFonts w:ascii="Times New Roman" w:cs="Times New Roman" w:eastAsia="Times New Roman" w:hAnsi="Times New Roman"/>
                <w:sz w:val="18"/>
                <w:szCs w:val="18"/>
                <w:color w:val="auto"/>
                <w:w w:val="98"/>
              </w:rPr>
              <w:t>US532457DK11</w:t>
            </w: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980" w:right="1580"/>
        <w:spacing w:after="0" w:line="255" w:lineRule="auto"/>
        <w:rPr>
          <w:sz w:val="20"/>
          <w:szCs w:val="20"/>
          <w:color w:val="auto"/>
        </w:rPr>
      </w:pPr>
      <w:r>
        <w:rPr>
          <w:rFonts w:ascii="Times New Roman" w:cs="Times New Roman" w:eastAsia="Times New Roman" w:hAnsi="Times New Roman"/>
          <w:sz w:val="18"/>
          <w:szCs w:val="18"/>
          <w:color w:val="auto"/>
        </w:rPr>
        <w:t>UNLESS THIS GLOBAL NOTE IS PRESENTED BY AN AUTHORIZED REPRESENTATIVE OF THE DEPOSITORY TRUST COMPANY, A NEW YORK CORPORATION (“DTC”), TO THE COMPANY OR ITS AGENT FOR REGISTRATION OF TRANSFER, EXCHANGE OR PAYMENT, AND ANY NOTE ISSUED IS REGISTERED IN THE NAME OF [*] OR IN SUCH OTHER NAME AS REQUESTED BY AN AUTHORIZED REPRESENTATIVE OF DTC AND ANY PAYMENT IS MADE TO [*], ANY TRANSFER, PLEDGE OR OTHER USE HEREOF FOR VALUE OR OTHERWISE BY OR TO ANY PERSON IS WRONGFUL SINCE THE REGISTERED OWNER HEREOF, [*], HAS AN INTEREST HEREIN.</w:t>
      </w:r>
    </w:p>
    <w:p>
      <w:pPr>
        <w:spacing w:after="0" w:line="81" w:lineRule="exact"/>
        <w:rPr>
          <w:sz w:val="20"/>
          <w:szCs w:val="20"/>
          <w:color w:val="auto"/>
        </w:rPr>
      </w:pPr>
    </w:p>
    <w:p>
      <w:pPr>
        <w:ind w:left="980" w:right="1540"/>
        <w:spacing w:after="0" w:line="258" w:lineRule="auto"/>
        <w:rPr>
          <w:sz w:val="20"/>
          <w:szCs w:val="20"/>
          <w:color w:val="auto"/>
        </w:rPr>
      </w:pPr>
      <w:r>
        <w:rPr>
          <w:rFonts w:ascii="Times New Roman" w:cs="Times New Roman" w:eastAsia="Times New Roman" w:hAnsi="Times New Roman"/>
          <w:sz w:val="18"/>
          <w:szCs w:val="18"/>
          <w:color w:val="auto"/>
        </w:rPr>
        <w:t>UNLESS AND UNTIL IT IS EXCHANGED IN WHOLE OR IN PART FOR NOTES IN DEFINITIVE REGISTERED FORM, THIS GLOBAL NOTE MAY NOT BE TRANSFERRED EXCEPT AS A WHOLE BY DTC TO A NOMINEE OF DTC, OR BY A NOMINEE OF DTC TO DTC OR ANOTHER NOMINEE OF DTC, OR BY DTC OR ANY SUCH NOMINEE TO A SUCCESSOR DEPOSITARY OR TO A NOMINEE OF SUCH SUCCESSOR DEPOSITARY.</w:t>
      </w:r>
    </w:p>
    <w:p>
      <w:pPr>
        <w:spacing w:after="0" w:line="179" w:lineRule="exact"/>
        <w:rPr>
          <w:sz w:val="20"/>
          <w:szCs w:val="20"/>
          <w:color w:val="auto"/>
        </w:rPr>
      </w:pPr>
    </w:p>
    <w:p>
      <w:pPr>
        <w:ind w:right="400" w:firstLine="440"/>
        <w:spacing w:after="0" w:line="278" w:lineRule="auto"/>
        <w:rPr>
          <w:sz w:val="20"/>
          <w:szCs w:val="20"/>
          <w:color w:val="auto"/>
        </w:rPr>
      </w:pPr>
      <w:r>
        <w:rPr>
          <w:rFonts w:ascii="Times New Roman" w:cs="Times New Roman" w:eastAsia="Times New Roman" w:hAnsi="Times New Roman"/>
          <w:sz w:val="17"/>
          <w:szCs w:val="17"/>
          <w:color w:val="auto"/>
        </w:rPr>
        <w:t>ELI LILLY AND COMPANY, an Indiana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which term includes any successor corporation under the Indenture referred to herein), for value received, hereby promises to pay to [*], or its registered assigns, the principal amount of [*] Dollars ($[*]) on May 20,</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2029 (the “</w:t>
      </w:r>
      <w:r>
        <w:rPr>
          <w:rFonts w:ascii="Times New Roman" w:cs="Times New Roman" w:eastAsia="Times New Roman" w:hAnsi="Times New Roman"/>
          <w:sz w:val="18"/>
          <w:szCs w:val="18"/>
          <w:b w:val="1"/>
          <w:bCs w:val="1"/>
          <w:i w:val="1"/>
          <w:iCs w:val="1"/>
          <w:color w:val="auto"/>
        </w:rPr>
        <w:t>Stated Maturity Date</w:t>
      </w:r>
      <w:r>
        <w:rPr>
          <w:rFonts w:ascii="Times New Roman" w:cs="Times New Roman" w:eastAsia="Times New Roman" w:hAnsi="Times New Roman"/>
          <w:sz w:val="18"/>
          <w:szCs w:val="18"/>
          <w:color w:val="auto"/>
        </w:rPr>
        <w:t>”), unless redeemed on any Redemption Date (as defined on the reverse hereof) or the Centessa Special Mandatory Redemption Date (as defined on the reverse hereof) (the Stated Maturity Date, any Redemption Date or the Centessa Special Mandatory Redemption Date is referred to herein as the “</w:t>
      </w:r>
      <w:r>
        <w:rPr>
          <w:rFonts w:ascii="Times New Roman" w:cs="Times New Roman" w:eastAsia="Times New Roman" w:hAnsi="Times New Roman"/>
          <w:sz w:val="18"/>
          <w:szCs w:val="18"/>
          <w:b w:val="1"/>
          <w:bCs w:val="1"/>
          <w:i w:val="1"/>
          <w:iCs w:val="1"/>
          <w:color w:val="auto"/>
        </w:rPr>
        <w:t>Maturity Date</w:t>
      </w:r>
      <w:r>
        <w:rPr>
          <w:rFonts w:ascii="Times New Roman" w:cs="Times New Roman" w:eastAsia="Times New Roman" w:hAnsi="Times New Roman"/>
          <w:sz w:val="18"/>
          <w:szCs w:val="18"/>
          <w:color w:val="auto"/>
        </w:rPr>
        <w:t xml:space="preserve">” with respect to the principal amount repayable on such date), upon surrender of this Note at the office or agency of the Company for such payment in the City of New York, in such coin or currency of the United States of America as at the time of payment shall be legal tender for the payment of public and private debts, and to pay interest on the outstanding principal amount until the Maturity Date at the rate of 4.150% per annum, in like coin or currency, semi-annually on May 20 and November 20 of each year, commencing on November 20, 2026, until the date on which payment of said principal amount has been made or duly provided for;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this Note is in the form of a Global Security, then payments of principal of or premium, if any, or interest on this</w:t>
      </w:r>
    </w:p>
    <w:p>
      <w:pPr>
        <w:sectPr>
          <w:pgSz w:w="11900" w:h="16838" w:orient="portrait"/>
          <w:cols w:equalWidth="0" w:num="1">
            <w:col w:w="11000"/>
          </w:cols>
          <w:pgMar w:left="440" w:top="266" w:right="459" w:bottom="1440" w:gutter="0" w:footer="0" w:header="0"/>
        </w:sectPr>
      </w:pPr>
    </w:p>
    <w:bookmarkStart w:id="73" w:name="page74"/>
    <w:bookmarkEnd w:id="7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Note may be made at the Company’s option by wire transfer of immediately available funds to the account specified by the Depositary for this Note;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this Note is not in the form of a Global Security, then payments of principal of and premium, if any, and interest on this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made at the Company’s option by check mailed to the address of the person entitled thereto as such address shall appear in the records of the Security Registrar. Interest on this Note shall accrue on the outstanding principal amount thereof from, and including, the most recent Interest Payment Date to which interest has been paid or provided for or, if no interest has been paid or duly provided for, from, and including, May 20, 2026, in each case to, but excluding, the applicable Interest Payment Date or the Maturity Date, as the case may be. Interest shall be computed on the basis of a 360-day year of twelve 30-day months. The interest payable on any Interest Payment Date shall be payable to the person in whose name this Note is registered at the close of business on the May 5 and November 5 (whether or not a Business Day) immediately preceding such Interest Payment Date, except as otherwise provided in the Indenture.</w:t>
      </w:r>
    </w:p>
    <w:p>
      <w:pPr>
        <w:spacing w:after="0" w:line="188"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If the Maturity Date or any Interest Payment Date falls on a day that is not a Business Day, principal, premium, if any, and interest, if any, payable with respect to the Maturity Date or such Interest Payment Date, as the case may be, shall be paid on the next succeeding Business Day with the same force and effect as if made on the Maturity Date or such Interest Payment Date, as the case may be, and no additional interest shall accrue on the amount so payable for the period from and after the Maturity Date or such Interest Payment Date, as the case may be, to the next succeeding Business Day. As used herein, “</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shall mean any day, other than a Saturday or Sunday, that is neither a legal holiday nor a day on which banking institutions are authorized or required by law or regulation to close in the City of New York.</w:t>
      </w:r>
    </w:p>
    <w:p>
      <w:pPr>
        <w:spacing w:after="0" w:line="183"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This Note is issued pursuant to, and shall be governed by, that certain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dated as of February 1, 1991, between the Company and Deutsche Bank Trust Company Americas (as successor to Citibank, N.A.), as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Capitalized terms used in this Note without definition shall have the respective meanings ascribed to them in the Indenture.</w:t>
      </w:r>
    </w:p>
    <w:p>
      <w:pPr>
        <w:spacing w:after="0" w:line="17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provisions of this Note are continued on the reverse hereof, and such continued provisions shall for all purposes have the same effect as though fully set forth at this place.</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by the manual signature of one of its authorized officers, this Note shall not be entitled to the benefit under the Indenture or be valid or obligatory for any purpose.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[This Space Intentionally Left Blank]</w:t>
      </w:r>
    </w:p>
    <w:p>
      <w:pPr>
        <w:sectPr>
          <w:pgSz w:w="11900" w:h="16838" w:orient="portrait"/>
          <w:cols w:equalWidth="0" w:num="1">
            <w:col w:w="11000"/>
          </w:cols>
          <w:pgMar w:left="440" w:top="270"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Eli Lilly and Company has caused this instrument to be duly signed.</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ELI LILLY AND COMPANY</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38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i w:val="1"/>
          <w:iCs w:val="1"/>
          <w:color w:val="auto"/>
        </w:rPr>
        <w:t>[Signature Page to Global Note]</w:t>
      </w:r>
    </w:p>
    <w:p>
      <w:pPr>
        <w:sectPr>
          <w:pgSz w:w="11900" w:h="16838" w:orient="portrait"/>
          <w:cols w:equalWidth="0" w:num="1">
            <w:col w:w="9579"/>
          </w:cols>
          <w:pgMar w:left="880" w:top="270" w:right="1440" w:bottom="1440" w:gutter="0" w:footer="0" w:header="0"/>
        </w:sectPr>
      </w:pPr>
    </w:p>
    <w:bookmarkStart w:id="75" w:name="page76"/>
    <w:bookmarkEnd w:id="7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is one of the Securities of the series designated therein issued under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 2026</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DEUTSCHE BANK TRUST COMPANY AMERICAS,</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3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[Signature Page to Global Note]</w:t>
      </w:r>
    </w:p>
    <w:p>
      <w:pPr>
        <w:sectPr>
          <w:pgSz w:w="11900" w:h="16838" w:orient="portrait"/>
          <w:cols w:equalWidth="0" w:num="1">
            <w:col w:w="10660"/>
          </w:cols>
          <w:pgMar w:left="440" w:top="270" w:right="799" w:bottom="1440" w:gutter="0" w:footer="0" w:header="0"/>
        </w:sectPr>
      </w:pPr>
    </w:p>
    <w:bookmarkStart w:id="76" w:name="page77"/>
    <w:bookmarkEnd w:id="7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This Note is one of a duly authorized issue of a series of debt securities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of the Company, designated as its 4.150% Notes due 2029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xml:space="preserve">”). The Securities, including the Notes, are all issued or to be issued under and pursuant to the Indenture, to which Indenture, and all Board Resolutions and Officers’ Certificates as provided therein, reference is hereby made for a description of the rights, limitation of rights, obligations, duties and immunities thereunder of the Company, the Trustee and the Holders of the Notes, and the terms upon which the Notes are, and are to be, authenticated and delivered. The Notes are initially limited to Seven Hundred and Fifty Million Dollars ($750,000,000) in aggregate principal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at any time issue additional Securities under the Indenture in unlimited amounts having the same terms as the Notes other than the date of original issuance and the first Interest Payment Date applicable thereto, and such Securities shall be treated as a single series with the Notes for all purposes under the Indenture.</w:t>
      </w:r>
    </w:p>
    <w:p>
      <w:pPr>
        <w:spacing w:after="0" w:line="18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This Note shall constitute part of the Company’s unsecured and unsubordinated obligations and shall rank equally in right of payment with all of the Company’s other existing and future unsecured and unsubordinated indebtedness. This Note shall be issuable in fully registered form only, in minimum denominations of two thousand Dollars ($2,000) and any integral multiples of one thousand Dollars ($1,000) in excess of that amount.</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case an Event of Default shall have occurred and be continuing with respect to this Note, the principal hereof may be declared due and payable, and upon such declaration shall become due and payable, in the manner, with the effect, and subject to the conditions provided in the Indenture. The Indenture permits the Holders of at least a majority in aggregate principal amount of the Notes at the time outstanding to, on behalf of the Holders of all of the Notes and in the manner and subject to the provisions of the Indenture, waive certain past defaults and rescind and annul such past declarations and their consequences under the Indenture.</w:t>
      </w:r>
    </w:p>
    <w:p>
      <w:pPr>
        <w:spacing w:after="0" w:line="18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Indenture contains provisions permitting the Company and the Trustee, with consent of the Holders of not less than a majority of the aggregate principal amount of the Notes at the time outstanding, evidenced as provided in the Indenture, to execute supplemental indentures for the purpose of adding any provisions to or changing in any manner or eliminating any of the provisions of the Indenture or of any supplemental indenture with respect to the Notes or of modifying in any manner the rights of the Holders of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supplemental indenture shall (i) extend the fixed maturity, or the earlier optional date of maturity, if any, of any Note, or reduce the principal amount thereof or the premium thereon, if any, or reduce the rate or extend the time of payment of interest, if any, thereon or make the principal thereof or premium, if any, or interest, if any, thereon payable in any currency other than as provided pursuant to the Indenture or this Note, without the consent of the Holders of each Note so affected; or (ii) reduce the aforesaid percentage of the Notes, the Holders of which are required to consent to any such supplemental indenture, without the consent of the Holders of all Notes then outstanding.</w:t>
      </w:r>
    </w:p>
    <w:p>
      <w:pPr>
        <w:spacing w:after="0" w:line="188"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The Notes shall not have the benefit of any sinking fund and, except as set forth below under “Centessa Special Mandatory Redemption,” the Notes shall not be subject to any mandatory redemption provision.</w:t>
      </w:r>
    </w:p>
    <w:p>
      <w:pPr>
        <w:sectPr>
          <w:pgSz w:w="11900" w:h="16838" w:orient="portrait"/>
          <w:cols w:equalWidth="0" w:num="1">
            <w:col w:w="10960"/>
          </w:cols>
          <w:pgMar w:left="440" w:top="266"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Optional Redemption</w:t>
      </w:r>
    </w:p>
    <w:p>
      <w:pPr>
        <w:spacing w:after="0" w:line="119"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Upon such notice as specified below and in accordance with the Indenture and the terms of this Note, the Notes are subject to redemption at the election of the Company, in whole or in part, at any time and from time to time, on a date fixed for redemption (a “</w:t>
      </w:r>
      <w:r>
        <w:rPr>
          <w:rFonts w:ascii="Times New Roman" w:cs="Times New Roman" w:eastAsia="Times New Roman" w:hAnsi="Times New Roman"/>
          <w:sz w:val="18"/>
          <w:szCs w:val="18"/>
          <w:b w:val="1"/>
          <w:bCs w:val="1"/>
          <w:i w:val="1"/>
          <w:iCs w:val="1"/>
          <w:color w:val="auto"/>
        </w:rPr>
        <w:t>Redemption Date</w:t>
      </w:r>
      <w:r>
        <w:rPr>
          <w:rFonts w:ascii="Times New Roman" w:cs="Times New Roman" w:eastAsia="Times New Roman" w:hAnsi="Times New Roman"/>
          <w:sz w:val="18"/>
          <w:szCs w:val="18"/>
          <w:color w:val="auto"/>
        </w:rPr>
        <w:t>”) prior to the Par Call Date and at a “redemption price” (expressed as a percentage of principal amount and rounded to three decimal places) equal to the greater of:</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(1)  (a) the sum of the present values of the remaining scheduled payments of principal and interest on the Notes to be redeemed discounted to the Redemption Date (assuming the Notes to be redeemed matured on the Par Call Date) on a semi-annual basis (assuming a 360-day year consisting of twelve 30-day months) at the Treasury Rate, plus 5 basis points, less (b) interest accrued to the Redemption Date, and</w:t>
      </w:r>
    </w:p>
    <w:p>
      <w:pPr>
        <w:spacing w:after="0" w:line="176" w:lineRule="exact"/>
        <w:rPr>
          <w:sz w:val="20"/>
          <w:szCs w:val="20"/>
          <w:color w:val="auto"/>
        </w:rPr>
      </w:pPr>
    </w:p>
    <w:p>
      <w:pPr>
        <w:ind w:left="440"/>
        <w:spacing w:after="0"/>
        <w:tabs>
          <w:tab w:leader="none" w:pos="860" w:val="left"/>
        </w:tabs>
        <w:rPr>
          <w:sz w:val="20"/>
          <w:szCs w:val="20"/>
          <w:color w:val="auto"/>
        </w:rPr>
      </w:pPr>
      <w:r>
        <w:rPr>
          <w:rFonts w:ascii="Times New Roman" w:cs="Times New Roman" w:eastAsia="Times New Roman" w:hAnsi="Times New Roman"/>
          <w:sz w:val="18"/>
          <w:szCs w:val="18"/>
          <w:color w:val="auto"/>
        </w:rPr>
        <w:t xml:space="preserve">(2) </w:t>
      </w:r>
      <w:r>
        <w:rPr>
          <w:sz w:val="20"/>
          <w:szCs w:val="20"/>
          <w:color w:val="auto"/>
        </w:rPr>
        <w:tab/>
      </w:r>
      <w:r>
        <w:rPr>
          <w:rFonts w:ascii="Times New Roman" w:cs="Times New Roman" w:eastAsia="Times New Roman" w:hAnsi="Times New Roman"/>
          <w:sz w:val="17"/>
          <w:szCs w:val="17"/>
          <w:color w:val="auto"/>
        </w:rPr>
        <w:t>100% of the principal amount of the Notes to be redeemed on such Redemption Date,</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each case, accrued and unpaid interest thereon to, but excluding, the Redemption Date.</w:t>
      </w:r>
    </w:p>
    <w:p>
      <w:pPr>
        <w:spacing w:after="0" w:line="227"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In addition, on or after the Par Call Date, the Company may redeem the Notes, in whole or in part, at any time and from time to time, at a redemption price equal to 100% of the principal amount of the Notes to be redeemed plus accrued and unpaid interest thereon to, but excluding, the Redemption Date.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 Call Date</w:t>
      </w:r>
      <w:r>
        <w:rPr>
          <w:rFonts w:ascii="Times New Roman" w:cs="Times New Roman" w:eastAsia="Times New Roman" w:hAnsi="Times New Roman"/>
          <w:sz w:val="18"/>
          <w:szCs w:val="18"/>
          <w:color w:val="auto"/>
        </w:rPr>
        <w:t>” means April 20, 2029.</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Rate</w:t>
      </w:r>
      <w:r>
        <w:rPr>
          <w:rFonts w:ascii="Times New Roman" w:cs="Times New Roman" w:eastAsia="Times New Roman" w:hAnsi="Times New Roman"/>
          <w:sz w:val="18"/>
          <w:szCs w:val="18"/>
          <w:color w:val="auto"/>
        </w:rPr>
        <w:t>” means, with respect to any Redemption Date prior to the Par Call Date, the yield determined by the Company in accordance with the following two paragraphs.</w:t>
      </w:r>
    </w:p>
    <w:p>
      <w:pPr>
        <w:spacing w:after="0" w:line="15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ectPr>
          <w:pgSz w:w="11900" w:h="16838" w:orient="portrait"/>
          <w:cols w:equalWidth="0" w:num="1">
            <w:col w:w="10980"/>
          </w:cols>
          <w:pgMar w:left="440" w:top="268" w:right="479" w:bottom="1440" w:gutter="0" w:footer="0" w:header="0"/>
        </w:sectPr>
      </w:pPr>
    </w:p>
    <w:bookmarkStart w:id="78" w:name="page79"/>
    <w:bookmarkEnd w:id="78"/>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the Notes that are due and payable on each Interest Payment Date falling on or prior to a Redemption Date shall be payable on such Interest Payment Date to the Holder(s) as of the close of business on the Regular Record Date immediately preceding such Interest Payment Date.</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Notice of any redemption will be mailed (or otherwise transmitted in accordance with the Depositary’s procedures) at least 10 days but not more than 60 days before the Redemption Date to each Holder of Notes to be redeemed. Each notice of redemption shall (i) specify the Redemption Date and the redemption price at which the Notes are to be redeemed, (ii) state the applicable conditions precedent to such redemption, if any, as described below, and (iii) state that payment of the redemption price of the Notes to be redeemed, together with interest accrued thereon to the Redemption Date (except that if such Redemption Date is an Interest Payment Date, such interest due on such date shall be payable to the Holder on the Regular Record Date for such Interest Payment Date), shall be made at the office or agency to be maintained by the Company in accordance with Section 5.02 of the Indenture (or, if desired by the Company, at the principal office of the Trustee) upon presentation and surrender of such Notes and that from and after said date any interest thereon shall cease to accrue.</w:t>
      </w:r>
    </w:p>
    <w:p>
      <w:pPr>
        <w:spacing w:after="0" w:line="19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Any notice of redemption may, at the Company’s discretion, be subject to one or more conditions precedent, including completion of a corporate transaction. In such event, the related notice of redemption shall describe each such condition and, if applicable, shall state that, at the Company’s discretion, the Redemption Date may be delayed until such time (including more</w:t>
      </w:r>
    </w:p>
    <w:p>
      <w:pPr>
        <w:sectPr>
          <w:pgSz w:w="11900" w:h="16838" w:orient="portrait"/>
          <w:cols w:equalWidth="0" w:num="1">
            <w:col w:w="11000"/>
          </w:cols>
          <w:pgMar w:left="440" w:top="270" w:right="459" w:bottom="1440" w:gutter="0" w:footer="0" w:header="0"/>
        </w:sectPr>
      </w:pPr>
    </w:p>
    <w:bookmarkStart w:id="79" w:name="page80"/>
    <w:bookmarkEnd w:id="79"/>
    <w:p>
      <w:pPr>
        <w:ind w:left="4"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than 60 days after the notice of redemption was given) as any or all such conditions shall be satisfied (or waived by the Company in its sole discretion), or such redemption may not occur and such notice may be rescinded in the event that any or all such conditions shall not have been satisfied or waived by the Redemption Date, or by the Redemption Date so delayed. If any such redemption has been rescinded or delayed, the Company shall provide written notice to the Trustee prior to the close of business two Business Days prior to the Redemption Date and shall deliver a written request to the Trustee to promptly provide such notice to each Holder, and, upon receipt, the Trustee shall provide such notice to each Holder. Subject to any delay in the Redemption Date or rescission of the notice of redemption as described above, once notice of redemption is mailed, the Notes called for redemption shall become due and payable on the applicable Redemption Date at the applicable redemption price.</w:t>
      </w:r>
    </w:p>
    <w:p>
      <w:pPr>
        <w:spacing w:after="0" w:line="189"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If fewer than all of the Notes are to be redeemed, selection of the Notes to be redeemed shall be made pro rata, by lot or by such other method as the Trustee in its sole discretion deems appropriate and fair. No Notes of a principal amount of $2,000 or less shall be redeemed in part. If any Note is to be redeemed in part only, the notice of redemption that relates to the Note shall state the portion of the principal amount of the Note to be redeemed. Except in the case of Global Securities, a new Note in a principal amount equal to the unredeemed portion of the Note shall be issued in the name of the Holder of the Note upon surrender for cancellation of the original Note. Notwithstanding the foregoing, for so long as the Notes are held by the Depositary, the redemption of the Notes shall be done in accordance with the policies and procedures of the Depositary. Before any Redemption Date, the Company shall deposit with a Paying Agent (or the Trustee) money sufficient to pay the redemption price of the Notes to be redeemed on such date.</w:t>
      </w:r>
    </w:p>
    <w:p>
      <w:pPr>
        <w:spacing w:after="0" w:line="189"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therefor, on and after the Redemption Date, interest shall cease to accrue on the Notes or any portions of the Notes called for redemption.</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Centessa Special Mandatory Redemption</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the event that (x) the Centessa Acquisition is not consummated on or prior to the date that is five (5) Business Days after the later of</w:t>
      </w:r>
    </w:p>
    <w:p>
      <w:pPr>
        <w:spacing w:after="0" w:line="27" w:lineRule="exact"/>
        <w:rPr>
          <w:sz w:val="20"/>
          <w:szCs w:val="20"/>
          <w:color w:val="auto"/>
        </w:rPr>
      </w:pPr>
    </w:p>
    <w:p>
      <w:pPr>
        <w:ind w:left="4" w:right="60" w:hanging="4"/>
        <w:spacing w:after="0" w:line="253" w:lineRule="auto"/>
        <w:tabs>
          <w:tab w:leader="none" w:pos="21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31, 2027 or (ii) any later date as the parties to the Centessa Agreement may agree as the “Outside Date” thereunder or (y) the Company notifies the Trustee in writing that the Company will not pursue the consummation of the Centessa Acquisition (any such event being a “</w:t>
      </w:r>
      <w:r>
        <w:rPr>
          <w:rFonts w:ascii="Times New Roman" w:cs="Times New Roman" w:eastAsia="Times New Roman" w:hAnsi="Times New Roman"/>
          <w:sz w:val="18"/>
          <w:szCs w:val="18"/>
          <w:b w:val="1"/>
          <w:bCs w:val="1"/>
          <w:i w:val="1"/>
          <w:iCs w:val="1"/>
          <w:color w:val="auto"/>
        </w:rPr>
        <w:t>Centessa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Special Mandatory Redemption Event</w:t>
      </w:r>
      <w:r>
        <w:rPr>
          <w:rFonts w:ascii="Times New Roman" w:cs="Times New Roman" w:eastAsia="Times New Roman" w:hAnsi="Times New Roman"/>
          <w:sz w:val="18"/>
          <w:szCs w:val="18"/>
          <w:color w:val="auto"/>
        </w:rPr>
        <w:t>”), the Company will be required to redeem the Notes then outstanding (such redemption, the “</w:t>
      </w:r>
      <w:r>
        <w:rPr>
          <w:rFonts w:ascii="Times New Roman" w:cs="Times New Roman" w:eastAsia="Times New Roman" w:hAnsi="Times New Roman"/>
          <w:sz w:val="18"/>
          <w:szCs w:val="18"/>
          <w:b w:val="1"/>
          <w:bCs w:val="1"/>
          <w:i w:val="1"/>
          <w:iCs w:val="1"/>
          <w:color w:val="auto"/>
        </w:rPr>
        <w:t>Centessa Special Mandatory Redemption</w:t>
      </w:r>
      <w:r>
        <w:rPr>
          <w:rFonts w:ascii="Times New Roman" w:cs="Times New Roman" w:eastAsia="Times New Roman" w:hAnsi="Times New Roman"/>
          <w:sz w:val="18"/>
          <w:szCs w:val="18"/>
          <w:color w:val="auto"/>
        </w:rPr>
        <w:t>”) at a redemption price equal to 101% of the principal amount of such Notes plus accrued and unpaid interest, if any, to, but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excluding, the Centessa Special Mandatory Redemption Date (as defined below) (the “</w:t>
      </w:r>
      <w:r>
        <w:rPr>
          <w:rFonts w:ascii="Times New Roman" w:cs="Times New Roman" w:eastAsia="Times New Roman" w:hAnsi="Times New Roman"/>
          <w:sz w:val="18"/>
          <w:szCs w:val="18"/>
          <w:b w:val="1"/>
          <w:bCs w:val="1"/>
          <w:i w:val="1"/>
          <w:iCs w:val="1"/>
          <w:color w:val="auto"/>
        </w:rPr>
        <w:t>Centessa Special Mandatory Redemption Price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right="22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the Company becomes obligated to redeem the Notes pursuant to the Centessa Special Mandatory Redemption, the Company will promptly, and in any event not more than ten (10) Business Days after the Centessa Special Mandatory Redemption Event, deliver written notice (the “</w:t>
      </w:r>
      <w:r>
        <w:rPr>
          <w:rFonts w:ascii="Times New Roman" w:cs="Times New Roman" w:eastAsia="Times New Roman" w:hAnsi="Times New Roman"/>
          <w:sz w:val="18"/>
          <w:szCs w:val="18"/>
          <w:b w:val="1"/>
          <w:bCs w:val="1"/>
          <w:i w:val="1"/>
          <w:iCs w:val="1"/>
          <w:color w:val="auto"/>
        </w:rPr>
        <w:t>Centessa Special Mandatory Redemption Notice</w:t>
      </w:r>
      <w:r>
        <w:rPr>
          <w:rFonts w:ascii="Times New Roman" w:cs="Times New Roman" w:eastAsia="Times New Roman" w:hAnsi="Times New Roman"/>
          <w:sz w:val="18"/>
          <w:szCs w:val="18"/>
          <w:color w:val="auto"/>
        </w:rPr>
        <w:t>”) to each registered Holder of the Notes and the Trustee of the Centessa Special Mandatory Redemption and the date upon which the Notes will be redeemed (the “</w:t>
      </w:r>
      <w:r>
        <w:rPr>
          <w:rFonts w:ascii="Times New Roman" w:cs="Times New Roman" w:eastAsia="Times New Roman" w:hAnsi="Times New Roman"/>
          <w:sz w:val="18"/>
          <w:szCs w:val="18"/>
          <w:b w:val="1"/>
          <w:bCs w:val="1"/>
          <w:i w:val="1"/>
          <w:iCs w:val="1"/>
          <w:color w:val="auto"/>
        </w:rPr>
        <w:t>Centessa Special Mandatory Redemption Date</w:t>
      </w:r>
      <w:r>
        <w:rPr>
          <w:rFonts w:ascii="Times New Roman" w:cs="Times New Roman" w:eastAsia="Times New Roman" w:hAnsi="Times New Roman"/>
          <w:sz w:val="18"/>
          <w:szCs w:val="18"/>
          <w:color w:val="auto"/>
        </w:rPr>
        <w:t>,” which</w:t>
      </w:r>
    </w:p>
    <w:p>
      <w:pPr>
        <w:sectPr>
          <w:pgSz w:w="11900" w:h="16838" w:orient="portrait"/>
          <w:cols w:equalWidth="0" w:num="1">
            <w:col w:w="10964"/>
          </w:cols>
          <w:pgMar w:left="436" w:top="270" w:right="499" w:bottom="1440" w:gutter="0" w:footer="0" w:header="0"/>
        </w:sectPr>
      </w:pPr>
    </w:p>
    <w:bookmarkStart w:id="80" w:name="page81"/>
    <w:bookmarkEnd w:id="80"/>
    <w:p>
      <w:pPr>
        <w:ind w:right="16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shall be no earlier than five (5) days and no later than thirty (30) days following the date of such notice, unless some longer minimum period may be required by DTC (or any successor depositary)). The Centessa Special Mandatory Redemption Notice will, in accordance with the Trustee’s (if applicable) and DTC’s (or any successor depositary’s) procedures, be mailed, electronically delivered, or otherwise transmitted, according to the procedures of DTC (or any successor depositary) to each registered Holder of the Notes. Any Centessa Special Mandatory Redemption Notice may be given by the Company or may be given, at the Company’s written direction, by the Trustee in the Company’s name and at the Company’s expense.</w:t>
      </w:r>
    </w:p>
    <w:p>
      <w:pPr>
        <w:spacing w:after="0" w:line="168"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Centessa Special Mandatory Redemption Price of the Notes, on and after such Centessa Special Mandatory Redemption Date, interest will cease to accrue on the Notes.</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the Notes that are due and payable on an Interest Payment Date falling on or prior to the Centessa Special Mandatory Redemption Date will be payable on such Interest Payment Date to the registered Holders of the Notes as of the close of business on the relevant record date in accordance with the Notes and the Indenture.</w:t>
      </w:r>
    </w:p>
    <w:p>
      <w:pPr>
        <w:spacing w:after="0" w:line="17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Upon the consummation of the Centessa Acquisition, the foregoing provisions regarding the Centessa Special Mandatory Redemption will cease to apply. For purposes of the foregoing, the Centessa Acquisition will be deemed consummated if the closing under the Centessa Agreement occurs, including after giving effect to any amendments, modifications or waivers to the Centessa Agreement.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Centessa</w:t>
      </w:r>
      <w:r>
        <w:rPr>
          <w:rFonts w:ascii="Times New Roman" w:cs="Times New Roman" w:eastAsia="Times New Roman" w:hAnsi="Times New Roman"/>
          <w:sz w:val="18"/>
          <w:szCs w:val="18"/>
          <w:color w:val="auto"/>
        </w:rPr>
        <w:t>” means Centessa Pharmaceuticals plc, a public limited company registered in England and Wales.</w:t>
      </w:r>
    </w:p>
    <w:p>
      <w:pPr>
        <w:spacing w:after="0" w:line="22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Centessa Acquisition</w:t>
      </w:r>
      <w:r>
        <w:rPr>
          <w:rFonts w:ascii="Times New Roman" w:cs="Times New Roman" w:eastAsia="Times New Roman" w:hAnsi="Times New Roman"/>
          <w:sz w:val="18"/>
          <w:szCs w:val="18"/>
          <w:color w:val="auto"/>
        </w:rPr>
        <w:t>” means the acquisition by Eli Lilly and Company (including through the Purchaser (as defined below)) of Centessa and its subsidiaries pursuant to the Centessa Agreement.</w:t>
      </w:r>
    </w:p>
    <w:p>
      <w:pPr>
        <w:spacing w:after="0" w:line="155" w:lineRule="exact"/>
        <w:rPr>
          <w:sz w:val="20"/>
          <w:szCs w:val="20"/>
          <w:color w:val="auto"/>
        </w:rPr>
      </w:pPr>
    </w:p>
    <w:p>
      <w:pPr>
        <w:ind w:right="4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Centessa Agreement</w:t>
      </w:r>
      <w:r>
        <w:rPr>
          <w:rFonts w:ascii="Times New Roman" w:cs="Times New Roman" w:eastAsia="Times New Roman" w:hAnsi="Times New Roman"/>
          <w:sz w:val="18"/>
          <w:szCs w:val="18"/>
          <w:color w:val="auto"/>
        </w:rPr>
        <w:t>” means the Transaction Agreement, dated as of March 31, 2026, by and among Eli Lilly and Company, an Indiana corporation, LDH XV Corporation, a Delaware corporation and direct wholly owned subsidiary of Eli Lilly and Company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and Centessa, as amended, supplemented, renewed, modified or waived from time to time.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Notes are subject to the defeasance provisions set forth in Section 12.02 of the Indenture.</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Company shall not pay any additional amounts on any of the Notes to any person, including any Holder who is not a United States person in respect of any tax, assessment or governmental charge withheld or deducted.</w:t>
      </w:r>
    </w:p>
    <w:p>
      <w:pPr>
        <w:sectPr>
          <w:pgSz w:w="11900" w:h="16838" w:orient="portrait"/>
          <w:cols w:equalWidth="0" w:num="1">
            <w:col w:w="10980"/>
          </w:cols>
          <w:pgMar w:left="440" w:top="270" w:right="479" w:bottom="1440" w:gutter="0" w:footer="0" w:header="0"/>
        </w:sectPr>
      </w:pPr>
    </w:p>
    <w:bookmarkStart w:id="81" w:name="page82"/>
    <w:bookmarkEnd w:id="81"/>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reference herein to the Indenture and no provision of this Note or of the Indenture or of any Board Resolution shall alter or impair the obligation of the Company, which is absolute and unconditional, to pay the principal of and premium, if any, and interest on this Note at the times and places and at the rate and in the coin and currency herein prescribed.</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This Note is transferable by the Holder hereof in person or by his or her attorney duly authorized in writing on the books of the Company at the office or agency to be maintained by the Company for that purpose in the City of New York, but only in the manner, subject to the limitations and upon payment of any tax or governmental charge for which the Company may require reimbursement as provided in the Indenture, and upon surrender and cancellation of this Note. Upon any registration of transfer, a new registered Note or Notes, of authorized denomination or authorized denominations and like tenor and terms, and in the same aggregate principal amount, shall be issued to the transferee in exchange therefor.</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the Trustee, any Paying Agent and any Security Registrar may deem and treat the Holder hereof as the absolute owner of this Note (whether or not this Note shall be overdue and notwithstanding any notations of ownership or other writing hereon made by anyone other than the Security Registrar) for the purpose of receiving payment of or on account of the principal hereof and premium, if any, and interest due hereon as herein provided and for all other purposes, and none of the Company, the Trustee, any Paying Agent or any Security Registrar shall be affected by any notice to the contrary.</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if any, or interest on this Note, or for any claim based hereon, or otherwise in respect hereof, or based on or in respect of the Indenture or any supplemental indenture thereto or any Board Resolution, against any Person other than the Company or against any incorporator, stockholder, officer or director, past, present or future, as such, of the Company or any other Person, whether by virtue of any constitution, statute or rule of law, or by the enforcement of any assessment or penalty or otherwise, all such liability being, by the acceptance hereof and as part of the consideration for the issuance of this Note, expressly waived and released.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Note shall be governed by and construed in accordance with the laws of the State of New York.</w:t>
      </w:r>
    </w:p>
    <w:p>
      <w:pPr>
        <w:sectPr>
          <w:pgSz w:w="11900" w:h="16838" w:orient="portrait"/>
          <w:cols w:equalWidth="0" w:num="1">
            <w:col w:w="11020"/>
          </w:cols>
          <w:pgMar w:left="440" w:top="270" w:right="4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4.375% NOTE DUE 2031</w:t>
      </w:r>
    </w:p>
    <w:p>
      <w:pPr>
        <w:sectPr>
          <w:pgSz w:w="11900" w:h="16838" w:orient="portrait"/>
          <w:cols w:equalWidth="0" w:num="1">
            <w:col w:w="9019"/>
          </w:cols>
          <w:pgMar w:left="1440" w:top="266" w:right="1440"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520" w:type="dxa"/>
            <w:vAlign w:val="bottom"/>
            <w:gridSpan w:val="6"/>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8"/>
              </w:rPr>
              <w:t>ELI LILLY AND COMPANY</w:t>
            </w:r>
          </w:p>
        </w:tc>
      </w:tr>
      <w:tr>
        <w:trPr>
          <w:trHeight w:val="283"/>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520" w:type="dxa"/>
            <w:vAlign w:val="bottom"/>
            <w:gridSpan w:val="6"/>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9"/>
              </w:rPr>
              <w:t>4.</w:t>
            </w:r>
            <w:r>
              <w:rPr>
                <w:rFonts w:ascii="Times New Roman" w:cs="Times New Roman" w:eastAsia="Times New Roman" w:hAnsi="Times New Roman"/>
                <w:sz w:val="18"/>
                <w:szCs w:val="18"/>
                <w:b w:val="1"/>
                <w:bCs w:val="1"/>
                <w:u w:val="single" w:color="auto"/>
                <w:color w:val="auto"/>
                <w:w w:val="99"/>
              </w:rPr>
              <w:t>375%</w:t>
            </w:r>
            <w:r>
              <w:rPr>
                <w:rFonts w:ascii="Times New Roman" w:cs="Times New Roman" w:eastAsia="Times New Roman" w:hAnsi="Times New Roman"/>
                <w:sz w:val="18"/>
                <w:szCs w:val="18"/>
                <w:b w:val="1"/>
                <w:bCs w:val="1"/>
                <w:color w:val="auto"/>
                <w:w w:val="99"/>
              </w:rPr>
              <w:t xml:space="preserve"> Note due 2031</w:t>
            </w:r>
          </w:p>
        </w:tc>
      </w:tr>
      <w:tr>
        <w:trPr>
          <w:trHeight w:val="439"/>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Certificate No. </w:t>
            </w:r>
            <w:r>
              <w:rPr>
                <w:rFonts w:ascii="Times New Roman" w:cs="Times New Roman" w:eastAsia="Times New Roman" w:hAnsi="Times New Roman"/>
                <w:sz w:val="18"/>
                <w:szCs w:val="18"/>
                <w:color w:val="auto"/>
              </w:rPr>
              <w:t>[*]</w:t>
            </w:r>
          </w:p>
        </w:tc>
        <w:tc>
          <w:tcPr>
            <w:tcW w:w="144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4360" w:type="dxa"/>
            <w:vAlign w:val="bottom"/>
            <w:gridSpan w:val="4"/>
          </w:tcPr>
          <w:p>
            <w:pPr>
              <w:ind w:left="2460"/>
              <w:spacing w:after="0"/>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 532457 DL9</w:t>
            </w:r>
          </w:p>
        </w:tc>
      </w:tr>
      <w:tr>
        <w:trPr>
          <w:trHeight w:val="20"/>
        </w:trPr>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Registered Global Security</w:t>
            </w: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360" w:type="dxa"/>
            <w:vAlign w:val="bottom"/>
            <w:gridSpan w:val="4"/>
          </w:tcPr>
          <w:p>
            <w:pPr>
              <w:ind w:left="2460"/>
              <w:spacing w:after="0"/>
              <w:rPr>
                <w:sz w:val="20"/>
                <w:szCs w:val="20"/>
                <w:color w:val="auto"/>
              </w:rPr>
            </w:pPr>
            <w:r>
              <w:rPr>
                <w:rFonts w:ascii="Times New Roman" w:cs="Times New Roman" w:eastAsia="Times New Roman" w:hAnsi="Times New Roman"/>
                <w:sz w:val="18"/>
                <w:szCs w:val="18"/>
                <w:b w:val="1"/>
                <w:bCs w:val="1"/>
                <w:color w:val="auto"/>
                <w:w w:val="98"/>
              </w:rPr>
              <w:t>ISIN No</w:t>
            </w:r>
            <w:r>
              <w:rPr>
                <w:rFonts w:ascii="Times New Roman" w:cs="Times New Roman" w:eastAsia="Times New Roman" w:hAnsi="Times New Roman"/>
                <w:sz w:val="18"/>
                <w:szCs w:val="18"/>
                <w:color w:val="auto"/>
                <w:w w:val="98"/>
              </w:rPr>
              <w:t>. US532457DL93</w:t>
            </w: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980" w:right="1580"/>
        <w:spacing w:after="0" w:line="255" w:lineRule="auto"/>
        <w:rPr>
          <w:sz w:val="20"/>
          <w:szCs w:val="20"/>
          <w:color w:val="auto"/>
        </w:rPr>
      </w:pPr>
      <w:r>
        <w:rPr>
          <w:rFonts w:ascii="Times New Roman" w:cs="Times New Roman" w:eastAsia="Times New Roman" w:hAnsi="Times New Roman"/>
          <w:sz w:val="18"/>
          <w:szCs w:val="18"/>
          <w:color w:val="auto"/>
        </w:rPr>
        <w:t>UNLESS THIS GLOBAL NOTE IS PRESENTED BY AN AUTHORIZED REPRESENTATIVE OF THE DEPOSITORY TRUST COMPANY, A NEW YORK CORPORATION (“DTC”), TO THE COMPANY OR ITS AGENT FOR REGISTRATION OF TRANSFER, EXCHANGE OR PAYMENT, AND ANY NOTE ISSUED IS REGISTERED IN THE NAME OF [*] OR IN SUCH OTHER NAME AS REQUESTED BY AN AUTHORIZED REPRESENTATIVE OF DTC AND ANY PAYMENT IS MADE TO [*], ANY TRANSFER, PLEDGE OR OTHER USE HEREOF FOR VALUE OR OTHERWISE BY OR TO ANY PERSON IS WRONGFUL SINCE THE REGISTERED OWNER HEREOF, [*], HAS AN INTEREST HEREIN.</w:t>
      </w:r>
    </w:p>
    <w:p>
      <w:pPr>
        <w:spacing w:after="0" w:line="81" w:lineRule="exact"/>
        <w:rPr>
          <w:sz w:val="20"/>
          <w:szCs w:val="20"/>
          <w:color w:val="auto"/>
        </w:rPr>
      </w:pPr>
    </w:p>
    <w:p>
      <w:pPr>
        <w:ind w:left="980" w:right="1540"/>
        <w:spacing w:after="0" w:line="258" w:lineRule="auto"/>
        <w:rPr>
          <w:sz w:val="20"/>
          <w:szCs w:val="20"/>
          <w:color w:val="auto"/>
        </w:rPr>
      </w:pPr>
      <w:r>
        <w:rPr>
          <w:rFonts w:ascii="Times New Roman" w:cs="Times New Roman" w:eastAsia="Times New Roman" w:hAnsi="Times New Roman"/>
          <w:sz w:val="18"/>
          <w:szCs w:val="18"/>
          <w:color w:val="auto"/>
        </w:rPr>
        <w:t>UNLESS AND UNTIL IT IS EXCHANGED IN WHOLE OR IN PART FOR NOTES IN DEFINITIVE REGISTERED FORM, THIS GLOBAL NOTE MAY NOT BE TRANSFERRED EXCEPT AS A WHOLE BY DTC TO A NOMINEE OF DTC, OR BY A NOMINEE OF DTC TO DTC OR ANOTHER NOMINEE OF DTC, OR BY DTC OR ANY SUCH NOMINEE TO A SUCCESSOR DEPOSITARY OR TO A NOMINEE OF SUCH SUCCESSOR DEPOSITARY.</w:t>
      </w:r>
    </w:p>
    <w:p>
      <w:pPr>
        <w:spacing w:after="0" w:line="179" w:lineRule="exact"/>
        <w:rPr>
          <w:sz w:val="20"/>
          <w:szCs w:val="20"/>
          <w:color w:val="auto"/>
        </w:rPr>
      </w:pPr>
    </w:p>
    <w:p>
      <w:pPr>
        <w:ind w:right="400" w:firstLine="440"/>
        <w:spacing w:after="0" w:line="278" w:lineRule="auto"/>
        <w:rPr>
          <w:sz w:val="20"/>
          <w:szCs w:val="20"/>
          <w:color w:val="auto"/>
        </w:rPr>
      </w:pPr>
      <w:r>
        <w:rPr>
          <w:rFonts w:ascii="Times New Roman" w:cs="Times New Roman" w:eastAsia="Times New Roman" w:hAnsi="Times New Roman"/>
          <w:sz w:val="17"/>
          <w:szCs w:val="17"/>
          <w:color w:val="auto"/>
        </w:rPr>
        <w:t>ELI LILLY AND COMPANY, an Indiana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which term includes any successor corporation under the Indenture referred to herein), for value received, hereby promises to pay to [*], or its registered assigns, the principal amount of [*] Dollars ($[*]) on May 20,</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2031 (the “</w:t>
      </w:r>
      <w:r>
        <w:rPr>
          <w:rFonts w:ascii="Times New Roman" w:cs="Times New Roman" w:eastAsia="Times New Roman" w:hAnsi="Times New Roman"/>
          <w:sz w:val="18"/>
          <w:szCs w:val="18"/>
          <w:b w:val="1"/>
          <w:bCs w:val="1"/>
          <w:i w:val="1"/>
          <w:iCs w:val="1"/>
          <w:color w:val="auto"/>
        </w:rPr>
        <w:t>Stated Maturity Date</w:t>
      </w:r>
      <w:r>
        <w:rPr>
          <w:rFonts w:ascii="Times New Roman" w:cs="Times New Roman" w:eastAsia="Times New Roman" w:hAnsi="Times New Roman"/>
          <w:sz w:val="18"/>
          <w:szCs w:val="18"/>
          <w:color w:val="auto"/>
        </w:rPr>
        <w:t>”), unless redeemed on any Redemption Date (as defined on the reverse hereof) or the Centessa Special Mandatory Redemption Date (as defined on the reverse hereof) (the Stated Maturity Date, any Redemption Date or the Centessa Special Mandatory Redemption Date is referred to herein as the “</w:t>
      </w:r>
      <w:r>
        <w:rPr>
          <w:rFonts w:ascii="Times New Roman" w:cs="Times New Roman" w:eastAsia="Times New Roman" w:hAnsi="Times New Roman"/>
          <w:sz w:val="18"/>
          <w:szCs w:val="18"/>
          <w:b w:val="1"/>
          <w:bCs w:val="1"/>
          <w:i w:val="1"/>
          <w:iCs w:val="1"/>
          <w:color w:val="auto"/>
        </w:rPr>
        <w:t>Maturity Date</w:t>
      </w:r>
      <w:r>
        <w:rPr>
          <w:rFonts w:ascii="Times New Roman" w:cs="Times New Roman" w:eastAsia="Times New Roman" w:hAnsi="Times New Roman"/>
          <w:sz w:val="18"/>
          <w:szCs w:val="18"/>
          <w:color w:val="auto"/>
        </w:rPr>
        <w:t xml:space="preserve">” with respect to the principal amount repayable on such date), upon surrender of this Note at the office or agency of the Company for such payment in the City of New York, in such coin or currency of the United States of America as at the time of payment shall be legal tender for the payment of public and private debts, and to pay interest on the outstanding principal amount until the Maturity Date at the rate of 4.375% per annum, in like coin or currency, semi-annually on May 20 and November 20 of each year, commencing on November 20, 2026, until the date on which payment of said principal amount has been made or duly provided for;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this Note is in the form of a Global Security, then payments of principal of or premium, if any, or interest on this Note may be made at the Company’s option by wire transfer of immediately available funds to the account specified by the Depositary for this Note;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this Note is not in the</w:t>
      </w:r>
    </w:p>
    <w:p>
      <w:pPr>
        <w:sectPr>
          <w:pgSz w:w="11900" w:h="16838" w:orient="portrait"/>
          <w:cols w:equalWidth="0" w:num="1">
            <w:col w:w="11000"/>
          </w:cols>
          <w:pgMar w:left="440" w:top="266" w:right="459" w:bottom="1440" w:gutter="0" w:footer="0" w:header="0"/>
        </w:sectPr>
      </w:pPr>
    </w:p>
    <w:bookmarkStart w:id="84" w:name="page85"/>
    <w:bookmarkEnd w:id="84"/>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a Global Security, then payments of principal of and premium, if any, and interest on this Note may be made at the Company’s option by check mailed to the address of the person entitled thereto as such address shall appear in the records of the Security Registrar. Interest on this Note shall accrue on the outstanding principal amount thereof from, and including, the most recent Interest Payment Date to which interest has been paid or provided for or, if no interest has been paid or duly provided for, from, and including, May 20, 2026, in each case to, but excluding, the applicable Interest Payment Date or the Maturity Date, as the case may be. Interest shall be computed on the basis of a 360-day year of twelve 30-day months. The interest payable on any Interest Payment Date shall be payable to the person in whose name this Note is registered at the close of business on the May 5 and November 5 (whether or not a Business Day) immediately preceding such Interest Payment Date, except as otherwise provided in the Indenture.</w:t>
      </w:r>
    </w:p>
    <w:p>
      <w:pPr>
        <w:spacing w:after="0" w:line="18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If the Maturity Date or any Interest Payment Date falls on a day that is not a Business Day, principal, premium, if any, and interest, if any, payable with respect to the Maturity Date or such Interest Payment Date, as the case may be, shall be paid on the next succeeding Business Day with the same force and effect as if made on the Maturity Date or such Interest Payment Date, as the case may be, and no additional interest shall accrue on the amount so payable for the period from and after the Maturity Date or such Interest Payment Date, as the case may be, to the next succeeding Business Day. As used herein, “</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shall mean any day, other than a Saturday or Sunday, that is neither a legal holiday nor a day on which banking institutions are authorized or required by law or regulation to close in the City of New York.</w:t>
      </w:r>
    </w:p>
    <w:p>
      <w:pPr>
        <w:spacing w:after="0" w:line="183"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This Note is issued pursuant to, and shall be governed by, that certain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dated as of February 1, 1991, between the Company and Deutsche Bank Trust Company Americas (as successor to Citibank, N.A.), as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Capitalized terms used in this Note without definition shall have the respective meanings ascribed to them in the Indenture.</w:t>
      </w:r>
    </w:p>
    <w:p>
      <w:pPr>
        <w:spacing w:after="0" w:line="17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provisions of this Note are continued on the reverse hereof, and such continued provisions shall for all purposes have the same effect as though fully set forth at this place.</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by the manual signature of one of its authorized officers, this Note shall not be entitled to the benefit under the Indenture or be valid or obligatory for any purpose.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[This Space Intentionally Left Blank]</w:t>
      </w:r>
    </w:p>
    <w:p>
      <w:pPr>
        <w:sectPr>
          <w:pgSz w:w="11900" w:h="16838" w:orient="portrait"/>
          <w:cols w:equalWidth="0" w:num="1">
            <w:col w:w="11000"/>
          </w:cols>
          <w:pgMar w:left="440" w:top="270"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Eli Lilly and Company has caused this instrument to be duly signed.</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ELI LILLY AND COMPANY</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Global Note]</w:t>
      </w:r>
    </w:p>
    <w:p>
      <w:pPr>
        <w:sectPr>
          <w:pgSz w:w="11900" w:h="16838" w:orient="portrait"/>
          <w:cols w:equalWidth="0" w:num="1">
            <w:col w:w="9039"/>
          </w:cols>
          <w:pgMar w:left="1420" w:top="270" w:right="1440" w:bottom="1440" w:gutter="0" w:footer="0" w:header="0"/>
        </w:sectPr>
      </w:pPr>
    </w:p>
    <w:bookmarkStart w:id="86" w:name="page87"/>
    <w:bookmarkEnd w:id="8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Securities of the series designated therein issued under the within-mentioned Indenture.</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 xml:space="preserve">Dated: May    </w:t>
      </w:r>
      <w:r>
        <w:rPr>
          <w:sz w:val="20"/>
          <w:szCs w:val="20"/>
          <w:color w:val="auto"/>
        </w:rPr>
        <w:tab/>
      </w:r>
      <w:r>
        <w:rPr>
          <w:rFonts w:ascii="Times New Roman" w:cs="Times New Roman" w:eastAsia="Times New Roman" w:hAnsi="Times New Roman"/>
          <w:sz w:val="17"/>
          <w:szCs w:val="17"/>
          <w:color w:val="auto"/>
        </w:rPr>
        <w:t>, 2026</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DEUTSCHE BANK TRUST COMPANY AMERICAS, as</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1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Global Note</w:t>
      </w:r>
      <w:r>
        <w:rPr>
          <w:rFonts w:ascii="Times New Roman" w:cs="Times New Roman" w:eastAsia="Times New Roman" w:hAnsi="Times New Roman"/>
          <w:sz w:val="18"/>
          <w:szCs w:val="18"/>
          <w:color w:val="auto"/>
        </w:rPr>
        <w:t>]</w:t>
      </w:r>
    </w:p>
    <w:p>
      <w:pPr>
        <w:sectPr>
          <w:pgSz w:w="11900" w:h="16838" w:orient="portrait"/>
          <w:cols w:equalWidth="0" w:num="1">
            <w:col w:w="10860"/>
          </w:cols>
          <w:pgMar w:left="440" w:top="270" w:right="59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This Note is one of a duly authorized issue of a series of debt securities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of the Company, designated as its 4.375% Notes due 2031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xml:space="preserve">”). The Securities, including the Notes, are all issued or to be issued under and pursuant to the Indenture, to which Indenture, and all Board Resolutions and Officers’ Certificates as provided therein, reference is hereby made for a description of the rights, limitation of rights, obligations, duties and immunities thereunder of the Company, the Trustee and the Holders of the Notes, and the terms upon which the Notes are, and are to be, authenticated and delivered. The Notes are initially limited to One Billion Five Hundred Million Dollars ($1,500,000,000) in aggregate principal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at any time issue additional Securities under the Indenture in unlimited amounts having the same terms as the Notes other than the date of original issuance and the first Interest Payment Date applicable thereto, and such Securities shall be treated as a single series with the Notes for all purposes under the Indenture.</w:t>
      </w:r>
    </w:p>
    <w:p>
      <w:pPr>
        <w:spacing w:after="0" w:line="189"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This Note shall constitute part of the Company’s unsecured and unsubordinated obligations and shall rank equally in right of payment with all of the Company’s other existing and future unsecured and unsubordinated indebtedness. This Note shall be issuable in fully registered form only, in minimum denominations of two thousand Dollars ($2,000) and any integral multiples of one thousand Dollars ($1,000) in excess of that amount.</w:t>
      </w:r>
    </w:p>
    <w:p>
      <w:pPr>
        <w:spacing w:after="0" w:line="15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In case an Event of Default shall have occurred and be continuing with respect to this Note, the principal hereof may be declared due and payable, and upon such declaration shall become due and payable, in the manner, with the effect, and subject to the conditions provided in the Indenture. The Indenture permits the Holders of at least a majority in aggregate principal amount of the Notes at the time outstanding to, on behalf of the Holders of all of the Notes and in the manner and subject to the provisions of the Indenture, waive certain past defaults and rescind and annul such past declarations and their consequences under the Indenture.</w:t>
      </w:r>
    </w:p>
    <w:p>
      <w:pPr>
        <w:spacing w:after="0" w:line="18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The Indenture contains provisions permitting the Company and the Trustee, with consent of the Holders of not less than a majority of the aggregate principal amount of the Notes at the time outstanding, evidenced as provided in the Indenture, to execute supplemental indentures for the purpose of adding any provisions to or changing in any manner or eliminating any of the provisions of the Indenture or of any supplemental indenture with respect to the Notes or of modifying in any manner the rights of the Holders of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supplemental indenture shall (i) extend the fixed maturity, or the earlier optional date of maturity, if any, of any Note, or reduce the principal amount thereof or the premium thereon, if any, or reduce the rate or extend the time of payment of interest, if any, thereon or make the principal thereof or premium, if any, or interest, if any, thereon payable in any currency other than as provided pursuant to the Indenture or this Note, without the consent of the Holders of each Note so affected; or (ii) reduce the aforesaid percentage of the Notes, the Holders of which are required to consent to any such supplemental indenture, without the consent of the Holders of all Notes then outstanding.</w:t>
      </w:r>
    </w:p>
    <w:p>
      <w:pPr>
        <w:spacing w:after="0" w:line="188"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The Notes shall not have the benefit of any sinking fund and, except as set forth below under “Centessa Special Mandatory Redemption,” the Notes shall not be subject to any mandatory redemption provision.</w:t>
      </w:r>
    </w:p>
    <w:p>
      <w:pPr>
        <w:sectPr>
          <w:pgSz w:w="11900" w:h="16838" w:orient="portrait"/>
          <w:cols w:equalWidth="0" w:num="1">
            <w:col w:w="11000"/>
          </w:cols>
          <w:pgMar w:left="440" w:top="266"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Optional Redemption</w:t>
      </w:r>
    </w:p>
    <w:p>
      <w:pPr>
        <w:spacing w:after="0" w:line="119" w:lineRule="exact"/>
        <w:rPr>
          <w:sz w:val="20"/>
          <w:szCs w:val="20"/>
          <w:color w:val="auto"/>
        </w:rPr>
      </w:pPr>
    </w:p>
    <w:p>
      <w:pPr>
        <w:jc w:val="both"/>
        <w:ind w:right="20" w:firstLine="991"/>
        <w:spacing w:after="0" w:line="289" w:lineRule="auto"/>
        <w:rPr>
          <w:sz w:val="20"/>
          <w:szCs w:val="20"/>
          <w:color w:val="auto"/>
        </w:rPr>
      </w:pPr>
      <w:r>
        <w:rPr>
          <w:rFonts w:ascii="Times New Roman" w:cs="Times New Roman" w:eastAsia="Times New Roman" w:hAnsi="Times New Roman"/>
          <w:sz w:val="17"/>
          <w:szCs w:val="17"/>
          <w:color w:val="auto"/>
        </w:rPr>
        <w:t>Upon such notice as specified below and in accordance with the Indenture and the terms of this Note, the Notes are subject to redemption at the election of the Company, in whole or in part, at any time and from time to time, on a date fixed for redemption (a “</w:t>
      </w:r>
      <w:r>
        <w:rPr>
          <w:rFonts w:ascii="Times New Roman" w:cs="Times New Roman" w:eastAsia="Times New Roman" w:hAnsi="Times New Roman"/>
          <w:sz w:val="17"/>
          <w:szCs w:val="17"/>
          <w:b w:val="1"/>
          <w:bCs w:val="1"/>
          <w:i w:val="1"/>
          <w:iCs w:val="1"/>
          <w:color w:val="auto"/>
        </w:rPr>
        <w:t>Redemption Date</w:t>
      </w:r>
      <w:r>
        <w:rPr>
          <w:rFonts w:ascii="Times New Roman" w:cs="Times New Roman" w:eastAsia="Times New Roman" w:hAnsi="Times New Roman"/>
          <w:sz w:val="17"/>
          <w:szCs w:val="17"/>
          <w:color w:val="auto"/>
        </w:rPr>
        <w:t>”) prior to the Par Call Date and at a “redemption price” (expressed as a percentage of principal amount and rounded to three decimal places) equal to the greater of:</w:t>
      </w:r>
    </w:p>
    <w:p>
      <w:pPr>
        <w:spacing w:after="0" w:line="50" w:lineRule="exact"/>
        <w:rPr>
          <w:sz w:val="20"/>
          <w:szCs w:val="20"/>
          <w:color w:val="auto"/>
        </w:rPr>
      </w:pPr>
    </w:p>
    <w:p>
      <w:pPr>
        <w:ind w:firstLine="987"/>
        <w:spacing w:after="0" w:line="266" w:lineRule="auto"/>
        <w:tabs>
          <w:tab w:leader="none" w:pos="12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on the Notes to be redeemed discounted to the Redemption Date (assuming the Notes to be redeemed matured on the Par Call Date) on a semi-annual basis (assuming a 360-day year consisting of twelve 30-day months) at the Treasury Rate, plus 10 basis points, less (b) interest accrued to the Redemption Date, and</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 on such Redemption Date,</w:t>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each case, accrued and unpaid interest thereon to, but excluding, the Redemption Date.</w:t>
      </w:r>
    </w:p>
    <w:p>
      <w:pPr>
        <w:spacing w:after="0" w:line="227"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In addition, on or after the Par Call Date, the Company may redeem the Notes, in whole or in part, at any time and from time to time, at a redemption price equal to 100% of the principal amount of the Notes to be redeemed plus accrued and unpaid interest thereon to, but excluding, the Redemption Date.</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 Call Date</w:t>
      </w:r>
      <w:r>
        <w:rPr>
          <w:rFonts w:ascii="Times New Roman" w:cs="Times New Roman" w:eastAsia="Times New Roman" w:hAnsi="Times New Roman"/>
          <w:sz w:val="18"/>
          <w:szCs w:val="18"/>
          <w:color w:val="auto"/>
        </w:rPr>
        <w:t>” means April 20, 2031.</w:t>
      </w:r>
    </w:p>
    <w:p>
      <w:pPr>
        <w:spacing w:after="0" w:line="225" w:lineRule="exact"/>
        <w:rPr>
          <w:sz w:val="20"/>
          <w:szCs w:val="20"/>
          <w:color w:val="auto"/>
        </w:rPr>
      </w:pPr>
    </w:p>
    <w:p>
      <w:pPr>
        <w:ind w:right="7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Rate</w:t>
      </w:r>
      <w:r>
        <w:rPr>
          <w:rFonts w:ascii="Times New Roman" w:cs="Times New Roman" w:eastAsia="Times New Roman" w:hAnsi="Times New Roman"/>
          <w:sz w:val="18"/>
          <w:szCs w:val="18"/>
          <w:color w:val="auto"/>
        </w:rPr>
        <w:t>” means, with respect to any Redemption Date prior to the Par Call Date, the yield determined by the Company in accordance with the following two paragraphs.</w:t>
      </w:r>
    </w:p>
    <w:p>
      <w:pPr>
        <w:spacing w:after="0" w:line="15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ectPr>
          <w:pgSz w:w="11900" w:h="16838" w:orient="portrait"/>
          <w:cols w:equalWidth="0" w:num="1">
            <w:col w:w="11000"/>
          </w:cols>
          <w:pgMar w:left="440" w:top="268" w:right="459" w:bottom="1440" w:gutter="0" w:footer="0" w:header="0"/>
        </w:sectPr>
      </w:pPr>
    </w:p>
    <w:bookmarkStart w:id="89" w:name="page90"/>
    <w:bookmarkEnd w:id="89"/>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w:t>
      </w:r>
    </w:p>
    <w:p>
      <w:pPr>
        <w:spacing w:after="0" w:line="16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the Notes that are due and payable on each Interest Payment Date falling on or prior to a Redemption Date shall be payable on such Interest Payment Date to the Holder(s) as of the close of business on the Regular Record Date immediately preceding such Interest Payment Date.</w:t>
      </w:r>
    </w:p>
    <w:p>
      <w:pPr>
        <w:spacing w:after="0" w:line="176"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Notice of any redemption will be mailed (or otherwise transmitted in accordance with the Depositary’s procedures) at least 10 days but not more than 60 days before the Redemption Date to each Holder of Notes to be redeemed. Each notice of redemption shall (i) specify the Redemption Date and the redemption price at which the Notes are to be redeemed, (ii) state the applicable conditions precedent to such redemption, if any, as described below, and (iii) state that payment of the redemption price of the Notes to be redeemed, together with interest accrued thereon to the Redemption Date (except that if such Redemption Date is an Interest Payment Date, such interest due on such date shall be payable to the Holder on the Regular Record Date for such Interest Payment Date), shall be made at the office or agency to be maintained by the Company in accordance with Section 5.02 of the Indenture (or, if desired by the Company, at the principal office of the Trustee) upon presentation and surrender of such Notes and that from and after said date any interest thereon shall cease to accrue.</w:t>
      </w:r>
    </w:p>
    <w:p>
      <w:pPr>
        <w:spacing w:after="0" w:line="192"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Any notice of redemption may, at the Company’s discretion, be subject to one or more conditions precedent, including completion of a corporate transaction. In such event, the related notice of redemption shall describe each such condition and, if applicable, shall state that, at the Company’s discretion, the Redemption Date may be delayed until such time (including more</w:t>
      </w:r>
    </w:p>
    <w:p>
      <w:pPr>
        <w:sectPr>
          <w:pgSz w:w="11900" w:h="16838" w:orient="portrait"/>
          <w:cols w:equalWidth="0" w:num="1">
            <w:col w:w="11000"/>
          </w:cols>
          <w:pgMar w:left="440" w:top="270" w:right="459" w:bottom="1440" w:gutter="0" w:footer="0" w:header="0"/>
        </w:sectPr>
      </w:pPr>
    </w:p>
    <w:bookmarkStart w:id="90" w:name="page91"/>
    <w:bookmarkEnd w:id="90"/>
    <w:p>
      <w:pPr>
        <w:ind w:left="4"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than 60 days after the notice of redemption was given) as any or all such conditions shall be satisfied (or waived by the Company in its sole discretion), or such redemption may not occur and such notice may be rescinded in the event that any or all such conditions shall not have been satisfied or waived by the Redemption Date, or by the Redemption Date so delayed. If any such redemption has been rescinded or delayed, the Company shall provide written notice to the Trustee prior to the close of business two Business Days prior to the Redemption Date and shall deliver a written request to the Trustee to promptly provide such notice to each Holder, and, upon receipt, the Trustee shall provide such notice to each Holder. Subject to any delay in the Redemption Date or rescission of the notice of redemption as described above, once notice of redemption is mailed, the Notes called for redemption shall become due and payable on the applicable Redemption Date at the applicable redemption price.</w:t>
      </w:r>
    </w:p>
    <w:p>
      <w:pPr>
        <w:spacing w:after="0" w:line="189"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If fewer than all of the Notes are to be redeemed, selection of the Notes to be redeemed shall be made pro rata, by lot or by such other method as the Trustee in its sole discretion deems appropriate and fair. No Notes of a principal amount of $2,000 or less shall be redeemed in part. If any Note is to be redeemed in part only, the notice of redemption that relates to the Note shall state the portion of the principal amount of the Note to be redeemed. Except in the case of Global Securities, a new Note in a principal amount equal to the unredeemed portion of the Note shall be issued in the name of the Holder of the Note upon surrender for cancellation of the original Note. Notwithstanding the foregoing, for so long as the Notes are held by the Depositary, the redemption of the Notes shall be done in accordance with the policies and procedures of the Depositary. Before any Redemption Date, the Company shall deposit with a Paying Agent (or the Trustee) money sufficient to pay the redemption price of the Notes to be redeemed on such date.</w:t>
      </w:r>
    </w:p>
    <w:p>
      <w:pPr>
        <w:spacing w:after="0" w:line="192"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therefor, on and after the Redemption Date, interest shall cease to accrue on the Notes or any portions of the Notes called for redemption.</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Centessa Special Mandatory Redemption</w:t>
      </w:r>
    </w:p>
    <w:p>
      <w:pPr>
        <w:spacing w:after="0" w:line="11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In the event that (x) the Centessa Acquisition is not consummated on or prior to the date that is five (5) Business Days after the later of</w:t>
      </w:r>
    </w:p>
    <w:p>
      <w:pPr>
        <w:spacing w:after="0" w:line="27" w:lineRule="exact"/>
        <w:rPr>
          <w:sz w:val="20"/>
          <w:szCs w:val="20"/>
          <w:color w:val="auto"/>
        </w:rPr>
      </w:pPr>
    </w:p>
    <w:p>
      <w:pPr>
        <w:ind w:left="4" w:right="100" w:hanging="4"/>
        <w:spacing w:after="0" w:line="253" w:lineRule="auto"/>
        <w:tabs>
          <w:tab w:leader="none" w:pos="21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31, 2027 or (ii) any later date as the parties to the Centessa Agreement may agree as the “Outside Date” thereunder or (y) the Company notifies the Trustee in writing that the Company will not pursue the consummation of the Centessa Acquisition (any such event being a “</w:t>
      </w:r>
      <w:r>
        <w:rPr>
          <w:rFonts w:ascii="Times New Roman" w:cs="Times New Roman" w:eastAsia="Times New Roman" w:hAnsi="Times New Roman"/>
          <w:sz w:val="18"/>
          <w:szCs w:val="18"/>
          <w:b w:val="1"/>
          <w:bCs w:val="1"/>
          <w:i w:val="1"/>
          <w:iCs w:val="1"/>
          <w:color w:val="auto"/>
        </w:rPr>
        <w:t>Centessa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Special Mandatory Redemption Event</w:t>
      </w:r>
      <w:r>
        <w:rPr>
          <w:rFonts w:ascii="Times New Roman" w:cs="Times New Roman" w:eastAsia="Times New Roman" w:hAnsi="Times New Roman"/>
          <w:sz w:val="18"/>
          <w:szCs w:val="18"/>
          <w:color w:val="auto"/>
        </w:rPr>
        <w:t>”), the Company will be required to redeem the Notes then outstanding (such redemption, the “</w:t>
      </w:r>
      <w:r>
        <w:rPr>
          <w:rFonts w:ascii="Times New Roman" w:cs="Times New Roman" w:eastAsia="Times New Roman" w:hAnsi="Times New Roman"/>
          <w:sz w:val="18"/>
          <w:szCs w:val="18"/>
          <w:b w:val="1"/>
          <w:bCs w:val="1"/>
          <w:i w:val="1"/>
          <w:iCs w:val="1"/>
          <w:color w:val="auto"/>
        </w:rPr>
        <w:t>Centessa Special Mandatory Redemption</w:t>
      </w:r>
      <w:r>
        <w:rPr>
          <w:rFonts w:ascii="Times New Roman" w:cs="Times New Roman" w:eastAsia="Times New Roman" w:hAnsi="Times New Roman"/>
          <w:sz w:val="18"/>
          <w:szCs w:val="18"/>
          <w:color w:val="auto"/>
        </w:rPr>
        <w:t>”) at a redemption price equal to 101% of the principal amount of such Notes plus accrued and unpaid interest, if any, to, but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excluding, the Centessa Special Mandatory Redemption Date (as defined below) (the “</w:t>
      </w:r>
      <w:r>
        <w:rPr>
          <w:rFonts w:ascii="Times New Roman" w:cs="Times New Roman" w:eastAsia="Times New Roman" w:hAnsi="Times New Roman"/>
          <w:sz w:val="18"/>
          <w:szCs w:val="18"/>
          <w:b w:val="1"/>
          <w:bCs w:val="1"/>
          <w:i w:val="1"/>
          <w:iCs w:val="1"/>
          <w:color w:val="auto"/>
        </w:rPr>
        <w:t>Centessa Special Mandatory Redemption Price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In the event that the Company becomes obligated to redeem the Notes pursuant to the Centessa Special Mandatory Redemption, the Company will promptly, and in any event not more than ten (10) Business Days after the Centessa Special Mandatory Redemption Event, deliver written notice (the “</w:t>
      </w:r>
      <w:r>
        <w:rPr>
          <w:rFonts w:ascii="Times New Roman" w:cs="Times New Roman" w:eastAsia="Times New Roman" w:hAnsi="Times New Roman"/>
          <w:sz w:val="18"/>
          <w:szCs w:val="18"/>
          <w:b w:val="1"/>
          <w:bCs w:val="1"/>
          <w:i w:val="1"/>
          <w:iCs w:val="1"/>
          <w:color w:val="auto"/>
        </w:rPr>
        <w:t>Centessa Special Mandatory Redemption Notice</w:t>
      </w:r>
      <w:r>
        <w:rPr>
          <w:rFonts w:ascii="Times New Roman" w:cs="Times New Roman" w:eastAsia="Times New Roman" w:hAnsi="Times New Roman"/>
          <w:sz w:val="18"/>
          <w:szCs w:val="18"/>
          <w:color w:val="auto"/>
        </w:rPr>
        <w:t>”) to each registered Holder of the Notes and the Trustee of the Centessa Special Mandatory Redemption and the date upon which the Notes will be redeemed (the “</w:t>
      </w:r>
      <w:r>
        <w:rPr>
          <w:rFonts w:ascii="Times New Roman" w:cs="Times New Roman" w:eastAsia="Times New Roman" w:hAnsi="Times New Roman"/>
          <w:sz w:val="18"/>
          <w:szCs w:val="18"/>
          <w:b w:val="1"/>
          <w:bCs w:val="1"/>
          <w:i w:val="1"/>
          <w:iCs w:val="1"/>
          <w:color w:val="auto"/>
        </w:rPr>
        <w:t>Centessa Special Mandatory Redemption Date</w:t>
      </w:r>
      <w:r>
        <w:rPr>
          <w:rFonts w:ascii="Times New Roman" w:cs="Times New Roman" w:eastAsia="Times New Roman" w:hAnsi="Times New Roman"/>
          <w:sz w:val="18"/>
          <w:szCs w:val="18"/>
          <w:color w:val="auto"/>
        </w:rPr>
        <w:t>,” which</w:t>
      </w:r>
    </w:p>
    <w:p>
      <w:pPr>
        <w:sectPr>
          <w:pgSz w:w="11900" w:h="16838" w:orient="portrait"/>
          <w:cols w:equalWidth="0" w:num="1">
            <w:col w:w="11004"/>
          </w:cols>
          <w:pgMar w:left="436" w:top="270" w:right="459" w:bottom="1440" w:gutter="0" w:footer="0" w:header="0"/>
        </w:sectPr>
      </w:pPr>
    </w:p>
    <w:bookmarkStart w:id="91" w:name="page92"/>
    <w:bookmarkEnd w:id="91"/>
    <w:p>
      <w:pPr>
        <w:ind w:right="16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shall be no earlier than five (5) days and no later than thirty (30) days following the date of such notice, unless some longer minimum period may be required by DTC (or any successor depositary)). The Centessa Special Mandatory Redemption Notice will, in accordance with the Trustee’s (if applicable) and DTC’s (or any successor depositary’s) procedures, be mailed, electronically delivered, or otherwise transmitted, according to the procedures of DTC (or any successor depositary) to each registered Holder of the Notes. Any Centessa Special Mandatory Redemption Notice may be given by the Company or may be given, at the Company’s written direction, by the Trustee in the Company’s name and at the Company’s expense.</w:t>
      </w:r>
    </w:p>
    <w:p>
      <w:pPr>
        <w:spacing w:after="0" w:line="168"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Centessa Special Mandatory Redemption Price of the Notes, on and after such Centessa Special Mandatory Redemption Date, interest will cease to accrue on the Notes.</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the Notes that are due and payable on an Interest Payment Date falling on or prior to the Centessa Special Mandatory Redemption Date will be payable on such Interest Payment Date to the registered Holders of the Notes as of the close of business on the relevant record date in accordance with the Notes and the Indenture.</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Upon the consummation of the Centessa Acquisition, the foregoing provisions regarding the Centessa Special Mandatory Redemption will cease to apply. For purposes of the foregoing, the Centessa Acquisition will be deemed consummated if the closing under the Centessa Agreement occurs, including after giving effect to any amendments, modifications or waivers to the Centessa Agreement.</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Centessa</w:t>
      </w:r>
      <w:r>
        <w:rPr>
          <w:rFonts w:ascii="Times New Roman" w:cs="Times New Roman" w:eastAsia="Times New Roman" w:hAnsi="Times New Roman"/>
          <w:sz w:val="18"/>
          <w:szCs w:val="18"/>
          <w:color w:val="auto"/>
        </w:rPr>
        <w:t>” means Centessa Pharmaceuticals plc, a public limited company registered in England and Wales.</w:t>
      </w:r>
    </w:p>
    <w:p>
      <w:pPr>
        <w:spacing w:after="0" w:line="225" w:lineRule="exact"/>
        <w:rPr>
          <w:sz w:val="20"/>
          <w:szCs w:val="20"/>
          <w:color w:val="auto"/>
        </w:rPr>
      </w:pPr>
    </w:p>
    <w:p>
      <w:pPr>
        <w:ind w:right="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Centessa Acquisition</w:t>
      </w:r>
      <w:r>
        <w:rPr>
          <w:rFonts w:ascii="Times New Roman" w:cs="Times New Roman" w:eastAsia="Times New Roman" w:hAnsi="Times New Roman"/>
          <w:sz w:val="18"/>
          <w:szCs w:val="18"/>
          <w:color w:val="auto"/>
        </w:rPr>
        <w:t>” means the acquisition by Eli Lilly and Company (including through the Purchaser (as defined below)) of Centessa and its subsidiaries pursuant to the Centessa Agreement.</w:t>
      </w:r>
    </w:p>
    <w:p>
      <w:pPr>
        <w:spacing w:after="0" w:line="155" w:lineRule="exact"/>
        <w:rPr>
          <w:sz w:val="20"/>
          <w:szCs w:val="20"/>
          <w:color w:val="auto"/>
        </w:rPr>
      </w:pPr>
    </w:p>
    <w:p>
      <w:pPr>
        <w:ind w:right="12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Centessa Agreement</w:t>
      </w:r>
      <w:r>
        <w:rPr>
          <w:rFonts w:ascii="Times New Roman" w:cs="Times New Roman" w:eastAsia="Times New Roman" w:hAnsi="Times New Roman"/>
          <w:sz w:val="18"/>
          <w:szCs w:val="18"/>
          <w:color w:val="auto"/>
        </w:rPr>
        <w:t>” means the Transaction Agreement, dated as of March 31, 2026, by and among Eli Lilly and Company, an Indiana corporation, LDH XV Corporation, a Delaware corporation and direct wholly owned subsidiary of Eli Lilly and Company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and Centessa, as amended, supplemented, renewed, modified or waived from time to time.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Notes are subject to the defeasance provisions set forth in Section 12.02 of the Indenture.</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The Company shall not pay any additional amounts on any of the Notes to any person, including any Holder who is not a United States person in respect of any tax, assessment or governmental charge withheld or deducted.</w:t>
      </w:r>
    </w:p>
    <w:p>
      <w:pPr>
        <w:sectPr>
          <w:pgSz w:w="11900" w:h="16838" w:orient="portrait"/>
          <w:cols w:equalWidth="0" w:num="1">
            <w:col w:w="10980"/>
          </w:cols>
          <w:pgMar w:left="440" w:top="270" w:right="479" w:bottom="1440" w:gutter="0" w:footer="0" w:header="0"/>
        </w:sectPr>
      </w:pPr>
    </w:p>
    <w:bookmarkStart w:id="92" w:name="page93"/>
    <w:bookmarkEnd w:id="92"/>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reference herein to the Indenture and no provision of this Note or of the Indenture or of any Board Resolution shall alter or impair the obligation of the Company, which is absolute and unconditional, to pay the principal of and premium, if any, and interest on this Note at the times and places and at the rate and in the coin and currency herein prescribed.</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This Note is transferable by the Holder hereof in person or by his or her attorney duly authorized in writing on the books of the Company at the office or agency to be maintained by the Company for that purpose in the City of New York, but only in the manner, subject to the limitations and upon payment of any tax or governmental charge for which the Company may require reimbursement as provided in the Indenture, and upon surrender and cancellation of this Note. Upon any registration of transfer, a new registered Note or Notes, of authorized denomination or authorized denominations and like tenor and terms, and in the same aggregate principal amount, shall be issued to the transferee in exchange therefor.</w:t>
      </w:r>
    </w:p>
    <w:p>
      <w:pPr>
        <w:spacing w:after="0" w:line="183"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The Company, the Trustee, any Paying Agent and any Security Registrar may deem and treat the Holder hereof as the absolute owner of this Note (whether or not this Note shall be overdue and notwithstanding any notations of ownership or other writing hereon made by anyone other than the Security Registrar) for the purpose of receiving payment of or on account of the principal hereof and premium, if any, and interest due hereon as herein provided and for all other purposes, and none of the Company, the Trustee, any Paying Agent or any Security Registrar shall be affected by any notice to the contrary.</w:t>
      </w:r>
    </w:p>
    <w:p>
      <w:pPr>
        <w:spacing w:after="0" w:line="183"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if any, or interest on this Note, or for any claim based hereon, or otherwise in respect hereof, or based on or in respect of the Indenture or any supplemental indenture thereto or any Board Resolution, against any Person other than the Company or against any incorporator, stockholder, officer or director, past, present or future, as such, of the Company or any other Person, whether by virtue of any constitution, statute or rule of law, or by the enforcement of any assessment or penalty or otherwise, all such liability being, by the acceptance hereof and as part of the consideration for the issuance of this Note, expressly waived and released.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Note shall be governed by and construed in accordance with the laws of the State of New York.</w:t>
      </w:r>
    </w:p>
    <w:p>
      <w:pPr>
        <w:sectPr>
          <w:pgSz w:w="11900" w:h="16838" w:orient="portrait"/>
          <w:cols w:equalWidth="0" w:num="1">
            <w:col w:w="11020"/>
          </w:cols>
          <w:pgMar w:left="440" w:top="270" w:right="4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A-3</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4.650% NOTE DUE 2033</w:t>
      </w:r>
    </w:p>
    <w:p>
      <w:pPr>
        <w:sectPr>
          <w:pgSz w:w="11900" w:h="16838" w:orient="portrait"/>
          <w:cols w:equalWidth="0" w:num="1">
            <w:col w:w="9019"/>
          </w:cols>
          <w:pgMar w:left="1440" w:top="266" w:right="1440"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360" w:type="dxa"/>
            <w:vAlign w:val="bottom"/>
            <w:gridSpan w:val="6"/>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8"/>
              </w:rPr>
              <w:t>ELI LILLY AND COMPANY</w:t>
            </w:r>
          </w:p>
        </w:tc>
      </w:tr>
      <w:tr>
        <w:trPr>
          <w:trHeight w:val="283"/>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360" w:type="dxa"/>
            <w:vAlign w:val="bottom"/>
            <w:gridSpan w:val="6"/>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9"/>
              </w:rPr>
              <w:t>4.</w:t>
            </w:r>
            <w:r>
              <w:rPr>
                <w:rFonts w:ascii="Times New Roman" w:cs="Times New Roman" w:eastAsia="Times New Roman" w:hAnsi="Times New Roman"/>
                <w:sz w:val="18"/>
                <w:szCs w:val="18"/>
                <w:b w:val="1"/>
                <w:bCs w:val="1"/>
                <w:u w:val="single" w:color="auto"/>
                <w:color w:val="auto"/>
                <w:w w:val="99"/>
              </w:rPr>
              <w:t>650%</w:t>
            </w:r>
            <w:r>
              <w:rPr>
                <w:rFonts w:ascii="Times New Roman" w:cs="Times New Roman" w:eastAsia="Times New Roman" w:hAnsi="Times New Roman"/>
                <w:sz w:val="18"/>
                <w:szCs w:val="18"/>
                <w:b w:val="1"/>
                <w:bCs w:val="1"/>
                <w:color w:val="auto"/>
                <w:w w:val="99"/>
              </w:rPr>
              <w:t xml:space="preserve"> Note due 2033</w:t>
            </w:r>
          </w:p>
        </w:tc>
      </w:tr>
      <w:tr>
        <w:trPr>
          <w:trHeight w:val="439"/>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Certificate No. </w:t>
            </w:r>
            <w:r>
              <w:rPr>
                <w:rFonts w:ascii="Times New Roman" w:cs="Times New Roman" w:eastAsia="Times New Roman" w:hAnsi="Times New Roman"/>
                <w:sz w:val="18"/>
                <w:szCs w:val="18"/>
                <w:color w:val="auto"/>
              </w:rPr>
              <w:t>[*]</w:t>
            </w:r>
          </w:p>
        </w:tc>
        <w:tc>
          <w:tcPr>
            <w:tcW w:w="144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4200" w:type="dxa"/>
            <w:vAlign w:val="bottom"/>
            <w:gridSpan w:val="4"/>
          </w:tcPr>
          <w:p>
            <w:pPr>
              <w:ind w:left="224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532457 DM7</w:t>
            </w:r>
          </w:p>
        </w:tc>
      </w:tr>
      <w:tr>
        <w:trPr>
          <w:trHeight w:val="20"/>
        </w:trPr>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Registered Global Security</w:t>
            </w: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200" w:type="dxa"/>
            <w:vAlign w:val="bottom"/>
            <w:gridSpan w:val="4"/>
          </w:tcPr>
          <w:p>
            <w:pPr>
              <w:ind w:left="2240"/>
              <w:spacing w:after="0"/>
              <w:rPr>
                <w:sz w:val="20"/>
                <w:szCs w:val="20"/>
                <w:color w:val="auto"/>
              </w:rPr>
            </w:pPr>
            <w:r>
              <w:rPr>
                <w:rFonts w:ascii="Times New Roman" w:cs="Times New Roman" w:eastAsia="Times New Roman" w:hAnsi="Times New Roman"/>
                <w:sz w:val="18"/>
                <w:szCs w:val="18"/>
                <w:b w:val="1"/>
                <w:bCs w:val="1"/>
                <w:color w:val="auto"/>
                <w:w w:val="98"/>
              </w:rPr>
              <w:t xml:space="preserve">ISIN No. </w:t>
            </w:r>
            <w:r>
              <w:rPr>
                <w:rFonts w:ascii="Times New Roman" w:cs="Times New Roman" w:eastAsia="Times New Roman" w:hAnsi="Times New Roman"/>
                <w:sz w:val="18"/>
                <w:szCs w:val="18"/>
                <w:color w:val="auto"/>
                <w:w w:val="98"/>
              </w:rPr>
              <w:t>US532457DM76</w:t>
            </w: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980" w:right="1080"/>
        <w:spacing w:after="0" w:line="255" w:lineRule="auto"/>
        <w:rPr>
          <w:sz w:val="20"/>
          <w:szCs w:val="20"/>
          <w:color w:val="auto"/>
        </w:rPr>
      </w:pPr>
      <w:r>
        <w:rPr>
          <w:rFonts w:ascii="Times New Roman" w:cs="Times New Roman" w:eastAsia="Times New Roman" w:hAnsi="Times New Roman"/>
          <w:sz w:val="18"/>
          <w:szCs w:val="18"/>
          <w:color w:val="auto"/>
        </w:rPr>
        <w:t>UNLESS THIS GLOBAL NOTE IS PRESENTED BY AN AUTHORIZED REPRESENTATIVE OF THE DEPOSITORY TRUST COMPANY, A NEW YORK CORPORATION (“DTC”), TO THE COMPANY OR ITS AGENT FOR REGISTRATION OF TRANSFER, EXCHANGE OR PAYMENT, AND ANY NOTE ISSUED IS REGISTERED IN THE NAME OF [*] OR IN SUCH OTHER NAME AS REQUESTED BY AN AUTHORIZED REPRESENTATIVE OF DTC AND ANY PAYMENT IS MADE TO [*], ANY TRANSFER, PLEDGE OR OTHER USE HEREOF FOR VALUE OR OTHERWISE BY OR TO ANY PERSON IS WRONGFUL SINCE THE REGISTERED OWNER HEREOF, [*], HAS AN INTEREST HEREIN.</w:t>
      </w:r>
    </w:p>
    <w:p>
      <w:pPr>
        <w:spacing w:after="0" w:line="81" w:lineRule="exact"/>
        <w:rPr>
          <w:sz w:val="20"/>
          <w:szCs w:val="20"/>
          <w:color w:val="auto"/>
        </w:rPr>
      </w:pPr>
    </w:p>
    <w:p>
      <w:pPr>
        <w:ind w:left="980" w:right="1080"/>
        <w:spacing w:after="0" w:line="261" w:lineRule="auto"/>
        <w:rPr>
          <w:sz w:val="20"/>
          <w:szCs w:val="20"/>
          <w:color w:val="auto"/>
        </w:rPr>
      </w:pPr>
      <w:r>
        <w:rPr>
          <w:rFonts w:ascii="Times New Roman" w:cs="Times New Roman" w:eastAsia="Times New Roman" w:hAnsi="Times New Roman"/>
          <w:sz w:val="18"/>
          <w:szCs w:val="18"/>
          <w:color w:val="auto"/>
        </w:rPr>
        <w:t>UNLESS AND UNTIL IT IS EXCHANGED IN WHOLE OR IN PART FOR NOTES IN DEFINITIVE REGISTERED FORM, THIS GLOBAL NOTE MAY NOT BE TRANSFERRED EXCEPT AS A WHOLE BY DTC TO A NOMINEE OF DTC, OR BY A NOMINEE OF DTC TO DTC OR ANOTHER NOMINEE OF DTC, OR BY DTC OR ANY SUCH NOMINEE TO A SUCCESSOR DEPOSITARY OR TO A NOMINEE OF SUCH SUCCESSOR DEPOSITARY.</w:t>
      </w:r>
    </w:p>
    <w:p>
      <w:pPr>
        <w:spacing w:after="0" w:line="176" w:lineRule="exact"/>
        <w:rPr>
          <w:sz w:val="20"/>
          <w:szCs w:val="20"/>
          <w:color w:val="auto"/>
        </w:rPr>
      </w:pPr>
    </w:p>
    <w:p>
      <w:pPr>
        <w:ind w:right="400" w:firstLine="440"/>
        <w:spacing w:after="0" w:line="278" w:lineRule="auto"/>
        <w:rPr>
          <w:sz w:val="20"/>
          <w:szCs w:val="20"/>
          <w:color w:val="auto"/>
        </w:rPr>
      </w:pPr>
      <w:r>
        <w:rPr>
          <w:rFonts w:ascii="Times New Roman" w:cs="Times New Roman" w:eastAsia="Times New Roman" w:hAnsi="Times New Roman"/>
          <w:sz w:val="17"/>
          <w:szCs w:val="17"/>
          <w:color w:val="auto"/>
        </w:rPr>
        <w:t>ELI LILLY AND COMPANY, an Indiana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which term includes any successor corporation under the Indenture referred to herein), for value received, hereby promises to pay to [*], or its registered assigns, the principal amount of [*] Dollars ($[*]) on May 20,</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2033 (the “</w:t>
      </w:r>
      <w:r>
        <w:rPr>
          <w:rFonts w:ascii="Times New Roman" w:cs="Times New Roman" w:eastAsia="Times New Roman" w:hAnsi="Times New Roman"/>
          <w:sz w:val="18"/>
          <w:szCs w:val="18"/>
          <w:b w:val="1"/>
          <w:bCs w:val="1"/>
          <w:i w:val="1"/>
          <w:iCs w:val="1"/>
          <w:color w:val="auto"/>
        </w:rPr>
        <w:t>Stated Maturity Date</w:t>
      </w:r>
      <w:r>
        <w:rPr>
          <w:rFonts w:ascii="Times New Roman" w:cs="Times New Roman" w:eastAsia="Times New Roman" w:hAnsi="Times New Roman"/>
          <w:sz w:val="18"/>
          <w:szCs w:val="18"/>
          <w:color w:val="auto"/>
        </w:rPr>
        <w:t>”), unless redeemed on any Redemption Date (as defined on the reverse hereof) or the Centessa Special Mandatory Redemption Date (as defined on the reverse hereof) (the Stated Maturity Date, any Redemption Date or the Centessa Special Mandatory Redemption Date is referred to herein as the “</w:t>
      </w:r>
      <w:r>
        <w:rPr>
          <w:rFonts w:ascii="Times New Roman" w:cs="Times New Roman" w:eastAsia="Times New Roman" w:hAnsi="Times New Roman"/>
          <w:sz w:val="18"/>
          <w:szCs w:val="18"/>
          <w:b w:val="1"/>
          <w:bCs w:val="1"/>
          <w:i w:val="1"/>
          <w:iCs w:val="1"/>
          <w:color w:val="auto"/>
        </w:rPr>
        <w:t>Maturity Date</w:t>
      </w:r>
      <w:r>
        <w:rPr>
          <w:rFonts w:ascii="Times New Roman" w:cs="Times New Roman" w:eastAsia="Times New Roman" w:hAnsi="Times New Roman"/>
          <w:sz w:val="18"/>
          <w:szCs w:val="18"/>
          <w:color w:val="auto"/>
        </w:rPr>
        <w:t xml:space="preserve">” with respect to the principal amount repayable on such date), upon surrender of this Note at the office or agency of the Company for such payment in the City of New York, in such coin or currency of the United States of America as at the time of payment shall be legal tender for the payment of public and private debts, and to pay interest on the outstanding principal amount until the Maturity Date at the rate of 4.650% per annum, in like coin or currency, semi-annually on May 20 and November 20 of each year, commencing on November 20, 2026, until the date on which payment of said principal amount has been made or duly provided for;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this Note is in the form of a Global Security, then payments of principal of or premium, if any, or interest on this Note may be made at the Company’s option by wire transfer of immediately available funds to the account specified by the Depositary for this Note;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this Note is not in the</w:t>
      </w:r>
    </w:p>
    <w:p>
      <w:pPr>
        <w:sectPr>
          <w:pgSz w:w="11900" w:h="16838" w:orient="portrait"/>
          <w:cols w:equalWidth="0" w:num="1">
            <w:col w:w="11000"/>
          </w:cols>
          <w:pgMar w:left="440" w:top="266" w:right="459" w:bottom="1440" w:gutter="0" w:footer="0" w:header="0"/>
        </w:sectPr>
      </w:pPr>
    </w:p>
    <w:bookmarkStart w:id="95" w:name="page96"/>
    <w:bookmarkEnd w:id="9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a Global Security, then payments of principal of and premium, if any, and interest on this Note may be made at the Company’s option by check mailed to the address of the person entitled thereto as such address shall appear in the records of the Security Registrar. Interest on this Note shall accrue on the outstanding principal amount thereof from, and including, the most recent Interest Payment Date to which interest has been paid or provided for or, if no interest has been paid or duly provided for, from, and including, May 20, 2026, in each case to, but excluding, the applicable Interest Payment Date or the Maturity Date, as the case may be. Interest shall be computed on the basis of a 360-day year of twelve 30-day months. The interest payable on any Interest Payment Date shall be payable to the person in whose name this Note is registered at the close of business on the May 5 and November 5 (whether or not a Business Day) immediately preceding such Interest Payment Date, except as otherwise provided in the Indenture.</w:t>
      </w:r>
    </w:p>
    <w:p>
      <w:pPr>
        <w:spacing w:after="0" w:line="18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If the Maturity Date or any Interest Payment Date falls on a day that is not a Business Day, principal, premium, if any, and interest, if any, payable with respect to the Maturity Date or such Interest Payment Date, as the case may be, shall be paid on the next succeeding Business Day with the same force and effect as if made on the Maturity Date or such Interest Payment Date, as the case may be, and no additional interest shall accrue on the amount so payable for the period from and after the Maturity Date or such Interest Payment Date, as the case may be, to the next succeeding Business Day. As used herein, “</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shall mean any day, other than a Saturday or Sunday, that is neither a legal holiday nor a day on which banking institutions are authorized or required by law or regulation to close in the City of New York.</w:t>
      </w:r>
    </w:p>
    <w:p>
      <w:pPr>
        <w:spacing w:after="0" w:line="183"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This Note is issued pursuant to, and shall be governed by, that certain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dated as of February 1, 1991, between the Company and Deutsche Bank Trust Company Americas (as successor to Citibank, N.A.), as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Capitalized terms used in this Note without definition shall have the respective meanings ascribed to them in the Indenture.</w:t>
      </w:r>
    </w:p>
    <w:p>
      <w:pPr>
        <w:spacing w:after="0" w:line="17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provisions of this Note are continued on the reverse hereof, and such continued provisions shall for all purposes have the same effect as though fully set forth at this place.</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by the manual signature of one of its authorized officers, this Note shall not be entitled to the benefit under the Indenture or be valid or obligatory for any purpose.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[This Space Intentionally Left Blank]</w:t>
      </w:r>
    </w:p>
    <w:p>
      <w:pPr>
        <w:sectPr>
          <w:pgSz w:w="11900" w:h="16838" w:orient="portrait"/>
          <w:cols w:equalWidth="0" w:num="1">
            <w:col w:w="11000"/>
          </w:cols>
          <w:pgMar w:left="440" w:top="270"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Eli Lilly and Company has caused this instrument to be duly signed.</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ELI LILLY AND COMPANY</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Global Note]</w:t>
      </w:r>
    </w:p>
    <w:p>
      <w:pPr>
        <w:sectPr>
          <w:pgSz w:w="11900" w:h="16838" w:orient="portrait"/>
          <w:cols w:equalWidth="0" w:num="1">
            <w:col w:w="9039"/>
          </w:cols>
          <w:pgMar w:left="1420" w:top="270" w:right="1440" w:bottom="1440" w:gutter="0" w:footer="0" w:header="0"/>
        </w:sectPr>
      </w:pPr>
    </w:p>
    <w:bookmarkStart w:id="97" w:name="page98"/>
    <w:bookmarkEnd w:id="9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is one of the Securities of the series designated therein issued under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 2026</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DEUTSCHE BANK TRUST COMPANY AMERICAS, as</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1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Global Note</w:t>
      </w:r>
      <w:r>
        <w:rPr>
          <w:rFonts w:ascii="Times New Roman" w:cs="Times New Roman" w:eastAsia="Times New Roman" w:hAnsi="Times New Roman"/>
          <w:sz w:val="18"/>
          <w:szCs w:val="18"/>
          <w:color w:val="auto"/>
        </w:rPr>
        <w:t>]</w:t>
      </w:r>
    </w:p>
    <w:p>
      <w:pPr>
        <w:sectPr>
          <w:pgSz w:w="11900" w:h="16838" w:orient="portrait"/>
          <w:cols w:equalWidth="0" w:num="1">
            <w:col w:w="10860"/>
          </w:cols>
          <w:pgMar w:left="440" w:top="270" w:right="59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[REVERSE OF NOTE]</w:t>
      </w:r>
    </w:p>
    <w:p>
      <w:pPr>
        <w:spacing w:after="0" w:line="225"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This Note is one of a duly authorized issue of a series of debt securities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of the Company, designated as its 4.650% Notes due 2033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xml:space="preserve">”). The Securities, including the Notes, are all issued or to be issued under and pursuant to the Indenture, to which Indenture, and all Board Resolutions and Officers’ Certificates as provided therein, reference is hereby made for a description of the rights, limitation of rights, obligations, duties and immunities thereunder of the Company, the Trustee and the Holders of the Notes, and the terms upon which the Notes are, and are to be, authenticated and delivered. The Notes are initially limited to One Billion Two Hundred and Fifty Million Dollars ($1,250,000,000) in aggregate principal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at any time issue additional Securities under the Indenture in unlimited amounts having the same terms as the Notes other than the date of original issuance and the first Interest Payment Date applicable thereto, and such Securities shall be treated as a single series with the Notes for all purposes under the Indenture.</w:t>
      </w:r>
    </w:p>
    <w:p>
      <w:pPr>
        <w:spacing w:after="0" w:line="189"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This Note shall constitute part of the Company’s unsecured and unsubordinated obligations and shall rank equally in right of payment with all of the Company’s other existing and future unsecured and unsubordinated indebtedness. This Note shall be issuable in fully registered form only, in minimum denominations of two thousand Dollars ($2,000) and any integral multiples of one thousand Dollars ($1,000) in excess of that amount.</w:t>
      </w:r>
    </w:p>
    <w:p>
      <w:pPr>
        <w:spacing w:after="0" w:line="15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In case an Event of Default shall have occurred and be continuing with respect to this Note, the principal hereof may be declared due and payable, and upon such declaration shall become due and payable, in the manner, with the effect, and subject to the conditions provided in the Indenture. The Indenture permits the Holders of at least a majority in aggregate principal amount of the Notes at the time outstanding to, on behalf of the Holders of all of the Notes and in the manner and subject to the provisions of the Indenture, waive certain past defaults and rescind and annul such past declarations and their consequences under the Indenture.</w:t>
      </w:r>
    </w:p>
    <w:p>
      <w:pPr>
        <w:spacing w:after="0" w:line="18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The Indenture contains provisions permitting the Company and the Trustee, with consent of the Holders of not less than a majority of the aggregate principal amount of the Notes at the time outstanding, evidenced as provided in the Indenture, to execute supplemental indentures for the purpose of adding any provisions to or changing in any manner or eliminating any of the provisions of the Indenture or of any supplemental indenture with respect to the Notes or of modifying in any manner the rights of the Holders of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supplemental indenture shall (i) extend the fixed maturity, or the earlier optional date of maturity, if any, of any Note, or reduce the principal amount thereof or the premium thereon, if any, or reduce the rate or extend the time of payment of interest, if any, thereon or make the principal thereof or premium, if any, or interest, if any, thereon payable in any currency other than as provided pursuant to the Indenture or this Note, without the consent of the Holders of each Note so affected; or (ii) reduce the aforesaid percentage of the Notes, the Holders of which are required to consent to any such supplemental indenture, without the consent of the Holders of all Notes then outstanding.</w:t>
      </w:r>
    </w:p>
    <w:p>
      <w:pPr>
        <w:spacing w:after="0" w:line="188"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The Notes shall not have the benefit of any sinking fund and, except as set forth below under “Centessa Special Mandatory Redemption,” the Notes shall not be subject to any mandatory redemption provision.</w:t>
      </w:r>
    </w:p>
    <w:p>
      <w:pPr>
        <w:sectPr>
          <w:pgSz w:w="11900" w:h="16838" w:orient="portrait"/>
          <w:cols w:equalWidth="0" w:num="1">
            <w:col w:w="11000"/>
          </w:cols>
          <w:pgMar w:left="440" w:top="266"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Optional Redemption</w:t>
      </w:r>
    </w:p>
    <w:p>
      <w:pPr>
        <w:spacing w:after="0" w:line="119" w:lineRule="exact"/>
        <w:rPr>
          <w:sz w:val="20"/>
          <w:szCs w:val="20"/>
          <w:color w:val="auto"/>
        </w:rPr>
      </w:pPr>
    </w:p>
    <w:p>
      <w:pPr>
        <w:jc w:val="both"/>
        <w:ind w:right="20" w:firstLine="991"/>
        <w:spacing w:after="0" w:line="289" w:lineRule="auto"/>
        <w:rPr>
          <w:sz w:val="20"/>
          <w:szCs w:val="20"/>
          <w:color w:val="auto"/>
        </w:rPr>
      </w:pPr>
      <w:r>
        <w:rPr>
          <w:rFonts w:ascii="Times New Roman" w:cs="Times New Roman" w:eastAsia="Times New Roman" w:hAnsi="Times New Roman"/>
          <w:sz w:val="17"/>
          <w:szCs w:val="17"/>
          <w:color w:val="auto"/>
        </w:rPr>
        <w:t>Upon such notice as specified below and in accordance with the Indenture and the terms of this Note, the Notes are subject to redemption at the election of the Company, in whole or in part, at any time and from time to time, on a date fixed for redemption (a “</w:t>
      </w:r>
      <w:r>
        <w:rPr>
          <w:rFonts w:ascii="Times New Roman" w:cs="Times New Roman" w:eastAsia="Times New Roman" w:hAnsi="Times New Roman"/>
          <w:sz w:val="17"/>
          <w:szCs w:val="17"/>
          <w:b w:val="1"/>
          <w:bCs w:val="1"/>
          <w:i w:val="1"/>
          <w:iCs w:val="1"/>
          <w:color w:val="auto"/>
        </w:rPr>
        <w:t>Redemption Date</w:t>
      </w:r>
      <w:r>
        <w:rPr>
          <w:rFonts w:ascii="Times New Roman" w:cs="Times New Roman" w:eastAsia="Times New Roman" w:hAnsi="Times New Roman"/>
          <w:sz w:val="17"/>
          <w:szCs w:val="17"/>
          <w:color w:val="auto"/>
        </w:rPr>
        <w:t>”) prior to the Par Call Date and at a “redemption price” (expressed as a percentage of principal amount and rounded to three decimal places) equal to the greater of:</w:t>
      </w:r>
    </w:p>
    <w:p>
      <w:pPr>
        <w:spacing w:after="0" w:line="50" w:lineRule="exact"/>
        <w:rPr>
          <w:sz w:val="20"/>
          <w:szCs w:val="20"/>
          <w:color w:val="auto"/>
        </w:rPr>
      </w:pPr>
    </w:p>
    <w:p>
      <w:pPr>
        <w:ind w:firstLine="987"/>
        <w:spacing w:after="0" w:line="266" w:lineRule="auto"/>
        <w:tabs>
          <w:tab w:leader="none" w:pos="124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on the Notes to be redeemed discounted to the Redemption Date (assuming the Notes to be redeemed matured on the Par Call Date) on a semi-annual basis (assuming a 360-day year consisting of twelve 30-day months) at the Treasury Rate, plus 10 basis points, less (b) interest accrued to the Redemption Date, and</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 on such Redemption Date,</w:t>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each case, accrued and unpaid interest thereon to, but excluding, the Redemption Date.</w:t>
      </w:r>
    </w:p>
    <w:p>
      <w:pPr>
        <w:spacing w:after="0" w:line="227"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In addition, on or after the Par Call Date, the Company may redeem the Notes, in whole or in part, at any time and from time to time, at a redemption price equal to 100% of the principal amount of the Notes to be redeemed plus accrued and unpaid interest thereon to, but excluding, the Redemption Date.</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 Call Date</w:t>
      </w:r>
      <w:r>
        <w:rPr>
          <w:rFonts w:ascii="Times New Roman" w:cs="Times New Roman" w:eastAsia="Times New Roman" w:hAnsi="Times New Roman"/>
          <w:sz w:val="18"/>
          <w:szCs w:val="18"/>
          <w:color w:val="auto"/>
        </w:rPr>
        <w:t>” means March 20, 2033.</w:t>
      </w:r>
    </w:p>
    <w:p>
      <w:pPr>
        <w:spacing w:after="0" w:line="225" w:lineRule="exact"/>
        <w:rPr>
          <w:sz w:val="20"/>
          <w:szCs w:val="20"/>
          <w:color w:val="auto"/>
        </w:rPr>
      </w:pPr>
    </w:p>
    <w:p>
      <w:pPr>
        <w:ind w:right="7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Rate</w:t>
      </w:r>
      <w:r>
        <w:rPr>
          <w:rFonts w:ascii="Times New Roman" w:cs="Times New Roman" w:eastAsia="Times New Roman" w:hAnsi="Times New Roman"/>
          <w:sz w:val="18"/>
          <w:szCs w:val="18"/>
          <w:color w:val="auto"/>
        </w:rPr>
        <w:t>” means, with respect to any Redemption Date prior to the Par Call Date, the yield determined by the Company in accordance with the following two paragraphs.</w:t>
      </w:r>
    </w:p>
    <w:p>
      <w:pPr>
        <w:spacing w:after="0" w:line="15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ectPr>
          <w:pgSz w:w="11900" w:h="16838" w:orient="portrait"/>
          <w:cols w:equalWidth="0" w:num="1">
            <w:col w:w="11000"/>
          </w:cols>
          <w:pgMar w:left="440" w:top="268" w:right="459" w:bottom="1440" w:gutter="0" w:footer="0" w:header="0"/>
        </w:sectPr>
      </w:pPr>
    </w:p>
    <w:bookmarkStart w:id="100" w:name="page101"/>
    <w:bookmarkEnd w:id="100"/>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w:t>
      </w:r>
    </w:p>
    <w:p>
      <w:pPr>
        <w:spacing w:after="0" w:line="16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the Notes that are due and payable on each Interest Payment Date falling on or prior to a Redemption Date shall be payable on such Interest Payment Date to the Holder(s) as of the close of business on the Regular Record Date immediately preceding such Interest Payment Date.</w:t>
      </w:r>
    </w:p>
    <w:p>
      <w:pPr>
        <w:spacing w:after="0" w:line="176"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Notice of any redemption will be mailed (or otherwise transmitted in accordance with the Depositary’s procedures) at least 10 days but not more than 60 days before the Redemption Date to each Holder of Notes to be redeemed. Each notice of redemption shall (i) specify the Redemption Date and the redemption price at which the Notes are to be redeemed, (ii) state the applicable conditions precedent to such redemption, if any, as described below, and (iii) state that payment of the redemption price of the Notes to be redeemed, together with interest accrued thereon to the Redemption Date (except that if such Redemption Date is an Interest Payment Date, such interest due on such date shall be payable to the Holder on the Regular Record Date for such Interest Payment Date), shall be made at the office or agency to be maintained by the Company in accordance with Section 5.02 of the Indenture (or, if desired by the Company, at the principal office of the Trustee) upon presentation and surrender of such Notes and that from and after said date any interest thereon shall cease to accrue.</w:t>
      </w:r>
    </w:p>
    <w:p>
      <w:pPr>
        <w:spacing w:after="0" w:line="192"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Any notice of redemption may, at the Company’s discretion, be subject to one or more conditions precedent, including completion of a corporate transaction. In such event, the related notice of redemption shall describe each such condition and, if applicable, shall state that, at the Company’s discretion, the Redemption Date may be delayed until such time (including more</w:t>
      </w:r>
    </w:p>
    <w:p>
      <w:pPr>
        <w:sectPr>
          <w:pgSz w:w="11900" w:h="16838" w:orient="portrait"/>
          <w:cols w:equalWidth="0" w:num="1">
            <w:col w:w="11000"/>
          </w:cols>
          <w:pgMar w:left="440" w:top="270" w:right="459" w:bottom="1440" w:gutter="0" w:footer="0" w:header="0"/>
        </w:sectPr>
      </w:pPr>
    </w:p>
    <w:bookmarkStart w:id="101" w:name="page102"/>
    <w:bookmarkEnd w:id="101"/>
    <w:p>
      <w:pPr>
        <w:ind w:left="4"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than 60 days after the notice of redemption was given) as any or all such conditions shall be satisfied (or waived by the Company in its sole discretion), or such redemption may not occur and such notice may be rescinded in the event that any or all such conditions shall not have been satisfied or waived by the Redemption Date, or by the Redemption Date so delayed. If any such redemption has been rescinded or delayed, the Company shall provide written notice to the Trustee prior to the close of business two Business Days prior to the Redemption Date and shall deliver a written request to the Trustee to promptly provide such notice to each Holder, and, upon receipt, the Trustee shall provide such notice to each Holder. Subject to any delay in the Redemption Date or rescission of the notice of redemption as described above, once notice of redemption is mailed, the Notes called for redemption shall become due and payable on the applicable Redemption Date at the applicable redemption price.</w:t>
      </w:r>
    </w:p>
    <w:p>
      <w:pPr>
        <w:spacing w:after="0" w:line="189"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If fewer than all of the Notes are to be redeemed, selection of the Notes to be redeemed shall be made pro rata, by lot or by such other method as the Trustee in its sole discretion deems appropriate and fair. No Notes of a principal amount of $2,000 or less shall be redeemed in part. If any Note is to be redeemed in part only, the notice of redemption that relates to the Note shall state the portion of the principal amount of the Note to be redeemed. Except in the case of Global Securities, a new Note in a principal amount equal to the unredeemed portion of the Note shall be issued in the name of the Holder of the Note upon surrender for cancellation of the original Note. Notwithstanding the foregoing, for so long as the Notes are held by the Depositary, the redemption of the Notes shall be done in accordance with the policies and procedures of the Depositary. Before any Redemption Date, the Company shall deposit with a Paying Agent (or the Trustee) money sufficient to pay the redemption price of the Notes to be redeemed on such date.</w:t>
      </w:r>
    </w:p>
    <w:p>
      <w:pPr>
        <w:spacing w:after="0" w:line="192"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therefor, on and after the Redemption Date, interest shall cease to accrue on the Notes or any portions of the Notes called for redemption.</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Centessa Special Mandatory Redemption</w:t>
      </w:r>
    </w:p>
    <w:p>
      <w:pPr>
        <w:spacing w:after="0" w:line="11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In the event that (x) the Centessa Acquisition is not consummated on or prior to the date that is five (5) Business Days after the later of</w:t>
      </w:r>
    </w:p>
    <w:p>
      <w:pPr>
        <w:spacing w:after="0" w:line="27" w:lineRule="exact"/>
        <w:rPr>
          <w:sz w:val="20"/>
          <w:szCs w:val="20"/>
          <w:color w:val="auto"/>
        </w:rPr>
      </w:pPr>
    </w:p>
    <w:p>
      <w:pPr>
        <w:ind w:left="4" w:right="100" w:hanging="4"/>
        <w:spacing w:after="0" w:line="253" w:lineRule="auto"/>
        <w:tabs>
          <w:tab w:leader="none" w:pos="21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31, 2027 or (ii) any later date as the parties to the Centessa Agreement may agree as the “Outside Date” thereunder or (y) the Company notifies the Trustee in writing that the Company will not pursue the consummation of the Centessa Acquisition (any such event being a “</w:t>
      </w:r>
      <w:r>
        <w:rPr>
          <w:rFonts w:ascii="Times New Roman" w:cs="Times New Roman" w:eastAsia="Times New Roman" w:hAnsi="Times New Roman"/>
          <w:sz w:val="18"/>
          <w:szCs w:val="18"/>
          <w:b w:val="1"/>
          <w:bCs w:val="1"/>
          <w:i w:val="1"/>
          <w:iCs w:val="1"/>
          <w:color w:val="auto"/>
        </w:rPr>
        <w:t>Centessa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Special Mandatory Redemption Event</w:t>
      </w:r>
      <w:r>
        <w:rPr>
          <w:rFonts w:ascii="Times New Roman" w:cs="Times New Roman" w:eastAsia="Times New Roman" w:hAnsi="Times New Roman"/>
          <w:sz w:val="18"/>
          <w:szCs w:val="18"/>
          <w:color w:val="auto"/>
        </w:rPr>
        <w:t>”), the Company will be required to redeem the Notes then outstanding (such redemption, the “</w:t>
      </w:r>
      <w:r>
        <w:rPr>
          <w:rFonts w:ascii="Times New Roman" w:cs="Times New Roman" w:eastAsia="Times New Roman" w:hAnsi="Times New Roman"/>
          <w:sz w:val="18"/>
          <w:szCs w:val="18"/>
          <w:b w:val="1"/>
          <w:bCs w:val="1"/>
          <w:i w:val="1"/>
          <w:iCs w:val="1"/>
          <w:color w:val="auto"/>
        </w:rPr>
        <w:t>Centessa Special Mandatory Redemption</w:t>
      </w:r>
      <w:r>
        <w:rPr>
          <w:rFonts w:ascii="Times New Roman" w:cs="Times New Roman" w:eastAsia="Times New Roman" w:hAnsi="Times New Roman"/>
          <w:sz w:val="18"/>
          <w:szCs w:val="18"/>
          <w:color w:val="auto"/>
        </w:rPr>
        <w:t>”) at a redemption price equal to 101% of the principal amount of such Notes plus accrued and unpaid interest, if any, to, but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excluding, the Centessa Special Mandatory Redemption Date (as defined below) (the “</w:t>
      </w:r>
      <w:r>
        <w:rPr>
          <w:rFonts w:ascii="Times New Roman" w:cs="Times New Roman" w:eastAsia="Times New Roman" w:hAnsi="Times New Roman"/>
          <w:sz w:val="18"/>
          <w:szCs w:val="18"/>
          <w:b w:val="1"/>
          <w:bCs w:val="1"/>
          <w:i w:val="1"/>
          <w:iCs w:val="1"/>
          <w:color w:val="auto"/>
        </w:rPr>
        <w:t>Centessa Special Mandatory Redemption Price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In the event that the Company becomes obligated to redeem the Notes pursuant to the Centessa Special Mandatory Redemption, the Company will promptly, and in any event not more than ten (10) Business Days after the Centessa Special Mandatory Redemption Event, deliver written notice (the “</w:t>
      </w:r>
      <w:r>
        <w:rPr>
          <w:rFonts w:ascii="Times New Roman" w:cs="Times New Roman" w:eastAsia="Times New Roman" w:hAnsi="Times New Roman"/>
          <w:sz w:val="18"/>
          <w:szCs w:val="18"/>
          <w:b w:val="1"/>
          <w:bCs w:val="1"/>
          <w:i w:val="1"/>
          <w:iCs w:val="1"/>
          <w:color w:val="auto"/>
        </w:rPr>
        <w:t>Centessa Special Mandatory Redemption Notice</w:t>
      </w:r>
      <w:r>
        <w:rPr>
          <w:rFonts w:ascii="Times New Roman" w:cs="Times New Roman" w:eastAsia="Times New Roman" w:hAnsi="Times New Roman"/>
          <w:sz w:val="18"/>
          <w:szCs w:val="18"/>
          <w:color w:val="auto"/>
        </w:rPr>
        <w:t>”) to each registered Holder of the Notes and the Trustee of the Centessa Special Mandatory Redemption and the date upon which the Notes will be redeemed (the “</w:t>
      </w:r>
      <w:r>
        <w:rPr>
          <w:rFonts w:ascii="Times New Roman" w:cs="Times New Roman" w:eastAsia="Times New Roman" w:hAnsi="Times New Roman"/>
          <w:sz w:val="18"/>
          <w:szCs w:val="18"/>
          <w:b w:val="1"/>
          <w:bCs w:val="1"/>
          <w:i w:val="1"/>
          <w:iCs w:val="1"/>
          <w:color w:val="auto"/>
        </w:rPr>
        <w:t>Centessa Special Mandatory Redemption Date</w:t>
      </w:r>
      <w:r>
        <w:rPr>
          <w:rFonts w:ascii="Times New Roman" w:cs="Times New Roman" w:eastAsia="Times New Roman" w:hAnsi="Times New Roman"/>
          <w:sz w:val="18"/>
          <w:szCs w:val="18"/>
          <w:color w:val="auto"/>
        </w:rPr>
        <w:t>,” which</w:t>
      </w:r>
    </w:p>
    <w:p>
      <w:pPr>
        <w:sectPr>
          <w:pgSz w:w="11900" w:h="16838" w:orient="portrait"/>
          <w:cols w:equalWidth="0" w:num="1">
            <w:col w:w="11004"/>
          </w:cols>
          <w:pgMar w:left="436" w:top="270" w:right="459" w:bottom="1440" w:gutter="0" w:footer="0" w:header="0"/>
        </w:sectPr>
      </w:pPr>
    </w:p>
    <w:bookmarkStart w:id="102" w:name="page103"/>
    <w:bookmarkEnd w:id="102"/>
    <w:p>
      <w:pPr>
        <w:ind w:right="16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 shall be no earlier than five (5) days and no later than thirty (30) days following the date of such notice, unless some longer minimum period may be required by DTC (or any successor depositary)). The Centessa Special Mandatory Redemption Notice will, in accordance with the Trustee’s (if applicable) and DTC’s (or any successor depositary’s) procedures, be mailed, electronically delivered, or otherwise transmitted, according to the procedures of DTC (or any successor depositary) to each registered Holder of the Notes. Any Centessa Special Mandatory Redemption Notice may be given by the Company or may be given, at the Company’s written direction, by the Trustee in the Company’s name and at the Company’s expense.</w:t>
      </w:r>
    </w:p>
    <w:p>
      <w:pPr>
        <w:spacing w:after="0" w:line="168"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Centessa Special Mandatory Redemption Price of the Notes, on and after such Centessa Special Mandatory Redemption Date, interest will cease to accrue on the Notes.</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the Notes that are due and payable on an Interest Payment Date falling on or prior to the Centessa Special Mandatory Redemption Date will be payable on such Interest Payment Date to the registered Holders of the Notes as of the close of business on the relevant record date in accordance with the Notes and the Indenture.</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Upon the consummation of the Centessa Acquisition, the foregoing provisions regarding the Centessa Special Mandatory Redemption will cease to apply. For purposes of the foregoing, the Centessa Acquisition will be deemed consummated if the closing under the Centessa Agreement occurs, including after giving effect to any amendments, modifications or waivers to the Centessa Agreement.</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Centessa</w:t>
      </w:r>
      <w:r>
        <w:rPr>
          <w:rFonts w:ascii="Times New Roman" w:cs="Times New Roman" w:eastAsia="Times New Roman" w:hAnsi="Times New Roman"/>
          <w:sz w:val="18"/>
          <w:szCs w:val="18"/>
          <w:color w:val="auto"/>
        </w:rPr>
        <w:t>” means Centessa Pharmaceuticals plc, a public limited company registered in England and Wales.</w:t>
      </w:r>
    </w:p>
    <w:p>
      <w:pPr>
        <w:spacing w:after="0" w:line="225" w:lineRule="exact"/>
        <w:rPr>
          <w:sz w:val="20"/>
          <w:szCs w:val="20"/>
          <w:color w:val="auto"/>
        </w:rPr>
      </w:pPr>
    </w:p>
    <w:p>
      <w:pPr>
        <w:ind w:right="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Centessa Acquisition</w:t>
      </w:r>
      <w:r>
        <w:rPr>
          <w:rFonts w:ascii="Times New Roman" w:cs="Times New Roman" w:eastAsia="Times New Roman" w:hAnsi="Times New Roman"/>
          <w:sz w:val="18"/>
          <w:szCs w:val="18"/>
          <w:color w:val="auto"/>
        </w:rPr>
        <w:t>” means the acquisition by Eli Lilly and Company (including through the Purchaser (as defined below)) of Centessa and its subsidiaries pursuant to the Centessa Agreement.</w:t>
      </w:r>
    </w:p>
    <w:p>
      <w:pPr>
        <w:spacing w:after="0" w:line="155" w:lineRule="exact"/>
        <w:rPr>
          <w:sz w:val="20"/>
          <w:szCs w:val="20"/>
          <w:color w:val="auto"/>
        </w:rPr>
      </w:pPr>
    </w:p>
    <w:p>
      <w:pPr>
        <w:ind w:right="12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Centessa Agreement</w:t>
      </w:r>
      <w:r>
        <w:rPr>
          <w:rFonts w:ascii="Times New Roman" w:cs="Times New Roman" w:eastAsia="Times New Roman" w:hAnsi="Times New Roman"/>
          <w:sz w:val="18"/>
          <w:szCs w:val="18"/>
          <w:color w:val="auto"/>
        </w:rPr>
        <w:t>” means the Transaction Agreement, dated as of March 31, 2026, by and among Eli Lilly and Company, an Indiana corporation, LDH XV Corporation, a Delaware corporation and direct wholly owned subsidiary of Eli Lilly and Company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and Centessa, as amended, supplemented, renewed, modified or waived from time to time.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Notes are subject to the defeasance provisions set forth in Section 12.02 of the Indenture.</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The Company shall not pay any additional amounts on any of the Notes to any person, including any Holder who is not a United States person in respect of any tax, assessment or governmental charge withheld or deducted.</w:t>
      </w:r>
    </w:p>
    <w:p>
      <w:pPr>
        <w:sectPr>
          <w:pgSz w:w="11900" w:h="16838" w:orient="portrait"/>
          <w:cols w:equalWidth="0" w:num="1">
            <w:col w:w="10980"/>
          </w:cols>
          <w:pgMar w:left="440" w:top="270" w:right="479" w:bottom="1440" w:gutter="0" w:footer="0" w:header="0"/>
        </w:sectPr>
      </w:pPr>
    </w:p>
    <w:bookmarkStart w:id="103" w:name="page104"/>
    <w:bookmarkEnd w:id="103"/>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reference herein to the Indenture and no provision of this Note or of the Indenture or of any Board Resolution shall alter or impair the obligation of the Company, which is absolute and unconditional, to pay the principal of and premium, if any, and interest on this Note at the times and places and at the rate and in the coin and currency herein prescribed.</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This Note is transferable by the Holder hereof in person or by his or her attorney duly authorized in writing on the books of the Company at the office or agency to be maintained by the Company for that purpose in the City of New York, but only in the manner, subject to the limitations and upon payment of any tax or governmental charge for which the Company may require reimbursement as provided in the Indenture, and upon surrender and cancellation of this Note. Upon any registration of transfer, a new registered Note or Notes, of authorized denomination or authorized denominations and like tenor and terms, and in the same aggregate principal amount, shall be issued to the transferee in exchange therefor.</w:t>
      </w:r>
    </w:p>
    <w:p>
      <w:pPr>
        <w:spacing w:after="0" w:line="183"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The Company, the Trustee, any Paying Agent and any Security Registrar may deem and treat the Holder hereof as the absolute owner of this Note (whether or not this Note shall be overdue and notwithstanding any notations of ownership or other writing hereon made by anyone other than the Security Registrar) for the purpose of receiving payment of or on account of the principal hereof and premium, if any, and interest due hereon as herein provided and for all other purposes, and none of the Company, the Trustee, any Paying Agent or any Security Registrar shall be affected by any notice to the contrary.</w:t>
      </w:r>
    </w:p>
    <w:p>
      <w:pPr>
        <w:spacing w:after="0" w:line="183"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if any, or interest on this Note, or for any claim based hereon, or otherwise in respect hereof, or based on or in respect of the Indenture or any supplemental indenture thereto or any Board Resolution, against any Person other than the Company or against any incorporator, stockholder, officer or director, past, present or future, as such, of the Company or any other Person, whether by virtue of any constitution, statute or rule of law, or by the enforcement of any assessment or penalty or otherwise, all such liability being, by the acceptance hereof and as part of the consideration for the issuance of this Note, expressly waived and released.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Note shall be governed by and construed in accordance with the laws of the State of New York.</w:t>
      </w:r>
    </w:p>
    <w:p>
      <w:pPr>
        <w:sectPr>
          <w:pgSz w:w="11900" w:h="16838" w:orient="portrait"/>
          <w:cols w:equalWidth="0" w:num="1">
            <w:col w:w="11020"/>
          </w:cols>
          <w:pgMar w:left="440" w:top="270" w:right="4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A-4</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4.850% NOTE DUE 2036</w:t>
      </w:r>
    </w:p>
    <w:p>
      <w:pPr>
        <w:sectPr>
          <w:pgSz w:w="11900" w:h="16838" w:orient="portrait"/>
          <w:cols w:equalWidth="0" w:num="1">
            <w:col w:w="9019"/>
          </w:cols>
          <w:pgMar w:left="1440" w:top="266" w:right="1440"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540" w:type="dxa"/>
            <w:vAlign w:val="bottom"/>
            <w:gridSpan w:val="6"/>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8"/>
              </w:rPr>
              <w:t>ELI LILLY AND COMPANY</w:t>
            </w:r>
          </w:p>
        </w:tc>
      </w:tr>
      <w:tr>
        <w:trPr>
          <w:trHeight w:val="283"/>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540" w:type="dxa"/>
            <w:vAlign w:val="bottom"/>
            <w:gridSpan w:val="6"/>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9"/>
              </w:rPr>
              <w:t>4.</w:t>
            </w:r>
            <w:r>
              <w:rPr>
                <w:rFonts w:ascii="Times New Roman" w:cs="Times New Roman" w:eastAsia="Times New Roman" w:hAnsi="Times New Roman"/>
                <w:sz w:val="18"/>
                <w:szCs w:val="18"/>
                <w:b w:val="1"/>
                <w:bCs w:val="1"/>
                <w:u w:val="single" w:color="auto"/>
                <w:color w:val="auto"/>
                <w:w w:val="99"/>
              </w:rPr>
              <w:t>850%</w:t>
            </w:r>
            <w:r>
              <w:rPr>
                <w:rFonts w:ascii="Times New Roman" w:cs="Times New Roman" w:eastAsia="Times New Roman" w:hAnsi="Times New Roman"/>
                <w:sz w:val="18"/>
                <w:szCs w:val="18"/>
                <w:b w:val="1"/>
                <w:bCs w:val="1"/>
                <w:color w:val="auto"/>
                <w:w w:val="99"/>
              </w:rPr>
              <w:t xml:space="preserve"> Note due 2036</w:t>
            </w:r>
          </w:p>
        </w:tc>
      </w:tr>
      <w:tr>
        <w:trPr>
          <w:trHeight w:val="439"/>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Certificate No. </w:t>
            </w:r>
            <w:r>
              <w:rPr>
                <w:rFonts w:ascii="Times New Roman" w:cs="Times New Roman" w:eastAsia="Times New Roman" w:hAnsi="Times New Roman"/>
                <w:sz w:val="18"/>
                <w:szCs w:val="18"/>
                <w:color w:val="auto"/>
              </w:rPr>
              <w:t>[*]</w:t>
            </w:r>
          </w:p>
        </w:tc>
        <w:tc>
          <w:tcPr>
            <w:tcW w:w="144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4380" w:type="dxa"/>
            <w:vAlign w:val="bottom"/>
            <w:gridSpan w:val="4"/>
          </w:tcPr>
          <w:p>
            <w:pPr>
              <w:ind w:left="246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532457 DR6</w:t>
            </w:r>
          </w:p>
        </w:tc>
      </w:tr>
      <w:tr>
        <w:trPr>
          <w:trHeight w:val="20"/>
        </w:trPr>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Registered Global Security</w:t>
            </w: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380" w:type="dxa"/>
            <w:vAlign w:val="bottom"/>
            <w:gridSpan w:val="4"/>
          </w:tcPr>
          <w:p>
            <w:pPr>
              <w:ind w:left="2460"/>
              <w:spacing w:after="0"/>
              <w:rPr>
                <w:sz w:val="20"/>
                <w:szCs w:val="20"/>
                <w:color w:val="auto"/>
              </w:rPr>
            </w:pPr>
            <w:r>
              <w:rPr>
                <w:rFonts w:ascii="Times New Roman" w:cs="Times New Roman" w:eastAsia="Times New Roman" w:hAnsi="Times New Roman"/>
                <w:sz w:val="18"/>
                <w:szCs w:val="18"/>
                <w:b w:val="1"/>
                <w:bCs w:val="1"/>
                <w:color w:val="auto"/>
                <w:w w:val="98"/>
              </w:rPr>
              <w:t xml:space="preserve">ISIN No. </w:t>
            </w:r>
            <w:r>
              <w:rPr>
                <w:rFonts w:ascii="Times New Roman" w:cs="Times New Roman" w:eastAsia="Times New Roman" w:hAnsi="Times New Roman"/>
                <w:sz w:val="18"/>
                <w:szCs w:val="18"/>
                <w:color w:val="auto"/>
                <w:w w:val="98"/>
              </w:rPr>
              <w:t>US532457DR63</w:t>
            </w: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980" w:right="1080"/>
        <w:spacing w:after="0" w:line="255" w:lineRule="auto"/>
        <w:rPr>
          <w:sz w:val="20"/>
          <w:szCs w:val="20"/>
          <w:color w:val="auto"/>
        </w:rPr>
      </w:pPr>
      <w:r>
        <w:rPr>
          <w:rFonts w:ascii="Times New Roman" w:cs="Times New Roman" w:eastAsia="Times New Roman" w:hAnsi="Times New Roman"/>
          <w:sz w:val="18"/>
          <w:szCs w:val="18"/>
          <w:color w:val="auto"/>
        </w:rPr>
        <w:t>UNLESS THIS GLOBAL NOTE IS PRESENTED BY AN AUTHORIZED REPRESENTATIVE OF THE DEPOSITORY TRUST COMPANY, A NEW YORK CORPORATION (“DTC”), TO THE COMPANY OR ITS AGENT FOR REGISTRATION OF TRANSFER, EXCHANGE OR PAYMENT, AND ANY NOTE ISSUED IS REGISTERED IN THE NAME OF [*] OR IN SUCH OTHER NAME AS REQUESTED BY AN AUTHORIZED REPRESENTATIVE OF DTC AND ANY PAYMENT IS MADE TO [*], ANY TRANSFER, PLEDGE OR OTHER USE HEREOF FOR VALUE OR OTHERWISE BY OR TO ANY PERSON IS WRONGFUL SINCE THE REGISTERED OWNER HEREOF, [*], HAS AN INTEREST HEREIN.</w:t>
      </w:r>
    </w:p>
    <w:p>
      <w:pPr>
        <w:spacing w:after="0" w:line="81" w:lineRule="exact"/>
        <w:rPr>
          <w:sz w:val="20"/>
          <w:szCs w:val="20"/>
          <w:color w:val="auto"/>
        </w:rPr>
      </w:pPr>
    </w:p>
    <w:p>
      <w:pPr>
        <w:ind w:left="980" w:right="1080"/>
        <w:spacing w:after="0" w:line="261" w:lineRule="auto"/>
        <w:rPr>
          <w:sz w:val="20"/>
          <w:szCs w:val="20"/>
          <w:color w:val="auto"/>
        </w:rPr>
      </w:pPr>
      <w:r>
        <w:rPr>
          <w:rFonts w:ascii="Times New Roman" w:cs="Times New Roman" w:eastAsia="Times New Roman" w:hAnsi="Times New Roman"/>
          <w:sz w:val="18"/>
          <w:szCs w:val="18"/>
          <w:color w:val="auto"/>
        </w:rPr>
        <w:t>UNLESS AND UNTIL IT IS EXCHANGED IN WHOLE OR IN PART FOR NOTES IN DEFINITIVE REGISTERED FORM, THIS GLOBAL NOTE MAY NOT BE TRANSFERRED EXCEPT AS A WHOLE BY DTC TO A NOMINEE OF DTC, OR BY A NOMINEE OF DTC TO DTC OR ANOTHER NOMINEE OF DTC, OR BY DTC OR ANY SUCH NOMINEE TO A SUCCESSOR DEPOSITARY OR TO A NOMINEE OF SUCH SUCCESSOR DEPOSITARY.</w:t>
      </w:r>
    </w:p>
    <w:p>
      <w:pPr>
        <w:spacing w:after="0" w:line="176" w:lineRule="exact"/>
        <w:rPr>
          <w:sz w:val="20"/>
          <w:szCs w:val="20"/>
          <w:color w:val="auto"/>
        </w:rPr>
      </w:pPr>
    </w:p>
    <w:p>
      <w:pPr>
        <w:ind w:right="400" w:firstLine="440"/>
        <w:spacing w:after="0" w:line="278" w:lineRule="auto"/>
        <w:rPr>
          <w:sz w:val="20"/>
          <w:szCs w:val="20"/>
          <w:color w:val="auto"/>
        </w:rPr>
      </w:pPr>
      <w:r>
        <w:rPr>
          <w:rFonts w:ascii="Times New Roman" w:cs="Times New Roman" w:eastAsia="Times New Roman" w:hAnsi="Times New Roman"/>
          <w:sz w:val="17"/>
          <w:szCs w:val="17"/>
          <w:color w:val="auto"/>
        </w:rPr>
        <w:t>ELI LILLY AND COMPANY, an Indiana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which term includes any successor corporation under the Indenture referred to herein), for value received, hereby promises to pay to [*], or its registered assigns, the principal amount of [*] Dollars ($[*]) on May 20,</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2036 (the “</w:t>
      </w:r>
      <w:r>
        <w:rPr>
          <w:rFonts w:ascii="Times New Roman" w:cs="Times New Roman" w:eastAsia="Times New Roman" w:hAnsi="Times New Roman"/>
          <w:sz w:val="18"/>
          <w:szCs w:val="18"/>
          <w:b w:val="1"/>
          <w:bCs w:val="1"/>
          <w:i w:val="1"/>
          <w:iCs w:val="1"/>
          <w:color w:val="auto"/>
        </w:rPr>
        <w:t>Stated Maturity Date</w:t>
      </w:r>
      <w:r>
        <w:rPr>
          <w:rFonts w:ascii="Times New Roman" w:cs="Times New Roman" w:eastAsia="Times New Roman" w:hAnsi="Times New Roman"/>
          <w:sz w:val="18"/>
          <w:szCs w:val="18"/>
          <w:color w:val="auto"/>
        </w:rPr>
        <w:t>”), unless redeemed on any Redemption Date (as defined on the reverse hereof) or the Centessa Special Mandatory Redemption Date (as defined on the reverse hereof) (the Stated Maturity Date, any Redemption Date or the Centessa Special Mandatory Redemption Date is referred to herein as the “</w:t>
      </w:r>
      <w:r>
        <w:rPr>
          <w:rFonts w:ascii="Times New Roman" w:cs="Times New Roman" w:eastAsia="Times New Roman" w:hAnsi="Times New Roman"/>
          <w:sz w:val="18"/>
          <w:szCs w:val="18"/>
          <w:b w:val="1"/>
          <w:bCs w:val="1"/>
          <w:i w:val="1"/>
          <w:iCs w:val="1"/>
          <w:color w:val="auto"/>
        </w:rPr>
        <w:t>Maturity Date</w:t>
      </w:r>
      <w:r>
        <w:rPr>
          <w:rFonts w:ascii="Times New Roman" w:cs="Times New Roman" w:eastAsia="Times New Roman" w:hAnsi="Times New Roman"/>
          <w:sz w:val="18"/>
          <w:szCs w:val="18"/>
          <w:color w:val="auto"/>
        </w:rPr>
        <w:t xml:space="preserve">” with respect to the principal amount repayable on such date), upon surrender of this Note at the office or agency of the Company for such payment in the City of New York, in such coin or currency of the United States of America as at the time of payment shall be legal tender for the payment of public and private debts, and to pay interest on the outstanding principal amount until the Maturity Date at the rate of 4.850% per annum, in like coin or currency, semi-annually on May 20 and November 20 of each year, commencing on November 20, 2026, until the date on which payment of said principal amount has been made or duly provided for;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this Note is in the form of a Global Security, then payments of principal of or premium, if any, or interest on this Note may be made at the Company’s option by wire transfer of immediately available funds to the account specified by the Depositary for this Note;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this Note is not in the</w:t>
      </w:r>
    </w:p>
    <w:p>
      <w:pPr>
        <w:sectPr>
          <w:pgSz w:w="11900" w:h="16838" w:orient="portrait"/>
          <w:cols w:equalWidth="0" w:num="1">
            <w:col w:w="11000"/>
          </w:cols>
          <w:pgMar w:left="440" w:top="266" w:right="459" w:bottom="1440" w:gutter="0" w:footer="0" w:header="0"/>
        </w:sectPr>
      </w:pPr>
    </w:p>
    <w:bookmarkStart w:id="106" w:name="page107"/>
    <w:bookmarkEnd w:id="10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a Global Security, then payments of principal of and premium, if any, and interest on this Note may be made at the Company’s option by check mailed to the address of the person entitled thereto as such address shall appear in the records of the Security Registrar. Interest on this Note shall accrue on the outstanding principal amount thereof from, and including, the most recent Interest Payment Date to which interest has been paid or provided for or, if no interest has been paid or duly provided for, from, and including, May 20, 2026, in each case to, but excluding, the applicable Interest Payment Date or the Maturity Date, as the case may be. Interest shall be computed on the basis of a 360-day year of twelve 30-day months. The interest payable on any Interest Payment Date shall be payable to the person in whose name this Note is registered at the close of business on the May 5 and November 5 (whether or not a Business Day) immediately preceding such Interest Payment Date, except as otherwise provided in the Indenture.</w:t>
      </w:r>
    </w:p>
    <w:p>
      <w:pPr>
        <w:spacing w:after="0" w:line="18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If the Maturity Date or any Interest Payment Date falls on a day that is not a Business Day, principal, premium, if any, and interest, if any, payable with respect to the Maturity Date or such Interest Payment Date, as the case may be, shall be paid on the next succeeding Business Day with the same force and effect as if made on the Maturity Date or such Interest Payment Date, as the case may be, and no additional interest shall accrue on the amount so payable for the period from and after the Maturity Date or such Interest Payment Date, as the case may be, to the next succeeding Business Day. As used herein, “</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shall mean any day, other than a Saturday or Sunday, that is neither a legal holiday nor a day on which banking institutions are authorized or required by law or regulation to close in the City of New York.</w:t>
      </w:r>
    </w:p>
    <w:p>
      <w:pPr>
        <w:spacing w:after="0" w:line="183"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This Note is issued pursuant to, and shall be governed by, that certain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dated as of February 1, 1991, between the Company and Deutsche Bank Trust Company Americas (as successor to Citibank, N.A.), as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Capitalized terms used in this Note without definition shall have the respective meanings ascribed to them in the Indenture.</w:t>
      </w:r>
    </w:p>
    <w:p>
      <w:pPr>
        <w:spacing w:after="0" w:line="17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provisions of this Note are continued on the reverse hereof, and such continued provisions shall for all purposes have the same effect as though fully set forth at this place.</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by the manual signature of one of its authorized officers, this Note shall not be entitled to the benefit under the Indenture or be valid or obligatory for any purpose.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[This Space Intentionally Left Blank]</w:t>
      </w:r>
    </w:p>
    <w:p>
      <w:pPr>
        <w:sectPr>
          <w:pgSz w:w="11900" w:h="16838" w:orient="portrait"/>
          <w:cols w:equalWidth="0" w:num="1">
            <w:col w:w="11000"/>
          </w:cols>
          <w:pgMar w:left="440" w:top="270"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Eli Lilly and Company has caused this instrument to be duly signed.</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ELI LILLY AND COMPANY</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Global Note]</w:t>
      </w:r>
    </w:p>
    <w:p>
      <w:pPr>
        <w:sectPr>
          <w:pgSz w:w="11900" w:h="16838" w:orient="portrait"/>
          <w:cols w:equalWidth="0" w:num="1">
            <w:col w:w="9039"/>
          </w:cols>
          <w:pgMar w:left="1420" w:top="270" w:right="1440" w:bottom="1440" w:gutter="0" w:footer="0" w:header="0"/>
        </w:sectPr>
      </w:pPr>
    </w:p>
    <w:bookmarkStart w:id="108" w:name="page109"/>
    <w:bookmarkEnd w:id="10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is one of the Securities of the series designated therein issued under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 2026</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DEUTSCHE BANK TRUST COMPANY AMERICAS, as</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1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Global Note</w:t>
      </w:r>
      <w:r>
        <w:rPr>
          <w:rFonts w:ascii="Times New Roman" w:cs="Times New Roman" w:eastAsia="Times New Roman" w:hAnsi="Times New Roman"/>
          <w:sz w:val="18"/>
          <w:szCs w:val="18"/>
          <w:color w:val="auto"/>
        </w:rPr>
        <w:t>]</w:t>
      </w:r>
    </w:p>
    <w:p>
      <w:pPr>
        <w:sectPr>
          <w:pgSz w:w="11900" w:h="16838" w:orient="portrait"/>
          <w:cols w:equalWidth="0" w:num="1">
            <w:col w:w="10860"/>
          </w:cols>
          <w:pgMar w:left="440" w:top="270" w:right="59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[REVERSE OF NOTE]</w:t>
      </w:r>
    </w:p>
    <w:p>
      <w:pPr>
        <w:spacing w:after="0" w:line="225"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This Note is one of a duly authorized issue of a series of debt securities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of the Company, designated as its 4.850% Notes due 2036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xml:space="preserve">”). The Securities, including the Notes, are all issued or to be issued under and pursuant to the Indenture, to which Indenture, and all Board Resolutions and Officers’ Certificates as provided therein, reference is hereby made for a description of the rights, limitation of rights, obligations, duties and immunities thereunder of the Company, the Trustee and the Holders of the Notes, and the terms upon which the Notes are, and are to be, authenticated and delivered. The Notes are initially limited to One Billion Five Hundred Million Dollars ($1,500,000,000) in aggregate principal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at any time issue additional Securities under the Indenture in unlimited amounts having the same terms as the Notes other than the date of original issuance and the first Interest Payment Date applicable thereto, and such Securities shall be treated as a single series with the Notes for all purposes under the Indenture.</w:t>
      </w:r>
    </w:p>
    <w:p>
      <w:pPr>
        <w:spacing w:after="0" w:line="189"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This Note shall constitute part of the Company’s unsecured and unsubordinated obligations and shall rank equally in right of payment with all of the Company’s other existing and future unsecured and unsubordinated indebtedness. This Note shall be issuable in fully registered form only, in minimum denominations of two thousand Dollars ($2,000) and any integral multiples of one thousand Dollars ($1,000) in excess of that amount.</w:t>
      </w:r>
    </w:p>
    <w:p>
      <w:pPr>
        <w:spacing w:after="0" w:line="15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In case an Event of Default shall have occurred and be continuing with respect to this Note, the principal hereof may be declared due and payable, and upon such declaration shall become due and payable, in the manner, with the effect, and subject to the conditions provided in the Indenture. The Indenture permits the Holders of at least a majority in aggregate principal amount of the Notes at the time outstanding to, on behalf of the Holders of all of the Notes and in the manner and subject to the provisions of the Indenture, waive certain past defaults and rescind and annul such past declarations and their consequences under the Indenture.</w:t>
      </w:r>
    </w:p>
    <w:p>
      <w:pPr>
        <w:spacing w:after="0" w:line="18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The Indenture contains provisions permitting the Company and the Trustee, with consent of the Holders of not less than a majority of the aggregate principal amount of the Notes at the time outstanding, evidenced as provided in the Indenture, to execute supplemental indentures for the purpose of adding any provisions to or changing in any manner or eliminating any of the provisions of the Indenture or of any supplemental indenture with respect to the Notes or of modifying in any manner the rights of the Holders of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supplemental indenture shall (i) extend the fixed maturity, or the earlier optional date of maturity, if any, of any Note, or reduce the principal amount thereof or the premium thereon, if any, or reduce the rate or extend the time of payment of interest, if any, thereon or make the principal thereof or premium, if any, or interest, if any, thereon payable in any currency other than as provided pursuant to the Indenture or this Note, without the consent of the Holders of each Note so affected; or (ii) reduce the aforesaid percentage of the Notes, the Holders of which are required to consent to any such supplemental indenture, without the consent of the Holders of all Notes then outstanding.</w:t>
      </w:r>
    </w:p>
    <w:p>
      <w:pPr>
        <w:spacing w:after="0" w:line="188"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The Notes shall not have the benefit of any sinking fund and, except as set forth below under “Centessa Special Mandatory Redemption,” the Notes shall not be subject to any mandatory redemption provision.</w:t>
      </w:r>
    </w:p>
    <w:p>
      <w:pPr>
        <w:sectPr>
          <w:pgSz w:w="11900" w:h="16838" w:orient="portrait"/>
          <w:cols w:equalWidth="0" w:num="1">
            <w:col w:w="11000"/>
          </w:cols>
          <w:pgMar w:left="440" w:top="266"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Optional Redemption</w:t>
      </w:r>
    </w:p>
    <w:p>
      <w:pPr>
        <w:spacing w:after="0" w:line="119" w:lineRule="exact"/>
        <w:rPr>
          <w:sz w:val="20"/>
          <w:szCs w:val="20"/>
          <w:color w:val="auto"/>
        </w:rPr>
      </w:pPr>
    </w:p>
    <w:p>
      <w:pPr>
        <w:jc w:val="both"/>
        <w:ind w:right="20" w:firstLine="991"/>
        <w:spacing w:after="0" w:line="289" w:lineRule="auto"/>
        <w:rPr>
          <w:sz w:val="20"/>
          <w:szCs w:val="20"/>
          <w:color w:val="auto"/>
        </w:rPr>
      </w:pPr>
      <w:r>
        <w:rPr>
          <w:rFonts w:ascii="Times New Roman" w:cs="Times New Roman" w:eastAsia="Times New Roman" w:hAnsi="Times New Roman"/>
          <w:sz w:val="17"/>
          <w:szCs w:val="17"/>
          <w:color w:val="auto"/>
        </w:rPr>
        <w:t>Upon such notice as specified below and in accordance with the Indenture and the terms of this Note, the Notes are subject to redemption at the election of the Company, in whole or in part, at any time and from time to time, on a date fixed for redemption (a “</w:t>
      </w:r>
      <w:r>
        <w:rPr>
          <w:rFonts w:ascii="Times New Roman" w:cs="Times New Roman" w:eastAsia="Times New Roman" w:hAnsi="Times New Roman"/>
          <w:sz w:val="17"/>
          <w:szCs w:val="17"/>
          <w:b w:val="1"/>
          <w:bCs w:val="1"/>
          <w:i w:val="1"/>
          <w:iCs w:val="1"/>
          <w:color w:val="auto"/>
        </w:rPr>
        <w:t>Redemption Date</w:t>
      </w:r>
      <w:r>
        <w:rPr>
          <w:rFonts w:ascii="Times New Roman" w:cs="Times New Roman" w:eastAsia="Times New Roman" w:hAnsi="Times New Roman"/>
          <w:sz w:val="17"/>
          <w:szCs w:val="17"/>
          <w:color w:val="auto"/>
        </w:rPr>
        <w:t>”) prior to the Par Call Date and at a “redemption price” (expressed as a percentage of principal amount and rounded to three decimal places) equal to the greater of:</w:t>
      </w:r>
    </w:p>
    <w:p>
      <w:pPr>
        <w:spacing w:after="0" w:line="50" w:lineRule="exact"/>
        <w:rPr>
          <w:sz w:val="20"/>
          <w:szCs w:val="20"/>
          <w:color w:val="auto"/>
        </w:rPr>
      </w:pPr>
    </w:p>
    <w:p>
      <w:pPr>
        <w:ind w:firstLine="987"/>
        <w:spacing w:after="0" w:line="266" w:lineRule="auto"/>
        <w:tabs>
          <w:tab w:leader="none" w:pos="124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on the Notes to be redeemed discounted to the Redemption Date (assuming the Notes to be redeemed matured on the Par Call Date) on a semi-annual basis (assuming a 360-day year consisting of twelve 30-day months) at the Treasury Rate, plus 10 basis points, less (b) interest accrued to the Redemption Date, and</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 on such Redemption Date,</w:t>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each case, accrued and unpaid interest thereon to, but excluding, the Redemption Date.</w:t>
      </w:r>
    </w:p>
    <w:p>
      <w:pPr>
        <w:spacing w:after="0" w:line="227"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In addition, on or after the Par Call Date, the Company may redeem the Notes, in whole or in part, at any time and from time to time, at a redemption price equal to 100% of the principal amount of the Notes to be redeemed plus accrued and unpaid interest thereon to, but excluding, the Redemption Date.</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 Call Date</w:t>
      </w:r>
      <w:r>
        <w:rPr>
          <w:rFonts w:ascii="Times New Roman" w:cs="Times New Roman" w:eastAsia="Times New Roman" w:hAnsi="Times New Roman"/>
          <w:sz w:val="18"/>
          <w:szCs w:val="18"/>
          <w:color w:val="auto"/>
        </w:rPr>
        <w:t>” means February 20, 2036.</w:t>
      </w:r>
    </w:p>
    <w:p>
      <w:pPr>
        <w:spacing w:after="0" w:line="225" w:lineRule="exact"/>
        <w:rPr>
          <w:sz w:val="20"/>
          <w:szCs w:val="20"/>
          <w:color w:val="auto"/>
        </w:rPr>
      </w:pPr>
    </w:p>
    <w:p>
      <w:pPr>
        <w:ind w:right="7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Rate</w:t>
      </w:r>
      <w:r>
        <w:rPr>
          <w:rFonts w:ascii="Times New Roman" w:cs="Times New Roman" w:eastAsia="Times New Roman" w:hAnsi="Times New Roman"/>
          <w:sz w:val="18"/>
          <w:szCs w:val="18"/>
          <w:color w:val="auto"/>
        </w:rPr>
        <w:t>” means, with respect to any Redemption Date prior to the Par Call Date, the yield determined by the Company in accordance with the following two paragraphs.</w:t>
      </w:r>
    </w:p>
    <w:p>
      <w:pPr>
        <w:spacing w:after="0" w:line="15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ectPr>
          <w:pgSz w:w="11900" w:h="16838" w:orient="portrait"/>
          <w:cols w:equalWidth="0" w:num="1">
            <w:col w:w="11000"/>
          </w:cols>
          <w:pgMar w:left="440" w:top="268" w:right="459" w:bottom="1440" w:gutter="0" w:footer="0" w:header="0"/>
        </w:sectPr>
      </w:pPr>
    </w:p>
    <w:bookmarkStart w:id="111" w:name="page112"/>
    <w:bookmarkEnd w:id="111"/>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w:t>
      </w:r>
    </w:p>
    <w:p>
      <w:pPr>
        <w:spacing w:after="0" w:line="16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the Notes that are due and payable on each Interest Payment Date falling on or prior to a Redemption Date shall be payable on such Interest Payment Date to the Holder(s) as of the close of business on the Regular Record Date immediately preceding such Interest Payment Date.</w:t>
      </w:r>
    </w:p>
    <w:p>
      <w:pPr>
        <w:spacing w:after="0" w:line="176"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Notice of any redemption will be mailed (or otherwise transmitted in accordance with the Depositary’s procedures) at least 10 days but not more than 60 days before the Redemption Date to each Holder of Notes to be redeemed. Each notice of redemption shall (i) specify the Redemption Date and the redemption price at which the Notes are to be redeemed, (ii) state the applicable conditions precedent to such redemption, if any, as described below, and (iii) state that payment of the redemption price of the Notes to be redeemed, together with interest accrued thereon to the Redemption Date (except that if such Redemption Date is an Interest Payment Date, such interest due on such date shall be payable to the Holder on the Regular Record Date for such Interest Payment Date), shall be made at the office or agency to be maintained by the Company in accordance with Section 5.02 of the Indenture (or, if desired by the Company, at the principal office of the Trustee) upon presentation and surrender of such Notes and that from and after said date any interest thereon shall cease to accrue.</w:t>
      </w:r>
    </w:p>
    <w:p>
      <w:pPr>
        <w:spacing w:after="0" w:line="192"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Any notice of redemption may, at the Company’s discretion, be subject to one or more conditions precedent, including completion of a corporate transaction. In such event, the related notice of redemption shall describe each such condition and, if applicable, shall state that, at the Company’s discretion, the Redemption Date may be delayed until such time (including more</w:t>
      </w:r>
    </w:p>
    <w:p>
      <w:pPr>
        <w:sectPr>
          <w:pgSz w:w="11900" w:h="16838" w:orient="portrait"/>
          <w:cols w:equalWidth="0" w:num="1">
            <w:col w:w="11000"/>
          </w:cols>
          <w:pgMar w:left="440" w:top="270" w:right="459" w:bottom="1440" w:gutter="0" w:footer="0" w:header="0"/>
        </w:sectPr>
      </w:pPr>
    </w:p>
    <w:bookmarkStart w:id="112" w:name="page113"/>
    <w:bookmarkEnd w:id="112"/>
    <w:p>
      <w:pPr>
        <w:ind w:left="4"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than 60 days after the notice of redemption was given) as any or all such conditions shall be satisfied (or waived by the Company in its sole discretion), or such redemption may not occur and such notice may be rescinded in the event that any or all such conditions shall not have been satisfied or waived by the Redemption Date, or by the Redemption Date so delayed. If any such redemption has been rescinded or delayed, the Company shall provide written notice to the Trustee prior to the close of business two Business Days prior to the Redemption Date and shall deliver a written request to the Trustee to promptly provide such notice to each Holder, and, upon receipt, the Trustee shall provide such notice to each Holder. Subject to any delay in the Redemption Date or rescission of the notice of redemption as described above, once notice of redemption is mailed, the Notes called for redemption shall become due and payable on the applicable Redemption Date at the applicable redemption price.</w:t>
      </w:r>
    </w:p>
    <w:p>
      <w:pPr>
        <w:spacing w:after="0" w:line="189"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If fewer than all of the Notes are to be redeemed, selection of the Notes to be redeemed shall be made pro rata, by lot or by such other method as the Trustee in its sole discretion deems appropriate and fair. No Notes of a principal amount of $2,000 or less shall be redeemed in part. If any Note is to be redeemed in part only, the notice of redemption that relates to the Note shall state the portion of the principal amount of the Note to be redeemed. Except in the case of Global Securities, a new Note in a principal amount equal to the unredeemed portion of the Note shall be issued in the name of the Holder of the Note upon surrender for cancellation of the original Note. Notwithstanding the foregoing, for so long as the Notes are held by the Depositary, the redemption of the Notes shall be done in accordance with the policies and procedures of the Depositary. Before any Redemption Date, the Company shall deposit with a Paying Agent (or the Trustee) money sufficient to pay the redemption price of the Notes to be redeemed on such date.</w:t>
      </w:r>
    </w:p>
    <w:p>
      <w:pPr>
        <w:spacing w:after="0" w:line="192"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therefor, on and after the Redemption Date, interest shall cease to accrue on the Notes or any portions of the Notes called for redemption.</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Centessa Special Mandatory Redemption</w:t>
      </w:r>
    </w:p>
    <w:p>
      <w:pPr>
        <w:spacing w:after="0" w:line="11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In the event that (x) the Centessa Acquisition is not consummated on or prior to the date that is five (5) Business Days after the later of</w:t>
      </w:r>
    </w:p>
    <w:p>
      <w:pPr>
        <w:spacing w:after="0" w:line="27" w:lineRule="exact"/>
        <w:rPr>
          <w:sz w:val="20"/>
          <w:szCs w:val="20"/>
          <w:color w:val="auto"/>
        </w:rPr>
      </w:pPr>
    </w:p>
    <w:p>
      <w:pPr>
        <w:ind w:left="4" w:right="100" w:hanging="4"/>
        <w:spacing w:after="0" w:line="253" w:lineRule="auto"/>
        <w:tabs>
          <w:tab w:leader="none" w:pos="21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31, 2027 or (ii) any later date as the parties to the Centessa Agreement may agree as the “Outside Date” thereunder or (y) the Company notifies the Trustee in writing that the Company will not pursue the consummation of the Centessa Acquisition (any such event being a “</w:t>
      </w:r>
      <w:r>
        <w:rPr>
          <w:rFonts w:ascii="Times New Roman" w:cs="Times New Roman" w:eastAsia="Times New Roman" w:hAnsi="Times New Roman"/>
          <w:sz w:val="18"/>
          <w:szCs w:val="18"/>
          <w:b w:val="1"/>
          <w:bCs w:val="1"/>
          <w:i w:val="1"/>
          <w:iCs w:val="1"/>
          <w:color w:val="auto"/>
        </w:rPr>
        <w:t>Centessa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Special Mandatory Redemption Event</w:t>
      </w:r>
      <w:r>
        <w:rPr>
          <w:rFonts w:ascii="Times New Roman" w:cs="Times New Roman" w:eastAsia="Times New Roman" w:hAnsi="Times New Roman"/>
          <w:sz w:val="18"/>
          <w:szCs w:val="18"/>
          <w:color w:val="auto"/>
        </w:rPr>
        <w:t>”), the Company will be required to redeem the Notes then outstanding (such redemption, the “</w:t>
      </w:r>
      <w:r>
        <w:rPr>
          <w:rFonts w:ascii="Times New Roman" w:cs="Times New Roman" w:eastAsia="Times New Roman" w:hAnsi="Times New Roman"/>
          <w:sz w:val="18"/>
          <w:szCs w:val="18"/>
          <w:b w:val="1"/>
          <w:bCs w:val="1"/>
          <w:i w:val="1"/>
          <w:iCs w:val="1"/>
          <w:color w:val="auto"/>
        </w:rPr>
        <w:t>Centessa Special Mandatory Redemption</w:t>
      </w:r>
      <w:r>
        <w:rPr>
          <w:rFonts w:ascii="Times New Roman" w:cs="Times New Roman" w:eastAsia="Times New Roman" w:hAnsi="Times New Roman"/>
          <w:sz w:val="18"/>
          <w:szCs w:val="18"/>
          <w:color w:val="auto"/>
        </w:rPr>
        <w:t>”) at a redemption price equal to 101% of the principal amount of such Notes plus accrued and unpaid interest, if any, to, but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excluding, the Centessa Special Mandatory Redemption Date (as defined below) (the “</w:t>
      </w:r>
      <w:r>
        <w:rPr>
          <w:rFonts w:ascii="Times New Roman" w:cs="Times New Roman" w:eastAsia="Times New Roman" w:hAnsi="Times New Roman"/>
          <w:sz w:val="18"/>
          <w:szCs w:val="18"/>
          <w:b w:val="1"/>
          <w:bCs w:val="1"/>
          <w:i w:val="1"/>
          <w:iCs w:val="1"/>
          <w:color w:val="auto"/>
        </w:rPr>
        <w:t>Centessa Special Mandatory Redemption Price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In the event that the Company becomes obligated to redeem the Notes pursuant to the Centessa Special Mandatory Redemption, the Company will promptly, and in any event not more than ten (10) Business Days after the Centessa Special Mandatory Redemption Event, deliver written notice (the “</w:t>
      </w:r>
      <w:r>
        <w:rPr>
          <w:rFonts w:ascii="Times New Roman" w:cs="Times New Roman" w:eastAsia="Times New Roman" w:hAnsi="Times New Roman"/>
          <w:sz w:val="18"/>
          <w:szCs w:val="18"/>
          <w:b w:val="1"/>
          <w:bCs w:val="1"/>
          <w:i w:val="1"/>
          <w:iCs w:val="1"/>
          <w:color w:val="auto"/>
        </w:rPr>
        <w:t>Centessa Special Mandatory Redemption Notice</w:t>
      </w:r>
      <w:r>
        <w:rPr>
          <w:rFonts w:ascii="Times New Roman" w:cs="Times New Roman" w:eastAsia="Times New Roman" w:hAnsi="Times New Roman"/>
          <w:sz w:val="18"/>
          <w:szCs w:val="18"/>
          <w:color w:val="auto"/>
        </w:rPr>
        <w:t>”) to each registered Holder of the Notes and the Trustee of the Centessa Special Mandatory Redemption and the date upon which the Notes will be redeemed (the “</w:t>
      </w:r>
      <w:r>
        <w:rPr>
          <w:rFonts w:ascii="Times New Roman" w:cs="Times New Roman" w:eastAsia="Times New Roman" w:hAnsi="Times New Roman"/>
          <w:sz w:val="18"/>
          <w:szCs w:val="18"/>
          <w:b w:val="1"/>
          <w:bCs w:val="1"/>
          <w:i w:val="1"/>
          <w:iCs w:val="1"/>
          <w:color w:val="auto"/>
        </w:rPr>
        <w:t>Centessa Special Mandatory Redemption Date</w:t>
      </w:r>
      <w:r>
        <w:rPr>
          <w:rFonts w:ascii="Times New Roman" w:cs="Times New Roman" w:eastAsia="Times New Roman" w:hAnsi="Times New Roman"/>
          <w:sz w:val="18"/>
          <w:szCs w:val="18"/>
          <w:color w:val="auto"/>
        </w:rPr>
        <w:t>,” which</w:t>
      </w:r>
    </w:p>
    <w:p>
      <w:pPr>
        <w:sectPr>
          <w:pgSz w:w="11900" w:h="16838" w:orient="portrait"/>
          <w:cols w:equalWidth="0" w:num="1">
            <w:col w:w="11004"/>
          </w:cols>
          <w:pgMar w:left="436" w:top="270" w:right="459" w:bottom="1440" w:gutter="0" w:footer="0" w:header="0"/>
        </w:sectPr>
      </w:pPr>
    </w:p>
    <w:bookmarkStart w:id="113" w:name="page114"/>
    <w:bookmarkEnd w:id="113"/>
    <w:p>
      <w:pPr>
        <w:ind w:right="16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 shall be no earlier than five (5) days and no later than thirty (30) days following the date of such notice, unless some longer minimum period may be required by DTC (or any successor depositary)). The Centessa Special Mandatory Redemption Notice will, in accordance with the Trustee’s (if applicable) and DTC’s (or any successor depositary’s) procedures, be mailed, electronically delivered, or otherwise transmitted, according to the procedures of DTC (or any successor depositary) to each registered Holder of the Notes. Any Centessa Special Mandatory Redemption Notice may be given by the Company or may be given, at the Company’s written direction, by the Trustee in the Company’s name and at the Company’s expense.</w:t>
      </w:r>
    </w:p>
    <w:p>
      <w:pPr>
        <w:spacing w:after="0" w:line="168"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Centessa Special Mandatory Redemption Price of the Notes, on and after such Centessa Special Mandatory Redemption Date, interest will cease to accrue on the Notes.</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the Notes that are due and payable on an Interest Payment Date falling on or prior to the Centessa Special Mandatory Redemption Date will be payable on such Interest Payment Date to the registered Holders of the Notes as of the close of business on the relevant record date in accordance with the Notes and the Indenture.</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Upon the consummation of the Centessa Acquisition, the foregoing provisions regarding the Centessa Special Mandatory Redemption will cease to apply. For purposes of the foregoing, the Centessa Acquisition will be deemed consummated if the closing under the Centessa Agreement occurs, including after giving effect to any amendments, modifications or waivers to the Centessa Agreement.</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Centessa</w:t>
      </w:r>
      <w:r>
        <w:rPr>
          <w:rFonts w:ascii="Times New Roman" w:cs="Times New Roman" w:eastAsia="Times New Roman" w:hAnsi="Times New Roman"/>
          <w:sz w:val="18"/>
          <w:szCs w:val="18"/>
          <w:color w:val="auto"/>
        </w:rPr>
        <w:t>” means Centessa Pharmaceuticals plc, a public limited company registered in England and Wales.</w:t>
      </w:r>
    </w:p>
    <w:p>
      <w:pPr>
        <w:spacing w:after="0" w:line="225" w:lineRule="exact"/>
        <w:rPr>
          <w:sz w:val="20"/>
          <w:szCs w:val="20"/>
          <w:color w:val="auto"/>
        </w:rPr>
      </w:pPr>
    </w:p>
    <w:p>
      <w:pPr>
        <w:ind w:right="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Centessa Acquisition</w:t>
      </w:r>
      <w:r>
        <w:rPr>
          <w:rFonts w:ascii="Times New Roman" w:cs="Times New Roman" w:eastAsia="Times New Roman" w:hAnsi="Times New Roman"/>
          <w:sz w:val="18"/>
          <w:szCs w:val="18"/>
          <w:color w:val="auto"/>
        </w:rPr>
        <w:t>” means the acquisition by Eli Lilly and Company (including through the Purchaser (as defined below)) of Centessa and its subsidiaries pursuant to the Centessa Agreement.</w:t>
      </w:r>
    </w:p>
    <w:p>
      <w:pPr>
        <w:spacing w:after="0" w:line="155" w:lineRule="exact"/>
        <w:rPr>
          <w:sz w:val="20"/>
          <w:szCs w:val="20"/>
          <w:color w:val="auto"/>
        </w:rPr>
      </w:pPr>
    </w:p>
    <w:p>
      <w:pPr>
        <w:ind w:right="12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Centessa Agreement</w:t>
      </w:r>
      <w:r>
        <w:rPr>
          <w:rFonts w:ascii="Times New Roman" w:cs="Times New Roman" w:eastAsia="Times New Roman" w:hAnsi="Times New Roman"/>
          <w:sz w:val="18"/>
          <w:szCs w:val="18"/>
          <w:color w:val="auto"/>
        </w:rPr>
        <w:t>” means the Transaction Agreement, dated as of March 31, 2026, by and among Eli Lilly and Company, an Indiana corporation, LDH XV Corporation, a Delaware corporation and direct wholly owned subsidiary of Eli Lilly and Company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and Centessa, as amended, supplemented, renewed, modified or waived from time to time.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Notes are subject to the defeasance provisions set forth in Section 12.02 of the Indenture.</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The Company shall not pay any additional amounts on any of the Notes to any person, including any Holder who is not a United States person in respect of any tax, assessment or governmental charge withheld or deducted.</w:t>
      </w:r>
    </w:p>
    <w:p>
      <w:pPr>
        <w:sectPr>
          <w:pgSz w:w="11900" w:h="16838" w:orient="portrait"/>
          <w:cols w:equalWidth="0" w:num="1">
            <w:col w:w="10980"/>
          </w:cols>
          <w:pgMar w:left="440" w:top="270" w:right="479" w:bottom="1440" w:gutter="0" w:footer="0" w:header="0"/>
        </w:sectPr>
      </w:pPr>
    </w:p>
    <w:bookmarkStart w:id="114" w:name="page115"/>
    <w:bookmarkEnd w:id="114"/>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reference herein to the Indenture and no provision of this Note or of the Indenture or of any Board Resolution shall alter or impair the obligation of the Company, which is absolute and unconditional, to pay the principal of and premium, if any, and interest on this Note at the times and places and at the rate and in the coin and currency herein prescribed.</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This Note is transferable by the Holder hereof in person or by his or her attorney duly authorized in writing on the books of the Company at the office or agency to be maintained by the Company for that purpose in the City of New York, but only in the manner, subject to the limitations and upon payment of any tax or governmental charge for which the Company may require reimbursement as provided in the Indenture, and upon surrender and cancellation of this Note. Upon any registration of transfer, a new registered Note or Notes, of authorized denomination or authorized denominations and like tenor and terms, and in the same aggregate principal amount, shall be issued to the transferee in exchange therefor.</w:t>
      </w:r>
    </w:p>
    <w:p>
      <w:pPr>
        <w:spacing w:after="0" w:line="183"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The Company, the Trustee, any Paying Agent and any Security Registrar may deem and treat the Holder hereof as the absolute owner of this Note (whether or not this Note shall be overdue and notwithstanding any notations of ownership or other writing hereon made by anyone other than the Security Registrar) for the purpose of receiving payment of or on account of the principal hereof and premium, if any, and interest due hereon as herein provided and for all other purposes, and none of the Company, the Trustee, any Paying Agent or any Security Registrar shall be affected by any notice to the contrary.</w:t>
      </w:r>
    </w:p>
    <w:p>
      <w:pPr>
        <w:spacing w:after="0" w:line="183"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if any, or interest on this Note, or for any claim based hereon, or otherwise in respect hereof, or based on or in respect of the Indenture or any supplemental indenture thereto or any Board Resolution, against any Person other than the Company or against any incorporator, stockholder, officer or director, past, present or future, as such, of the Company or any other Person, whether by virtue of any constitution, statute or rule of law, or by the enforcement of any assessment or penalty or otherwise, all such liability being, by the acceptance hereof and as part of the consideration for the issuance of this Note, expressly waived and released.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Note shall be governed by and construed in accordance with the laws of the State of New York.</w:t>
      </w:r>
    </w:p>
    <w:p>
      <w:pPr>
        <w:sectPr>
          <w:pgSz w:w="11900" w:h="16838" w:orient="portrait"/>
          <w:cols w:equalWidth="0" w:num="1">
            <w:col w:w="11020"/>
          </w:cols>
          <w:pgMar w:left="440" w:top="270" w:right="4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A-5</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5.600% NOTE DUE 2056</w:t>
      </w:r>
    </w:p>
    <w:p>
      <w:pPr>
        <w:sectPr>
          <w:pgSz w:w="11900" w:h="16838" w:orient="portrait"/>
          <w:cols w:equalWidth="0" w:num="1">
            <w:col w:w="9019"/>
          </w:cols>
          <w:pgMar w:left="1440" w:top="266" w:right="1440"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520" w:type="dxa"/>
            <w:vAlign w:val="bottom"/>
            <w:gridSpan w:val="6"/>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8"/>
              </w:rPr>
              <w:t>ELI LILLY AND COMPANY</w:t>
            </w:r>
          </w:p>
        </w:tc>
      </w:tr>
      <w:tr>
        <w:trPr>
          <w:trHeight w:val="283"/>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520" w:type="dxa"/>
            <w:vAlign w:val="bottom"/>
            <w:gridSpan w:val="6"/>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9"/>
              </w:rPr>
              <w:t>5.</w:t>
            </w:r>
            <w:r>
              <w:rPr>
                <w:rFonts w:ascii="Times New Roman" w:cs="Times New Roman" w:eastAsia="Times New Roman" w:hAnsi="Times New Roman"/>
                <w:sz w:val="18"/>
                <w:szCs w:val="18"/>
                <w:b w:val="1"/>
                <w:bCs w:val="1"/>
                <w:u w:val="single" w:color="auto"/>
                <w:color w:val="auto"/>
                <w:w w:val="99"/>
              </w:rPr>
              <w:t>600%</w:t>
            </w:r>
            <w:r>
              <w:rPr>
                <w:rFonts w:ascii="Times New Roman" w:cs="Times New Roman" w:eastAsia="Times New Roman" w:hAnsi="Times New Roman"/>
                <w:sz w:val="18"/>
                <w:szCs w:val="18"/>
                <w:b w:val="1"/>
                <w:bCs w:val="1"/>
                <w:color w:val="auto"/>
                <w:w w:val="99"/>
              </w:rPr>
              <w:t xml:space="preserve"> Note due 2056</w:t>
            </w:r>
          </w:p>
        </w:tc>
      </w:tr>
      <w:tr>
        <w:trPr>
          <w:trHeight w:val="439"/>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Certificate No. </w:t>
            </w:r>
            <w:r>
              <w:rPr>
                <w:rFonts w:ascii="Times New Roman" w:cs="Times New Roman" w:eastAsia="Times New Roman" w:hAnsi="Times New Roman"/>
                <w:sz w:val="18"/>
                <w:szCs w:val="18"/>
                <w:color w:val="auto"/>
              </w:rPr>
              <w:t>[*]</w:t>
            </w:r>
          </w:p>
        </w:tc>
        <w:tc>
          <w:tcPr>
            <w:tcW w:w="144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4360" w:type="dxa"/>
            <w:vAlign w:val="bottom"/>
            <w:gridSpan w:val="4"/>
          </w:tcPr>
          <w:p>
            <w:pPr>
              <w:ind w:left="246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532457 DP0</w:t>
            </w:r>
          </w:p>
        </w:tc>
      </w:tr>
      <w:tr>
        <w:trPr>
          <w:trHeight w:val="20"/>
        </w:trPr>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Registered Global Security</w:t>
            </w: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360" w:type="dxa"/>
            <w:vAlign w:val="bottom"/>
            <w:gridSpan w:val="4"/>
          </w:tcPr>
          <w:p>
            <w:pPr>
              <w:ind w:left="2460"/>
              <w:spacing w:after="0"/>
              <w:rPr>
                <w:sz w:val="20"/>
                <w:szCs w:val="20"/>
                <w:color w:val="auto"/>
              </w:rPr>
            </w:pPr>
            <w:r>
              <w:rPr>
                <w:rFonts w:ascii="Times New Roman" w:cs="Times New Roman" w:eastAsia="Times New Roman" w:hAnsi="Times New Roman"/>
                <w:sz w:val="18"/>
                <w:szCs w:val="18"/>
                <w:b w:val="1"/>
                <w:bCs w:val="1"/>
                <w:color w:val="auto"/>
                <w:w w:val="98"/>
              </w:rPr>
              <w:t xml:space="preserve">ISIN No. </w:t>
            </w:r>
            <w:r>
              <w:rPr>
                <w:rFonts w:ascii="Times New Roman" w:cs="Times New Roman" w:eastAsia="Times New Roman" w:hAnsi="Times New Roman"/>
                <w:sz w:val="18"/>
                <w:szCs w:val="18"/>
                <w:color w:val="auto"/>
                <w:w w:val="98"/>
              </w:rPr>
              <w:t>US532457DP08</w:t>
            </w: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980" w:right="1560"/>
        <w:spacing w:after="0" w:line="255" w:lineRule="auto"/>
        <w:rPr>
          <w:sz w:val="20"/>
          <w:szCs w:val="20"/>
          <w:color w:val="auto"/>
        </w:rPr>
      </w:pPr>
      <w:r>
        <w:rPr>
          <w:rFonts w:ascii="Times New Roman" w:cs="Times New Roman" w:eastAsia="Times New Roman" w:hAnsi="Times New Roman"/>
          <w:sz w:val="18"/>
          <w:szCs w:val="18"/>
          <w:color w:val="auto"/>
        </w:rPr>
        <w:t>UNLESS THIS GLOBAL NOTE IS PRESENTED BY AN AUTHORIZED REPRESENTATIVE OF THE DEPOSITORY TRUST COMPANY, A NEW YORK CORPORATION (“DTC”), TO THE COMPANY OR ITS AGENT FOR REGISTRATION OF TRANSFER, EXCHANGE OR PAYMENT, AND ANY NOTE ISSUED IS REGISTERED IN THE NAME OF [*] OR IN SUCH OTHER NAME AS REQUESTED BY AN AUTHORIZED REPRESENTATIVE OF DTC AND ANY PAYMENT IS MADE TO [*], ANY TRANSFER, PLEDGE OR OTHER USE HEREOF FOR VALUE OR OTHERWISE BY OR TO ANY PERSON IS WRONGFUL SINCE THE REGISTERED OWNER HEREOF, [*], HAS AN INTEREST HEREIN.</w:t>
      </w:r>
    </w:p>
    <w:p>
      <w:pPr>
        <w:spacing w:after="0" w:line="81" w:lineRule="exact"/>
        <w:rPr>
          <w:sz w:val="20"/>
          <w:szCs w:val="20"/>
          <w:color w:val="auto"/>
        </w:rPr>
      </w:pPr>
    </w:p>
    <w:p>
      <w:pPr>
        <w:ind w:left="980" w:right="1520"/>
        <w:spacing w:after="0" w:line="258" w:lineRule="auto"/>
        <w:rPr>
          <w:sz w:val="20"/>
          <w:szCs w:val="20"/>
          <w:color w:val="auto"/>
        </w:rPr>
      </w:pPr>
      <w:r>
        <w:rPr>
          <w:rFonts w:ascii="Times New Roman" w:cs="Times New Roman" w:eastAsia="Times New Roman" w:hAnsi="Times New Roman"/>
          <w:sz w:val="18"/>
          <w:szCs w:val="18"/>
          <w:color w:val="auto"/>
        </w:rPr>
        <w:t>UNLESS AND UNTIL IT IS EXCHANGED IN WHOLE OR IN PART FOR NOTES IN DEFINITIVE REGISTERED FORM, THIS GLOBAL NOTE MAY NOT BE TRANSFERRED EXCEPT AS A WHOLE BY DTC TO A NOMINEE OF DTC, OR BY A NOMINEE OF DTC TO DTC OR ANOTHER NOMINEE OF DTC, OR BY DTC OR ANY SUCH NOMINEE TO A SUCCESSOR DEPOSITARY OR TO A NOMINEE OF SUCH SUCCESSOR DEPOSITARY.</w:t>
      </w:r>
    </w:p>
    <w:p>
      <w:pPr>
        <w:spacing w:after="0" w:line="17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ELI LILLY AND COMPANY, an Indiana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which term includes any successor corporation under the Indenture referred to herein), for value received, hereby promises to pay to [*], or its registered assigns, the principal amount of [*] Dollars ($[*]) on May 20, 2056 (the “</w:t>
      </w:r>
      <w:r>
        <w:rPr>
          <w:rFonts w:ascii="Times New Roman" w:cs="Times New Roman" w:eastAsia="Times New Roman" w:hAnsi="Times New Roman"/>
          <w:sz w:val="18"/>
          <w:szCs w:val="18"/>
          <w:b w:val="1"/>
          <w:bCs w:val="1"/>
          <w:i w:val="1"/>
          <w:iCs w:val="1"/>
          <w:color w:val="auto"/>
        </w:rPr>
        <w:t>Stated Maturity Date</w:t>
      </w:r>
      <w:r>
        <w:rPr>
          <w:rFonts w:ascii="Times New Roman" w:cs="Times New Roman" w:eastAsia="Times New Roman" w:hAnsi="Times New Roman"/>
          <w:sz w:val="18"/>
          <w:szCs w:val="18"/>
          <w:color w:val="auto"/>
        </w:rPr>
        <w:t>”), unless redeemed on any Redemption Date (as defined on the reverse hereof) (the Stated Maturity Date or any Redemption Date is referred to herein as the “</w:t>
      </w:r>
      <w:r>
        <w:rPr>
          <w:rFonts w:ascii="Times New Roman" w:cs="Times New Roman" w:eastAsia="Times New Roman" w:hAnsi="Times New Roman"/>
          <w:sz w:val="18"/>
          <w:szCs w:val="18"/>
          <w:b w:val="1"/>
          <w:bCs w:val="1"/>
          <w:i w:val="1"/>
          <w:iCs w:val="1"/>
          <w:color w:val="auto"/>
        </w:rPr>
        <w:t>Maturity Date</w:t>
      </w:r>
      <w:r>
        <w:rPr>
          <w:rFonts w:ascii="Times New Roman" w:cs="Times New Roman" w:eastAsia="Times New Roman" w:hAnsi="Times New Roman"/>
          <w:sz w:val="18"/>
          <w:szCs w:val="18"/>
          <w:color w:val="auto"/>
        </w:rPr>
        <w:t xml:space="preserve">” with respect to the principal amount repayable on such date), upon surrender of this Note at the office or agency of the Company for such payment in the City of New York, in such coin or currency of the United States of America as at the time of payment shall be legal tender for the payment of public and private debts, and to pay interest on the outstanding principal amount until the Maturity Date at the rate of 5.600% per annum, in like coin or currency, semi-annually on May 20 and November 20 of each year, commencing on November 20, 2026, until the date on which payment of said principal amount has been made or duly provided for;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this Note is in the form of a Global Security, then payments of principal of or premium, if any, or interest on this Note may be made at the Company’s option by wire transfer of immediately available funds to the account specified by the Depositary for this Note;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this Note is not in the form of a Global Security, then payments of principal of and premium, if any, and interest on this Note may be made at the Company’s option by check</w:t>
      </w:r>
    </w:p>
    <w:p>
      <w:pPr>
        <w:sectPr>
          <w:pgSz w:w="11900" w:h="16838" w:orient="portrait"/>
          <w:cols w:equalWidth="0" w:num="1">
            <w:col w:w="10980"/>
          </w:cols>
          <w:pgMar w:left="440" w:top="266" w:right="479" w:bottom="1440" w:gutter="0" w:footer="0" w:header="0"/>
        </w:sectPr>
      </w:pPr>
    </w:p>
    <w:bookmarkStart w:id="117" w:name="page118"/>
    <w:bookmarkEnd w:id="11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mailed to the address of the person entitled thereto as such address shall appear in the records of the Security Registrar. Interest on this Note shall accrue on the outstanding principal amount thereof from, and including, the most recent Interest Payment Date to which interest has been paid or provided for or, if no interest has been paid or duly provided for, from, and including, May 20, 2026, in each case to, but excluding, the applicable Interest Payment Date or the Maturity Date, as the case may be. Interest shall be computed on the basis of a 360-day year of twelve 30-day months. The interest payable on any Interest Payment Date shall be payable to the person in whose name this Note is registered at the close of business on the May 5 and November 5 (whether or not a Business Day) immediately preceding such Interest Payment Date, except as otherwise provided in the Indenture.</w:t>
      </w:r>
    </w:p>
    <w:p>
      <w:pPr>
        <w:spacing w:after="0" w:line="18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If the Maturity Date or any Interest Payment Date falls on a day that is not a Business Day, principal, premium, if any, and interest, if any, payable with respect to the Maturity Date or such Interest Payment Date, as the case may be, shall be paid on the next succeeding Business Day with the same force and effect as if made on the Maturity Date or such Interest Payment Date, as the case may be, and no additional interest shall accrue on the amount so payable for the period from and after the Maturity Date or such Interest Payment Date, as the case may be, to the next succeeding Business Day. As used herein, “</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shall mean any day, other than a Saturday or Sunday, that is neither a legal holiday nor a day on which banking institutions are authorized or required by law or regulation to close in the City of New York.</w:t>
      </w:r>
    </w:p>
    <w:p>
      <w:pPr>
        <w:spacing w:after="0" w:line="183"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This Note is issued pursuant to, and shall be governed by, that certain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dated as of February 1, 1991, between the Company and Deutsche Bank Trust Company Americas (as successor to Citibank, N.A.), as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Capitalized terms used in this Note without definition shall have the respective meanings ascribed to them in the Indenture.</w:t>
      </w:r>
    </w:p>
    <w:p>
      <w:pPr>
        <w:spacing w:after="0" w:line="17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provisions of this Note are continued on the reverse hereof, and such continued provisions shall for all purposes have the same effect as though fully set forth at this place.</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by the manual signature of one of its authorized officers, this Note shall not be entitled to the benefit under the Indenture or be valid or obligatory for any purpose.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[This Space Intentionally Left Blank]</w:t>
      </w:r>
    </w:p>
    <w:p>
      <w:pPr>
        <w:sectPr>
          <w:pgSz w:w="11900" w:h="16838" w:orient="portrait"/>
          <w:cols w:equalWidth="0" w:num="1">
            <w:col w:w="11000"/>
          </w:cols>
          <w:pgMar w:left="440" w:top="270"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Eli Lilly and Company has caused this instrument to be duly signed.</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ELI LILLY AND COMPANY</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Global Note]</w:t>
      </w:r>
    </w:p>
    <w:p>
      <w:pPr>
        <w:sectPr>
          <w:pgSz w:w="11900" w:h="16838" w:orient="portrait"/>
          <w:cols w:equalWidth="0" w:num="1">
            <w:col w:w="9039"/>
          </w:cols>
          <w:pgMar w:left="1420" w:top="270" w:right="1440" w:bottom="1440" w:gutter="0" w:footer="0" w:header="0"/>
        </w:sectPr>
      </w:pPr>
    </w:p>
    <w:bookmarkStart w:id="119" w:name="page120"/>
    <w:bookmarkEnd w:id="11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is one of the Securities of the series designated therein issued under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 2026</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DEUTSCHE BANK TRUST COMPANY AMERICAS, as</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1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Global Note</w:t>
      </w:r>
      <w:r>
        <w:rPr>
          <w:rFonts w:ascii="Times New Roman" w:cs="Times New Roman" w:eastAsia="Times New Roman" w:hAnsi="Times New Roman"/>
          <w:sz w:val="18"/>
          <w:szCs w:val="18"/>
          <w:color w:val="auto"/>
        </w:rPr>
        <w:t>]</w:t>
      </w:r>
    </w:p>
    <w:p>
      <w:pPr>
        <w:sectPr>
          <w:pgSz w:w="11900" w:h="16838" w:orient="portrait"/>
          <w:cols w:equalWidth="0" w:num="1">
            <w:col w:w="10860"/>
          </w:cols>
          <w:pgMar w:left="440" w:top="270" w:right="59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[REVERSE OF NOTE]</w:t>
      </w:r>
    </w:p>
    <w:p>
      <w:pPr>
        <w:spacing w:after="0" w:line="225"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This Note is one of a duly authorized issue of a series of debt securities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of the Company, designated as its 5.600% Notes due 2056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xml:space="preserve">”). The Securities, including the Notes, are all issued or to be issued under and pursuant to the Indenture, to which Indenture, and all Board Resolutions and Officers’ Certificates as provided therein, reference is hereby made for a description of the rights, limitation of rights, obligations, duties and immunities thereunder of the Company, the Trustee and the Holders of the Notes, and the terms upon which the Notes are, and are to be, authenticated and delivered. The Notes are initially limited to One Billion Seven Hundred and Fifty Million Dollars ($1,750,000,000) in aggregate principal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at any time issue additional Securities under the Indenture in unlimited amounts having the same terms as the Notes other than the date of original issuance and the first Interest Payment Date applicable thereto, and such Securities shall be treated as a single series with the Notes for all purposes under the Indenture.</w:t>
      </w:r>
    </w:p>
    <w:p>
      <w:pPr>
        <w:spacing w:after="0" w:line="189"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This Note shall constitute part of the Company’s unsecured and unsubordinated obligations and shall rank equally in right of payment with all of the Company’s other existing and future unsecured and unsubordinated indebtedness. This Note shall be issuable in fully registered form only, in minimum denominations of two thousand Dollars ($2,000) and any integral multiples of one thousand Dollars ($1,000) in excess of that amount.</w:t>
      </w:r>
    </w:p>
    <w:p>
      <w:pPr>
        <w:spacing w:after="0" w:line="15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In case an Event of Default shall have occurred and be continuing with respect to this Note, the principal hereof may be declared due and payable, and upon such declaration shall become due and payable, in the manner, with the effect, and subject to the conditions provided in the Indenture. The Indenture permits the Holders of at least a majority in aggregate principal amount of the Notes at the time outstanding to, on behalf of the Holders of all of the Notes and in the manner and subject to the provisions of the Indenture, waive certain past defaults and rescind and annul such past declarations and their consequences under the Indenture.</w:t>
      </w:r>
    </w:p>
    <w:p>
      <w:pPr>
        <w:spacing w:after="0" w:line="18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The Indenture contains provisions permitting the Company and the Trustee, with consent of the Holders of not less than a majority of the aggregate principal amount of the Notes at the time outstanding, evidenced as provided in the Indenture, to execute supplemental indentures for the purpose of adding any provisions to or changing in any manner or eliminating any of the provisions of the Indenture or of any supplemental indenture with respect to the Notes or of modifying in any manner the rights of the Holders of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supplemental indenture shall (i) extend the fixed maturity, or the earlier optional date of maturity, if any, of any Note, or reduce the principal amount thereof or the premium thereon, if any, or reduce the rate or extend the time of payment of interest, if any, thereon or make the principal thereof or premium, if any, or interest, if any, thereon payable in any currency other than as provided pursuant to the Indenture or this Note, without the consent of the Holders of each Note so affected; or (ii) reduce the aforesaid percentage of the Notes, the Holders of which are required to consent to any such supplemental indenture, without the consent of the Holders of all Notes then outstanding.</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Notes shall not have the benefit of any sinking fund and the Notes shall not be subject to any mandatory redemption provision.</w:t>
      </w:r>
    </w:p>
    <w:p>
      <w:pPr>
        <w:sectPr>
          <w:pgSz w:w="11900" w:h="16838" w:orient="portrait"/>
          <w:cols w:equalWidth="0" w:num="1">
            <w:col w:w="11000"/>
          </w:cols>
          <w:pgMar w:left="440" w:top="266"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Optional Redemption</w:t>
      </w:r>
    </w:p>
    <w:p>
      <w:pPr>
        <w:spacing w:after="0" w:line="119" w:lineRule="exact"/>
        <w:rPr>
          <w:sz w:val="20"/>
          <w:szCs w:val="20"/>
          <w:color w:val="auto"/>
        </w:rPr>
      </w:pPr>
    </w:p>
    <w:p>
      <w:pPr>
        <w:jc w:val="both"/>
        <w:ind w:right="20" w:firstLine="991"/>
        <w:spacing w:after="0" w:line="289" w:lineRule="auto"/>
        <w:rPr>
          <w:sz w:val="20"/>
          <w:szCs w:val="20"/>
          <w:color w:val="auto"/>
        </w:rPr>
      </w:pPr>
      <w:r>
        <w:rPr>
          <w:rFonts w:ascii="Times New Roman" w:cs="Times New Roman" w:eastAsia="Times New Roman" w:hAnsi="Times New Roman"/>
          <w:sz w:val="17"/>
          <w:szCs w:val="17"/>
          <w:color w:val="auto"/>
        </w:rPr>
        <w:t>Upon such notice as specified below and in accordance with the Indenture and the terms of this Note, the Notes are subject to redemption at the election of the Company, in whole or in part, at any time and from time to time, on a date fixed for redemption (a “</w:t>
      </w:r>
      <w:r>
        <w:rPr>
          <w:rFonts w:ascii="Times New Roman" w:cs="Times New Roman" w:eastAsia="Times New Roman" w:hAnsi="Times New Roman"/>
          <w:sz w:val="17"/>
          <w:szCs w:val="17"/>
          <w:b w:val="1"/>
          <w:bCs w:val="1"/>
          <w:i w:val="1"/>
          <w:iCs w:val="1"/>
          <w:color w:val="auto"/>
        </w:rPr>
        <w:t>Redemption Date</w:t>
      </w:r>
      <w:r>
        <w:rPr>
          <w:rFonts w:ascii="Times New Roman" w:cs="Times New Roman" w:eastAsia="Times New Roman" w:hAnsi="Times New Roman"/>
          <w:sz w:val="17"/>
          <w:szCs w:val="17"/>
          <w:color w:val="auto"/>
        </w:rPr>
        <w:t>”) prior to the Par Call Date and at a “redemption price” (expressed as a percentage of principal amount and rounded to three decimal places) equal to the greater of:</w:t>
      </w:r>
    </w:p>
    <w:p>
      <w:pPr>
        <w:spacing w:after="0" w:line="50" w:lineRule="exact"/>
        <w:rPr>
          <w:sz w:val="20"/>
          <w:szCs w:val="20"/>
          <w:color w:val="auto"/>
        </w:rPr>
      </w:pPr>
    </w:p>
    <w:p>
      <w:pPr>
        <w:ind w:firstLine="987"/>
        <w:spacing w:after="0" w:line="266" w:lineRule="auto"/>
        <w:tabs>
          <w:tab w:leader="none" w:pos="12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on the Notes to be redeemed discounted to the Redemption Date (assuming the Notes to be redeemed matured on the Par Call Date) on a semi-annual basis (assuming a 360-day year consisting of twelve 30-day months) at the Treasury Rate, plus 12.5 basis points, less (b) interest accrued to the Redemption Date, and</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 on such Redemption Date,</w:t>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each case, accrued and unpaid interest thereon to, but excluding, the Redemption Date.</w:t>
      </w:r>
    </w:p>
    <w:p>
      <w:pPr>
        <w:spacing w:after="0" w:line="227"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In addition, on or after the Par Call Date, the Company may redeem the Notes, in whole or in part, at any time and from time to time, at a redemption price equal to 100% of the principal amount of the Notes to be redeemed plus accrued and unpaid interest thereon to, but excluding, the Redemption Date.</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 Call Date</w:t>
      </w:r>
      <w:r>
        <w:rPr>
          <w:rFonts w:ascii="Times New Roman" w:cs="Times New Roman" w:eastAsia="Times New Roman" w:hAnsi="Times New Roman"/>
          <w:sz w:val="18"/>
          <w:szCs w:val="18"/>
          <w:color w:val="auto"/>
        </w:rPr>
        <w:t>” means November 20, 2055.</w:t>
      </w:r>
    </w:p>
    <w:p>
      <w:pPr>
        <w:spacing w:after="0" w:line="225" w:lineRule="exact"/>
        <w:rPr>
          <w:sz w:val="20"/>
          <w:szCs w:val="20"/>
          <w:color w:val="auto"/>
        </w:rPr>
      </w:pPr>
    </w:p>
    <w:p>
      <w:pPr>
        <w:ind w:right="7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Rate</w:t>
      </w:r>
      <w:r>
        <w:rPr>
          <w:rFonts w:ascii="Times New Roman" w:cs="Times New Roman" w:eastAsia="Times New Roman" w:hAnsi="Times New Roman"/>
          <w:sz w:val="18"/>
          <w:szCs w:val="18"/>
          <w:color w:val="auto"/>
        </w:rPr>
        <w:t>” means, with respect to any Redemption Date prior to the Par Call Date, the yield determined by the Company in accordance with the following two paragraphs.</w:t>
      </w:r>
    </w:p>
    <w:p>
      <w:pPr>
        <w:spacing w:after="0" w:line="15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ectPr>
          <w:pgSz w:w="11900" w:h="16838" w:orient="portrait"/>
          <w:cols w:equalWidth="0" w:num="1">
            <w:col w:w="11000"/>
          </w:cols>
          <w:pgMar w:left="440" w:top="268" w:right="459" w:bottom="1440" w:gutter="0" w:footer="0" w:header="0"/>
        </w:sectPr>
      </w:pPr>
    </w:p>
    <w:bookmarkStart w:id="122" w:name="page123"/>
    <w:bookmarkEnd w:id="122"/>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w:t>
      </w:r>
    </w:p>
    <w:p>
      <w:pPr>
        <w:spacing w:after="0" w:line="16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the Notes that are due and payable on each Interest Payment Date falling on or prior to a Redemption Date shall be payable on such Interest Payment Date to the Holder(s) as of the close of business on the Regular Record Date immediately preceding such Interest Payment Date.</w:t>
      </w:r>
    </w:p>
    <w:p>
      <w:pPr>
        <w:spacing w:after="0" w:line="176"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Notice of any redemption will be mailed (or otherwise transmitted in accordance with the Depositary’s procedures) at least 10 days but not more than 60 days before the Redemption Date to each Holder of Notes to be redeemed. Each notice of redemption shall (i) specify the Redemption Date and the redemption price at which the Notes are to be redeemed, (ii) state the applicable conditions precedent to such redemption, if any, as described below, and (iii) state that payment of the redemption price of the Notes to be redeemed, together with interest accrued thereon to the Redemption Date (except that if such Redemption Date is an Interest Payment Date, such interest due on such date shall be payable to the Holder on the Regular Record Date for such Interest Payment Date), shall be made at the office or agency to be maintained by the Company in accordance with Section 5.02 of the Indenture (or, if desired by the Company, at the principal office of the Trustee) upon presentation and surrender of such Notes and that from and after said date any interest thereon shall cease to accrue.</w:t>
      </w:r>
    </w:p>
    <w:p>
      <w:pPr>
        <w:spacing w:after="0" w:line="192"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Any notice of redemption may, at the Company’s discretion, be subject to one or more conditions precedent, including completion of a corporate transaction. In such event, the related notice of redemption shall describe each such condition and, if applicable, shall state that, at the Company’s discretion, the Redemption Date may be delayed until such time (including more</w:t>
      </w:r>
    </w:p>
    <w:p>
      <w:pPr>
        <w:sectPr>
          <w:pgSz w:w="11900" w:h="16838" w:orient="portrait"/>
          <w:cols w:equalWidth="0" w:num="1">
            <w:col w:w="11000"/>
          </w:cols>
          <w:pgMar w:left="440" w:top="270" w:right="459" w:bottom="1440" w:gutter="0" w:footer="0" w:header="0"/>
        </w:sectPr>
      </w:pPr>
    </w:p>
    <w:bookmarkStart w:id="123" w:name="page124"/>
    <w:bookmarkEnd w:id="123"/>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than 60 days after the notice of redemption was given) as any or all such conditions shall be satisfied (or waived by the Company in its sole discretion), or such redemption may not occur and such notice may be rescinded in the event that any or all such conditions shall not have been satisfied or waived by the Redemption Date, or by the Redemption Date so delayed. If any such redemption has been rescinded or delayed, the Company shall provide written notice to the Trustee prior to the close of business two Business Days prior to the Redemption Date and shall deliver a written request to the Trustee to promptly provide such notice to each Holder, and, upon receipt, the Trustee shall provide such notice to each Holder. Subject to any delay in the Redemption Date or rescission of the notice of redemption as described above, once notice of redemption is mailed, the Notes called for redemption shall become due and payable on the applicable Redemption Date at the applicable redemption price.</w:t>
      </w:r>
    </w:p>
    <w:p>
      <w:pPr>
        <w:spacing w:after="0" w:line="189"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If fewer than all of the Notes are to be redeemed, selection of the Notes to be redeemed shall be made pro rata, by lot or by such other method as the Trustee in its sole discretion deems appropriate and fair. No Notes of a principal amount of $2,000 or less shall be redeemed in part. If any Note is to be redeemed in part only, the notice of redemption that relates to the Note shall state the portion of the principal amount of the Note to be redeemed. Except in the case of Global Securities, a new Note in a principal amount equal to the unredeemed portion of the Note shall be issued in the name of the Holder of the Note upon surrender for cancellation of the original Note. Notwithstanding the foregoing, for so long as the Notes are held by the Depositary, the redemption of the Notes shall be done in accordance with the policies and procedures of the Depositary. Before any Redemption Date, the Company shall deposit with a Paying Agent (or the Trustee) money sufficient to pay the redemption price of the Notes to be redeemed on such date.</w:t>
      </w:r>
    </w:p>
    <w:p>
      <w:pPr>
        <w:spacing w:after="0" w:line="19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therefor, on and after the Redemption Date, interest shall cease to accrue on the Notes or any portions of the Notes called for redemption.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Notes are subject to the defeasance provisions set forth in Section 12.02 of the Indenture.</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The Company shall not pay any additional amounts on any of the Notes to any person, including any Holder who is not a United States person in respect of any tax, assessment or governmental charge withheld or deducted.</w:t>
      </w:r>
    </w:p>
    <w:p>
      <w:pPr>
        <w:spacing w:after="0" w:line="162"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Note or of the Indenture or of any Board Resolution shall alter or impair the obligation of the Company, which is absolute and unconditional, to pay the principal of and premium, if any, and interest on this Note at the times and places and at the rate and in the coin and currency herein prescribed.</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This Note is transferable by the Holder hereof in person or by his or her attorney duly authorized in writing on the books of the Company at the office or agency to be maintained by the Company for that purpose in the City of New York, but only in the manner, subject to the limitations and upon payment of any tax or governmental charge for which the Company may require reimbursement as provided in the Indenture, and upon surrender and cancellation of this Note. Upon any registration of transfer, a new registered Note or Notes, of authorized denomination or authorized denominations and like tenor and terms, and in the same aggregate principal amount, shall be issued to the transferee in exchange therefor.</w:t>
      </w:r>
    </w:p>
    <w:p>
      <w:pPr>
        <w:sectPr>
          <w:pgSz w:w="11900" w:h="16838" w:orient="portrait"/>
          <w:cols w:equalWidth="0" w:num="1">
            <w:col w:w="11020"/>
          </w:cols>
          <w:pgMar w:left="440" w:top="270" w:right="439" w:bottom="1440" w:gutter="0" w:footer="0" w:header="0"/>
        </w:sectPr>
      </w:pPr>
    </w:p>
    <w:bookmarkStart w:id="124" w:name="page125"/>
    <w:bookmarkEnd w:id="124"/>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the Trustee, any Paying Agent and any Security Registrar may deem and treat the Holder hereof as the absolute owner of this Note (whether or not this Note shall be overdue and notwithstanding any notations of ownership or other writing hereon made by anyone other than the Security Registrar) for the purpose of receiving payment of or on account of the principal hereof and premium, if any, and interest due hereon as herein provided and for all other purposes, and none of the Company, the Trustee, any Paying Agent or any Security Registrar shall be affected by any notice to the contrary.</w:t>
      </w:r>
    </w:p>
    <w:p>
      <w:pPr>
        <w:spacing w:after="0" w:line="183"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if any, or interest on this Note, or for any claim based hereon, or otherwise in respect hereof, or based on or in respect of the Indenture or any supplemental indenture thereto or any Board Resolution, against any Person other than the Company or against any incorporator, stockholder, officer or director, past, present or future, as such, of the Company or any other Person, whether by virtue of any constitution, statute or rule of law, or by the enforcement of any assessment or penalty or otherwise, all such liability being, by the acceptance hereof and as part of the consideration for the issuance of this Note, expressly waived and released.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Note shall be governed by and construed in accordance with the laws of the State of New York.</w:t>
      </w:r>
    </w:p>
    <w:p>
      <w:pPr>
        <w:sectPr>
          <w:pgSz w:w="11900" w:h="16838" w:orient="portrait"/>
          <w:cols w:equalWidth="0" w:num="1">
            <w:col w:w="11000"/>
          </w:cols>
          <w:pgMar w:left="440" w:top="270" w:right="45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A-6</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5.700% NOTE DUE 2066</w:t>
      </w:r>
    </w:p>
    <w:p>
      <w:pPr>
        <w:sectPr>
          <w:pgSz w:w="11900" w:h="16838" w:orient="portrait"/>
          <w:cols w:equalWidth="0" w:num="1">
            <w:col w:w="9019"/>
          </w:cols>
          <w:pgMar w:left="1440" w:top="266" w:right="1440"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540" w:type="dxa"/>
            <w:vAlign w:val="bottom"/>
            <w:gridSpan w:val="6"/>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8"/>
              </w:rPr>
              <w:t>ELI LILLY AND COMPANY</w:t>
            </w:r>
          </w:p>
        </w:tc>
      </w:tr>
      <w:tr>
        <w:trPr>
          <w:trHeight w:val="283"/>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540" w:type="dxa"/>
            <w:vAlign w:val="bottom"/>
            <w:gridSpan w:val="6"/>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9"/>
              </w:rPr>
              <w:t>5.</w:t>
            </w:r>
            <w:r>
              <w:rPr>
                <w:rFonts w:ascii="Times New Roman" w:cs="Times New Roman" w:eastAsia="Times New Roman" w:hAnsi="Times New Roman"/>
                <w:sz w:val="18"/>
                <w:szCs w:val="18"/>
                <w:b w:val="1"/>
                <w:bCs w:val="1"/>
                <w:u w:val="single" w:color="auto"/>
                <w:color w:val="auto"/>
                <w:w w:val="99"/>
              </w:rPr>
              <w:t>700%</w:t>
            </w:r>
            <w:r>
              <w:rPr>
                <w:rFonts w:ascii="Times New Roman" w:cs="Times New Roman" w:eastAsia="Times New Roman" w:hAnsi="Times New Roman"/>
                <w:sz w:val="18"/>
                <w:szCs w:val="18"/>
                <w:b w:val="1"/>
                <w:bCs w:val="1"/>
                <w:color w:val="auto"/>
                <w:w w:val="99"/>
              </w:rPr>
              <w:t xml:space="preserve"> Note due 2066</w:t>
            </w:r>
          </w:p>
        </w:tc>
      </w:tr>
      <w:tr>
        <w:trPr>
          <w:trHeight w:val="439"/>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Certificate No. </w:t>
            </w:r>
            <w:r>
              <w:rPr>
                <w:rFonts w:ascii="Times New Roman" w:cs="Times New Roman" w:eastAsia="Times New Roman" w:hAnsi="Times New Roman"/>
                <w:sz w:val="18"/>
                <w:szCs w:val="18"/>
                <w:color w:val="auto"/>
              </w:rPr>
              <w:t>[*]</w:t>
            </w:r>
          </w:p>
        </w:tc>
        <w:tc>
          <w:tcPr>
            <w:tcW w:w="144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4380" w:type="dxa"/>
            <w:vAlign w:val="bottom"/>
            <w:gridSpan w:val="4"/>
          </w:tcPr>
          <w:p>
            <w:pPr>
              <w:ind w:left="246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532457 DQ8</w:t>
            </w:r>
          </w:p>
        </w:tc>
      </w:tr>
      <w:tr>
        <w:trPr>
          <w:trHeight w:val="20"/>
        </w:trPr>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Registered Global Security</w:t>
            </w: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380" w:type="dxa"/>
            <w:vAlign w:val="bottom"/>
            <w:gridSpan w:val="4"/>
          </w:tcPr>
          <w:p>
            <w:pPr>
              <w:ind w:left="2460"/>
              <w:spacing w:after="0"/>
              <w:rPr>
                <w:sz w:val="20"/>
                <w:szCs w:val="20"/>
                <w:color w:val="auto"/>
              </w:rPr>
            </w:pPr>
            <w:r>
              <w:rPr>
                <w:rFonts w:ascii="Times New Roman" w:cs="Times New Roman" w:eastAsia="Times New Roman" w:hAnsi="Times New Roman"/>
                <w:sz w:val="18"/>
                <w:szCs w:val="18"/>
                <w:b w:val="1"/>
                <w:bCs w:val="1"/>
                <w:color w:val="auto"/>
                <w:w w:val="98"/>
              </w:rPr>
              <w:t xml:space="preserve">ISIN No. </w:t>
            </w:r>
            <w:r>
              <w:rPr>
                <w:rFonts w:ascii="Times New Roman" w:cs="Times New Roman" w:eastAsia="Times New Roman" w:hAnsi="Times New Roman"/>
                <w:sz w:val="18"/>
                <w:szCs w:val="18"/>
                <w:color w:val="auto"/>
                <w:w w:val="98"/>
              </w:rPr>
              <w:t>US532457DQ80</w:t>
            </w: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980" w:right="1560"/>
        <w:spacing w:after="0" w:line="255" w:lineRule="auto"/>
        <w:rPr>
          <w:sz w:val="20"/>
          <w:szCs w:val="20"/>
          <w:color w:val="auto"/>
        </w:rPr>
      </w:pPr>
      <w:r>
        <w:rPr>
          <w:rFonts w:ascii="Times New Roman" w:cs="Times New Roman" w:eastAsia="Times New Roman" w:hAnsi="Times New Roman"/>
          <w:sz w:val="18"/>
          <w:szCs w:val="18"/>
          <w:color w:val="auto"/>
        </w:rPr>
        <w:t>UNLESS THIS GLOBAL NOTE IS PRESENTED BY AN AUTHORIZED REPRESENTATIVE OF THE DEPOSITORY TRUST COMPANY, A NEW YORK CORPORATION (“DTC”), TO THE COMPANY OR ITS AGENT FOR REGISTRATION OF TRANSFER, EXCHANGE OR PAYMENT, AND ANY NOTE ISSUED IS REGISTERED IN THE NAME OF [*] OR IN SUCH OTHER NAME AS REQUESTED BY AN AUTHORIZED REPRESENTATIVE OF DTC AND ANY PAYMENT IS MADE TO [*], ANY TRANSFER, PLEDGE OR OTHER USE HEREOF FOR VALUE OR OTHERWISE BY OR TO ANY PERSON IS WRONGFUL SINCE THE REGISTERED OWNER HEREOF, [*], HAS AN INTEREST HEREIN.</w:t>
      </w:r>
    </w:p>
    <w:p>
      <w:pPr>
        <w:spacing w:after="0" w:line="81" w:lineRule="exact"/>
        <w:rPr>
          <w:sz w:val="20"/>
          <w:szCs w:val="20"/>
          <w:color w:val="auto"/>
        </w:rPr>
      </w:pPr>
    </w:p>
    <w:p>
      <w:pPr>
        <w:ind w:left="980" w:right="1520"/>
        <w:spacing w:after="0" w:line="258" w:lineRule="auto"/>
        <w:rPr>
          <w:sz w:val="20"/>
          <w:szCs w:val="20"/>
          <w:color w:val="auto"/>
        </w:rPr>
      </w:pPr>
      <w:r>
        <w:rPr>
          <w:rFonts w:ascii="Times New Roman" w:cs="Times New Roman" w:eastAsia="Times New Roman" w:hAnsi="Times New Roman"/>
          <w:sz w:val="18"/>
          <w:szCs w:val="18"/>
          <w:color w:val="auto"/>
        </w:rPr>
        <w:t>UNLESS AND UNTIL IT IS EXCHANGED IN WHOLE OR IN PART FOR NOTES IN DEFINITIVE REGISTERED FORM, THIS GLOBAL NOTE MAY NOT BE TRANSFERRED EXCEPT AS A WHOLE BY DTC TO A NOMINEE OF DTC, OR BY A NOMINEE OF DTC TO DTC OR ANOTHER NOMINEE OF DTC, OR BY DTC OR ANY SUCH NOMINEE TO A SUCCESSOR DEPOSITARY OR TO A NOMINEE OF SUCH SUCCESSOR DEPOSITARY.</w:t>
      </w:r>
    </w:p>
    <w:p>
      <w:pPr>
        <w:spacing w:after="0" w:line="17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ELI LILLY AND COMPANY, an Indiana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which term includes any successor corporation under the Indenture referred to herein), for value received, hereby promises to pay to [*], or its registered assigns, the principal amount of [*] Dollars ($[*]) on May 20, 2066 (the “</w:t>
      </w:r>
      <w:r>
        <w:rPr>
          <w:rFonts w:ascii="Times New Roman" w:cs="Times New Roman" w:eastAsia="Times New Roman" w:hAnsi="Times New Roman"/>
          <w:sz w:val="18"/>
          <w:szCs w:val="18"/>
          <w:b w:val="1"/>
          <w:bCs w:val="1"/>
          <w:i w:val="1"/>
          <w:iCs w:val="1"/>
          <w:color w:val="auto"/>
        </w:rPr>
        <w:t>Stated Maturity Date</w:t>
      </w:r>
      <w:r>
        <w:rPr>
          <w:rFonts w:ascii="Times New Roman" w:cs="Times New Roman" w:eastAsia="Times New Roman" w:hAnsi="Times New Roman"/>
          <w:sz w:val="18"/>
          <w:szCs w:val="18"/>
          <w:color w:val="auto"/>
        </w:rPr>
        <w:t>”), unless redeemed on any Redemption Date (as defined on the reverse hereof) (the Stated Maturity Date or any Redemption Date is referred to herein as the “</w:t>
      </w:r>
      <w:r>
        <w:rPr>
          <w:rFonts w:ascii="Times New Roman" w:cs="Times New Roman" w:eastAsia="Times New Roman" w:hAnsi="Times New Roman"/>
          <w:sz w:val="18"/>
          <w:szCs w:val="18"/>
          <w:b w:val="1"/>
          <w:bCs w:val="1"/>
          <w:i w:val="1"/>
          <w:iCs w:val="1"/>
          <w:color w:val="auto"/>
        </w:rPr>
        <w:t>Maturity Date</w:t>
      </w:r>
      <w:r>
        <w:rPr>
          <w:rFonts w:ascii="Times New Roman" w:cs="Times New Roman" w:eastAsia="Times New Roman" w:hAnsi="Times New Roman"/>
          <w:sz w:val="18"/>
          <w:szCs w:val="18"/>
          <w:color w:val="auto"/>
        </w:rPr>
        <w:t xml:space="preserve">” with respect to the principal amount repayable on such date), upon surrender of this Note at the office or agency of the Company for such payment in the City of New York, in such coin or currency of the United States of America as at the time of payment shall be legal tender for the payment of public and private debts, and to pay interest on the outstanding principal amount until the Maturity Date at the rate of 5.700% per annum, in like coin or currency, semi-annually on May 20 and November 20 of each year, commencing on November 20, 2026, until the date on which payment of said principal amount has been made or duly provided for;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this Note is in the form of a Global Security, then payments of principal of or premium, if any, or interest on this Note may be made at the Company’s option by wire transfer of immediately available funds to the account specified by the Depositary for this Note;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this Note is not in the form of a Global Security, then payments of principal of and premium, if any, and interest on this Note may be made at the Company’s option by check</w:t>
      </w:r>
    </w:p>
    <w:p>
      <w:pPr>
        <w:sectPr>
          <w:pgSz w:w="11900" w:h="16838" w:orient="portrait"/>
          <w:cols w:equalWidth="0" w:num="1">
            <w:col w:w="10980"/>
          </w:cols>
          <w:pgMar w:left="440" w:top="266" w:right="479" w:bottom="1440" w:gutter="0" w:footer="0" w:header="0"/>
        </w:sectPr>
      </w:pPr>
    </w:p>
    <w:bookmarkStart w:id="127" w:name="page128"/>
    <w:bookmarkEnd w:id="12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mailed to the address of the person entitled thereto as such address shall appear in the records of the Security Registrar. Interest on this Note shall accrue on the outstanding principal amount thereof from, and including, the most recent Interest Payment Date to which interest has been paid or provided for or, if no interest has been paid or duly provided for, from, and including, May 20, 2026, in each case to, but excluding, the applicable Interest Payment Date or the Maturity Date, as the case may be. Interest shall be computed on the basis of a 360-day year of twelve 30-day months. The interest payable on any Interest Payment Date shall be payable to the person in whose name this Note is registered at the close of business on the May 5 and November 5 (whether or not a Business Day) immediately preceding such Interest Payment Date, except as otherwise provided in the Indenture.</w:t>
      </w:r>
    </w:p>
    <w:p>
      <w:pPr>
        <w:spacing w:after="0" w:line="187"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If the Maturity Date or any Interest Payment Date falls on a day that is not a Business Day, principal, premium, if any, and interest, if any, payable with respect to the Maturity Date or such Interest Payment Date, as the case may be, shall be paid on the next succeeding Business Day with the same force and effect as if made on the Maturity Date or such Interest Payment Date, as the case may be, and no additional interest shall accrue on the amount so payable for the period from and after the Maturity Date or such Interest Payment Date, as the case may be, to the next succeeding Business Day. As used herein, “</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shall mean any day, other than a Saturday or Sunday, that is neither a legal holiday nor a day on which banking institutions are authorized or required by law or regulation to close in the City of New York.</w:t>
      </w:r>
    </w:p>
    <w:p>
      <w:pPr>
        <w:spacing w:after="0" w:line="183" w:lineRule="exact"/>
        <w:rPr>
          <w:sz w:val="20"/>
          <w:szCs w:val="20"/>
          <w:color w:val="auto"/>
        </w:rPr>
      </w:pPr>
    </w:p>
    <w:p>
      <w:pPr>
        <w:ind w:right="120" w:firstLine="991"/>
        <w:spacing w:after="0" w:line="268" w:lineRule="auto"/>
        <w:rPr>
          <w:sz w:val="20"/>
          <w:szCs w:val="20"/>
          <w:color w:val="auto"/>
        </w:rPr>
      </w:pPr>
      <w:r>
        <w:rPr>
          <w:rFonts w:ascii="Times New Roman" w:cs="Times New Roman" w:eastAsia="Times New Roman" w:hAnsi="Times New Roman"/>
          <w:sz w:val="18"/>
          <w:szCs w:val="18"/>
          <w:color w:val="auto"/>
        </w:rPr>
        <w:t>This Note is issued pursuant to, and shall be governed by, that certain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dated as of February 1, 1991, between the Company and Deutsche Bank Trust Company Americas (as successor to Citibank, N.A.), as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Capitalized terms used in this Note without definition shall have the respective meanings ascribed to them in the Indenture.</w:t>
      </w:r>
    </w:p>
    <w:p>
      <w:pPr>
        <w:spacing w:after="0" w:line="17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The provisions of this Note are continued on the reverse hereof, and such continued provisions shall for all purposes have the same effect as though fully set forth at this place.</w:t>
      </w:r>
    </w:p>
    <w:p>
      <w:pPr>
        <w:spacing w:after="0" w:line="16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by the manual signature of one of its authorized officers, this Note shall not be entitled to the benefit under the Indenture or be valid or obligatory for any purpose.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[This Space Intentionally Left Blank]</w:t>
      </w:r>
    </w:p>
    <w:p>
      <w:pPr>
        <w:sectPr>
          <w:pgSz w:w="11900" w:h="16838" w:orient="portrait"/>
          <w:cols w:equalWidth="0" w:num="1">
            <w:col w:w="11000"/>
          </w:cols>
          <w:pgMar w:left="440" w:top="270"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Eli Lilly and Company has caused this instrument to be duly signed.</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ELI LILLY AND COMPANY</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Global Note]</w:t>
      </w:r>
    </w:p>
    <w:p>
      <w:pPr>
        <w:sectPr>
          <w:pgSz w:w="11900" w:h="16838" w:orient="portrait"/>
          <w:cols w:equalWidth="0" w:num="1">
            <w:col w:w="9039"/>
          </w:cols>
          <w:pgMar w:left="1420" w:top="270" w:right="1440" w:bottom="1440" w:gutter="0" w:footer="0" w:header="0"/>
        </w:sectPr>
      </w:pPr>
    </w:p>
    <w:bookmarkStart w:id="129" w:name="page130"/>
    <w:bookmarkEnd w:id="12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is one of the Securities of the series designated therein issued under the within-mentioned Indenture.</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Dated: May </w:t>
      </w:r>
      <w:r>
        <w:rPr>
          <w:sz w:val="20"/>
          <w:szCs w:val="20"/>
          <w:color w:val="auto"/>
        </w:rPr>
        <w:tab/>
      </w:r>
      <w:r>
        <w:rPr>
          <w:rFonts w:ascii="Times New Roman" w:cs="Times New Roman" w:eastAsia="Times New Roman" w:hAnsi="Times New Roman"/>
          <w:sz w:val="17"/>
          <w:szCs w:val="17"/>
          <w:color w:val="auto"/>
        </w:rPr>
        <w:t>, 2026</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DEUTSCHE BANK TRUST COMPANY AMERICAS, as</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1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Global Note</w:t>
      </w:r>
      <w:r>
        <w:rPr>
          <w:rFonts w:ascii="Times New Roman" w:cs="Times New Roman" w:eastAsia="Times New Roman" w:hAnsi="Times New Roman"/>
          <w:sz w:val="18"/>
          <w:szCs w:val="18"/>
          <w:color w:val="auto"/>
        </w:rPr>
        <w:t>]</w:t>
      </w:r>
    </w:p>
    <w:p>
      <w:pPr>
        <w:sectPr>
          <w:pgSz w:w="11900" w:h="16838" w:orient="portrait"/>
          <w:cols w:equalWidth="0" w:num="1">
            <w:col w:w="10860"/>
          </w:cols>
          <w:pgMar w:left="440" w:top="270" w:right="59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[REVERSE OF NOTE]</w:t>
      </w:r>
    </w:p>
    <w:p>
      <w:pPr>
        <w:spacing w:after="0" w:line="225"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This Note is one of a duly authorized issue of a series of debt securities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of the Company, designated as its 5.700% Notes due 2066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xml:space="preserve">”). The Securities, including the Notes, are all issued or to be issued under and pursuant to the Indenture, to which Indenture, and all Board Resolutions and Officers’ Certificates as provided therein, reference is hereby made for a description of the rights, limitation of rights, obligations, duties and immunities thereunder of the Company, the Trustee and the Holders of the Notes, and the terms upon which the Notes are, and are to be, authenticated and delivered. The Notes are initially limited to One Billion Dollars ($1,000,000,000) in aggregate principal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at any time issue additional Securities under the Indenture in unlimited amounts having the same terms as the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the date of original issuance and the first Interest Payment Date applicable thereto, and such Securities shall be treated as a single series with the Notes for all purposes under the Indenture.</w:t>
      </w:r>
    </w:p>
    <w:p>
      <w:pPr>
        <w:spacing w:after="0" w:line="189"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This Note shall constitute part of the Company’s unsecured and unsubordinated obligations and shall rank equally in right of payment with all of the Company’s other existing and future unsecured and unsubordinated indebtedness. This Note shall be issuable in fully registered form only, in minimum denominations of two thousand Dollars ($2,000) and any integral multiples of one thousand Dollars ($1,000) in excess of that amount.</w:t>
      </w:r>
    </w:p>
    <w:p>
      <w:pPr>
        <w:spacing w:after="0" w:line="15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In case an Event of Default shall have occurred and be continuing with respect to this Note, the principal hereof may be declared due and payable, and upon such declaration shall become due and payable, in the manner, with the effect, and subject to the conditions provided in the Indenture. The Indenture permits the Holders of at least a majority in aggregate principal amount of the Notes at the time outstanding to, on behalf of the Holders of all of the Notes and in the manner and subject to the provisions of the Indenture, waive certain past defaults and rescind and annul such past declarations and their consequences under the Indenture.</w:t>
      </w:r>
    </w:p>
    <w:p>
      <w:pPr>
        <w:spacing w:after="0" w:line="18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The Indenture contains provisions permitting the Company and the Trustee, with consent of the Holders of not less than a majority of the aggregate principal amount of the Notes at the time outstanding, evidenced as provided in the Indenture, to execute supplemental indentures for the purpose of adding any provisions to or changing in any manner or eliminating any of the provisions of the Indenture or of any supplemental indenture with respect to the Notes or of modifying in any manner the rights of the Holders of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supplemental indenture shall (i) extend the fixed maturity, or the earlier optional date of maturity, if any, of any Note, or reduce the principal amount thereof or the premium thereon, if any, or reduce the rate or extend the time of payment of interest, if any, thereon or make the principal thereof or premium, if any, or interest, if any, thereon payable in any currency other than as provided pursuant to the Indenture or this Note, without the consent of the Holders of each Note so affected; or (ii) reduce the aforesaid percentage of the Notes, the Holders of which are required to consent to any such supplemental indenture, without the consent of the Holders of all Notes then outstanding.</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Notes shall not have the benefit of any sinking fund and the Notes shall not be subject to any mandatory redemption provision.</w:t>
      </w:r>
    </w:p>
    <w:p>
      <w:pPr>
        <w:sectPr>
          <w:pgSz w:w="11900" w:h="16838" w:orient="portrait"/>
          <w:cols w:equalWidth="0" w:num="1">
            <w:col w:w="11000"/>
          </w:cols>
          <w:pgMar w:left="440" w:top="266"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Optional Redemption</w:t>
      </w:r>
    </w:p>
    <w:p>
      <w:pPr>
        <w:spacing w:after="0" w:line="119" w:lineRule="exact"/>
        <w:rPr>
          <w:sz w:val="20"/>
          <w:szCs w:val="20"/>
          <w:color w:val="auto"/>
        </w:rPr>
      </w:pPr>
    </w:p>
    <w:p>
      <w:pPr>
        <w:jc w:val="both"/>
        <w:ind w:right="20" w:firstLine="991"/>
        <w:spacing w:after="0" w:line="289" w:lineRule="auto"/>
        <w:rPr>
          <w:sz w:val="20"/>
          <w:szCs w:val="20"/>
          <w:color w:val="auto"/>
        </w:rPr>
      </w:pPr>
      <w:r>
        <w:rPr>
          <w:rFonts w:ascii="Times New Roman" w:cs="Times New Roman" w:eastAsia="Times New Roman" w:hAnsi="Times New Roman"/>
          <w:sz w:val="17"/>
          <w:szCs w:val="17"/>
          <w:color w:val="auto"/>
        </w:rPr>
        <w:t>Upon such notice as specified below and in accordance with the Indenture and the terms of this Note, the Notes are subject to redemption at the election of the Company, in whole or in part, at any time and from time to time, on a date fixed for redemption (a “</w:t>
      </w:r>
      <w:r>
        <w:rPr>
          <w:rFonts w:ascii="Times New Roman" w:cs="Times New Roman" w:eastAsia="Times New Roman" w:hAnsi="Times New Roman"/>
          <w:sz w:val="17"/>
          <w:szCs w:val="17"/>
          <w:b w:val="1"/>
          <w:bCs w:val="1"/>
          <w:i w:val="1"/>
          <w:iCs w:val="1"/>
          <w:color w:val="auto"/>
        </w:rPr>
        <w:t>Redemption Date</w:t>
      </w:r>
      <w:r>
        <w:rPr>
          <w:rFonts w:ascii="Times New Roman" w:cs="Times New Roman" w:eastAsia="Times New Roman" w:hAnsi="Times New Roman"/>
          <w:sz w:val="17"/>
          <w:szCs w:val="17"/>
          <w:color w:val="auto"/>
        </w:rPr>
        <w:t>”) prior to the Par Call Date and at a “redemption price” (expressed as a percentage of principal amount and rounded to three decimal places) equal to the greater of:</w:t>
      </w:r>
    </w:p>
    <w:p>
      <w:pPr>
        <w:spacing w:after="0" w:line="50" w:lineRule="exact"/>
        <w:rPr>
          <w:sz w:val="20"/>
          <w:szCs w:val="20"/>
          <w:color w:val="auto"/>
        </w:rPr>
      </w:pPr>
    </w:p>
    <w:p>
      <w:pPr>
        <w:ind w:firstLine="987"/>
        <w:spacing w:after="0" w:line="266" w:lineRule="auto"/>
        <w:tabs>
          <w:tab w:leader="none" w:pos="12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on the Notes to be redeemed discounted to the Redemption Date (assuming the Notes to be redeemed matured on the Par Call Date) on a semi-annual basis (assuming a 360-day year consisting of twelve 30-day months) at the Treasury Rate, plus 15 basis points, less (b) interest accrued to the Redemption Date, and</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 on such Redemption Date,</w:t>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each case, accrued and unpaid interest thereon to, but excluding, the Redemption Date.</w:t>
      </w:r>
    </w:p>
    <w:p>
      <w:pPr>
        <w:spacing w:after="0" w:line="227"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In addition, on or after the Par Call Date, the Company may redeem the Notes, in whole or in part, at any time and from time to time, at a redemption price equal to 100% of the principal amount of the Notes to be redeemed plus accrued and unpaid interest thereon to, but excluding, the Redemption Date.</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 Call Date</w:t>
      </w:r>
      <w:r>
        <w:rPr>
          <w:rFonts w:ascii="Times New Roman" w:cs="Times New Roman" w:eastAsia="Times New Roman" w:hAnsi="Times New Roman"/>
          <w:sz w:val="18"/>
          <w:szCs w:val="18"/>
          <w:color w:val="auto"/>
        </w:rPr>
        <w:t>” means November 20, 2065.</w:t>
      </w:r>
    </w:p>
    <w:p>
      <w:pPr>
        <w:spacing w:after="0" w:line="225" w:lineRule="exact"/>
        <w:rPr>
          <w:sz w:val="20"/>
          <w:szCs w:val="20"/>
          <w:color w:val="auto"/>
        </w:rPr>
      </w:pPr>
    </w:p>
    <w:p>
      <w:pPr>
        <w:ind w:right="7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Rate</w:t>
      </w:r>
      <w:r>
        <w:rPr>
          <w:rFonts w:ascii="Times New Roman" w:cs="Times New Roman" w:eastAsia="Times New Roman" w:hAnsi="Times New Roman"/>
          <w:sz w:val="18"/>
          <w:szCs w:val="18"/>
          <w:color w:val="auto"/>
        </w:rPr>
        <w:t>” means, with respect to any Redemption Date prior to the Par Call Date, the yield determined by the Company in accordance with the following two paragraphs.</w:t>
      </w:r>
    </w:p>
    <w:p>
      <w:pPr>
        <w:spacing w:after="0" w:line="15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ectPr>
          <w:pgSz w:w="11900" w:h="16838" w:orient="portrait"/>
          <w:cols w:equalWidth="0" w:num="1">
            <w:col w:w="11000"/>
          </w:cols>
          <w:pgMar w:left="440" w:top="268" w:right="459" w:bottom="1440" w:gutter="0" w:footer="0" w:header="0"/>
        </w:sectPr>
      </w:pPr>
    </w:p>
    <w:bookmarkStart w:id="132" w:name="page133"/>
    <w:bookmarkEnd w:id="132"/>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w:t>
      </w:r>
    </w:p>
    <w:p>
      <w:pPr>
        <w:spacing w:after="0" w:line="16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the Notes that are due and payable on each Interest Payment Date falling on or prior to a Redemption Date shall be payable on such Interest Payment Date to the Holder(s) as of the close of business on the Regular Record Date immediately preceding such Interest Payment Date.</w:t>
      </w:r>
    </w:p>
    <w:p>
      <w:pPr>
        <w:spacing w:after="0" w:line="176"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Notice of any redemption will be mailed (or otherwise transmitted in accordance with the Depositary’s procedures) at least 10 days but not more than 60 days before the Redemption Date to each Holder of Notes to be redeemed. Each notice of redemption shall (i) specify the Redemption Date and the redemption price at which the Notes are to be redeemed, (ii) state the applicable conditions precedent to such redemption, if any, as described below, and (iii) state that payment of the redemption price of the Notes to be redeemed, together with interest accrued thereon to the Redemption Date (except that if such Redemption Date is an Interest Payment Date, such interest due on such date shall be payable to the Holder on the Regular Record Date for such Interest Payment Date), shall be made at the office or agency to be maintained by the Company in accordance with Section 5.02 of the Indenture (or, if desired by the Company, at the principal office of the Trustee) upon presentation and surrender of such Notes and that from and after said date any interest thereon shall cease to accrue.</w:t>
      </w:r>
    </w:p>
    <w:p>
      <w:pPr>
        <w:spacing w:after="0" w:line="192"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Any notice of redemption may, at the Company’s discretion, be subject to one or more conditions precedent, including completion of a corporate transaction. In such event, the related notice of redemption shall describe each such condition and, if applicable, shall state that, at the Company’s discretion, the Redemption Date may be delayed until such time (including more</w:t>
      </w:r>
    </w:p>
    <w:p>
      <w:pPr>
        <w:sectPr>
          <w:pgSz w:w="11900" w:h="16838" w:orient="portrait"/>
          <w:cols w:equalWidth="0" w:num="1">
            <w:col w:w="11000"/>
          </w:cols>
          <w:pgMar w:left="440" w:top="270" w:right="459" w:bottom="1440" w:gutter="0" w:footer="0" w:header="0"/>
        </w:sectPr>
      </w:pPr>
    </w:p>
    <w:bookmarkStart w:id="133" w:name="page134"/>
    <w:bookmarkEnd w:id="133"/>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than 60 days after the notice of redemption was given) as any or all such conditions shall be satisfied (or waived by the Company in its sole discretion), or such redemption may not occur and such notice may be rescinded in the event that any or all such conditions shall not have been satisfied or waived by the Redemption Date, or by the Redemption Date so delayed. If any such redemption has been rescinded or delayed, the Company shall provide written notice to the Trustee prior to the close of business two Business Days prior to the Redemption Date and shall deliver a written request to the Trustee to promptly provide such notice to each Holder, and, upon receipt, the Trustee shall provide such notice to each Holder. Subject to any delay in the Redemption Date or rescission of the notice of redemption as described above, once notice of redemption is mailed, the Notes called for redemption shall become due and payable on the applicable Redemption Date at the applicable redemption price.</w:t>
      </w:r>
    </w:p>
    <w:p>
      <w:pPr>
        <w:spacing w:after="0" w:line="189"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If fewer than all of the Notes are to be redeemed, selection of the Notes to be redeemed shall be made pro rata, by lot or by such other method as the Trustee in its sole discretion deems appropriate and fair. No Notes of a principal amount of $2,000 or less shall be redeemed in part. If any Note is to be redeemed in part only, the notice of redemption that relates to the Note shall state the portion of the principal amount of the Note to be redeemed. Except in the case of Global Securities, a new Note in a principal amount equal to the unredeemed portion of the Note shall be issued in the name of the Holder of the Note upon surrender for cancellation of the original Note. Notwithstanding the foregoing, for so long as the Notes are held by the Depositary, the redemption of the Notes shall be done in accordance with the policies and procedures of the Depositary. Before any Redemption Date, the Company shall deposit with a Paying Agent (or the Trustee) money sufficient to pay the redemption price of the Notes to be redeemed on such date.</w:t>
      </w:r>
    </w:p>
    <w:p>
      <w:pPr>
        <w:spacing w:after="0" w:line="19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therefor, on and after the Redemption Date, interest shall cease to accrue on the Notes or any portions of the Notes called for redemption.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Notes are subject to the defeasance provisions set forth in Section 12.02 of the Indenture.</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The Company shall not pay any additional amounts on any of the Notes to any person, including any Holder who is not a United States person in respect of any tax, assessment or governmental charge withheld or deducted.</w:t>
      </w:r>
    </w:p>
    <w:p>
      <w:pPr>
        <w:spacing w:after="0" w:line="162"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Note or of the Indenture or of any Board Resolution shall alter or impair the obligation of the Company, which is absolute and unconditional, to pay the principal of and premium, if any, and interest on this Note at the times and places and at the rate and in the coin and currency herein prescribed.</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This Note is transferable by the Holder hereof in person or by his or her attorney duly authorized in writing on the books of the Company at the office or agency to be maintained by the Company for that purpose in the City of New York, but only in the manner, subject to the limitations and upon payment of any tax or governmental charge for which the Company may require reimbursement as provided in the Indenture, and upon surrender and cancellation of this Note. Upon any registration of transfer, a new registered Note or Notes, of authorized denomination or authorized denominations and like tenor and terms, and in the same aggregate principal amount, shall be issued to the transferee in exchange therefor.</w:t>
      </w:r>
    </w:p>
    <w:p>
      <w:pPr>
        <w:sectPr>
          <w:pgSz w:w="11900" w:h="16838" w:orient="portrait"/>
          <w:cols w:equalWidth="0" w:num="1">
            <w:col w:w="11020"/>
          </w:cols>
          <w:pgMar w:left="440" w:top="270" w:right="439" w:bottom="1440" w:gutter="0" w:footer="0" w:header="0"/>
        </w:sectPr>
      </w:pPr>
    </w:p>
    <w:bookmarkStart w:id="134" w:name="page135"/>
    <w:bookmarkEnd w:id="134"/>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the Trustee, any Paying Agent and any Security Registrar may deem and treat the Holder hereof as the absolute owner of this Note (whether or not this Note shall be overdue and notwithstanding any notations of ownership or other writing hereon made by anyone other than the Security Registrar) for the purpose of receiving payment of or on account of the principal hereof and premium, if any, and interest due hereon as herein provided and for all other purposes, and none of the Company, the Trustee, any Paying Agent or any Security Registrar shall be affected by any notice to the contrary.</w:t>
      </w:r>
    </w:p>
    <w:p>
      <w:pPr>
        <w:spacing w:after="0" w:line="183"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if any, or interest on this Note, or for any claim based hereon, or otherwise in respect hereof, or based on or in respect of the Indenture or any supplemental indenture thereto or any Board Resolution, against any Person other than the Company or against any incorporator, stockholder, officer or director, past, present or future, as such, of the Company or any other Person, whether by virtue of any constitution, statute or rule of law, or by the enforcement of any assessment or penalty or otherwise, all such liability being, by the acceptance hereof and as part of the consideration for the issuance of this Note, expressly waived and released.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Note shall be governed by and construed in accordance with the laws of the State of New York.</w:t>
      </w:r>
    </w:p>
    <w:p>
      <w:pPr>
        <w:sectPr>
          <w:pgSz w:w="11900" w:h="16838" w:orient="portrait"/>
          <w:cols w:equalWidth="0" w:num="1">
            <w:col w:w="11000"/>
          </w:cols>
          <w:pgMar w:left="440" w:top="270" w:right="45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u w:val="single" w:color="auto"/>
          <w:color w:val="auto"/>
        </w:rPr>
        <w:t>ELI LILLY AND COMPANY</w:t>
      </w:r>
    </w:p>
    <w:p>
      <w:pPr>
        <w:spacing w:after="0" w:line="12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Officers’ Certificate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3.01 of the Indenture</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2026</w:t>
      </w:r>
    </w:p>
    <w:p>
      <w:pPr>
        <w:spacing w:after="0" w:line="225"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The undersigned, Jon Haug, Senior Vice President, Treasurer and Corporate Finance and Investment Banking of Eli Lilly and Company, an Indiana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Christopher Anderson, Vice President, Leader of Corporate Securities and Assistant Secretary of the Company, pursuant to Section 3.01 of the Indenture, dated as of February 1, 1991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and Deutsche Bank Trust Company Americas (as successor to Citibank, N.A.),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as authorized by resolutions of the Board of Directors of the Company, dated August 12, 2025, and minutes of the Risk Management Committee of the Company at its meeting on April 27, 2026 (collectively,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Resolutions</w:t>
      </w:r>
      <w:r>
        <w:rPr>
          <w:rFonts w:ascii="Times New Roman" w:cs="Times New Roman" w:eastAsia="Times New Roman" w:hAnsi="Times New Roman"/>
          <w:sz w:val="18"/>
          <w:szCs w:val="18"/>
          <w:color w:val="auto"/>
        </w:rPr>
        <w:t>”), do hereby certify as follows:</w:t>
      </w:r>
    </w:p>
    <w:p>
      <w:pPr>
        <w:spacing w:after="0" w:line="79" w:lineRule="exact"/>
        <w:rPr>
          <w:sz w:val="20"/>
          <w:szCs w:val="20"/>
          <w:color w:val="auto"/>
        </w:rPr>
      </w:pPr>
    </w:p>
    <w:p>
      <w:pPr>
        <w:ind w:right="100" w:firstLine="987"/>
        <w:spacing w:after="0" w:line="266" w:lineRule="auto"/>
        <w:tabs>
          <w:tab w:leader="none" w:pos="120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hereby established two series of debt securities to be issued under the Indenture. The title of such series of the debt securities shall be (i) the “Floating Rate Notes due 2028” (the “</w:t>
      </w:r>
      <w:r>
        <w:rPr>
          <w:rFonts w:ascii="Times New Roman" w:cs="Times New Roman" w:eastAsia="Times New Roman" w:hAnsi="Times New Roman"/>
          <w:sz w:val="18"/>
          <w:szCs w:val="18"/>
          <w:u w:val="single" w:color="auto"/>
          <w:color w:val="auto"/>
        </w:rPr>
        <w:t>2028 Floating Rate Notes</w:t>
      </w:r>
      <w:r>
        <w:rPr>
          <w:rFonts w:ascii="Times New Roman" w:cs="Times New Roman" w:eastAsia="Times New Roman" w:hAnsi="Times New Roman"/>
          <w:sz w:val="18"/>
          <w:szCs w:val="18"/>
          <w:color w:val="auto"/>
        </w:rPr>
        <w:t>”) and (ii) the “Floating Rate Notes due 2029” (the “</w:t>
      </w:r>
      <w:r>
        <w:rPr>
          <w:rFonts w:ascii="Times New Roman" w:cs="Times New Roman" w:eastAsia="Times New Roman" w:hAnsi="Times New Roman"/>
          <w:sz w:val="18"/>
          <w:szCs w:val="18"/>
          <w:u w:val="single" w:color="auto"/>
          <w:color w:val="auto"/>
        </w:rPr>
        <w:t>2029 Floating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and, together with the 2028 Floating Rate Notes, the “</w:t>
      </w:r>
      <w:r>
        <w:rPr>
          <w:rFonts w:ascii="Times New Roman" w:cs="Times New Roman" w:eastAsia="Times New Roman" w:hAnsi="Times New Roman"/>
          <w:sz w:val="18"/>
          <w:szCs w:val="18"/>
          <w:u w:val="single" w:color="auto"/>
          <w:color w:val="auto"/>
        </w:rPr>
        <w:t>Floating Rate Notes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180" w:firstLine="987"/>
        <w:spacing w:after="0" w:line="266" w:lineRule="auto"/>
        <w:tabs>
          <w:tab w:leader="none" w:pos="125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two series of Floating Rate Notes shall be in the forms, and shall have the terms, set forth as Annex A-1 and Annex A-2, respectively, attached hereto. The Floating Rate Notes shall be issued in the form of Registered Securities and shall not be issued in the form of Bearer Securities.</w:t>
      </w:r>
    </w:p>
    <w:p>
      <w:pPr>
        <w:spacing w:after="0" w:line="175" w:lineRule="exact"/>
        <w:rPr>
          <w:rFonts w:ascii="Times New Roman" w:cs="Times New Roman" w:eastAsia="Times New Roman" w:hAnsi="Times New Roman"/>
          <w:sz w:val="18"/>
          <w:szCs w:val="18"/>
          <w:color w:val="auto"/>
        </w:rPr>
      </w:pPr>
    </w:p>
    <w:p>
      <w:pPr>
        <w:ind w:right="180" w:firstLine="987"/>
        <w:spacing w:after="0" w:line="254" w:lineRule="auto"/>
        <w:tabs>
          <w:tab w:leader="none" w:pos="130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initial limit upon the aggregate principal amount of the Floating Rate Notes that may be authenticated and delivered under the Indenture (except for Floating Rate Notes authenticated and delivered upon registration or transfer of, or in exchange for, or in lieu of, other Floating Rate Notes pursuant to Sections 3.04, 3.05, 3.06, 4.03 or 10.04 of the Indenture) is (i) Seven Hundred and Fifty Million Dollars ($750,000,000), with respect to the 2028 Floating Rate Notes and (ii) Five Hundred Million Dollars ($500,000,000), with respect to the 2029 Floating Rate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without the consent of the Holders of any Securities, the Company may at any time issue additional Securities having the same terms as the Floating Rate Notes of a particular series other than the date of original issuance and the first Interest Payment Date applicable to such additional Securities. Any such additional Securities shall constitute a single series of Securities with the applicable series of Floating Rate Notes under the Indenture.</w:t>
      </w:r>
    </w:p>
    <w:p>
      <w:pPr>
        <w:spacing w:after="0" w:line="191" w:lineRule="exact"/>
        <w:rPr>
          <w:rFonts w:ascii="Times New Roman" w:cs="Times New Roman" w:eastAsia="Times New Roman" w:hAnsi="Times New Roman"/>
          <w:sz w:val="18"/>
          <w:szCs w:val="18"/>
          <w:color w:val="auto"/>
        </w:rPr>
      </w:pPr>
    </w:p>
    <w:p>
      <w:pPr>
        <w:ind w:right="420" w:firstLine="987"/>
        <w:spacing w:after="0" w:line="266" w:lineRule="auto"/>
        <w:tabs>
          <w:tab w:leader="none" w:pos="129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2028 Floating Rate Notes shall be payable on May 20, 2028 and the principal amount of the 2029 Floating Rate Notes shall be payable on May 20, 2029 (each, a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unless, in the case of the 2029 Floating Rate Notes, such series of Floating Rate Notes is redeemed prior to such time in accordance with clause (xii) below.</w:t>
      </w:r>
    </w:p>
    <w:p>
      <w:pPr>
        <w:sectPr>
          <w:pgSz w:w="11900" w:h="16838" w:orient="portrait"/>
          <w:cols w:equalWidth="0" w:num="1">
            <w:col w:w="11020"/>
          </w:cols>
          <w:pgMar w:left="440" w:top="117" w:right="439" w:bottom="1440" w:gutter="0" w:footer="0" w:header="0"/>
        </w:sectPr>
      </w:pPr>
    </w:p>
    <w:bookmarkStart w:id="136" w:name="page137"/>
    <w:bookmarkEnd w:id="136"/>
    <w:p>
      <w:pPr>
        <w:jc w:val="both"/>
        <w:ind w:left="4" w:firstLine="987"/>
        <w:spacing w:after="0" w:line="272" w:lineRule="auto"/>
        <w:tabs>
          <w:tab w:leader="none" w:pos="125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2028 Floating Rate Notes shall bear interest at a floating rate, reset quarterly on each Floating Rate Interest Payment Date, equal to Compounded SOFR (as defined below), plus 0.350%. The 2029 Floating Rate Notes shall bear interest at a floating rate, reset quarterly on each Floating Rate Interest Payment Date, equal to Compounded SOFR (as defined below), plus 0.460%. In no event shall the interest on the Floating Rate Notes be</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1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the maximum rate permitted by New York law as the same may be modified by U.S. law of general application or (ii) lower than zero. Interest on either series of Floating Rate Notes shall be payable quarterly in arrears on February 20, May 20, August 20 and November 20 of each year, commencing on August 20, 2026, and at the respective Maturity Date of each series of Floating Rate Notes (each, a “</w:t>
      </w:r>
      <w:r>
        <w:rPr>
          <w:rFonts w:ascii="Times New Roman" w:cs="Times New Roman" w:eastAsia="Times New Roman" w:hAnsi="Times New Roman"/>
          <w:sz w:val="18"/>
          <w:szCs w:val="18"/>
          <w:u w:val="single" w:color="auto"/>
          <w:color w:val="auto"/>
        </w:rPr>
        <w:t>Floating Rate Interest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to holders of record of the applicable series of Floating Rate Notes as of the close of business on the date that is 15 calendar days prior to the applicable Floating Rate Interest Payment Date. Interest on the Floating Rate Notes shall accrue from, and including, the most recent Floating Rate Interest Payment Date for the applicable series of Floating Rate Notes (or, if no interest has been paid, from May 20, 2026) to, but excluding, the corresponding Latter Floating Rate Interest Payment Date (as defined below) for the applicable series of Floating Rate Notes. If February 20, May 20, August 20 or November 20 of any year is not a Business Day (as defined in the Floating Rate Notes), then the next succeeding Business Day shall be the applicable Floating Rate Interest Payment Date for the applicable series of Floating Rate Notes and interest on such series of Floating Rate Notes shall be paid on such next succeeding Business Day (unless such next succeeding Business Day falls in the succeeding calendar month, in which case the applicable Floating Rate Interest Payment Date for such series of Floating Rate Notes shall be the Business Day immediately preceding such February 20, May 20, August 20 or November 20, and interest on such series of Floating Rate Notes shall be paid on such immediately preceding Business Day). If the Maturity Date of either series of Floating Rate Notes is not a Business Day, the payment of principal of, and interest on, such series of Floating Rate Notes shall be made on the next succeeding Business Day, and no interest shall accrue for the period from and after such Maturity Date.</w:t>
      </w:r>
    </w:p>
    <w:p>
      <w:pPr>
        <w:spacing w:after="0" w:line="191" w:lineRule="exact"/>
        <w:rPr>
          <w:sz w:val="20"/>
          <w:szCs w:val="20"/>
          <w:color w:val="auto"/>
        </w:rPr>
      </w:pPr>
    </w:p>
    <w:p>
      <w:pPr>
        <w:ind w:left="4" w:right="80" w:firstLine="991"/>
        <w:spacing w:after="0" w:line="254"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initial Interest Period</w:t>
      </w:r>
      <w:r>
        <w:rPr>
          <w:rFonts w:ascii="Times New Roman" w:cs="Times New Roman" w:eastAsia="Times New Roman" w:hAnsi="Times New Roman"/>
          <w:sz w:val="18"/>
          <w:szCs w:val="18"/>
          <w:color w:val="auto"/>
        </w:rPr>
        <w:t>” for either series of Floating Rate Notes means the period from and including May 20, 2026 to, but excluding, the first Floating Rate Interest Payment Date for such series of Floating Rate Notes. Thereafter, each “</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means the period from and including the applicable Floating Rate Interest Payment Date to, but excluding, the immediately succeeding Floating Rate Interest Payment Date for such series of Floating Rate Notes (such succeeding Floating Rate Interest Payment Date, the “</w:t>
      </w:r>
      <w:r>
        <w:rPr>
          <w:rFonts w:ascii="Times New Roman" w:cs="Times New Roman" w:eastAsia="Times New Roman" w:hAnsi="Times New Roman"/>
          <w:sz w:val="18"/>
          <w:szCs w:val="18"/>
          <w:u w:val="single" w:color="auto"/>
          <w:color w:val="auto"/>
        </w:rPr>
        <w:t>Latter Floating Rate Interest Payment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final Interest Period for either series of Floating Rate Notes shall be the period from and including the Floating Rate Interest Payment Date immediately preceding the Maturity Date of such series of Floating Rate Notes to, but excluding, the Maturity Date of such series of Floating Rate Notes. Interest on the Floating Rate Notes shall be computed on the basis of a 360-day year and the actual number of days in the Observation Period (as defined below).</w:t>
      </w:r>
    </w:p>
    <w:p>
      <w:pPr>
        <w:spacing w:after="0" w:line="192"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The interest rate for the initial Interest Period (x) with respect to the 2028 Floating Rate Notes shall be Compounded SOFR determined on August 18, 2026, plus 0.350% and (y) with respect to the 2029 Floating Rate Notes shall be Compounded SOFR determined on August 18, 2026, plus 0.460%. Thereafter, the interest rate for any Interest Period shall be Compounded SOFR, as determined on the applicable date that is the second U.S. Government Securities Business Day (as defined below) preceding such Floating Rate Interest Payment Date for such series of Floating Rate Notes (the “</w:t>
      </w:r>
      <w:r>
        <w:rPr>
          <w:rFonts w:ascii="Times New Roman" w:cs="Times New Roman" w:eastAsia="Times New Roman" w:hAnsi="Times New Roman"/>
          <w:sz w:val="18"/>
          <w:szCs w:val="18"/>
          <w:u w:val="single" w:color="auto"/>
          <w:color w:val="auto"/>
        </w:rPr>
        <w:t>Interest Determination Date</w:t>
      </w:r>
      <w:r>
        <w:rPr>
          <w:rFonts w:ascii="Times New Roman" w:cs="Times New Roman" w:eastAsia="Times New Roman" w:hAnsi="Times New Roman"/>
          <w:sz w:val="18"/>
          <w:szCs w:val="18"/>
          <w:color w:val="auto"/>
        </w:rPr>
        <w:t>”), plus (x) with respect to the 2028 Floating Rate Notes, a margin of 0.350% and (y) with respect to the 2029 Floating Rate Notes, a margin of 0.460%.</w:t>
      </w:r>
    </w:p>
    <w:p>
      <w:pPr>
        <w:sectPr>
          <w:pgSz w:w="11900" w:h="16838" w:orient="portrait"/>
          <w:cols w:equalWidth="0" w:num="1">
            <w:col w:w="11004"/>
          </w:cols>
          <w:pgMar w:left="436" w:top="270" w:right="459" w:bottom="1440" w:gutter="0" w:footer="0" w:header="0"/>
        </w:sectPr>
      </w:pPr>
    </w:p>
    <w:bookmarkStart w:id="137" w:name="page138"/>
    <w:bookmarkEnd w:id="137"/>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amount of interest accrued and payable on either series of Floating Rate Notes for each Interest Period shall be equal to the product of</w:t>
      </w:r>
    </w:p>
    <w:p>
      <w:pPr>
        <w:spacing w:after="0" w:line="27" w:lineRule="exact"/>
        <w:rPr>
          <w:sz w:val="20"/>
          <w:szCs w:val="20"/>
          <w:color w:val="auto"/>
        </w:rPr>
      </w:pPr>
    </w:p>
    <w:p>
      <w:pPr>
        <w:ind w:left="4" w:right="80" w:hanging="4"/>
        <w:spacing w:after="0" w:line="253" w:lineRule="auto"/>
        <w:tabs>
          <w:tab w:leader="none" w:pos="21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principal amount of such series of Floating Rate Notes multiplied by (ii) the product of (a) the interest rate for the relevant Interest Period for such series of Floating Rate Notes multiplied by (b) the quotient of the actual number of calendar days in the Observation Period divided by 360. The interest rate for any Interest Period shall not be adjusted for any modifications or amendments to the SOFR Index (as defined below) or SOFR data that the New York Federal Reserve (as defined below) may publish after the interest rate for that Interest Period has been determined.</w:t>
      </w:r>
    </w:p>
    <w:p>
      <w:pPr>
        <w:spacing w:after="0" w:line="189" w:lineRule="exact"/>
        <w:rPr>
          <w:sz w:val="20"/>
          <w:szCs w:val="20"/>
          <w:color w:val="auto"/>
        </w:rPr>
      </w:pPr>
    </w:p>
    <w:p>
      <w:pPr>
        <w:ind w:left="4" w:right="80" w:firstLine="991"/>
        <w:spacing w:after="0" w:line="253" w:lineRule="auto"/>
        <w:rPr>
          <w:sz w:val="20"/>
          <w:szCs w:val="20"/>
          <w:color w:val="auto"/>
        </w:rPr>
      </w:pPr>
      <w:r>
        <w:rPr>
          <w:rFonts w:ascii="Times New Roman" w:cs="Times New Roman" w:eastAsia="Times New Roman" w:hAnsi="Times New Roman"/>
          <w:sz w:val="18"/>
          <w:szCs w:val="18"/>
          <w:color w:val="auto"/>
        </w:rPr>
        <w:t>If a SOFR IndexStart (as defined below) or SOFR IndexEnd (as defined below) is not published on the associated Interest Determination Date and a Benchmark Transition Event (as defined below) and its related Benchmark Replacement Date (as defined below) have not occurred with respect to the Secured Overnight Financing Rate, “Compounded SOFR” shall mean, for the applicable Interest Period for which such index is not available, the rate of return on a daily compounded interest investment calculated in accordance with the formula for SOFR Averages, and definitions required for such formula, published on the New York Federal Reserve’s Website, initially located at https://www.newyorkfed.org/markets/treasury-repo-reference-rates-information. For the purposes of this provision, references in the SOFR Averages compounding formula and related definitions to “calculation period” shall be replaced with “Observation Period” and the words “that is, 30-, 90-, or 180- calendar days” shall be removed. If the daily Secured Overnight Financing Rate (“</w:t>
      </w:r>
      <w:r>
        <w:rPr>
          <w:rFonts w:ascii="Times New Roman" w:cs="Times New Roman" w:eastAsia="Times New Roman" w:hAnsi="Times New Roman"/>
          <w:sz w:val="18"/>
          <w:szCs w:val="18"/>
          <w:u w:val="single" w:color="auto"/>
          <w:color w:val="auto"/>
        </w:rPr>
        <w:t>SOFRi</w:t>
      </w:r>
      <w:r>
        <w:rPr>
          <w:rFonts w:ascii="Times New Roman" w:cs="Times New Roman" w:eastAsia="Times New Roman" w:hAnsi="Times New Roman"/>
          <w:sz w:val="18"/>
          <w:szCs w:val="18"/>
          <w:color w:val="auto"/>
        </w:rPr>
        <w:t>”) does not so appear for any day, “i” in the Observation Period, SOFRi for such day “i” shall be SOFR published in respect of the first preceding U.S. Government Securities Business Day for which the Secured Overnight Financing Rate was published on the New York Federal Reserve’s Website.</w:t>
      </w:r>
    </w:p>
    <w:p>
      <w:pPr>
        <w:spacing w:after="0" w:line="194" w:lineRule="exact"/>
        <w:rPr>
          <w:sz w:val="20"/>
          <w:szCs w:val="20"/>
          <w:color w:val="auto"/>
        </w:rPr>
      </w:pPr>
    </w:p>
    <w:p>
      <w:pPr>
        <w:ind w:left="4" w:right="120" w:firstLine="991"/>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herein, the Indenture, the Floating Rate Notes or in any other documentation relating to the Floating Rate Notes, if the Company or its designee determine on or prior to the relevant Reference Time (as defined below) that a Benchmark Transition Event and its related Benchmark Replacement Date have occurred with respect to the then-current Benchmark (as defined below), the Benchmark Replacement (as defined below) shall replace the then-current Benchmark for all purposes relating to all or any series of Floating Rate Notes, as applicable, in respect of all determinations on such date and for all determinations on all subsequent dates.</w:t>
      </w:r>
    </w:p>
    <w:p>
      <w:pPr>
        <w:spacing w:after="0" w:line="183"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In connection with the implementation of a Benchmark Replacement, the Company or its designee shall have the right to make Benchmark Replacement Conforming Changes (as defined below) from time to time.</w:t>
      </w:r>
    </w:p>
    <w:p>
      <w:pPr>
        <w:spacing w:after="0" w:line="162" w:lineRule="exact"/>
        <w:rPr>
          <w:sz w:val="20"/>
          <w:szCs w:val="20"/>
          <w:color w:val="auto"/>
        </w:rPr>
      </w:pPr>
    </w:p>
    <w:p>
      <w:pPr>
        <w:ind w:left="4" w:right="320" w:firstLine="991"/>
        <w:spacing w:after="0" w:line="266" w:lineRule="auto"/>
        <w:rPr>
          <w:sz w:val="20"/>
          <w:szCs w:val="20"/>
          <w:color w:val="auto"/>
        </w:rPr>
      </w:pPr>
      <w:r>
        <w:rPr>
          <w:rFonts w:ascii="Times New Roman" w:cs="Times New Roman" w:eastAsia="Times New Roman" w:hAnsi="Times New Roman"/>
          <w:sz w:val="18"/>
          <w:szCs w:val="18"/>
          <w:color w:val="auto"/>
        </w:rPr>
        <w:t>Any determination, decision or election that may be made by the Company or its designee pursuant to the Benchmark Replacement provisions described herein, including a determination with respect to a tenor, rate or adjustment or of the occurrence or non-occurrence of an event, circumstance or date and any decision to take or refrain from taking any action or any selection:</w:t>
      </w:r>
    </w:p>
    <w:p>
      <w:pPr>
        <w:spacing w:after="0" w:line="6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 shall be conclusive and binding absent manifest error;</w:t>
      </w:r>
    </w:p>
    <w:p>
      <w:pPr>
        <w:sectPr>
          <w:pgSz w:w="11900" w:h="16838" w:orient="portrait"/>
          <w:cols w:equalWidth="0" w:num="1">
            <w:col w:w="11004"/>
          </w:cols>
          <w:pgMar w:left="436" w:top="270" w:right="459" w:bottom="1440" w:gutter="0" w:footer="0" w:header="0"/>
        </w:sectPr>
      </w:pPr>
    </w:p>
    <w:bookmarkStart w:id="138" w:name="page139"/>
    <w:bookmarkEnd w:id="138"/>
    <w:p>
      <w:pPr>
        <w:ind w:left="253" w:hanging="253"/>
        <w:spacing w:after="0"/>
        <w:tabs>
          <w:tab w:leader="none" w:pos="25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made by the Company, shall be made in the Company’s sole discretion;</w:t>
      </w:r>
    </w:p>
    <w:p>
      <w:pPr>
        <w:spacing w:after="0" w:line="225" w:lineRule="exact"/>
        <w:rPr>
          <w:rFonts w:ascii="Times New Roman" w:cs="Times New Roman" w:eastAsia="Times New Roman" w:hAnsi="Times New Roman"/>
          <w:sz w:val="18"/>
          <w:szCs w:val="18"/>
          <w:color w:val="auto"/>
        </w:rPr>
      </w:pPr>
    </w:p>
    <w:p>
      <w:pPr>
        <w:ind w:left="-987" w:right="260" w:firstLine="987"/>
        <w:spacing w:after="0" w:line="282" w:lineRule="auto"/>
        <w:tabs>
          <w:tab w:leader="none" w:pos="24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made by the Company’s designee, shall be made after consultation with the Company, and such designee shall not make any such determination, decision or election to which the Company objects; and</w:t>
      </w:r>
    </w:p>
    <w:p>
      <w:pPr>
        <w:spacing w:after="0" w:line="161" w:lineRule="exact"/>
        <w:rPr>
          <w:rFonts w:ascii="Times New Roman" w:cs="Times New Roman" w:eastAsia="Times New Roman" w:hAnsi="Times New Roman"/>
          <w:sz w:val="18"/>
          <w:szCs w:val="18"/>
          <w:color w:val="auto"/>
        </w:rPr>
      </w:pPr>
    </w:p>
    <w:p>
      <w:pPr>
        <w:ind w:left="-987" w:right="60" w:firstLine="987"/>
        <w:spacing w:after="0" w:line="282" w:lineRule="auto"/>
        <w:tabs>
          <w:tab w:leader="none" w:pos="25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Floating Rate Notes or in the other documents relating to the Floating Rate Notes, including the Indenture, shall become effective without consent from the Holders of any series of Floating Rate Notes or any other party.</w:t>
      </w:r>
    </w:p>
    <w:p>
      <w:pPr>
        <w:spacing w:after="0" w:line="162" w:lineRule="exact"/>
        <w:rPr>
          <w:sz w:val="20"/>
          <w:szCs w:val="20"/>
          <w:color w:val="auto"/>
        </w:rPr>
      </w:pPr>
    </w:p>
    <w:p>
      <w:pPr>
        <w:jc w:val="both"/>
        <w:ind w:left="-987" w:right="160" w:firstLine="987"/>
        <w:spacing w:after="0" w:line="261" w:lineRule="auto"/>
        <w:tabs>
          <w:tab w:leader="none" w:pos="30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payable to the person in whose name a Floating Rate Note (or any Predecessor Security) is registered at the close of business on the Regular Record Date immediately preceding the applicable Interest Payment Date (or, in the case of Defaulted Interest, in the manner provided in Section 3.07 in the Indenture). The “</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 for each series of Floating Rate Notes shall be the date that is 15 calendar days prior to each Floating Rate Interest Payment Date for the applicable series of Floating Rate Notes (whether or not a Business Day).</w:t>
      </w:r>
    </w:p>
    <w:p>
      <w:pPr>
        <w:spacing w:after="0" w:line="179" w:lineRule="exact"/>
        <w:rPr>
          <w:rFonts w:ascii="Times New Roman" w:cs="Times New Roman" w:eastAsia="Times New Roman" w:hAnsi="Times New Roman"/>
          <w:sz w:val="18"/>
          <w:szCs w:val="18"/>
          <w:color w:val="auto"/>
        </w:rPr>
      </w:pPr>
    </w:p>
    <w:p>
      <w:pPr>
        <w:ind w:left="353" w:hanging="353"/>
        <w:spacing w:after="0"/>
        <w:tabs>
          <w:tab w:leader="none" w:pos="35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Floating Rate Notes shall be denominated, and amounts due thereon shall be payable, solely in Dollars.</w:t>
      </w:r>
    </w:p>
    <w:p>
      <w:pPr>
        <w:spacing w:after="0" w:line="225" w:lineRule="exact"/>
        <w:rPr>
          <w:rFonts w:ascii="Times New Roman" w:cs="Times New Roman" w:eastAsia="Times New Roman" w:hAnsi="Times New Roman"/>
          <w:sz w:val="18"/>
          <w:szCs w:val="18"/>
          <w:color w:val="auto"/>
        </w:rPr>
      </w:pPr>
    </w:p>
    <w:p>
      <w:pPr>
        <w:ind w:left="-987" w:firstLine="987"/>
        <w:spacing w:after="0" w:line="266" w:lineRule="auto"/>
        <w:tabs>
          <w:tab w:leader="none" w:pos="40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all times maintain a Place of Payment for the Floating Rate Notes in the Borough of Manhattan, the City of New York. The Company initially appoints Deutsche Bank Trust Company Americas, with a corporate trust office at 1 Columbus Circle, 4th Floor, Mail Stop: NYC01-0417, New York, New York 10019, for such purpose.</w:t>
      </w:r>
    </w:p>
    <w:p>
      <w:pPr>
        <w:spacing w:after="0" w:line="175" w:lineRule="exact"/>
        <w:rPr>
          <w:rFonts w:ascii="Times New Roman" w:cs="Times New Roman" w:eastAsia="Times New Roman" w:hAnsi="Times New Roman"/>
          <w:sz w:val="18"/>
          <w:szCs w:val="18"/>
          <w:color w:val="auto"/>
        </w:rPr>
      </w:pPr>
    </w:p>
    <w:p>
      <w:pPr>
        <w:ind w:left="-987" w:firstLine="987"/>
        <w:spacing w:after="0" w:line="256" w:lineRule="auto"/>
        <w:tabs>
          <w:tab w:leader="none" w:pos="30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hereby appointed as the initial Paying Agent, the initial Security Registrar and, pursuant to the terms of a Calculation Agency Agreement, the initial calculation agent (the “</w:t>
      </w:r>
      <w:r>
        <w:rPr>
          <w:rFonts w:ascii="Times New Roman" w:cs="Times New Roman" w:eastAsia="Times New Roman" w:hAnsi="Times New Roman"/>
          <w:sz w:val="18"/>
          <w:szCs w:val="18"/>
          <w:u w:val="single" w:color="auto"/>
          <w:color w:val="auto"/>
        </w:rPr>
        <w:t>Calculation Agent</w:t>
      </w:r>
      <w:r>
        <w:rPr>
          <w:rFonts w:ascii="Times New Roman" w:cs="Times New Roman" w:eastAsia="Times New Roman" w:hAnsi="Times New Roman"/>
          <w:sz w:val="18"/>
          <w:szCs w:val="18"/>
          <w:color w:val="auto"/>
        </w:rPr>
        <w:t>”) with respect to each series of Floating Rate Notes. The Company may change the Calculation Agent with respect to any series of Floating Rate Notes at any time without notice to the Holders of either series of Floating Rate Notes. The interest rate and amount of interest to be paid on the Floating Rate Notes for each Interest Period shall be determined by the Calculation Agent. All determinations made by the Calculation Agent shall, in the absence of manifest error, be conclusive for all purposes and binding on the Company and the Holders of the Floating Rate Notes.</w:t>
      </w:r>
    </w:p>
    <w:p>
      <w:pPr>
        <w:spacing w:after="0" w:line="187" w:lineRule="exact"/>
        <w:rPr>
          <w:rFonts w:ascii="Times New Roman" w:cs="Times New Roman" w:eastAsia="Times New Roman" w:hAnsi="Times New Roman"/>
          <w:sz w:val="18"/>
          <w:szCs w:val="18"/>
          <w:color w:val="auto"/>
        </w:rPr>
      </w:pPr>
    </w:p>
    <w:p>
      <w:pPr>
        <w:ind w:left="-987" w:firstLine="987"/>
        <w:spacing w:after="0" w:line="254" w:lineRule="auto"/>
        <w:tabs>
          <w:tab w:leader="none" w:pos="25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Trustee, the Calculation Agent or the Paying Agent shall be under any obligation, to select, determine or designate any Benchmark Replacement or shall have any liability for any determination made by or on behalf of the Company or its designee in connection with a Benchmark Transition Event or a Benchmark Replacement, and each Holder, by its acceptance of a Floating Rate Note or a beneficial interest in a Floating Rate Note, shall be deemed to waive, release, and covenant not to assert any claims against the Trustee, the Calculation Agent or the Paying Agent relating to any such determinations. Without limiting the generality of the foregoing, none of the Trustee, the Calculation Agent or the Paying Agent shall have any responsibility to determine whether any manifest error has occurred and may conclusively assume that no manifest error exists and shall suffer no liability in so assuming. For the avoidance of doubt, the Company’s designee shall not be the Trustee or the Calculation Agent unless the Trustee or Calculation Agent, as applicable, agrees in writing.</w:t>
      </w:r>
    </w:p>
    <w:p>
      <w:pPr>
        <w:sectPr>
          <w:pgSz w:w="11900" w:h="16838" w:orient="portrait"/>
          <w:cols w:equalWidth="0" w:num="1">
            <w:col w:w="9993"/>
          </w:cols>
          <w:pgMar w:left="1427" w:top="270" w:right="479" w:bottom="1440" w:gutter="0" w:footer="0" w:header="0"/>
        </w:sectPr>
      </w:pPr>
    </w:p>
    <w:bookmarkStart w:id="139" w:name="page140"/>
    <w:bookmarkEnd w:id="139"/>
    <w:p>
      <w:pPr>
        <w:ind w:left="-859" w:right="240" w:firstLine="987"/>
        <w:spacing w:after="0" w:line="282" w:lineRule="auto"/>
        <w:tabs>
          <w:tab w:leader="none" w:pos="43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Floating Rate Notes shall not be subject to any sinking fund or analogous provisions, and no Holder of the Floating Rate Notes shall have any right to cause the Company to redeem any Floating Rate Notes at the option of the Holder.</w:t>
      </w:r>
    </w:p>
    <w:p>
      <w:pPr>
        <w:spacing w:after="0" w:line="161" w:lineRule="exact"/>
        <w:rPr>
          <w:rFonts w:ascii="Times New Roman" w:cs="Times New Roman" w:eastAsia="Times New Roman" w:hAnsi="Times New Roman"/>
          <w:sz w:val="18"/>
          <w:szCs w:val="18"/>
          <w:color w:val="auto"/>
        </w:rPr>
      </w:pPr>
    </w:p>
    <w:p>
      <w:pPr>
        <w:ind w:left="-859" w:right="120" w:firstLine="987"/>
        <w:spacing w:after="0" w:line="261" w:lineRule="auto"/>
        <w:tabs>
          <w:tab w:leader="none" w:pos="48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2028 Floating Rate Notes shall not be redeemable prior to the Maturity Date at the option of the Company. The 2029 Floating Rate Notes are subject to the Centessa Special Mandatory Redemption (as defined in the 2029 Floating Rate Notes) and the terms specified in the 2029 Floating Rate Notes shall govern such redemption. For the avoidance of doubt, an Officer’s Certificate shall be provided in connection with a Centessa Special Mandatory Redemption.</w:t>
      </w:r>
    </w:p>
    <w:p>
      <w:pPr>
        <w:spacing w:after="0" w:line="179" w:lineRule="exact"/>
        <w:rPr>
          <w:rFonts w:ascii="Times New Roman" w:cs="Times New Roman" w:eastAsia="Times New Roman" w:hAnsi="Times New Roman"/>
          <w:sz w:val="18"/>
          <w:szCs w:val="18"/>
          <w:color w:val="auto"/>
        </w:rPr>
      </w:pPr>
    </w:p>
    <w:p>
      <w:pPr>
        <w:ind w:left="-859" w:right="100" w:firstLine="987"/>
        <w:spacing w:after="0" w:line="289" w:lineRule="auto"/>
        <w:tabs>
          <w:tab w:leader="none" w:pos="537"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Floating Rate Notes shall be issuable in the form of Global Securities registered in the name of The Depository Trust Company, as Depositary, or its nominee. The Global Securities representing the Floating Rate Notes may be exchanged for definitive Floating Rate Notes only in the circumstances set forth in the seventh or eighth paragraphs of Section 3.05 of the Indenture and in accordance with Section 3.05 of the Indenture.</w:t>
      </w:r>
    </w:p>
    <w:p>
      <w:pPr>
        <w:spacing w:after="0" w:line="157" w:lineRule="exact"/>
        <w:rPr>
          <w:rFonts w:ascii="Times New Roman" w:cs="Times New Roman" w:eastAsia="Times New Roman" w:hAnsi="Times New Roman"/>
          <w:sz w:val="17"/>
          <w:szCs w:val="17"/>
          <w:color w:val="auto"/>
        </w:rPr>
      </w:pPr>
    </w:p>
    <w:p>
      <w:pPr>
        <w:ind w:left="-859" w:right="180" w:firstLine="987"/>
        <w:spacing w:after="0" w:line="282" w:lineRule="auto"/>
        <w:tabs>
          <w:tab w:leader="none" w:pos="52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Floating Rate Notes shall be issued in minimum denominations of two thousand Dollars ($2,000) and any integral multiples of one thousand Dollars ($1,000) in excess thereof.</w:t>
      </w:r>
    </w:p>
    <w:p>
      <w:pPr>
        <w:spacing w:after="0" w:line="161" w:lineRule="exact"/>
        <w:rPr>
          <w:rFonts w:ascii="Times New Roman" w:cs="Times New Roman" w:eastAsia="Times New Roman" w:hAnsi="Times New Roman"/>
          <w:sz w:val="18"/>
          <w:szCs w:val="18"/>
          <w:color w:val="auto"/>
        </w:rPr>
      </w:pPr>
    </w:p>
    <w:p>
      <w:pPr>
        <w:ind w:left="481" w:hanging="353"/>
        <w:spacing w:after="0"/>
        <w:tabs>
          <w:tab w:leader="none" w:pos="48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12.02 of the Indenture shall be applicable to the Floating Rate Notes.</w:t>
      </w:r>
    </w:p>
    <w:p>
      <w:pPr>
        <w:spacing w:after="0" w:line="225" w:lineRule="exact"/>
        <w:rPr>
          <w:rFonts w:ascii="Times New Roman" w:cs="Times New Roman" w:eastAsia="Times New Roman" w:hAnsi="Times New Roman"/>
          <w:sz w:val="18"/>
          <w:szCs w:val="18"/>
          <w:color w:val="auto"/>
        </w:rPr>
      </w:pPr>
    </w:p>
    <w:p>
      <w:pPr>
        <w:ind w:left="521" w:hanging="393"/>
        <w:spacing w:after="0"/>
        <w:tabs>
          <w:tab w:leader="none" w:pos="521"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Floating Rate Notes shall rank equally and pari passu with all other unsecured and unsubordinated indebtedness of the Company.</w:t>
      </w:r>
    </w:p>
    <w:p>
      <w:pPr>
        <w:spacing w:after="0" w:line="236" w:lineRule="exact"/>
        <w:rPr>
          <w:rFonts w:ascii="Times New Roman" w:cs="Times New Roman" w:eastAsia="Times New Roman" w:hAnsi="Times New Roman"/>
          <w:sz w:val="17"/>
          <w:szCs w:val="17"/>
          <w:color w:val="auto"/>
        </w:rPr>
      </w:pPr>
    </w:p>
    <w:p>
      <w:pPr>
        <w:ind w:left="-859" w:right="320" w:firstLine="987"/>
        <w:spacing w:after="0" w:line="282" w:lineRule="auto"/>
        <w:tabs>
          <w:tab w:leader="none" w:pos="57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pay any additional amounts on the Floating Rate Notes to any Person, including any Holder who is not a United States Person, in respect of any tax, assessment or governmental charge withheld or deducted.</w:t>
      </w:r>
    </w:p>
    <w:p>
      <w:pPr>
        <w:spacing w:after="0" w:line="161" w:lineRule="exact"/>
        <w:rPr>
          <w:rFonts w:ascii="Times New Roman" w:cs="Times New Roman" w:eastAsia="Times New Roman" w:hAnsi="Times New Roman"/>
          <w:sz w:val="18"/>
          <w:szCs w:val="18"/>
          <w:color w:val="auto"/>
        </w:rPr>
      </w:pPr>
    </w:p>
    <w:p>
      <w:pPr>
        <w:ind w:left="621" w:hanging="493"/>
        <w:spacing w:after="0"/>
        <w:tabs>
          <w:tab w:leader="none" w:pos="62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Floating Rate Notes, the following terms shall have the meanings set forth below:</w:t>
      </w:r>
    </w:p>
    <w:p>
      <w:pPr>
        <w:spacing w:after="0" w:line="117" w:lineRule="exact"/>
        <w:rPr>
          <w:rFonts w:ascii="Times New Roman" w:cs="Times New Roman" w:eastAsia="Times New Roman" w:hAnsi="Times New Roman"/>
          <w:sz w:val="18"/>
          <w:szCs w:val="18"/>
          <w:color w:val="auto"/>
        </w:rPr>
      </w:pPr>
    </w:p>
    <w:p>
      <w:pPr>
        <w:jc w:val="both"/>
        <w:ind w:left="-419" w:right="100" w:firstLine="419"/>
        <w:spacing w:after="0" w:line="261" w:lineRule="auto"/>
        <w:tabs>
          <w:tab w:leader="none" w:pos="25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Compounded SOFR;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Company or its designee determine on or prior to the Reference Time that a Benchmark Transition Event and its related Benchmark Replacement Date have occurred with respect to Compounded SOFR (or the published daily SOFR Index used in the calculation thereof) or the then-current Benchmark, then “Benchmark” means the applicable Benchmark Replacement.</w:t>
      </w:r>
    </w:p>
    <w:p>
      <w:pPr>
        <w:spacing w:after="0" w:line="71" w:lineRule="exact"/>
        <w:rPr>
          <w:rFonts w:ascii="Times New Roman" w:cs="Times New Roman" w:eastAsia="Times New Roman" w:hAnsi="Times New Roman"/>
          <w:sz w:val="18"/>
          <w:szCs w:val="18"/>
          <w:color w:val="auto"/>
        </w:rPr>
      </w:pPr>
    </w:p>
    <w:p>
      <w:pPr>
        <w:ind w:left="-419" w:firstLine="419"/>
        <w:spacing w:after="0" w:line="282" w:lineRule="auto"/>
        <w:tabs>
          <w:tab w:leader="none" w:pos="25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the first alternative set forth in the order below that can be determined by the Company or its designee as of the Benchmark Replacement Date:</w:t>
      </w:r>
    </w:p>
    <w:p>
      <w:pPr>
        <w:spacing w:after="0" w:line="53" w:lineRule="exact"/>
        <w:rPr>
          <w:rFonts w:ascii="Times New Roman" w:cs="Times New Roman" w:eastAsia="Times New Roman" w:hAnsi="Times New Roman"/>
          <w:sz w:val="18"/>
          <w:szCs w:val="18"/>
          <w:color w:val="auto"/>
        </w:rPr>
      </w:pPr>
    </w:p>
    <w:p>
      <w:pPr>
        <w:ind w:left="-419" w:right="360" w:firstLine="948"/>
        <w:spacing w:after="0" w:line="282" w:lineRule="auto"/>
        <w:tabs>
          <w:tab w:leader="none" w:pos="777"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the alternate rate of interest that has been selected or recommended by the Relevant Governmental Body as the replacement for the then-current Benchmark and (ii) the Benchmark Replacement Adjustment;</w:t>
      </w:r>
    </w:p>
    <w:p>
      <w:pPr>
        <w:sectPr>
          <w:pgSz w:w="11900" w:h="16838" w:orient="portrait"/>
          <w:cols w:equalWidth="0" w:num="1">
            <w:col w:w="10141"/>
          </w:cols>
          <w:pgMar w:left="1299" w:top="270" w:right="459" w:bottom="1440" w:gutter="0" w:footer="0" w:header="0"/>
        </w:sectPr>
      </w:pPr>
    </w:p>
    <w:bookmarkStart w:id="140" w:name="page141"/>
    <w:bookmarkEnd w:id="140"/>
    <w:p>
      <w:pPr>
        <w:ind w:left="781" w:hanging="252"/>
        <w:spacing w:after="0"/>
        <w:tabs>
          <w:tab w:leader="none" w:pos="78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sum of (i) the ISDA Fallback Rate and (ii) the Benchmark Replacement Adjustment; or</w:t>
      </w:r>
    </w:p>
    <w:p>
      <w:pPr>
        <w:spacing w:after="0" w:line="117" w:lineRule="exact"/>
        <w:rPr>
          <w:rFonts w:ascii="Times New Roman" w:cs="Times New Roman" w:eastAsia="Times New Roman" w:hAnsi="Times New Roman"/>
          <w:sz w:val="18"/>
          <w:szCs w:val="18"/>
          <w:color w:val="auto"/>
        </w:rPr>
      </w:pPr>
    </w:p>
    <w:p>
      <w:pPr>
        <w:ind w:left="-419" w:right="140" w:firstLine="948"/>
        <w:spacing w:after="0" w:line="266" w:lineRule="auto"/>
        <w:tabs>
          <w:tab w:leader="none" w:pos="77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the alternate rate of interest that has been selected by the Company or its designee as the replacement for the then-current Benchmark giving due consideration to any industry-accepted rate of interest as a replacement for the then-current Benchmark for U.S. dollar-denominated floating rate notes at such time and (ii) the Benchmark Replacement Adjustment.</w:t>
      </w:r>
    </w:p>
    <w:p>
      <w:pPr>
        <w:spacing w:after="0" w:line="67" w:lineRule="exact"/>
        <w:rPr>
          <w:rFonts w:ascii="Times New Roman" w:cs="Times New Roman" w:eastAsia="Times New Roman" w:hAnsi="Times New Roman"/>
          <w:sz w:val="18"/>
          <w:szCs w:val="18"/>
          <w:color w:val="auto"/>
        </w:rPr>
      </w:pPr>
    </w:p>
    <w:p>
      <w:pPr>
        <w:ind w:left="-419" w:right="20" w:firstLine="419"/>
        <w:spacing w:after="0" w:line="282" w:lineRule="auto"/>
        <w:tabs>
          <w:tab w:leader="none" w:pos="25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the first alternative set forth in the order below that can be determined by the Company or its designee as of the Benchmark Replacement Date:</w:t>
      </w:r>
    </w:p>
    <w:p>
      <w:pPr>
        <w:spacing w:after="0" w:line="53" w:lineRule="exact"/>
        <w:rPr>
          <w:rFonts w:ascii="Times New Roman" w:cs="Times New Roman" w:eastAsia="Times New Roman" w:hAnsi="Times New Roman"/>
          <w:sz w:val="18"/>
          <w:szCs w:val="18"/>
          <w:color w:val="auto"/>
        </w:rPr>
      </w:pPr>
    </w:p>
    <w:p>
      <w:pPr>
        <w:jc w:val="both"/>
        <w:ind w:left="-419" w:right="100" w:firstLine="948"/>
        <w:spacing w:after="0" w:line="312" w:lineRule="auto"/>
        <w:tabs>
          <w:tab w:leader="none" w:pos="777"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spread adjustment (which may be a positive or negative value or zero), or method for calculating or determining such spread adjustment, that has been selected or recommended by the Relevant Governmental Body for the applicable Unadjusted Benchmark Replacement;</w:t>
      </w:r>
    </w:p>
    <w:p>
      <w:pPr>
        <w:spacing w:after="0" w:line="31" w:lineRule="exact"/>
        <w:rPr>
          <w:rFonts w:ascii="Times New Roman" w:cs="Times New Roman" w:eastAsia="Times New Roman" w:hAnsi="Times New Roman"/>
          <w:sz w:val="17"/>
          <w:szCs w:val="17"/>
          <w:color w:val="auto"/>
        </w:rPr>
      </w:pPr>
    </w:p>
    <w:p>
      <w:pPr>
        <w:ind w:left="781" w:hanging="252"/>
        <w:spacing w:after="0"/>
        <w:tabs>
          <w:tab w:leader="none" w:pos="781"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applicable Unadjusted Benchmark Replacement is equivalent to the ISDA Fallback Rate, the ISDA Fallback Adjustment; or</w:t>
      </w:r>
    </w:p>
    <w:p>
      <w:pPr>
        <w:spacing w:after="0" w:line="128" w:lineRule="exact"/>
        <w:rPr>
          <w:rFonts w:ascii="Times New Roman" w:cs="Times New Roman" w:eastAsia="Times New Roman" w:hAnsi="Times New Roman"/>
          <w:sz w:val="17"/>
          <w:szCs w:val="17"/>
          <w:color w:val="auto"/>
        </w:rPr>
      </w:pPr>
    </w:p>
    <w:p>
      <w:pPr>
        <w:ind w:left="-419" w:right="120" w:firstLine="948"/>
        <w:spacing w:after="0" w:line="261" w:lineRule="auto"/>
        <w:tabs>
          <w:tab w:leader="none" w:pos="77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(which may be a positive or negative value or zero) that has been selected by the Company or its designee giving due consideration to any industry-accepted spread adjustment, or method for calculating or determining such spread adjustment, for the replacement of the then-current Benchmark with the applicable Unadjusted Benchmark Replacement for U.S. dollar-denominated floating rate notes at such time.</w:t>
      </w:r>
    </w:p>
    <w:p>
      <w:pPr>
        <w:spacing w:after="0" w:line="71" w:lineRule="exact"/>
        <w:rPr>
          <w:rFonts w:ascii="Times New Roman" w:cs="Times New Roman" w:eastAsia="Times New Roman" w:hAnsi="Times New Roman"/>
          <w:sz w:val="18"/>
          <w:szCs w:val="18"/>
          <w:color w:val="auto"/>
        </w:rPr>
      </w:pPr>
    </w:p>
    <w:p>
      <w:pPr>
        <w:ind w:left="-419" w:right="20" w:firstLine="419"/>
        <w:spacing w:after="0" w:line="255" w:lineRule="auto"/>
        <w:tabs>
          <w:tab w:leader="none" w:pos="25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any technical, administrative or operational changes (including changes to the definition or interpretation of the Interest Period, timing and frequency of determining rates and making payments of interest, rounding of amounts or tenors and other administrative matters) that the Company or its designee decide may be appropriate to reflect the adoption of such Benchmark Replacement in a manner substantially consistent with market practice (or, if the Company or its designee decide that adoption of any portion of such market practice is not administratively feasible or if the Company or its designee determine that no market practice for use of the Benchmark Replacement exists, in such other manner as the Company or its designee determine is reasonably practicable).</w:t>
      </w:r>
    </w:p>
    <w:p>
      <w:pPr>
        <w:sectPr>
          <w:pgSz w:w="11900" w:h="16838" w:orient="portrait"/>
          <w:cols w:equalWidth="0" w:num="1">
            <w:col w:w="10141"/>
          </w:cols>
          <w:pgMar w:left="1299" w:top="270" w:right="459" w:bottom="1440" w:gutter="0" w:footer="0" w:header="0"/>
        </w:sectPr>
      </w:pPr>
    </w:p>
    <w:bookmarkStart w:id="141" w:name="page142"/>
    <w:bookmarkEnd w:id="141"/>
    <w:p>
      <w:pPr>
        <w:ind w:right="620" w:firstLine="419"/>
        <w:spacing w:after="0" w:line="282" w:lineRule="auto"/>
        <w:tabs>
          <w:tab w:leader="none" w:pos="67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 (including any daily published component used in the calculation thereof):</w:t>
      </w:r>
    </w:p>
    <w:p>
      <w:pPr>
        <w:spacing w:after="0" w:line="53" w:lineRule="exact"/>
        <w:rPr>
          <w:rFonts w:ascii="Times New Roman" w:cs="Times New Roman" w:eastAsia="Times New Roman" w:hAnsi="Times New Roman"/>
          <w:sz w:val="18"/>
          <w:szCs w:val="18"/>
          <w:color w:val="auto"/>
        </w:rPr>
      </w:pPr>
    </w:p>
    <w:p>
      <w:pPr>
        <w:jc w:val="both"/>
        <w:ind w:right="60" w:firstLine="948"/>
        <w:spacing w:after="0" w:line="266" w:lineRule="auto"/>
        <w:tabs>
          <w:tab w:leader="none" w:pos="119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 or (b) of the definition of “</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the later of (i) the date of the public statement or publication of information referenced therein and (ii) the date on which the administrator of the Benchmark permanently or indefinitely ceases to provide the Benchmark (or such component); or</w:t>
      </w:r>
    </w:p>
    <w:p>
      <w:pPr>
        <w:spacing w:after="0" w:line="67" w:lineRule="exact"/>
        <w:rPr>
          <w:rFonts w:ascii="Times New Roman" w:cs="Times New Roman" w:eastAsia="Times New Roman" w:hAnsi="Times New Roman"/>
          <w:sz w:val="18"/>
          <w:szCs w:val="18"/>
          <w:color w:val="auto"/>
        </w:rPr>
      </w:pPr>
    </w:p>
    <w:p>
      <w:pPr>
        <w:ind w:right="340" w:firstLine="948"/>
        <w:spacing w:after="0" w:line="282" w:lineRule="auto"/>
        <w:tabs>
          <w:tab w:leader="none" w:pos="1207"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(c) of the definition of “</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the date of the public statement or publication of information referenced therein.</w:t>
      </w:r>
    </w:p>
    <w:p>
      <w:pPr>
        <w:spacing w:after="0" w:line="54" w:lineRule="exact"/>
        <w:rPr>
          <w:sz w:val="20"/>
          <w:szCs w:val="20"/>
          <w:color w:val="auto"/>
        </w:rPr>
      </w:pPr>
    </w:p>
    <w:p>
      <w:pPr>
        <w:jc w:val="both"/>
        <w:ind w:right="40" w:firstLine="423"/>
        <w:spacing w:after="0" w:line="266" w:lineRule="auto"/>
        <w:rPr>
          <w:sz w:val="20"/>
          <w:szCs w:val="20"/>
          <w:color w:val="auto"/>
        </w:rPr>
      </w:pPr>
      <w:r>
        <w:rPr>
          <w:rFonts w:ascii="Times New Roman" w:cs="Times New Roman" w:eastAsia="Times New Roman" w:hAnsi="Times New Roman"/>
          <w:sz w:val="18"/>
          <w:szCs w:val="18"/>
          <w:color w:val="auto"/>
        </w:rPr>
        <w:t>For the avoidance of doubt, if the event that gives rise to the Benchmark Replacement Date occurs on the same day as, but earlier than, the Reference Time in respect of any determination, the Benchmark Replacement Date shall be deemed to have occurred prior to the Reference Time for such determination.</w:t>
      </w:r>
    </w:p>
    <w:p>
      <w:pPr>
        <w:spacing w:after="0" w:line="68" w:lineRule="exact"/>
        <w:rPr>
          <w:sz w:val="20"/>
          <w:szCs w:val="20"/>
          <w:color w:val="auto"/>
        </w:rPr>
      </w:pPr>
    </w:p>
    <w:p>
      <w:pPr>
        <w:ind w:firstLine="423"/>
        <w:spacing w:after="0" w:line="282" w:lineRule="auto"/>
        <w:rPr>
          <w:sz w:val="20"/>
          <w:szCs w:val="20"/>
          <w:color w:val="auto"/>
        </w:rPr>
      </w:pPr>
      <w:r>
        <w:rPr>
          <w:rFonts w:ascii="Times New Roman" w:cs="Times New Roman" w:eastAsia="Times New Roman" w:hAnsi="Times New Roman"/>
          <w:sz w:val="18"/>
          <w:szCs w:val="18"/>
          <w:color w:val="auto"/>
        </w:rPr>
        <w:t>For the avoidance of doubt, for purposes of the definitions of Benchmark Replacement Date and Benchmark Transition Event, references to Benchmark also include any reference rate underlying such Benchmark.</w:t>
      </w:r>
    </w:p>
    <w:p>
      <w:pPr>
        <w:spacing w:after="0" w:line="54" w:lineRule="exact"/>
        <w:rPr>
          <w:sz w:val="20"/>
          <w:szCs w:val="20"/>
          <w:color w:val="auto"/>
        </w:rPr>
      </w:pPr>
    </w:p>
    <w:p>
      <w:pPr>
        <w:ind w:firstLine="419"/>
        <w:spacing w:after="0" w:line="282" w:lineRule="auto"/>
        <w:tabs>
          <w:tab w:leader="none" w:pos="67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 (including the daily published component used in the calculation thereof):</w:t>
      </w:r>
    </w:p>
    <w:p>
      <w:pPr>
        <w:spacing w:after="0" w:line="53" w:lineRule="exact"/>
        <w:rPr>
          <w:rFonts w:ascii="Times New Roman" w:cs="Times New Roman" w:eastAsia="Times New Roman" w:hAnsi="Times New Roman"/>
          <w:sz w:val="18"/>
          <w:szCs w:val="18"/>
          <w:color w:val="auto"/>
        </w:rPr>
      </w:pPr>
    </w:p>
    <w:p>
      <w:pPr>
        <w:ind w:right="240" w:firstLine="948"/>
        <w:spacing w:after="0" w:line="261" w:lineRule="auto"/>
        <w:tabs>
          <w:tab w:leader="none" w:pos="119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the Benchmark (or such component) announcing that such administrator has ceased or shall cease to provide the Benchmark (or such component),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shall continue to provide the Benchmark (or such component);</w:t>
      </w:r>
    </w:p>
    <w:p>
      <w:pPr>
        <w:spacing w:after="0" w:line="71" w:lineRule="exact"/>
        <w:rPr>
          <w:rFonts w:ascii="Times New Roman" w:cs="Times New Roman" w:eastAsia="Times New Roman" w:hAnsi="Times New Roman"/>
          <w:sz w:val="18"/>
          <w:szCs w:val="18"/>
          <w:color w:val="auto"/>
        </w:rPr>
      </w:pPr>
    </w:p>
    <w:p>
      <w:pPr>
        <w:ind w:right="60" w:firstLine="948"/>
        <w:spacing w:after="0" w:line="255" w:lineRule="auto"/>
        <w:tabs>
          <w:tab w:leader="none" w:pos="1207"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the Benchmark (or such component), the central bank for the currency of the Benchmark (or such component), an insolvency official with jurisdiction over the administrator for the Benchmark (or such component), a resolution authority with jurisdiction over the administrator for the Benchmark (or such component) or a court or an entity with similar insolvency or resolution authority over the administrator for the Benchmark (or such component), which states that the administrator of the Benchmark (or such component) has ceased or shall cease to provide the Benchmark (or such component)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shall continue to provide the Benchmark (or such component); or</w:t>
      </w:r>
    </w:p>
    <w:p>
      <w:pPr>
        <w:spacing w:after="0" w:line="80" w:lineRule="exact"/>
        <w:rPr>
          <w:rFonts w:ascii="Times New Roman" w:cs="Times New Roman" w:eastAsia="Times New Roman" w:hAnsi="Times New Roman"/>
          <w:sz w:val="18"/>
          <w:szCs w:val="18"/>
          <w:color w:val="auto"/>
        </w:rPr>
      </w:pPr>
    </w:p>
    <w:p>
      <w:pPr>
        <w:ind w:right="40" w:firstLine="948"/>
        <w:spacing w:after="0" w:line="282" w:lineRule="auto"/>
        <w:tabs>
          <w:tab w:leader="none" w:pos="119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the Benchmark announcing that the Benchmark is no longer representative.</w:t>
      </w:r>
    </w:p>
    <w:p>
      <w:pPr>
        <w:sectPr>
          <w:pgSz w:w="11900" w:h="16838" w:orient="portrait"/>
          <w:cols w:equalWidth="0" w:num="1">
            <w:col w:w="10500"/>
          </w:cols>
          <w:pgMar w:left="880" w:top="270" w:right="519" w:bottom="1440" w:gutter="0" w:footer="0" w:header="0"/>
        </w:sectPr>
      </w:pPr>
    </w:p>
    <w:bookmarkStart w:id="142" w:name="page143"/>
    <w:bookmarkEnd w:id="142"/>
    <w:p>
      <w:pPr>
        <w:jc w:val="both"/>
        <w:ind w:left="4" w:right="60" w:firstLine="419"/>
        <w:spacing w:after="0" w:line="289" w:lineRule="auto"/>
        <w:tabs>
          <w:tab w:leader="none" w:pos="681"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Compounded SOFR</w:t>
      </w:r>
      <w:r>
        <w:rPr>
          <w:rFonts w:ascii="Times New Roman" w:cs="Times New Roman" w:eastAsia="Times New Roman" w:hAnsi="Times New Roman"/>
          <w:sz w:val="17"/>
          <w:szCs w:val="17"/>
          <w:color w:val="auto"/>
        </w:rPr>
        <w:t>” means, with respect to any Interest Period, the rate computed in accordance with the following formula set forth below (and the resulting percentage shall be rounded, if necessary, to the nearest one hundred-thousandth of a percentage point (e.g., 9.753973% (or .09753973) being rounded down to 9.75397% (or .0975397) and 9.753978% (or .09753978) being rounded up to 9.75398% (or .0975398))):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2292350</wp:posOffset>
            </wp:positionH>
            <wp:positionV relativeFrom="paragraph">
              <wp:posOffset>52070</wp:posOffset>
            </wp:positionV>
            <wp:extent cx="1859915" cy="3511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185991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where:</w:t>
      </w:r>
    </w:p>
    <w:p>
      <w:pPr>
        <w:spacing w:after="0" w:line="117" w:lineRule="exact"/>
        <w:rPr>
          <w:sz w:val="20"/>
          <w:szCs w:val="20"/>
          <w:color w:val="auto"/>
        </w:rPr>
      </w:pPr>
    </w:p>
    <w:p>
      <w:pPr>
        <w:ind w:left="4" w:right="1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IndexStart</w:t>
      </w:r>
      <w:r>
        <w:rPr>
          <w:rFonts w:ascii="Times New Roman" w:cs="Times New Roman" w:eastAsia="Times New Roman" w:hAnsi="Times New Roman"/>
          <w:sz w:val="18"/>
          <w:szCs w:val="18"/>
          <w:color w:val="auto"/>
        </w:rPr>
        <w:t>” is the SOFR Index value for the day that is two U.S. Government Securities Business Days preceding the first date of the relevant Interest Period;</w:t>
      </w:r>
    </w:p>
    <w:p>
      <w:pPr>
        <w:spacing w:after="0" w:line="54" w:lineRule="exact"/>
        <w:rPr>
          <w:sz w:val="20"/>
          <w:szCs w:val="20"/>
          <w:color w:val="auto"/>
        </w:rPr>
      </w:pPr>
    </w:p>
    <w:p>
      <w:pPr>
        <w:jc w:val="both"/>
        <w:ind w:left="4" w:right="28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IndexEnd</w:t>
      </w:r>
      <w:r>
        <w:rPr>
          <w:rFonts w:ascii="Times New Roman" w:cs="Times New Roman" w:eastAsia="Times New Roman" w:hAnsi="Times New Roman"/>
          <w:sz w:val="18"/>
          <w:szCs w:val="18"/>
          <w:color w:val="auto"/>
        </w:rPr>
        <w:t>” is the SOFR Index value for the day that is two U.S. Government Securities Business Days preceding the applicable Latter Floating Rate Interest Payment Date relating to such Interest Period (or in the applicable final Interest Period, preceding the applicable Maturity Date); and</w:t>
      </w:r>
    </w:p>
    <w:p>
      <w:pPr>
        <w:spacing w:after="0" w:line="68" w:lineRule="exact"/>
        <w:rPr>
          <w:sz w:val="20"/>
          <w:szCs w:val="20"/>
          <w:color w:val="auto"/>
        </w:rPr>
      </w:pPr>
    </w:p>
    <w:p>
      <w:pPr>
        <w:ind w:left="4"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dc</w:t>
      </w:r>
      <w:r>
        <w:rPr>
          <w:rFonts w:ascii="Times New Roman" w:cs="Times New Roman" w:eastAsia="Times New Roman" w:hAnsi="Times New Roman"/>
          <w:sz w:val="18"/>
          <w:szCs w:val="18"/>
          <w:color w:val="auto"/>
        </w:rPr>
        <w:t>” is the actual number of calendar days from (and including) SOFR IndexStart to (but excluding) SOFR IndexEnd (the actual number of calendar days in the applicable Observation Period).</w:t>
      </w:r>
    </w:p>
    <w:p>
      <w:pPr>
        <w:spacing w:after="0" w:line="5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For purposes of determining Compounded SOFR, “</w:t>
      </w:r>
      <w:r>
        <w:rPr>
          <w:rFonts w:ascii="Times New Roman" w:cs="Times New Roman" w:eastAsia="Times New Roman" w:hAnsi="Times New Roman"/>
          <w:sz w:val="18"/>
          <w:szCs w:val="18"/>
          <w:u w:val="single" w:color="auto"/>
          <w:color w:val="auto"/>
        </w:rPr>
        <w:t>SOFR Index</w:t>
      </w:r>
      <w:r>
        <w:rPr>
          <w:rFonts w:ascii="Times New Roman" w:cs="Times New Roman" w:eastAsia="Times New Roman" w:hAnsi="Times New Roman"/>
          <w:sz w:val="18"/>
          <w:szCs w:val="18"/>
          <w:color w:val="auto"/>
        </w:rPr>
        <w:t>” means, with respect to any U.S. Government Securities Business Day:</w:t>
      </w:r>
    </w:p>
    <w:p>
      <w:pPr>
        <w:spacing w:after="0" w:line="117" w:lineRule="exact"/>
        <w:rPr>
          <w:sz w:val="20"/>
          <w:szCs w:val="20"/>
          <w:color w:val="auto"/>
        </w:rPr>
      </w:pPr>
    </w:p>
    <w:p>
      <w:pPr>
        <w:jc w:val="both"/>
        <w:ind w:left="4" w:right="20" w:firstLine="948"/>
        <w:spacing w:after="0" w:line="312" w:lineRule="auto"/>
        <w:tabs>
          <w:tab w:leader="none" w:pos="1200" w:val="left"/>
        </w:tabs>
        <w:numPr>
          <w:ilvl w:val="2"/>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SOFR Index value as published by the New York Federal Reserve as such index appears on the New York Federal Reserve’s Website at 3:00 p.m. (New York City time) on such U.S. Government Securities Business Day (the “</w:t>
      </w:r>
      <w:r>
        <w:rPr>
          <w:rFonts w:ascii="Times New Roman" w:cs="Times New Roman" w:eastAsia="Times New Roman" w:hAnsi="Times New Roman"/>
          <w:sz w:val="17"/>
          <w:szCs w:val="17"/>
          <w:u w:val="single" w:color="auto"/>
          <w:color w:val="auto"/>
        </w:rPr>
        <w:t>SOFR Determination Time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31" w:lineRule="exact"/>
        <w:rPr>
          <w:rFonts w:ascii="Times New Roman" w:cs="Times New Roman" w:eastAsia="Times New Roman" w:hAnsi="Times New Roman"/>
          <w:sz w:val="17"/>
          <w:szCs w:val="17"/>
          <w:color w:val="auto"/>
        </w:rPr>
      </w:pPr>
    </w:p>
    <w:p>
      <w:pPr>
        <w:ind w:left="1204" w:hanging="252"/>
        <w:spacing w:after="0"/>
        <w:tabs>
          <w:tab w:leader="none" w:pos="1204"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SOFR Index value does not so appear as specified in clause (1) above at the SOFR Determination Time, then:</w:t>
      </w:r>
    </w:p>
    <w:p>
      <w:pPr>
        <w:spacing w:after="0" w:line="130" w:lineRule="exact"/>
        <w:rPr>
          <w:rFonts w:ascii="Times New Roman" w:cs="Times New Roman" w:eastAsia="Times New Roman" w:hAnsi="Times New Roman"/>
          <w:sz w:val="18"/>
          <w:szCs w:val="18"/>
          <w:color w:val="auto"/>
        </w:rPr>
      </w:pPr>
    </w:p>
    <w:p>
      <w:pPr>
        <w:ind w:left="1524" w:right="200" w:hanging="533"/>
        <w:spacing w:after="0" w:line="266" w:lineRule="auto"/>
        <w:tabs>
          <w:tab w:leader="none" w:pos="1524" w:val="left"/>
        </w:tabs>
        <w:numPr>
          <w:ilvl w:val="3"/>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Benchmark Transition Event and its related Benchmark Replacement Date (each as defined below) have not occurred with respect to SOFR, then Compounded SOFR shall be the rate determined pursuant to the “SOFR Index Unavailable” provisions described below; or</w:t>
      </w:r>
    </w:p>
    <w:p>
      <w:pPr>
        <w:spacing w:after="0" w:line="81" w:lineRule="exact"/>
        <w:rPr>
          <w:rFonts w:ascii="Times New Roman" w:cs="Times New Roman" w:eastAsia="Times New Roman" w:hAnsi="Times New Roman"/>
          <w:sz w:val="18"/>
          <w:szCs w:val="18"/>
          <w:color w:val="auto"/>
        </w:rPr>
      </w:pPr>
    </w:p>
    <w:p>
      <w:pPr>
        <w:ind w:left="1524" w:right="220" w:hanging="533"/>
        <w:spacing w:after="0" w:line="266" w:lineRule="auto"/>
        <w:tabs>
          <w:tab w:leader="none" w:pos="1524" w:val="left"/>
        </w:tabs>
        <w:numPr>
          <w:ilvl w:val="3"/>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Benchmark Transition Event and its related Benchmark Replacement Date have occurred with respect to SOFR, then Compounded SOFR shall be the rate determined pursuant to the “Effect of a Benchmark Transition Event” provisions described below.</w:t>
      </w:r>
    </w:p>
    <w:p>
      <w:pPr>
        <w:spacing w:after="0" w:line="6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Discharged</w:t>
      </w:r>
      <w:r>
        <w:rPr>
          <w:rFonts w:ascii="Times New Roman" w:cs="Times New Roman" w:eastAsia="Times New Roman" w:hAnsi="Times New Roman"/>
          <w:sz w:val="18"/>
          <w:szCs w:val="18"/>
          <w:color w:val="auto"/>
        </w:rPr>
        <w:t>” means that the Company will be deemed to have paid and discharged the entire indebtedness represented by, and</w:t>
      </w:r>
    </w:p>
    <w:p>
      <w:pPr>
        <w:spacing w:after="0" w:line="27" w:lineRule="exact"/>
        <w:rPr>
          <w:rFonts w:ascii="Times New Roman" w:cs="Times New Roman" w:eastAsia="Times New Roman" w:hAnsi="Times New Roman"/>
          <w:sz w:val="18"/>
          <w:szCs w:val="18"/>
          <w:color w:val="auto"/>
        </w:rPr>
      </w:pPr>
    </w:p>
    <w:p>
      <w:pPr>
        <w:ind w:left="4"/>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obligations under, the applicable series of Floating Rate Notes and to have satisfied all the obligations under the Indenture relating to the Floating Rate Notes of such series (and the Trustee, at the expense of the Company, will execute proper instruments acknowledging the same), except</w:t>
      </w:r>
    </w:p>
    <w:p>
      <w:pPr>
        <w:ind w:left="4" w:right="20" w:hanging="4"/>
        <w:spacing w:after="0" w:line="260" w:lineRule="auto"/>
        <w:tabs>
          <w:tab w:leader="none" w:pos="29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thereof to receive, from the trust fund described in Section 12.02(q)(1) of the Indenture, payment of the principal of and the interest, if any, on such Securities when such</w:t>
      </w:r>
    </w:p>
    <w:p>
      <w:pPr>
        <w:sectPr>
          <w:pgSz w:w="11900" w:h="16838" w:orient="portrait"/>
          <w:cols w:equalWidth="0" w:num="1">
            <w:col w:w="10464"/>
          </w:cols>
          <w:pgMar w:left="876" w:top="270" w:right="559" w:bottom="1440" w:gutter="0" w:footer="0" w:header="0"/>
        </w:sectPr>
      </w:pPr>
    </w:p>
    <w:bookmarkStart w:id="143" w:name="page144"/>
    <w:bookmarkEnd w:id="143"/>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payments are due, (B) the Company’s obligations with respect to such Floating Rate Notes under Sections 3.05 and 3.06 (insofar as applicable to such series of Floating Rate Notes), 12.02 and 5.02 of the Indenture and the Company’s obligations to the Trustee under Section 7.05 of the Indenture, (C) the rights of Holders of the Floating Rate Notes of any series with respect to the currency or currency units in which they are to receive payments of principal, premium, if any, and, interest and (D) the rights, powers, trusts, duties and immunities of the Trustee hereunder, will survive such discharge. The Company will reimburse the trust fund for any loss suffered by it as a result of any tax, fee or other charge imposed on or assessed against deposited U.S. Government Obligations or Foreign Government Securities, as the case may be, or any principal or interest paid on such obligations, and, subject to the provisions of Section 7.05 of the Indenture, will indemnify the Trustee against any claims made against the Trustee in connection with any such loss.</w:t>
      </w:r>
    </w:p>
    <w:p>
      <w:pPr>
        <w:spacing w:after="0" w:line="84" w:lineRule="exact"/>
        <w:rPr>
          <w:sz w:val="20"/>
          <w:szCs w:val="20"/>
          <w:color w:val="auto"/>
        </w:rPr>
      </w:pPr>
    </w:p>
    <w:p>
      <w:pPr>
        <w:ind w:firstLine="419"/>
        <w:spacing w:after="0" w:line="266" w:lineRule="auto"/>
        <w:tabs>
          <w:tab w:leader="none" w:pos="67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Definitions</w:t>
      </w:r>
      <w:r>
        <w:rPr>
          <w:rFonts w:ascii="Times New Roman" w:cs="Times New Roman" w:eastAsia="Times New Roman" w:hAnsi="Times New Roman"/>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w:t>
      </w:r>
    </w:p>
    <w:p>
      <w:pPr>
        <w:spacing w:after="0" w:line="67" w:lineRule="exact"/>
        <w:rPr>
          <w:rFonts w:ascii="Times New Roman" w:cs="Times New Roman" w:eastAsia="Times New Roman" w:hAnsi="Times New Roman"/>
          <w:sz w:val="18"/>
          <w:szCs w:val="18"/>
          <w:color w:val="auto"/>
        </w:rPr>
      </w:pPr>
    </w:p>
    <w:p>
      <w:pPr>
        <w:jc w:val="both"/>
        <w:ind w:right="300" w:firstLine="419"/>
        <w:spacing w:after="0" w:line="266" w:lineRule="auto"/>
        <w:tabs>
          <w:tab w:leader="none" w:pos="76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Fallback Adjustment</w:t>
      </w:r>
      <w:r>
        <w:rPr>
          <w:rFonts w:ascii="Times New Roman" w:cs="Times New Roman" w:eastAsia="Times New Roman" w:hAnsi="Times New Roman"/>
          <w:sz w:val="18"/>
          <w:szCs w:val="18"/>
          <w:color w:val="auto"/>
        </w:rPr>
        <w:t>” means the spread adjustment (which may be a positive or negative value or zero) that would apply for derivatives transactions referencing the ISDA Definitions to be determined upon the occurrence of an index cessation event with respect to the Benchmark.</w:t>
      </w:r>
    </w:p>
    <w:p>
      <w:pPr>
        <w:spacing w:after="0" w:line="67" w:lineRule="exact"/>
        <w:rPr>
          <w:rFonts w:ascii="Times New Roman" w:cs="Times New Roman" w:eastAsia="Times New Roman" w:hAnsi="Times New Roman"/>
          <w:sz w:val="18"/>
          <w:szCs w:val="18"/>
          <w:color w:val="auto"/>
        </w:rPr>
      </w:pPr>
    </w:p>
    <w:p>
      <w:pPr>
        <w:jc w:val="both"/>
        <w:ind w:right="300" w:firstLine="419"/>
        <w:spacing w:after="0" w:line="266" w:lineRule="auto"/>
        <w:tabs>
          <w:tab w:leader="none" w:pos="76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Fallback Rate</w:t>
      </w:r>
      <w:r>
        <w:rPr>
          <w:rFonts w:ascii="Times New Roman" w:cs="Times New Roman" w:eastAsia="Times New Roman" w:hAnsi="Times New Roman"/>
          <w:sz w:val="18"/>
          <w:szCs w:val="18"/>
          <w:color w:val="auto"/>
        </w:rPr>
        <w:t>”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spacing w:after="0" w:line="67" w:lineRule="exact"/>
        <w:rPr>
          <w:rFonts w:ascii="Times New Roman" w:cs="Times New Roman" w:eastAsia="Times New Roman" w:hAnsi="Times New Roman"/>
          <w:sz w:val="18"/>
          <w:szCs w:val="18"/>
          <w:color w:val="auto"/>
        </w:rPr>
      </w:pPr>
    </w:p>
    <w:p>
      <w:pPr>
        <w:ind w:right="340" w:firstLine="419"/>
        <w:spacing w:after="0" w:line="282" w:lineRule="auto"/>
        <w:tabs>
          <w:tab w:leader="none" w:pos="76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York Federal Reserve</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53" w:lineRule="exact"/>
        <w:rPr>
          <w:rFonts w:ascii="Times New Roman" w:cs="Times New Roman" w:eastAsia="Times New Roman" w:hAnsi="Times New Roman"/>
          <w:sz w:val="18"/>
          <w:szCs w:val="18"/>
          <w:color w:val="auto"/>
        </w:rPr>
      </w:pPr>
    </w:p>
    <w:p>
      <w:pPr>
        <w:ind w:right="140" w:firstLine="419"/>
        <w:spacing w:after="0" w:line="282" w:lineRule="auto"/>
        <w:tabs>
          <w:tab w:leader="none" w:pos="76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York Federal Reserve’s Website</w:t>
      </w:r>
      <w:r>
        <w:rPr>
          <w:rFonts w:ascii="Times New Roman" w:cs="Times New Roman" w:eastAsia="Times New Roman" w:hAnsi="Times New Roman"/>
          <w:sz w:val="18"/>
          <w:szCs w:val="18"/>
          <w:color w:val="auto"/>
        </w:rPr>
        <w:t>” means the website of the New York Federal Reserve, currently at http://www.newyorkfed.org, or any successor source.</w:t>
      </w:r>
    </w:p>
    <w:p>
      <w:pPr>
        <w:spacing w:after="0" w:line="53" w:lineRule="exact"/>
        <w:rPr>
          <w:rFonts w:ascii="Times New Roman" w:cs="Times New Roman" w:eastAsia="Times New Roman" w:hAnsi="Times New Roman"/>
          <w:sz w:val="18"/>
          <w:szCs w:val="18"/>
          <w:color w:val="auto"/>
        </w:rPr>
      </w:pPr>
    </w:p>
    <w:p>
      <w:pPr>
        <w:ind w:right="20" w:firstLine="419"/>
        <w:spacing w:after="0" w:line="256" w:lineRule="auto"/>
        <w:tabs>
          <w:tab w:leader="none" w:pos="76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Observation Period</w:t>
      </w:r>
      <w:r>
        <w:rPr>
          <w:rFonts w:ascii="Times New Roman" w:cs="Times New Roman" w:eastAsia="Times New Roman" w:hAnsi="Times New Roman"/>
          <w:sz w:val="18"/>
          <w:szCs w:val="18"/>
          <w:color w:val="auto"/>
        </w:rPr>
        <w:t xml:space="preserve">” means, in respect of each Interest Period, the period from and including two U.S. Government Securities Business Days preceding the first date of such relevant Interest Period to but excluding two U.S. Government Securities Business Days preceding the applicable Latter Floating Rate Interest Payment Date for such Interest Period (or in the applicable final Interest Period, preceding the applicable Maturity Date);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first Observation Period for each series of Floating Rate Notes shall be the period from and including two U.S. Government Securities Business Days preceding the settlement date of such series of Floating Rate Notes to, but excluding, the two U.S. Government Securities Business Days preceding the first Floating Rate Interest Payment Date for such series of Floating Rate Notes.</w:t>
      </w:r>
    </w:p>
    <w:p>
      <w:pPr>
        <w:sectPr>
          <w:pgSz w:w="11900" w:h="16838" w:orient="portrait"/>
          <w:cols w:equalWidth="0" w:num="1">
            <w:col w:w="10560"/>
          </w:cols>
          <w:pgMar w:left="880" w:top="270" w:right="459" w:bottom="1440" w:gutter="0" w:footer="0" w:header="0"/>
        </w:sectPr>
      </w:pPr>
    </w:p>
    <w:bookmarkStart w:id="144" w:name="page145"/>
    <w:bookmarkEnd w:id="144"/>
    <w:p>
      <w:pPr>
        <w:ind w:left="4" w:right="180" w:firstLine="419"/>
        <w:spacing w:after="0" w:line="282" w:lineRule="auto"/>
        <w:tabs>
          <w:tab w:leader="none" w:pos="77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determination of the Benchmark means (i) if the Benchmark is Compounded SOFR, the SOFR Determination Time, and</w:t>
      </w:r>
    </w:p>
    <w:p>
      <w:pPr>
        <w:spacing w:after="0" w:line="53" w:lineRule="exact"/>
        <w:rPr>
          <w:rFonts w:ascii="Times New Roman" w:cs="Times New Roman" w:eastAsia="Times New Roman" w:hAnsi="Times New Roman"/>
          <w:sz w:val="18"/>
          <w:szCs w:val="18"/>
          <w:color w:val="auto"/>
        </w:rPr>
      </w:pPr>
    </w:p>
    <w:p>
      <w:pPr>
        <w:ind w:left="4" w:right="580" w:hanging="4"/>
        <w:spacing w:after="0" w:line="282" w:lineRule="auto"/>
        <w:tabs>
          <w:tab w:leader="none" w:pos="26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Benchmark is not Compounded SOFR, the time determined by the Company or its designee after giving effect to the Benchmark Replacement Conforming Changes.</w:t>
      </w:r>
    </w:p>
    <w:p>
      <w:pPr>
        <w:spacing w:after="0" w:line="53" w:lineRule="exact"/>
        <w:rPr>
          <w:rFonts w:ascii="Times New Roman" w:cs="Times New Roman" w:eastAsia="Times New Roman" w:hAnsi="Times New Roman"/>
          <w:sz w:val="18"/>
          <w:szCs w:val="18"/>
          <w:color w:val="auto"/>
        </w:rPr>
      </w:pPr>
    </w:p>
    <w:p>
      <w:pPr>
        <w:ind w:left="4" w:right="460" w:firstLine="419"/>
        <w:spacing w:after="0" w:line="312" w:lineRule="auto"/>
        <w:tabs>
          <w:tab w:leader="none" w:pos="771"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Relevant Governmental Body</w:t>
      </w:r>
      <w:r>
        <w:rPr>
          <w:rFonts w:ascii="Times New Roman" w:cs="Times New Roman" w:eastAsia="Times New Roman" w:hAnsi="Times New Roman"/>
          <w:sz w:val="17"/>
          <w:szCs w:val="17"/>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31" w:lineRule="exact"/>
        <w:rPr>
          <w:rFonts w:ascii="Times New Roman" w:cs="Times New Roman" w:eastAsia="Times New Roman" w:hAnsi="Times New Roman"/>
          <w:sz w:val="17"/>
          <w:szCs w:val="17"/>
          <w:color w:val="auto"/>
        </w:rPr>
      </w:pPr>
    </w:p>
    <w:p>
      <w:pPr>
        <w:ind w:left="4" w:firstLine="419"/>
        <w:spacing w:after="0" w:line="282" w:lineRule="auto"/>
        <w:tabs>
          <w:tab w:leader="none" w:pos="771"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Overnight Financing Rate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the daily secured overnight financing rate as provided by the New York Federal Reserve on the New York Federal Reserve’s Website.</w:t>
      </w:r>
    </w:p>
    <w:p>
      <w:pPr>
        <w:spacing w:after="0" w:line="53" w:lineRule="exact"/>
        <w:rPr>
          <w:rFonts w:ascii="Times New Roman" w:cs="Times New Roman" w:eastAsia="Times New Roman" w:hAnsi="Times New Roman"/>
          <w:sz w:val="18"/>
          <w:szCs w:val="18"/>
          <w:color w:val="auto"/>
        </w:rPr>
      </w:pPr>
    </w:p>
    <w:p>
      <w:pPr>
        <w:ind w:left="4" w:right="300" w:firstLine="419"/>
        <w:spacing w:after="0" w:line="282" w:lineRule="auto"/>
        <w:tabs>
          <w:tab w:leader="none" w:pos="771"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Record Date</w:t>
      </w:r>
      <w:r>
        <w:rPr>
          <w:rFonts w:ascii="Times New Roman" w:cs="Times New Roman" w:eastAsia="Times New Roman" w:hAnsi="Times New Roman"/>
          <w:sz w:val="18"/>
          <w:szCs w:val="18"/>
          <w:color w:val="auto"/>
        </w:rPr>
        <w:t>” for the payment of any Defaulted Interest on the Floating Rate Notes of any series means a date fixed by the Trustee pursuant to Section 3.07 of the Indenture.</w:t>
      </w:r>
    </w:p>
    <w:p>
      <w:pPr>
        <w:spacing w:after="0" w:line="53" w:lineRule="exact"/>
        <w:rPr>
          <w:rFonts w:ascii="Times New Roman" w:cs="Times New Roman" w:eastAsia="Times New Roman" w:hAnsi="Times New Roman"/>
          <w:sz w:val="18"/>
          <w:szCs w:val="18"/>
          <w:color w:val="auto"/>
        </w:rPr>
      </w:pPr>
    </w:p>
    <w:p>
      <w:pPr>
        <w:ind w:left="4" w:right="140" w:firstLine="419"/>
        <w:spacing w:after="0" w:line="266" w:lineRule="auto"/>
        <w:tabs>
          <w:tab w:leader="none" w:pos="771"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Saturday, a Sunday or a day on which the Securities Industry and Financial Markets Association recommends that the fixed income departments of its members be closed for the entire day for purposes of trading in U.S. government securities.</w:t>
      </w:r>
    </w:p>
    <w:p>
      <w:pPr>
        <w:spacing w:after="0" w:line="67"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Benchmark Replacement excluding the Benchmark Replacement Adjustment.</w:t>
      </w:r>
    </w:p>
    <w:p>
      <w:pPr>
        <w:spacing w:after="0" w:line="225" w:lineRule="exact"/>
        <w:rPr>
          <w:rFonts w:ascii="Times New Roman" w:cs="Times New Roman" w:eastAsia="Times New Roman" w:hAnsi="Times New Roman"/>
          <w:sz w:val="18"/>
          <w:szCs w:val="18"/>
          <w:color w:val="auto"/>
        </w:rPr>
      </w:pPr>
    </w:p>
    <w:p>
      <w:pPr>
        <w:jc w:val="both"/>
        <w:ind w:left="-436" w:right="100" w:firstLine="987"/>
        <w:spacing w:after="0" w:line="266" w:lineRule="auto"/>
        <w:tabs>
          <w:tab w:leader="none" w:pos="95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undersigned has read and understands the provisions of the Indenture setting forth the covenants and conditions relating to the authentication and delivery by the Trustee of the Floating Rate Notes, and in respect of compliance with which this certificate is being delivered, and all definitions in the Indenture relating thereto.</w:t>
      </w:r>
    </w:p>
    <w:p>
      <w:pPr>
        <w:spacing w:after="0" w:line="175" w:lineRule="exact"/>
        <w:rPr>
          <w:rFonts w:ascii="Times New Roman" w:cs="Times New Roman" w:eastAsia="Times New Roman" w:hAnsi="Times New Roman"/>
          <w:sz w:val="18"/>
          <w:szCs w:val="18"/>
          <w:color w:val="auto"/>
        </w:rPr>
      </w:pPr>
    </w:p>
    <w:p>
      <w:pPr>
        <w:ind w:left="-436" w:right="100" w:firstLine="987"/>
        <w:spacing w:after="0" w:line="261" w:lineRule="auto"/>
        <w:tabs>
          <w:tab w:leader="none" w:pos="90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undersigned has examined the Board Resolutions adopted as of or prior to the date hereof relating to the issuance, execution, authentication, delivery and dating of the Floating Rate Notes, and such agreements, certificates of public officials, certificates of officers or other representatives of the Company and such other documents, certificates and corporate or other records as he or she has deemed necessary or appropriate as a basis for the opinion hereinafter expressed.</w:t>
      </w:r>
    </w:p>
    <w:p>
      <w:pPr>
        <w:spacing w:after="0" w:line="179" w:lineRule="exact"/>
        <w:rPr>
          <w:rFonts w:ascii="Times New Roman" w:cs="Times New Roman" w:eastAsia="Times New Roman" w:hAnsi="Times New Roman"/>
          <w:sz w:val="18"/>
          <w:szCs w:val="18"/>
          <w:color w:val="auto"/>
        </w:rPr>
      </w:pPr>
    </w:p>
    <w:p>
      <w:pPr>
        <w:ind w:left="-436" w:right="60" w:firstLine="987"/>
        <w:spacing w:after="0" w:line="266" w:lineRule="auto"/>
        <w:tabs>
          <w:tab w:leader="none" w:pos="95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examinations or investigations described in paragraphs (xix) and (xx) are sufficient to enable each of the undersigned to express an informed opinion as to whether or not the conditions precedent referred to above have been complied with in accordance with the terms of the Indenture.</w:t>
      </w:r>
    </w:p>
    <w:p>
      <w:pPr>
        <w:spacing w:after="0" w:line="175" w:lineRule="exact"/>
        <w:rPr>
          <w:rFonts w:ascii="Times New Roman" w:cs="Times New Roman" w:eastAsia="Times New Roman" w:hAnsi="Times New Roman"/>
          <w:sz w:val="18"/>
          <w:szCs w:val="18"/>
          <w:color w:val="auto"/>
        </w:rPr>
      </w:pPr>
    </w:p>
    <w:p>
      <w:pPr>
        <w:ind w:left="-436" w:right="120" w:firstLine="987"/>
        <w:spacing w:after="0" w:line="261" w:lineRule="auto"/>
        <w:tabs>
          <w:tab w:leader="none" w:pos="100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each of the undersigned, all covenants and conditions precedent to the issuance by the Company and the authentication and delivery by the Trustee of the Floating Rate Notes, as requested in the order, dated as of the date hereof, pursuant to which the Company has requested that the Trustee authenticate and deliver the Floating Rate Notes, have been complied with in accordance with the terms of the Indenture.</w:t>
      </w:r>
    </w:p>
    <w:p>
      <w:pPr>
        <w:sectPr>
          <w:pgSz w:w="11900" w:h="16838" w:orient="portrait"/>
          <w:cols w:equalWidth="0" w:num="1">
            <w:col w:w="10544"/>
          </w:cols>
          <w:pgMar w:left="876" w:top="270" w:right="4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Capitalized terms used herein without definition shall have the respective meanings ascribed to such terms in the Indenture.</w:t>
      </w:r>
    </w:p>
    <w:p>
      <w:pPr>
        <w:sectPr>
          <w:pgSz w:w="11900" w:h="16838" w:orient="portrait"/>
          <w:cols w:equalWidth="0" w:num="1">
            <w:col w:w="9039"/>
          </w:cols>
          <w:pgMar w:left="1420" w:top="270" w:right="1440" w:bottom="1440" w:gutter="0" w:footer="0" w:header="0"/>
        </w:sect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i w:val="1"/>
          <w:iCs w:val="1"/>
          <w:color w:val="auto"/>
        </w:rPr>
        <w:t>[The Remainder of This Page Intentionally Left Blank; Signature Page Follows]</w:t>
      </w:r>
    </w:p>
    <w:p>
      <w:pPr>
        <w:sectPr>
          <w:pgSz w:w="11900" w:h="16838" w:orient="portrait"/>
          <w:cols w:equalWidth="0" w:num="1">
            <w:col w:w="9039"/>
          </w:cols>
          <w:pgMar w:left="1420" w:top="270" w:right="1440"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hereunto set their hands on the date first set forth above.</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ELI LILLY AND 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 Haug</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Senior Vice President, Treasurer and Corporate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Finance and Investment Banking</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Christopher Anderson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Title: Vice President, Leader of Corporate Securities and</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Assistant Secretary</w:t>
      </w:r>
    </w:p>
    <w:p>
      <w:pPr>
        <w:sectPr>
          <w:pgSz w:w="11900" w:h="16838" w:orient="portrait"/>
          <w:cols w:equalWidth="0" w:num="1">
            <w:col w:w="9720"/>
          </w:cols>
          <w:pgMar w:left="1420" w:top="270" w:right="759" w:bottom="1440" w:gutter="0" w:footer="0" w:header="0"/>
        </w:sectPr>
      </w:pPr>
    </w:p>
    <w:bookmarkStart w:id="147" w:name="page148"/>
    <w:bookmarkEnd w:id="1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A-1</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FLOATING RATE NOTE DUE 2028</w:t>
      </w:r>
    </w:p>
    <w:p>
      <w:pPr>
        <w:sectPr>
          <w:pgSz w:w="11900" w:h="16838" w:orient="portrait"/>
          <w:cols w:equalWidth="0" w:num="1">
            <w:col w:w="9019"/>
          </w:cols>
          <w:pgMar w:left="1440" w:top="266" w:right="1440"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540" w:type="dxa"/>
            <w:vAlign w:val="bottom"/>
            <w:gridSpan w:val="6"/>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8"/>
              </w:rPr>
              <w:t>ELI LILLY AND COMPANY</w:t>
            </w:r>
          </w:p>
        </w:tc>
      </w:tr>
      <w:tr>
        <w:trPr>
          <w:trHeight w:val="283"/>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320" w:type="dxa"/>
            <w:vAlign w:val="bottom"/>
            <w:gridSpan w:val="5"/>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9"/>
              </w:rPr>
              <w:t>Floating Rate Note due 2028</w:t>
            </w:r>
          </w:p>
        </w:tc>
      </w:tr>
      <w:tr>
        <w:trPr>
          <w:trHeight w:val="439"/>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Certificate No. </w:t>
            </w:r>
            <w:r>
              <w:rPr>
                <w:rFonts w:ascii="Times New Roman" w:cs="Times New Roman" w:eastAsia="Times New Roman" w:hAnsi="Times New Roman"/>
                <w:sz w:val="18"/>
                <w:szCs w:val="18"/>
                <w:color w:val="auto"/>
              </w:rPr>
              <w:t>[*]</w:t>
            </w:r>
          </w:p>
        </w:tc>
        <w:tc>
          <w:tcPr>
            <w:tcW w:w="122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4140" w:type="dxa"/>
            <w:vAlign w:val="bottom"/>
            <w:gridSpan w:val="4"/>
          </w:tcPr>
          <w:p>
            <w:pPr>
              <w:ind w:left="2220"/>
              <w:spacing w:after="0"/>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 532457 DH8</w:t>
            </w:r>
          </w:p>
        </w:tc>
      </w:tr>
      <w:tr>
        <w:trPr>
          <w:trHeight w:val="20"/>
        </w:trPr>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Registered Global Security</w:t>
            </w:r>
          </w:p>
        </w:tc>
        <w:tc>
          <w:tcPr>
            <w:tcW w:w="1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40" w:type="dxa"/>
            <w:vAlign w:val="bottom"/>
            <w:gridSpan w:val="4"/>
          </w:tcPr>
          <w:p>
            <w:pPr>
              <w:ind w:left="2220"/>
              <w:spacing w:after="0"/>
              <w:rPr>
                <w:sz w:val="20"/>
                <w:szCs w:val="20"/>
                <w:color w:val="auto"/>
              </w:rPr>
            </w:pPr>
            <w:r>
              <w:rPr>
                <w:rFonts w:ascii="Times New Roman" w:cs="Times New Roman" w:eastAsia="Times New Roman" w:hAnsi="Times New Roman"/>
                <w:sz w:val="18"/>
                <w:szCs w:val="18"/>
                <w:b w:val="1"/>
                <w:bCs w:val="1"/>
                <w:color w:val="auto"/>
                <w:w w:val="98"/>
              </w:rPr>
              <w:t>ISIN No</w:t>
            </w:r>
            <w:r>
              <w:rPr>
                <w:rFonts w:ascii="Times New Roman" w:cs="Times New Roman" w:eastAsia="Times New Roman" w:hAnsi="Times New Roman"/>
                <w:sz w:val="18"/>
                <w:szCs w:val="18"/>
                <w:color w:val="auto"/>
                <w:w w:val="98"/>
              </w:rPr>
              <w:t>. US532457DH81</w:t>
            </w: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980" w:right="1580"/>
        <w:spacing w:after="0" w:line="255" w:lineRule="auto"/>
        <w:rPr>
          <w:sz w:val="20"/>
          <w:szCs w:val="20"/>
          <w:color w:val="auto"/>
        </w:rPr>
      </w:pPr>
      <w:r>
        <w:rPr>
          <w:rFonts w:ascii="Times New Roman" w:cs="Times New Roman" w:eastAsia="Times New Roman" w:hAnsi="Times New Roman"/>
          <w:sz w:val="18"/>
          <w:szCs w:val="18"/>
          <w:color w:val="auto"/>
        </w:rPr>
        <w:t>UNLESS THIS GLOBAL NOTE IS PRESENTED BY AN AUTHORIZED REPRESENTATIVE OF THE DEPOSITORY TRUST COMPANY, A NEW YORK CORPORATION (“DTC”), TO THE COMPANY OR ITS AGENT FOR REGISTRATION OF TRANSFER, EXCHANGE OR PAYMENT, AND ANY NOTE ISSUED IS REGISTERED IN THE NAME OF [*] OR IN SUCH OTHER NAME AS REQUESTED BY AN AUTHORIZED REPRESENTATIVE OF DTC AND ANY PAYMENT IS MADE TO [*], ANY TRANSFER, PLEDGE OR OTHER USE HEREOF FOR VALUE OR OTHERWISE BY OR TO ANY PERSON IS WRONGFUL SINCE THE REGISTERED OWNER HEREOF, [*], HAS AN INTEREST HEREIN.</w:t>
      </w:r>
    </w:p>
    <w:p>
      <w:pPr>
        <w:spacing w:after="0" w:line="81" w:lineRule="exact"/>
        <w:rPr>
          <w:sz w:val="20"/>
          <w:szCs w:val="20"/>
          <w:color w:val="auto"/>
        </w:rPr>
      </w:pPr>
    </w:p>
    <w:p>
      <w:pPr>
        <w:ind w:left="980" w:right="1540"/>
        <w:spacing w:after="0" w:line="258" w:lineRule="auto"/>
        <w:rPr>
          <w:sz w:val="20"/>
          <w:szCs w:val="20"/>
          <w:color w:val="auto"/>
        </w:rPr>
      </w:pPr>
      <w:r>
        <w:rPr>
          <w:rFonts w:ascii="Times New Roman" w:cs="Times New Roman" w:eastAsia="Times New Roman" w:hAnsi="Times New Roman"/>
          <w:sz w:val="18"/>
          <w:szCs w:val="18"/>
          <w:color w:val="auto"/>
        </w:rPr>
        <w:t>UNLESS AND UNTIL IT IS EXCHANGED IN WHOLE OR IN PART FOR NOTES IN DEFINITIVE REGISTERED FORM, THIS GLOBAL NOTE MAY NOT BE TRANSFERRED EXCEPT AS A WHOLE BY DTC TO A NOMINEE OF DTC, OR BY A NOMINEE OF DTC TO DTC OR ANOTHER NOMINEE OF DTC, OR BY DTC OR ANY SUCH NOMINEE TO A SUCCESSOR DEPOSITARY OR TO A NOMINEE OF SUCH SUCCESSOR DEPOSITARY.</w:t>
      </w:r>
    </w:p>
    <w:p>
      <w:pPr>
        <w:spacing w:after="0" w:line="179" w:lineRule="exact"/>
        <w:rPr>
          <w:sz w:val="20"/>
          <w:szCs w:val="20"/>
          <w:color w:val="auto"/>
        </w:rPr>
      </w:pPr>
    </w:p>
    <w:p>
      <w:pPr>
        <w:ind w:right="400" w:firstLine="440"/>
        <w:spacing w:after="0" w:line="278" w:lineRule="auto"/>
        <w:rPr>
          <w:sz w:val="20"/>
          <w:szCs w:val="20"/>
          <w:color w:val="auto"/>
        </w:rPr>
      </w:pPr>
      <w:r>
        <w:rPr>
          <w:rFonts w:ascii="Times New Roman" w:cs="Times New Roman" w:eastAsia="Times New Roman" w:hAnsi="Times New Roman"/>
          <w:sz w:val="17"/>
          <w:szCs w:val="17"/>
          <w:color w:val="auto"/>
        </w:rPr>
        <w:t>ELI LILLY AND COMPANY, an Indiana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which term includes any successor corporation under the Indenture referred to herein), for value received, hereby promises to pay to [*], or its registered assigns, the principal amount of [*] Dollars ($[*]) on May 20,</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2028 (the “</w:t>
      </w:r>
      <w:r>
        <w:rPr>
          <w:rFonts w:ascii="Times New Roman" w:cs="Times New Roman" w:eastAsia="Times New Roman" w:hAnsi="Times New Roman"/>
          <w:sz w:val="18"/>
          <w:szCs w:val="18"/>
          <w:b w:val="1"/>
          <w:bCs w:val="1"/>
          <w:i w:val="1"/>
          <w:iCs w:val="1"/>
          <w:color w:val="auto"/>
        </w:rPr>
        <w:t>Maturity Date</w:t>
      </w:r>
      <w:r>
        <w:rPr>
          <w:rFonts w:ascii="Times New Roman" w:cs="Times New Roman" w:eastAsia="Times New Roman" w:hAnsi="Times New Roman"/>
          <w:sz w:val="18"/>
          <w:szCs w:val="18"/>
          <w:color w:val="auto"/>
        </w:rPr>
        <w:t>”), upon surrender of this Note at the office or agency of the Company for such payment in the City of New York, in such coin or currency of the United States of America as at the time of payment shall be legal tender for the payment of public and private debts, and to pay interest on the outstanding principal amount until the Maturity Date, quarterly in arrears on February 20, May 20, August 20 and November 20 of each year, commencing on August 20, 2026, and at the Maturity Date (each a “</w:t>
      </w:r>
      <w:r>
        <w:rPr>
          <w:rFonts w:ascii="Times New Roman" w:cs="Times New Roman" w:eastAsia="Times New Roman" w:hAnsi="Times New Roman"/>
          <w:sz w:val="18"/>
          <w:szCs w:val="18"/>
          <w:b w:val="1"/>
          <w:bCs w:val="1"/>
          <w:i w:val="1"/>
          <w:iCs w:val="1"/>
          <w:color w:val="auto"/>
        </w:rPr>
        <w:t>Floating Rate Interest Payment Date</w:t>
      </w:r>
      <w:r>
        <w:rPr>
          <w:rFonts w:ascii="Times New Roman" w:cs="Times New Roman" w:eastAsia="Times New Roman" w:hAnsi="Times New Roman"/>
          <w:sz w:val="18"/>
          <w:szCs w:val="18"/>
          <w:color w:val="auto"/>
        </w:rPr>
        <w:t xml:space="preserve">”), in like coin or currency, at a floating rate, reset quarterly on each Floating Rate Interest Payment Date, equal to Compounded SOFR, plus 0.350%, to holders of record as of the close of business on the date that is 15 calendar days prior to each Floating Rate Interest Payment Date. Such interest on this Note shall accrue from, and including, the most recent Floating Rate Interest Payment Date (or, if no interest has been paid, from May 20, 2026) to, but excluding, the corresponding Latter Floating Rate Interest Payment Date (as defined below);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this Note is in the form of a Global Security, then payments of principal of or premium, if any, or interest on this Note may be made at the Company’s option by wire transfer of immediately available funds to the account specified by the Depositary for this Note;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this Note is not in the form of a Global Security, then payments of principal of and premium, if any, and interest on this Note may be made at the Company’s option by check mailed to the address of the person entitled thereto as such address shall appear in the records of the Security Registrar.</w:t>
      </w:r>
    </w:p>
    <w:p>
      <w:pPr>
        <w:sectPr>
          <w:pgSz w:w="11900" w:h="16838" w:orient="portrait"/>
          <w:cols w:equalWidth="0" w:num="1">
            <w:col w:w="11000"/>
          </w:cols>
          <w:pgMar w:left="440" w:top="266" w:right="459" w:bottom="1440" w:gutter="0" w:footer="0" w:header="0"/>
        </w:sectPr>
      </w:pPr>
    </w:p>
    <w:bookmarkStart w:id="149" w:name="page150"/>
    <w:bookmarkEnd w:id="149"/>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February 20, May 20, August 20 or November 20 of any year is not a Business Day, then the next succeeding Business Day shall be the applicable Floating Rate Interest Payment Date and interest on this Note shall be paid on such next succeeding Business Day (unless such next succeeding Business Day falls in the succeeding calendar month, in which case the applicable Floating Rate Interest Payment Date shall be the Business Day immediately preceding such February 20, May 20, August 20 or November 20, and interest on the this Note shall be paid on such immediately preceding Business Day). If the Maturity Date is not a Business Day, the payment of principal of, and interest on, this Note shall be made on the next succeeding Business Day, and no interest shall accrue for the period from and after the Maturity Date.</w:t>
      </w:r>
    </w:p>
    <w:p>
      <w:pPr>
        <w:spacing w:after="0" w:line="183"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initial Interest Period</w:t>
      </w:r>
      <w:r>
        <w:rPr>
          <w:rFonts w:ascii="Times New Roman" w:cs="Times New Roman" w:eastAsia="Times New Roman" w:hAnsi="Times New Roman"/>
          <w:sz w:val="18"/>
          <w:szCs w:val="18"/>
          <w:color w:val="auto"/>
        </w:rPr>
        <w:t>” means the period from and including May 20, 2026 to, but excluding, the first Floating Rate Interest Payment Date. Thereafter, each “</w:t>
      </w:r>
      <w:r>
        <w:rPr>
          <w:rFonts w:ascii="Times New Roman" w:cs="Times New Roman" w:eastAsia="Times New Roman" w:hAnsi="Times New Roman"/>
          <w:sz w:val="18"/>
          <w:szCs w:val="18"/>
          <w:b w:val="1"/>
          <w:bCs w:val="1"/>
          <w:i w:val="1"/>
          <w:iCs w:val="1"/>
          <w:color w:val="auto"/>
        </w:rPr>
        <w:t>Interest Period</w:t>
      </w:r>
      <w:r>
        <w:rPr>
          <w:rFonts w:ascii="Times New Roman" w:cs="Times New Roman" w:eastAsia="Times New Roman" w:hAnsi="Times New Roman"/>
          <w:sz w:val="18"/>
          <w:szCs w:val="18"/>
          <w:color w:val="auto"/>
        </w:rPr>
        <w:t>” means the period from and including a Floating Rate Interest Payment Date to, but excluding, the immediately succeeding Floating Rate Interest Payment Date (such succeeding Floating Rate Interest Payment Date, the “</w:t>
      </w:r>
      <w:r>
        <w:rPr>
          <w:rFonts w:ascii="Times New Roman" w:cs="Times New Roman" w:eastAsia="Times New Roman" w:hAnsi="Times New Roman"/>
          <w:sz w:val="18"/>
          <w:szCs w:val="18"/>
          <w:b w:val="1"/>
          <w:bCs w:val="1"/>
          <w:i w:val="1"/>
          <w:iCs w:val="1"/>
          <w:color w:val="auto"/>
        </w:rPr>
        <w:t>Latter Floating Rate Interest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the final Interest Period for the Notes shall be the period from and including the Floating Rate Interest Payment Date immediately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preceding the Maturity Date to, but excluding, the Maturity Date. Interest on the Notes shall be computed on the basis of a 360-day year and the actual number of days in the Observation Period.</w:t>
      </w:r>
    </w:p>
    <w:p>
      <w:pPr>
        <w:spacing w:after="0" w:line="18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interest rate for the initial Interest Period shall be Compounded SOFR determined on August 18, 2026, plus 0.350%. Thereafter, the interest rate for any Interest Period shall be Compounded SOFR, as determined on the applicable date that is the second U.S. Government Securities Business Day preceding such Floating Rate Interest Payment Date (the “</w:t>
      </w:r>
      <w:r>
        <w:rPr>
          <w:rFonts w:ascii="Times New Roman" w:cs="Times New Roman" w:eastAsia="Times New Roman" w:hAnsi="Times New Roman"/>
          <w:sz w:val="18"/>
          <w:szCs w:val="18"/>
          <w:b w:val="1"/>
          <w:bCs w:val="1"/>
          <w:i w:val="1"/>
          <w:iCs w:val="1"/>
          <w:color w:val="auto"/>
        </w:rPr>
        <w:t>Interest Determination Date</w:t>
      </w:r>
      <w:r>
        <w:rPr>
          <w:rFonts w:ascii="Times New Roman" w:cs="Times New Roman" w:eastAsia="Times New Roman" w:hAnsi="Times New Roman"/>
          <w:sz w:val="18"/>
          <w:szCs w:val="18"/>
          <w:color w:val="auto"/>
        </w:rPr>
        <w:t>”), plus a margin of 0.350%. In no event shall the interest on this Note higher than the maximum rate permitted by New York law as the same may be modified by United States law of general application, or lower than zero.</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amount of interest accrued and payable on the Notes for each Interest Period shall be equal to the product of (i) the outstanding principal amount of the Notes multiplied by (ii) the product of (a) the interest rate for the relevant Interest Period multiplied by (b) the quotient of the actual number of calendar days in the Observation Period divided by 360. The interest rate for any Interest Period shall not be adjusted for any modifications or amendments to the SOFR Index or SOFR data that the New York Federal Reserve may publish after the interest rate for that Interest Period has been determined.</w:t>
      </w:r>
    </w:p>
    <w:p>
      <w:pPr>
        <w:spacing w:after="0" w:line="179"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a Saturday or Sunday, that is neither a legal holiday nor a day on which banking institutions are authorized or required by law or regulation to close in the City of New York.</w:t>
      </w:r>
    </w:p>
    <w:p>
      <w:pPr>
        <w:sectPr>
          <w:pgSz w:w="11900" w:h="16838" w:orient="portrait"/>
          <w:cols w:equalWidth="0" w:num="1">
            <w:col w:w="11000"/>
          </w:cols>
          <w:pgMar w:left="440" w:top="270" w:right="459" w:bottom="1440" w:gutter="0" w:footer="0" w:header="0"/>
        </w:sectPr>
      </w:pPr>
    </w:p>
    <w:bookmarkStart w:id="150" w:name="page151"/>
    <w:bookmarkEnd w:id="150"/>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interest rate and amount of interest to be paid on the Notes for each Interest Period shall be determined by Deutsche Bank Trust Company Americas, acting as calculation agent (the “</w:t>
      </w:r>
      <w:r>
        <w:rPr>
          <w:rFonts w:ascii="Times New Roman" w:cs="Times New Roman" w:eastAsia="Times New Roman" w:hAnsi="Times New Roman"/>
          <w:sz w:val="18"/>
          <w:szCs w:val="18"/>
          <w:b w:val="1"/>
          <w:bCs w:val="1"/>
          <w:i w:val="1"/>
          <w:iCs w:val="1"/>
          <w:color w:val="auto"/>
        </w:rPr>
        <w:t>Calculation Agent</w:t>
      </w:r>
      <w:r>
        <w:rPr>
          <w:rFonts w:ascii="Times New Roman" w:cs="Times New Roman" w:eastAsia="Times New Roman" w:hAnsi="Times New Roman"/>
          <w:sz w:val="18"/>
          <w:szCs w:val="18"/>
          <w:color w:val="auto"/>
        </w:rPr>
        <w:t>”). The Calculation Agent shall, upon the request of any Holder of the Notes, provide the interest rate then in effect. All determinations made by the Calculation Agent shall, in the absence of manifest error, be conclusive for all purposes and binding on the Company and the Holders of the Notes. So long as Compounded SOFR is required to be determined with respect to the Notes, there shall at all times be a Calculation Agent. In the event that any then-acting Calculation Agent shall be unable or unwilling to act, or such Calculation Agent shall fail duly to establish Compounded SOFR for any Interest Period, or the Company proposes to remove such Calculation Agent, the Company shall appoint another Calculation Agent. The Company may appoint itself or any of its affiliates or subsidiaries as the Calculation Agent. The Company may change the Calculation Agent with respect to the Notes at any time without notice to the Holders of the Notes.</w:t>
      </w:r>
    </w:p>
    <w:p>
      <w:pPr>
        <w:spacing w:after="0" w:line="188"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This Note is issued pursuant to, and shall be governed by, that certain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dated as of February 1, 1991, between the Company and Deutsche Bank Trust Company Americas (as successor to Citibank, N.A.), as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Capitalized terms used in this Note without definition shall have the respective meanings ascribed to them in the Indenture.</w:t>
      </w:r>
    </w:p>
    <w:p>
      <w:pPr>
        <w:spacing w:after="0" w:line="175"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provisions of this Note are continued on the reverse hereof, and such continued provisions shall for all purposes have the same effect as though fully set forth at this place.</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by the manual signature of one of its authorized officers, this Note shall not be entitled to the benefit under the Indenture or be valid or obligatory for any purpose.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[This Space Intentionally Left Blank]</w:t>
      </w:r>
    </w:p>
    <w:p>
      <w:pPr>
        <w:sectPr>
          <w:pgSz w:w="11900" w:h="16838" w:orient="portrait"/>
          <w:cols w:equalWidth="0" w:num="1">
            <w:col w:w="10980"/>
          </w:cols>
          <w:pgMar w:left="440" w:top="270" w:right="4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Eli Lilly and Company has caused this instrument to be duly signed.</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ELI LILLY AND COMPANY</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Global Note</w:t>
      </w:r>
      <w:r>
        <w:rPr>
          <w:rFonts w:ascii="Times New Roman" w:cs="Times New Roman" w:eastAsia="Times New Roman" w:hAnsi="Times New Roman"/>
          <w:sz w:val="18"/>
          <w:szCs w:val="18"/>
          <w:color w:val="auto"/>
        </w:rPr>
        <w:t>]</w:t>
      </w:r>
    </w:p>
    <w:p>
      <w:pPr>
        <w:sectPr>
          <w:pgSz w:w="11900" w:h="16838" w:orient="portrait"/>
          <w:cols w:equalWidth="0" w:num="1">
            <w:col w:w="9039"/>
          </w:cols>
          <w:pgMar w:left="1420" w:top="270" w:right="1440" w:bottom="1440" w:gutter="0" w:footer="0" w:header="0"/>
        </w:sectPr>
      </w:pPr>
    </w:p>
    <w:bookmarkStart w:id="152" w:name="page153"/>
    <w:bookmarkEnd w:id="15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Securities of the series designated therein issued under the within-mentioned Indenture.</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 xml:space="preserve">Dated: May    </w:t>
      </w:r>
      <w:r>
        <w:rPr>
          <w:sz w:val="20"/>
          <w:szCs w:val="20"/>
          <w:color w:val="auto"/>
        </w:rPr>
        <w:tab/>
      </w:r>
      <w:r>
        <w:rPr>
          <w:rFonts w:ascii="Times New Roman" w:cs="Times New Roman" w:eastAsia="Times New Roman" w:hAnsi="Times New Roman"/>
          <w:sz w:val="17"/>
          <w:szCs w:val="17"/>
          <w:color w:val="auto"/>
        </w:rPr>
        <w:t>, 2026</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DEUTSCHE BANK TRUST COMPANY AMERICAS, as</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1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Global Note</w:t>
      </w:r>
      <w:r>
        <w:rPr>
          <w:rFonts w:ascii="Times New Roman" w:cs="Times New Roman" w:eastAsia="Times New Roman" w:hAnsi="Times New Roman"/>
          <w:sz w:val="18"/>
          <w:szCs w:val="18"/>
          <w:color w:val="auto"/>
        </w:rPr>
        <w:t>]</w:t>
      </w:r>
    </w:p>
    <w:p>
      <w:pPr>
        <w:sectPr>
          <w:pgSz w:w="11900" w:h="16838" w:orient="portrait"/>
          <w:cols w:equalWidth="0" w:num="1">
            <w:col w:w="10860"/>
          </w:cols>
          <w:pgMar w:left="440" w:top="270" w:right="59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This Note is one of a duly authorized issue of a series of debt securities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of the Company, designated as its Floating Rate Notes due 2028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xml:space="preserve">”). The Securities, including the Notes, are all issued or to be issued under and pursuant to the Indenture, to which Indenture, and all Board Resolutions and Officers’ Certificates as provided therein, reference is hereby made for a description of the rights, limitation of rights, obligations, duties and immunities thereunder of the Company, the Trustee and the Holders of the Notes, and the terms upon which the Notes are, and are to be, authenticated and delivered. The Notes are initially limited to Seven Hundred and Fifty Million Dollars ($750,000,000) in aggregate principal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without the consent of the Holders of any Securities, the Company may at any time issue additional Securities having the same terms as the Notes other than the date of original issuance and the first Floating Rate Interest Payment Date applicable to such additional Securities. Any such additional Securities shall constitute a single series of Securities with the Notes under the Indenture.</w:t>
      </w:r>
    </w:p>
    <w:p>
      <w:pPr>
        <w:spacing w:after="0" w:line="189"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This Note shall constitute part of the Company’s unsecured and unsubordinated obligations and shall rank equally in right of payment with all of the Company’s other existing and future unsecured and unsubordinated indebtedness. This Note shall be issuable in fully registered form only, in minimum denominations of two thousand Dollars ($2,000) and any integral multiples of one thousand Dollars ($1,000) in excess of that amount.</w:t>
      </w:r>
    </w:p>
    <w:p>
      <w:pPr>
        <w:spacing w:after="0" w:line="15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In case an Event of Default shall have occurred and be continuing with respect to this Note, the principal hereof may be declared due and payable, and upon such declaration shall become due and payable, in the manner, with the effect, and subject to the conditions provided in the Indenture. The Indenture permits the Holders of at least a majority in aggregate principal amount of the Notes at the time outstanding to, on behalf of the Holders of all of the Notes and in the manner and subject to the provisions of the Indenture, waive certain past defaults and rescind and annul such past declarations and their consequences under the Indenture.</w:t>
      </w:r>
    </w:p>
    <w:p>
      <w:pPr>
        <w:spacing w:after="0" w:line="18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The Indenture contains provisions permitting the Company and the Trustee, with consent of the Holders of not less than a majority of the aggregate principal amount of the Notes at the time outstanding, evidenced as provided in the Indenture, to execute supplemental indentures for the purpose of adding any provisions to or changing in any manner or eliminating any of the provisions of the Indenture or of any supplemental indenture with respect to the Notes or of modifying in any manner the rights of the Holders of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supplemental indenture shall (i) extend the fixed maturity, or the earlier optional date of maturity, if any, of any Note, or reduce the principal amount thereof or the premium thereon, if any, or reduce the rate or extend the time of payment of interest, if any, thereon or make the principal thereof or premium, if any, or interest, if any, thereon payable in any currency other than as provided pursuant to the Indenture or this Note, without the consent of the Holders of each Note so affected; or (ii) reduce the aforesaid percentage of the Notes, the Holders of which are required to consent to any such supplemental indenture, without the consent of the Holders of all Notes then outstanding.</w:t>
      </w:r>
    </w:p>
    <w:p>
      <w:pPr>
        <w:sectPr>
          <w:pgSz w:w="11900" w:h="16838" w:orient="portrait"/>
          <w:cols w:equalWidth="0" w:num="1">
            <w:col w:w="11000"/>
          </w:cols>
          <w:pgMar w:left="440" w:top="266" w:right="459" w:bottom="1440" w:gutter="0" w:footer="0" w:header="0"/>
        </w:sectPr>
      </w:pPr>
    </w:p>
    <w:bookmarkStart w:id="154" w:name="page155"/>
    <w:bookmarkEnd w:id="154"/>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Notes shall not be redeemable, in whole or in part, prior to the Maturity Date. The Notes shall not have the benefit of any sinking fund and the Notes shall not be subject to any mandatory redemption provision.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SOFR Index Unavailable</w:t>
      </w:r>
    </w:p>
    <w:p>
      <w:pPr>
        <w:spacing w:after="0" w:line="119"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If a SOFR IndexStart or SOFR IndexEnd is not published on the associated Interest Determination Date and a Benchmark Transition Event and its related Benchmark Replacement Date have not occurred with respect to the Secured Overnight Financing Rate, “</w:t>
      </w:r>
      <w:r>
        <w:rPr>
          <w:rFonts w:ascii="Times New Roman" w:cs="Times New Roman" w:eastAsia="Times New Roman" w:hAnsi="Times New Roman"/>
          <w:sz w:val="18"/>
          <w:szCs w:val="18"/>
          <w:b w:val="1"/>
          <w:bCs w:val="1"/>
          <w:i w:val="1"/>
          <w:iCs w:val="1"/>
          <w:color w:val="auto"/>
        </w:rPr>
        <w:t>Compounded SOFR</w:t>
      </w:r>
      <w:r>
        <w:rPr>
          <w:rFonts w:ascii="Times New Roman" w:cs="Times New Roman" w:eastAsia="Times New Roman" w:hAnsi="Times New Roman"/>
          <w:sz w:val="18"/>
          <w:szCs w:val="18"/>
          <w:color w:val="auto"/>
        </w:rPr>
        <w:t>” shall mean, for the applicable Interest Period for which such index is not available, the rate of return on a daily compounded interest investment calculated in accordance with the formula for SOFR Averages, and definitions required for such formula, published on the New York Federal Reserve’s Website, initially located at https://www.newyorkfed.org/markets/treasury-repo-reference-rates-information. For the purposes of this provision, references in the SOFR Averages compounding formula and related definitions to “calculation period” shall be replaced with “Observation Period” and the words “that is, 30-, 90-, or 180- calendar days” shall be removed. If the daily Secured Overnight Financing Rate (“</w:t>
      </w:r>
      <w:r>
        <w:rPr>
          <w:rFonts w:ascii="Times New Roman" w:cs="Times New Roman" w:eastAsia="Times New Roman" w:hAnsi="Times New Roman"/>
          <w:sz w:val="18"/>
          <w:szCs w:val="18"/>
          <w:b w:val="1"/>
          <w:bCs w:val="1"/>
          <w:i w:val="1"/>
          <w:iCs w:val="1"/>
          <w:color w:val="auto"/>
        </w:rPr>
        <w:t>SOFRi</w:t>
      </w:r>
      <w:r>
        <w:rPr>
          <w:rFonts w:ascii="Times New Roman" w:cs="Times New Roman" w:eastAsia="Times New Roman" w:hAnsi="Times New Roman"/>
          <w:sz w:val="18"/>
          <w:szCs w:val="18"/>
          <w:color w:val="auto"/>
        </w:rPr>
        <w:t>”) does not so appear for any day, “i” in the Observation Period, SOFRi for such day “i” shall be SOFR published in respect of the first preceding U.S. Government Securities Business Day for which the Secured Overnight Financing Rate was published on the New York Federal Reserve’s Website.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a Benchmark Transition Event</w:t>
      </w:r>
    </w:p>
    <w:p>
      <w:pPr>
        <w:spacing w:after="0" w:line="119" w:lineRule="exact"/>
        <w:rPr>
          <w:sz w:val="20"/>
          <w:szCs w:val="20"/>
          <w:color w:val="auto"/>
        </w:rPr>
      </w:pPr>
    </w:p>
    <w:p>
      <w:pPr>
        <w:ind w:right="80" w:firstLine="436"/>
        <w:spacing w:after="0" w:line="261"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Indenture, the Notes or in any other documents relating to the Notes, if the Company or its designee determines on or prior to the relevant Reference Time that a Benchmark Transition Event and its related Benchmark Replacement Date have occurred with respect to the then-current Benchmark, the Benchmark Replacement shall replace the then-current Benchmark for all purposes relating to the Notes in respect of all determinations on such date and for all determinations on all subsequent dates.</w:t>
      </w:r>
    </w:p>
    <w:p>
      <w:pPr>
        <w:spacing w:after="0" w:line="179" w:lineRule="exact"/>
        <w:rPr>
          <w:rFonts w:ascii="Times New Roman" w:cs="Times New Roman" w:eastAsia="Times New Roman" w:hAnsi="Times New Roman"/>
          <w:sz w:val="18"/>
          <w:szCs w:val="18"/>
          <w:color w:val="auto"/>
        </w:rPr>
      </w:pPr>
    </w:p>
    <w:p>
      <w:pPr>
        <w:ind w:right="280" w:firstLine="436"/>
        <w:spacing w:after="0" w:line="282" w:lineRule="auto"/>
        <w:tabs>
          <w:tab w:leader="none" w:pos="70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implementation of a Benchmark Replacement, the Company or its designee shall have the right to make Benchmark Replacement Conforming Changes from time to time.</w:t>
      </w:r>
    </w:p>
    <w:p>
      <w:pPr>
        <w:spacing w:after="0" w:line="161" w:lineRule="exact"/>
        <w:rPr>
          <w:rFonts w:ascii="Times New Roman" w:cs="Times New Roman" w:eastAsia="Times New Roman" w:hAnsi="Times New Roman"/>
          <w:sz w:val="18"/>
          <w:szCs w:val="18"/>
          <w:color w:val="auto"/>
        </w:rPr>
      </w:pPr>
    </w:p>
    <w:p>
      <w:pPr>
        <w:ind w:firstLine="436"/>
        <w:spacing w:after="0" w:line="266" w:lineRule="auto"/>
        <w:tabs>
          <w:tab w:leader="none" w:pos="7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 decision or election that may be made by the Company or its designee pursuant to the Benchmark Replacement provisions described herein, including a determination with respect to a tenor, rate or adjustment or of the occurrence or non-occurrence of an event, circumstance or date and any decision to take or refrain from taking any action or any selection:</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conclusive and binding absent manifest error;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made by the Company, shall be made in the Company’s sole discretion;</w:t>
      </w:r>
    </w:p>
    <w:p>
      <w:pPr>
        <w:spacing w:after="0" w:line="225"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made by the Company’s designee, shall be made after consultation with the Company, and such designee shall not make any such determination, decision or election to which the Company objects; and</w:t>
      </w:r>
    </w:p>
    <w:p>
      <w:pPr>
        <w:sectPr>
          <w:pgSz w:w="11900" w:h="16838" w:orient="portrait"/>
          <w:cols w:equalWidth="0" w:num="1">
            <w:col w:w="11000"/>
          </w:cols>
          <w:pgMar w:left="440" w:top="270" w:right="459" w:bottom="1440" w:gutter="0" w:footer="0" w:header="0"/>
        </w:sectPr>
      </w:pPr>
    </w:p>
    <w:bookmarkStart w:id="155" w:name="page156"/>
    <w:bookmarkEnd w:id="155"/>
    <w:p>
      <w:pPr>
        <w:ind w:right="300" w:firstLine="987"/>
        <w:spacing w:after="0" w:line="282" w:lineRule="auto"/>
        <w:tabs>
          <w:tab w:leader="none" w:pos="124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the Notes or in the other documents relating to the Notes, including the Indenture, shall become effective without consent from the Holders of the Notes or any other party.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used herein the following terms have the meanings assigned to them:</w:t>
      </w:r>
    </w:p>
    <w:p>
      <w:pPr>
        <w:spacing w:after="0" w:line="113" w:lineRule="exact"/>
        <w:rPr>
          <w:sz w:val="20"/>
          <w:szCs w:val="20"/>
          <w:color w:val="auto"/>
        </w:rPr>
      </w:pPr>
    </w:p>
    <w:p>
      <w:pPr>
        <w:ind w:right="6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w:t>
      </w:r>
      <w:r>
        <w:rPr>
          <w:rFonts w:ascii="Times New Roman" w:cs="Times New Roman" w:eastAsia="Times New Roman" w:hAnsi="Times New Roman"/>
          <w:sz w:val="18"/>
          <w:szCs w:val="18"/>
          <w:color w:val="auto"/>
        </w:rPr>
        <w:t xml:space="preserve">” means, initially, Compounded SOFR;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or its designee determines on or prior to the Reference Time that a Benchmark Transition Event and its related Benchmark Replacement Date have occurred with respect to Compounded SOFR (or the published daily SOFR Index used in the calculation thereof) or the then-current Benchmark, then “Benchmark” means the applicable Benchmark Replacement.</w:t>
      </w:r>
    </w:p>
    <w:p>
      <w:pPr>
        <w:spacing w:after="0" w:line="176" w:lineRule="exact"/>
        <w:rPr>
          <w:sz w:val="20"/>
          <w:szCs w:val="20"/>
          <w:color w:val="auto"/>
        </w:rPr>
      </w:pPr>
    </w:p>
    <w:p>
      <w:pPr>
        <w:ind w:right="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Replacement</w:t>
      </w:r>
      <w:r>
        <w:rPr>
          <w:rFonts w:ascii="Times New Roman" w:cs="Times New Roman" w:eastAsia="Times New Roman" w:hAnsi="Times New Roman"/>
          <w:sz w:val="18"/>
          <w:szCs w:val="18"/>
          <w:color w:val="auto"/>
        </w:rPr>
        <w:t>” means the first alternative set forth in the order below that can be determined by the Company or its designee as of the Benchmark Replacement Date:</w:t>
      </w:r>
    </w:p>
    <w:p>
      <w:pPr>
        <w:spacing w:after="0" w:line="51" w:lineRule="exact"/>
        <w:rPr>
          <w:sz w:val="20"/>
          <w:szCs w:val="20"/>
          <w:color w:val="auto"/>
        </w:rPr>
      </w:pPr>
    </w:p>
    <w:p>
      <w:pPr>
        <w:ind w:right="660" w:firstLine="987"/>
        <w:spacing w:after="0" w:line="282" w:lineRule="auto"/>
        <w:tabs>
          <w:tab w:leader="none" w:pos="124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rate of interest that has been selected or recommended by the Relevant Governmental Body as the replacement for the then-current Benchmark and (b) the Benchmark Replacement Adjustment;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ISDA Fallback Rate and (b) the Benchmark Replacement Adjustment; or</w:t>
      </w:r>
    </w:p>
    <w:p>
      <w:pPr>
        <w:spacing w:after="0" w:line="225" w:lineRule="exact"/>
        <w:rPr>
          <w:rFonts w:ascii="Times New Roman" w:cs="Times New Roman" w:eastAsia="Times New Roman" w:hAnsi="Times New Roman"/>
          <w:sz w:val="18"/>
          <w:szCs w:val="18"/>
          <w:color w:val="auto"/>
        </w:rPr>
      </w:pPr>
    </w:p>
    <w:p>
      <w:pPr>
        <w:ind w:right="140" w:firstLine="987"/>
        <w:spacing w:after="0" w:line="266" w:lineRule="auto"/>
        <w:tabs>
          <w:tab w:leader="none" w:pos="124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rate of interest that has been selected by the Company or its designee as the replacement for the then-current Benchmark giving due consideration to any industry-accepted rate of interest as a replacement for the then-current Benchmark for U.S. dollar-denominated floating rate notes at such time and (b) the Benchmark Replacement Adjustment.</w:t>
      </w:r>
    </w:p>
    <w:p>
      <w:pPr>
        <w:spacing w:after="0" w:line="176" w:lineRule="exact"/>
        <w:rPr>
          <w:sz w:val="20"/>
          <w:szCs w:val="20"/>
          <w:color w:val="auto"/>
        </w:rPr>
      </w:pPr>
    </w:p>
    <w:p>
      <w:pPr>
        <w:ind w:right="280" w:firstLine="991"/>
        <w:spacing w:after="0" w:line="254" w:lineRule="auto"/>
        <w:rPr>
          <w:sz w:val="20"/>
          <w:szCs w:val="20"/>
          <w:color w:val="auto"/>
        </w:rPr>
      </w:pPr>
      <w:r>
        <w:rPr>
          <w:rFonts w:ascii="Times New Roman" w:cs="Times New Roman" w:eastAsia="Times New Roman" w:hAnsi="Times New Roman"/>
          <w:sz w:val="18"/>
          <w:szCs w:val="18"/>
          <w:color w:val="auto"/>
        </w:rPr>
        <w:t>None of the Trustee, the Calculation Agent or the Paying Agent shall be under any obligation, to select, determine or designate any Benchmark Replacement or shall have any liability for any determination made by or on behalf of the Company or its designee in connection with a Benchmark Transition Event or a Benchmark Replacement, and each Holder, by its acceptance of a Note or a beneficial interest in a Note, shall be deemed to waive, release, and covenant not to assert any claims against the Trustee, the Calculation Agent or the Paying Agent relating to any such determinations. Without limiting the generality of the foregoing, none of the Trustee, the Calculation Agent or the Paying Agent shall have any responsibility to determine whether any manifest error has occurred and may conclusively assume that no manifest error exists and shall suffer no liability in so assuming. For the avoidance of doubt, the Company’s designee shall not be the Trustee or the Calculation Agent unless the Trustee or Calculation Agent, as applicable, agrees in writing.</w:t>
      </w:r>
    </w:p>
    <w:p>
      <w:pPr>
        <w:spacing w:after="0" w:line="188"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Replacement Adjustment</w:t>
      </w:r>
      <w:r>
        <w:rPr>
          <w:rFonts w:ascii="Times New Roman" w:cs="Times New Roman" w:eastAsia="Times New Roman" w:hAnsi="Times New Roman"/>
          <w:sz w:val="18"/>
          <w:szCs w:val="18"/>
          <w:color w:val="auto"/>
        </w:rPr>
        <w:t>” means the first alternative set forth in the order below that can be determined by the Company or its designee as of the Benchmark Replacement Date:</w:t>
      </w:r>
    </w:p>
    <w:p>
      <w:pPr>
        <w:spacing w:after="0" w:line="51" w:lineRule="exact"/>
        <w:rPr>
          <w:sz w:val="20"/>
          <w:szCs w:val="20"/>
          <w:color w:val="auto"/>
        </w:rPr>
      </w:pPr>
    </w:p>
    <w:p>
      <w:pPr>
        <w:jc w:val="both"/>
        <w:ind w:right="460" w:firstLine="987"/>
        <w:spacing w:after="0" w:line="282" w:lineRule="auto"/>
        <w:tabs>
          <w:tab w:leader="none" w:pos="124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(which may be a positive or negative value or zero), or method for calculating or determining such spread adjustment, that has been selected or recommended by the Relevant Governmental Body for the applicable Unadjusted Benchmark Replacement;</w:t>
      </w:r>
    </w:p>
    <w:p>
      <w:pPr>
        <w:sectPr>
          <w:pgSz w:w="11900" w:h="16838" w:orient="portrait"/>
          <w:cols w:equalWidth="0" w:num="1">
            <w:col w:w="10940"/>
          </w:cols>
          <w:pgMar w:left="440" w:top="270" w:right="519" w:bottom="1440" w:gutter="0" w:footer="0" w:header="0"/>
        </w:sectPr>
      </w:pPr>
    </w:p>
    <w:bookmarkStart w:id="156" w:name="page157"/>
    <w:bookmarkEnd w:id="156"/>
    <w:p>
      <w:pPr>
        <w:ind w:left="1240" w:hanging="253"/>
        <w:spacing w:after="0"/>
        <w:tabs>
          <w:tab w:leader="none" w:pos="12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applicable Unadjusted Benchmark Replacement is equivalent to the ISDA Fallback Rate, the ISDA Fallback Adjustment; or</w:t>
      </w:r>
    </w:p>
    <w:p>
      <w:pPr>
        <w:spacing w:after="0" w:line="225" w:lineRule="exact"/>
        <w:rPr>
          <w:rFonts w:ascii="Times New Roman" w:cs="Times New Roman" w:eastAsia="Times New Roman" w:hAnsi="Times New Roman"/>
          <w:sz w:val="18"/>
          <w:szCs w:val="18"/>
          <w:color w:val="auto"/>
        </w:rPr>
      </w:pPr>
    </w:p>
    <w:p>
      <w:pPr>
        <w:ind w:firstLine="987"/>
        <w:spacing w:after="0" w:line="289" w:lineRule="auto"/>
        <w:tabs>
          <w:tab w:leader="none" w:pos="1246"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spread adjustment (which may be a positive or negative value or zero) that has been selected by the Company or its designee giving due consideration to any industry-accepted spread adjustment, or method for calculating or determining such spread adjustment, for the replacement of the then-current Benchmark with the applicable Unadjusted Benchmark Replacement for U.S. dollar-denominated floating rate notes at such time.</w:t>
      </w:r>
    </w:p>
    <w:p>
      <w:pPr>
        <w:spacing w:after="0" w:line="154" w:lineRule="exact"/>
        <w:rPr>
          <w:sz w:val="20"/>
          <w:szCs w:val="20"/>
          <w:color w:val="auto"/>
        </w:rPr>
      </w:pPr>
    </w:p>
    <w:p>
      <w:pPr>
        <w:ind w:right="160" w:firstLine="991"/>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Benchmark Replacement Conforming Changes</w:t>
      </w:r>
      <w:r>
        <w:rPr>
          <w:rFonts w:ascii="Times New Roman" w:cs="Times New Roman" w:eastAsia="Times New Roman" w:hAnsi="Times New Roman"/>
          <w:sz w:val="17"/>
          <w:szCs w:val="17"/>
          <w:color w:val="auto"/>
        </w:rPr>
        <w:t>” means, with respect to any Benchmark Replacement, any technical, administrative or operational changes (including changes to the definition or interpretation of the Interest Period, timing and frequency of determining rates and making payments of interest, rounding of amounts or tenors and other administrative matters) that the Company or its designee decide may be appropriate to reflect the adoption of such Benchmark Replacement in a manner substantially consistent with market practice (or, if the Company or its designee decide that adoption of any portion of such market practice is not administratively feasible or if the Company or its designee determine that no market practice for use of the Benchmark Replacement exists, in such other manner as the Company or its designee determine is reasonably practicable).</w:t>
      </w:r>
    </w:p>
    <w:p>
      <w:pPr>
        <w:spacing w:after="0" w:line="168" w:lineRule="exact"/>
        <w:rPr>
          <w:sz w:val="20"/>
          <w:szCs w:val="20"/>
          <w:color w:val="auto"/>
        </w:rPr>
      </w:pPr>
    </w:p>
    <w:p>
      <w:pPr>
        <w:ind w:right="7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 (including any daily published component used in the calculation thereof):</w:t>
      </w:r>
    </w:p>
    <w:p>
      <w:pPr>
        <w:spacing w:after="0" w:line="51" w:lineRule="exact"/>
        <w:rPr>
          <w:sz w:val="20"/>
          <w:szCs w:val="20"/>
          <w:color w:val="auto"/>
        </w:rPr>
      </w:pPr>
    </w:p>
    <w:p>
      <w:pPr>
        <w:ind w:right="320" w:firstLine="987"/>
        <w:spacing w:after="0" w:line="266" w:lineRule="auto"/>
        <w:tabs>
          <w:tab w:leader="none" w:pos="124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(or such component); or</w:t>
      </w:r>
    </w:p>
    <w:p>
      <w:pPr>
        <w:spacing w:after="0" w:line="175" w:lineRule="exact"/>
        <w:rPr>
          <w:rFonts w:ascii="Times New Roman" w:cs="Times New Roman" w:eastAsia="Times New Roman" w:hAnsi="Times New Roman"/>
          <w:sz w:val="18"/>
          <w:szCs w:val="18"/>
          <w:color w:val="auto"/>
        </w:rPr>
      </w:pPr>
    </w:p>
    <w:p>
      <w:pPr>
        <w:ind w:right="800" w:firstLine="987"/>
        <w:spacing w:after="0" w:line="282" w:lineRule="auto"/>
        <w:tabs>
          <w:tab w:leader="none" w:pos="124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date of the public statement or publication of information referenced therein.</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For the avoidance of doubt, if the event that gives rise to the Benchmark Replacement Date occurs on the same day as, but earlier than, the Reference Time in respect of any determination, the Benchmark Replacement Date shall be deemed to have occurred prior to the Reference Time for such determination.</w:t>
      </w:r>
    </w:p>
    <w:p>
      <w:pPr>
        <w:spacing w:after="0" w:line="176"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For the avoidance of doubt, for purposes of the definitions of Benchmark Replacement Date and Benchmark Transition Event, references to Benchmark also include any reference rate underlying such Benchmark.</w:t>
      </w:r>
    </w:p>
    <w:p>
      <w:pPr>
        <w:sectPr>
          <w:pgSz w:w="11900" w:h="16838" w:orient="portrait"/>
          <w:cols w:equalWidth="0" w:num="1">
            <w:col w:w="11000"/>
          </w:cols>
          <w:pgMar w:left="440" w:top="270" w:right="459" w:bottom="1440" w:gutter="0" w:footer="0" w:header="0"/>
        </w:sectPr>
      </w:pPr>
    </w:p>
    <w:bookmarkStart w:id="157" w:name="page158"/>
    <w:bookmarkEnd w:id="157"/>
    <w:p>
      <w:pPr>
        <w:ind w:right="8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 (including the daily published component used in the calculation thereof):</w:t>
      </w:r>
    </w:p>
    <w:p>
      <w:pPr>
        <w:spacing w:after="0" w:line="51" w:lineRule="exact"/>
        <w:rPr>
          <w:sz w:val="20"/>
          <w:szCs w:val="20"/>
          <w:color w:val="auto"/>
        </w:rPr>
      </w:pPr>
    </w:p>
    <w:p>
      <w:pPr>
        <w:ind w:right="20" w:firstLine="987"/>
        <w:spacing w:after="0" w:line="266" w:lineRule="auto"/>
        <w:tabs>
          <w:tab w:leader="none" w:pos="124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the Benchmark (or such component) announcing that such administrator has ceased or shall cease to provide the Benchmark (or such component), permanently or indefinitely;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shall continue to provide the Benchmark (or such component);</w:t>
      </w:r>
    </w:p>
    <w:p>
      <w:pPr>
        <w:spacing w:after="0" w:line="175"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the Benchmark (or such component), the central bank for the currency of the Benchmark (or such component), an insolvency official with jurisdiction over the administrator for the Benchmark (or such component), a resolution authority with jurisdiction over the administrator for the Benchmark (or such component) or a court or an entity with similar insolvency or resolution authority over the administrator for the Benchmark (or such component), which states that the administrator of the Benchmark (or such component) has ceased or shall cease to provide the Benchmark (or such component) permanently or indefinitely;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shall continue to provide the Benchmark (or such component); or</w:t>
      </w:r>
    </w:p>
    <w:p>
      <w:pPr>
        <w:spacing w:after="0" w:line="188"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the Benchmark announcing that the Benchmark is no longer representative.</w:t>
      </w:r>
    </w:p>
    <w:p>
      <w:pPr>
        <w:spacing w:after="0" w:line="158" w:lineRule="exact"/>
        <w:rPr>
          <w:sz w:val="20"/>
          <w:szCs w:val="20"/>
          <w:color w:val="auto"/>
        </w:rPr>
      </w:pPr>
    </w:p>
    <w:p>
      <w:pPr>
        <w:ind w:right="220" w:firstLine="991"/>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Compounded SOFR</w:t>
      </w:r>
      <w:r>
        <w:rPr>
          <w:rFonts w:ascii="Times New Roman" w:cs="Times New Roman" w:eastAsia="Times New Roman" w:hAnsi="Times New Roman"/>
          <w:sz w:val="17"/>
          <w:szCs w:val="17"/>
          <w:color w:val="auto"/>
        </w:rPr>
        <w:t>” means, with respect to any Interest Period, the rate computed in accordance with the following formula set forth below (and the resulting percentage shall be rounded, if necessary, to the nearest one hundred-thousandth of a percentage point (e.g., 9.753973% (or .09753973) being rounded down to 9.75397% (or .0975397) and 9.753978% (or .09753978) being rounded up to 9.75398% (or .0975398))):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128270</wp:posOffset>
            </wp:positionV>
            <wp:extent cx="1859915" cy="3511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185991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w:t>
      </w:r>
    </w:p>
    <w:p>
      <w:pPr>
        <w:spacing w:after="0" w:line="113"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 IndexStart</w:t>
      </w:r>
      <w:r>
        <w:rPr>
          <w:rFonts w:ascii="Times New Roman" w:cs="Times New Roman" w:eastAsia="Times New Roman" w:hAnsi="Times New Roman"/>
          <w:sz w:val="18"/>
          <w:szCs w:val="18"/>
          <w:color w:val="auto"/>
        </w:rPr>
        <w:t>” is the SOFR Index value for the day that is two U.S. Government Securities Business Days preceding the first date of the relevant Interest Period;</w:t>
      </w:r>
    </w:p>
    <w:p>
      <w:pPr>
        <w:spacing w:after="0" w:line="155" w:lineRule="exact"/>
        <w:rPr>
          <w:sz w:val="20"/>
          <w:szCs w:val="20"/>
          <w:color w:val="auto"/>
        </w:rPr>
      </w:pPr>
    </w:p>
    <w:p>
      <w:pPr>
        <w:ind w:right="4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 IndexEnd</w:t>
      </w:r>
      <w:r>
        <w:rPr>
          <w:rFonts w:ascii="Times New Roman" w:cs="Times New Roman" w:eastAsia="Times New Roman" w:hAnsi="Times New Roman"/>
          <w:sz w:val="18"/>
          <w:szCs w:val="18"/>
          <w:color w:val="auto"/>
        </w:rPr>
        <w:t>” is the SOFR Index value for the day that is two U.S. Government Securities Business Days preceding the Latter Floating Rate Interest Payment Date relating to such Interest Period (or in the final Interest Period, preceding the Maturity Date); and</w:t>
      </w:r>
    </w:p>
    <w:p>
      <w:pPr>
        <w:spacing w:after="0" w:line="155" w:lineRule="exact"/>
        <w:rPr>
          <w:sz w:val="20"/>
          <w:szCs w:val="20"/>
          <w:color w:val="auto"/>
        </w:rPr>
      </w:pPr>
    </w:p>
    <w:p>
      <w:pPr>
        <w:ind w:right="1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dc</w:t>
      </w:r>
      <w:r>
        <w:rPr>
          <w:rFonts w:ascii="Times New Roman" w:cs="Times New Roman" w:eastAsia="Times New Roman" w:hAnsi="Times New Roman"/>
          <w:sz w:val="18"/>
          <w:szCs w:val="18"/>
          <w:color w:val="auto"/>
        </w:rPr>
        <w:t>” is the actual number of calendar days from (and including) SOFR IndexStart to (but excluding) SOFR IndexEnd (the actual number of calendar days in the applicable Observation Period).</w:t>
      </w:r>
    </w:p>
    <w:p>
      <w:pPr>
        <w:sectPr>
          <w:pgSz w:w="11900" w:h="16838" w:orient="portrait"/>
          <w:cols w:equalWidth="0" w:num="1">
            <w:col w:w="10980"/>
          </w:cols>
          <w:pgMar w:left="440" w:top="266" w:right="479" w:bottom="1440" w:gutter="0" w:footer="0" w:header="0"/>
        </w:sectPr>
      </w:pPr>
    </w:p>
    <w:bookmarkStart w:id="158" w:name="page159"/>
    <w:bookmarkEnd w:id="15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determining Compounded SOFR, “SOFR Index” means, with respect to any U.S. Government Securities Business Day:</w:t>
      </w:r>
    </w:p>
    <w:p>
      <w:pPr>
        <w:spacing w:after="0" w:line="117" w:lineRule="exact"/>
        <w:rPr>
          <w:sz w:val="20"/>
          <w:szCs w:val="20"/>
          <w:color w:val="auto"/>
        </w:rPr>
      </w:pPr>
    </w:p>
    <w:p>
      <w:pPr>
        <w:jc w:val="both"/>
        <w:ind w:left="1420" w:right="500" w:firstLine="871"/>
        <w:spacing w:after="0" w:line="266" w:lineRule="auto"/>
        <w:tabs>
          <w:tab w:leader="none" w:pos="252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SOFR Index value as published by the New York Federal Reserve as such index appears on the New York Federal Reserve’s Website at 3:00 p.m. (New York City time) on such U.S. Government Securities Business Day (the “SOFR Determination Time”); provided that:</w:t>
      </w:r>
    </w:p>
    <w:p>
      <w:pPr>
        <w:spacing w:after="0" w:line="67" w:lineRule="exact"/>
        <w:rPr>
          <w:rFonts w:ascii="Times New Roman" w:cs="Times New Roman" w:eastAsia="Times New Roman" w:hAnsi="Times New Roman"/>
          <w:sz w:val="18"/>
          <w:szCs w:val="18"/>
          <w:color w:val="auto"/>
        </w:rPr>
      </w:pPr>
    </w:p>
    <w:p>
      <w:pPr>
        <w:ind w:left="2540" w:hanging="249"/>
        <w:spacing w:after="0"/>
        <w:tabs>
          <w:tab w:leader="none" w:pos="25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SOFR Index value does not so appear as specified in clause (1) above at the SOFR Determination Time, then:</w:t>
      </w:r>
    </w:p>
    <w:p>
      <w:pPr>
        <w:spacing w:after="0" w:line="130" w:lineRule="exact"/>
        <w:rPr>
          <w:rFonts w:ascii="Times New Roman" w:cs="Times New Roman" w:eastAsia="Times New Roman" w:hAnsi="Times New Roman"/>
          <w:sz w:val="18"/>
          <w:szCs w:val="18"/>
          <w:color w:val="auto"/>
        </w:rPr>
      </w:pPr>
    </w:p>
    <w:p>
      <w:pPr>
        <w:jc w:val="both"/>
        <w:ind w:left="1420" w:right="440" w:hanging="439"/>
        <w:spacing w:after="0" w:line="266" w:lineRule="auto"/>
        <w:tabs>
          <w:tab w:leader="none" w:pos="14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Benchmark Transition Event and its related Benchmark Replacement Date (each as defined below) have not occurred with respect to SOFR, then Compounded SOFR shall be the rate determined pursuant to the “SOFR Index Unavailable” provisions described below; or</w:t>
      </w:r>
    </w:p>
    <w:p>
      <w:pPr>
        <w:spacing w:after="0" w:line="81" w:lineRule="exact"/>
        <w:rPr>
          <w:rFonts w:ascii="Times New Roman" w:cs="Times New Roman" w:eastAsia="Times New Roman" w:hAnsi="Times New Roman"/>
          <w:sz w:val="18"/>
          <w:szCs w:val="18"/>
          <w:color w:val="auto"/>
        </w:rPr>
      </w:pPr>
    </w:p>
    <w:p>
      <w:pPr>
        <w:ind w:left="1420" w:right="320" w:hanging="439"/>
        <w:spacing w:after="0" w:line="266" w:lineRule="auto"/>
        <w:tabs>
          <w:tab w:leader="none" w:pos="14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Benchmark Transition Event and its related Benchmark Replacement Date have occurred with respect to SOFR, then Compounded SOFR shall be the rate determined pursuant to the “Effect of a Benchmark Transition Event” provisions described below.</w:t>
      </w:r>
    </w:p>
    <w:p>
      <w:pPr>
        <w:spacing w:after="0" w:line="172" w:lineRule="exact"/>
        <w:rPr>
          <w:sz w:val="20"/>
          <w:szCs w:val="20"/>
          <w:color w:val="auto"/>
        </w:rPr>
      </w:pPr>
    </w:p>
    <w:p>
      <w:pPr>
        <w:ind w:right="2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ISDA Definitions</w:t>
      </w:r>
      <w:r>
        <w:rPr>
          <w:rFonts w:ascii="Times New Roman" w:cs="Times New Roman" w:eastAsia="Times New Roman" w:hAnsi="Times New Roman"/>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w:t>
      </w:r>
    </w:p>
    <w:p>
      <w:pPr>
        <w:spacing w:after="0" w:line="171" w:lineRule="exact"/>
        <w:rPr>
          <w:sz w:val="20"/>
          <w:szCs w:val="20"/>
          <w:color w:val="auto"/>
        </w:rPr>
      </w:pPr>
    </w:p>
    <w:p>
      <w:pPr>
        <w:ind w:right="42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ISDA Fallback Adjustment</w:t>
      </w:r>
      <w:r>
        <w:rPr>
          <w:rFonts w:ascii="Times New Roman" w:cs="Times New Roman" w:eastAsia="Times New Roman" w:hAnsi="Times New Roman"/>
          <w:sz w:val="18"/>
          <w:szCs w:val="18"/>
          <w:color w:val="auto"/>
        </w:rPr>
        <w:t>” means the spread adjustment (which may be a positive or negative value or zero) that would apply for derivatives transactions referencing the ISDA Definitions to be determined upon the occurrence of an index cessation event with respect to the Benchmark.</w:t>
      </w:r>
    </w:p>
    <w:p>
      <w:pPr>
        <w:spacing w:after="0" w:line="171" w:lineRule="exact"/>
        <w:rPr>
          <w:sz w:val="20"/>
          <w:szCs w:val="20"/>
          <w:color w:val="auto"/>
        </w:rPr>
      </w:pPr>
    </w:p>
    <w:p>
      <w:pPr>
        <w:ind w:right="40" w:firstLine="991"/>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ISDA Fallback Rate</w:t>
      </w:r>
      <w:r>
        <w:rPr>
          <w:rFonts w:ascii="Times New Roman" w:cs="Times New Roman" w:eastAsia="Times New Roman" w:hAnsi="Times New Roman"/>
          <w:sz w:val="17"/>
          <w:szCs w:val="17"/>
          <w:color w:val="auto"/>
        </w:rPr>
        <w:t>”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spacing w:after="0" w:line="132" w:lineRule="exact"/>
        <w:rPr>
          <w:sz w:val="20"/>
          <w:szCs w:val="20"/>
          <w:color w:val="auto"/>
        </w:rPr>
      </w:pPr>
    </w:p>
    <w:p>
      <w:pPr>
        <w:ind w:right="5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New York Federal Reserve</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155"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New York Federal Reserve’s Website</w:t>
      </w:r>
      <w:r>
        <w:rPr>
          <w:rFonts w:ascii="Times New Roman" w:cs="Times New Roman" w:eastAsia="Times New Roman" w:hAnsi="Times New Roman"/>
          <w:sz w:val="18"/>
          <w:szCs w:val="18"/>
          <w:color w:val="auto"/>
        </w:rPr>
        <w:t>” means the website of the New York Federal Reserve, currently at http://www.newyorkfed.org, or any successor source.</w:t>
      </w:r>
    </w:p>
    <w:p>
      <w:pPr>
        <w:spacing w:after="0" w:line="155"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Observation Period</w:t>
      </w:r>
      <w:r>
        <w:rPr>
          <w:rFonts w:ascii="Times New Roman" w:cs="Times New Roman" w:eastAsia="Times New Roman" w:hAnsi="Times New Roman"/>
          <w:sz w:val="18"/>
          <w:szCs w:val="18"/>
          <w:color w:val="auto"/>
        </w:rPr>
        <w:t xml:space="preserve">” means, in respect of each Interest Period, the period from and including two U.S. Government Securities Business Days preceding the first date of such relevant Interest Period to but excluding two U.S. Government Securities Business Days preceding the Latter Floating Rate Interest Payment Date for such Interest Period (or in the final Interest Period, preceding the Maturity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first Observation Period shall be the period from and including two U.S. Government Securities Business Days preceding the settlement date of the Notes to, but excluding, the two U.S. Government Securities Business Days preceding the first Floating Rate Interest Payment Date.</w:t>
      </w:r>
    </w:p>
    <w:p>
      <w:pPr>
        <w:sectPr>
          <w:pgSz w:w="11900" w:h="16838" w:orient="portrait"/>
          <w:cols w:equalWidth="0" w:num="1">
            <w:col w:w="10960"/>
          </w:cols>
          <w:pgMar w:left="440" w:top="270" w:right="499" w:bottom="1440" w:gutter="0" w:footer="0" w:header="0"/>
        </w:sectPr>
      </w:pPr>
    </w:p>
    <w:bookmarkStart w:id="159" w:name="page160"/>
    <w:bookmarkEnd w:id="159"/>
    <w:p>
      <w:pPr>
        <w:ind w:right="100" w:firstLine="991"/>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Reference Time</w:t>
      </w:r>
      <w:r>
        <w:rPr>
          <w:rFonts w:ascii="Times New Roman" w:cs="Times New Roman" w:eastAsia="Times New Roman" w:hAnsi="Times New Roman"/>
          <w:sz w:val="18"/>
          <w:szCs w:val="18"/>
          <w:color w:val="auto"/>
        </w:rPr>
        <w:t>” with respect to any determination of the Benchmark means (1) if the Benchmark is Compounded SOFR, the SOFR Determination Time, and (2) if the Benchmark is not Compounded SOFR, the time determined by the Company or its designee after giving effect to the Benchmark Replacement Conforming Changes.</w:t>
      </w:r>
    </w:p>
    <w:p>
      <w:pPr>
        <w:spacing w:after="0" w:line="171" w:lineRule="exact"/>
        <w:rPr>
          <w:sz w:val="20"/>
          <w:szCs w:val="20"/>
          <w:color w:val="auto"/>
        </w:rPr>
      </w:pPr>
    </w:p>
    <w:p>
      <w:pPr>
        <w:ind w:right="680" w:firstLine="991"/>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Relevant Governmental Body</w:t>
      </w:r>
      <w:r>
        <w:rPr>
          <w:rFonts w:ascii="Times New Roman" w:cs="Times New Roman" w:eastAsia="Times New Roman" w:hAnsi="Times New Roman"/>
          <w:sz w:val="17"/>
          <w:szCs w:val="17"/>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32"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Secured Overnight Financing Rate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SOFR</w:t>
      </w:r>
      <w:r>
        <w:rPr>
          <w:rFonts w:ascii="Times New Roman" w:cs="Times New Roman" w:eastAsia="Times New Roman" w:hAnsi="Times New Roman"/>
          <w:sz w:val="18"/>
          <w:szCs w:val="18"/>
          <w:color w:val="auto"/>
        </w:rPr>
        <w:t>” means the daily secured overnight financing rate as provided by the New York Federal Reserve on the New York Federal Reserve’s Website.</w:t>
      </w:r>
    </w:p>
    <w:p>
      <w:pPr>
        <w:spacing w:after="0" w:line="155"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 Securities Business Day</w:t>
      </w:r>
      <w:r>
        <w:rPr>
          <w:rFonts w:ascii="Times New Roman" w:cs="Times New Roman" w:eastAsia="Times New Roman" w:hAnsi="Times New Roman"/>
          <w:sz w:val="18"/>
          <w:szCs w:val="18"/>
          <w:color w:val="auto"/>
        </w:rPr>
        <w:t>” means any day except for a Saturday, a Sunday or a day on which the Securities Industry and Financial Markets Association recommends that the fixed income departments of its members be closed for the entire day for purposes of trading in U.S. government securities.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Unadjusted Benchmark Replacement</w:t>
      </w:r>
      <w:r>
        <w:rPr>
          <w:rFonts w:ascii="Times New Roman" w:cs="Times New Roman" w:eastAsia="Times New Roman" w:hAnsi="Times New Roman"/>
          <w:sz w:val="18"/>
          <w:szCs w:val="18"/>
          <w:color w:val="auto"/>
        </w:rPr>
        <w:t>” means the Benchmark Replacement excluding the Benchmark Replacement Adjustment.</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Notes are subject to the defeasance provisions set forth in Section 12.02 of the Indenture.</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The Company shall not pay any additional amounts on any of the Notes to any person, including any Holder who is not a United States person in respect of any tax, assessment or governmental charge withheld or deducted.</w:t>
      </w:r>
    </w:p>
    <w:p>
      <w:pPr>
        <w:spacing w:after="0" w:line="162"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Note or of the Indenture or of any Board Resolution shall alter or impair the obligation of the Company, which is absolute and unconditional, to pay the principal of and premium, if any, and interest on this Note at the times and places and at the rate and in the coin and currency herein prescribed.</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This Note is transferable by the Holder hereof in person or by his or her attorney duly authorized in writing on the books of the Company at the office or agency to be maintained by the Company for that purpose in the City of New York, but only in the manner, subject to the limitations and upon payment of any tax or governmental charge for which the Company may require reimbursement as provided in the Indenture, and upon surrender and cancellation of this Note. Upon any registration of transfer, a new registered Note or Notes, of authorized denomination or authorized denominations and like tenor and terms, and in the same aggregate principal amount, shall be issued to the transferee in exchange therefor.</w:t>
      </w:r>
    </w:p>
    <w:p>
      <w:pPr>
        <w:spacing w:after="0" w:line="183"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The Company, the Trustee, any Paying Agent, any Calculation Agent and any Security Registrar may deem and treat the Holder hereof as the absolute owner of this Note (whether or not this Note shall be overdue and notwithstanding any notations of ownership or other writing hereon made by anyone other than the Security Registrar) for the purpose of receiving payment of or on account of the principal hereof and premium, if any, and interest due hereon as herein provided and for all other purposes, and none of the Company, the Trustee, any Paying Agent, any Calculation Agent or any Security Registrar shall be affected by any notice to the contrary.</w:t>
      </w:r>
    </w:p>
    <w:p>
      <w:pPr>
        <w:sectPr>
          <w:pgSz w:w="11900" w:h="16838" w:orient="portrait"/>
          <w:cols w:equalWidth="0" w:num="1">
            <w:col w:w="11020"/>
          </w:cols>
          <w:pgMar w:left="440" w:top="266" w:right="439" w:bottom="1440" w:gutter="0" w:footer="0" w:header="0"/>
        </w:sectPr>
      </w:pPr>
    </w:p>
    <w:bookmarkStart w:id="160" w:name="page161"/>
    <w:bookmarkEnd w:id="160"/>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recourse shall be had for the payment of the principal of or premium, if any, or interest on this Note, or for any claim based hereon, or otherwise in respect hereof, or based on or in respect of the Indenture or any supplemental indenture thereto or any Board Resolution, against any Person other than the Company or against any incorporator, stockholder, officer or director, past, present or future, as such, of the Company or any other Person, whether by virtue of any constitution, statute or rule of law, or by the enforcement of any assessment or penalty or otherwise, all such liability being, by the acceptance hereof and as part of the consideration for the issuance of this Note, expressly waived and released.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Note shall be governed by and construed in accordance with the laws of the State of New York.</w:t>
      </w:r>
    </w:p>
    <w:p>
      <w:pPr>
        <w:sectPr>
          <w:pgSz w:w="11900" w:h="16838" w:orient="portrait"/>
          <w:cols w:equalWidth="0" w:num="1">
            <w:col w:w="11000"/>
          </w:cols>
          <w:pgMar w:left="440" w:top="270" w:right="459" w:bottom="1440" w:gutter="0" w:footer="0" w:header="0"/>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A-2</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FLOATING RATE NOTE DUE 2029</w:t>
      </w:r>
    </w:p>
    <w:p>
      <w:pPr>
        <w:sectPr>
          <w:pgSz w:w="11900" w:h="16838" w:orient="portrait"/>
          <w:cols w:equalWidth="0" w:num="1">
            <w:col w:w="9019"/>
          </w:cols>
          <w:pgMar w:left="1440" w:top="266" w:right="1440"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540" w:type="dxa"/>
            <w:vAlign w:val="bottom"/>
            <w:gridSpan w:val="6"/>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8"/>
              </w:rPr>
              <w:t>ELI LILLY AND COMPANY</w:t>
            </w:r>
          </w:p>
        </w:tc>
      </w:tr>
      <w:tr>
        <w:trPr>
          <w:trHeight w:val="283"/>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60" w:type="dxa"/>
            <w:vAlign w:val="bottom"/>
            <w:gridSpan w:val="5"/>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9"/>
              </w:rPr>
              <w:t>Floating Rate Note due 2029</w:t>
            </w:r>
          </w:p>
        </w:tc>
      </w:tr>
      <w:tr>
        <w:trPr>
          <w:trHeight w:val="439"/>
        </w:trPr>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Certificate No. </w:t>
            </w:r>
            <w:r>
              <w:rPr>
                <w:rFonts w:ascii="Times New Roman" w:cs="Times New Roman" w:eastAsia="Times New Roman" w:hAnsi="Times New Roman"/>
                <w:sz w:val="18"/>
                <w:szCs w:val="18"/>
                <w:color w:val="auto"/>
              </w:rPr>
              <w:t>[*]</w:t>
            </w:r>
          </w:p>
        </w:tc>
        <w:tc>
          <w:tcPr>
            <w:tcW w:w="128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4080" w:type="dxa"/>
            <w:vAlign w:val="bottom"/>
            <w:gridSpan w:val="4"/>
          </w:tcPr>
          <w:p>
            <w:pPr>
              <w:ind w:left="222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532457 DJ4</w:t>
            </w:r>
          </w:p>
        </w:tc>
      </w:tr>
      <w:tr>
        <w:trPr>
          <w:trHeight w:val="20"/>
        </w:trPr>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Registered Global Security</w:t>
            </w:r>
          </w:p>
        </w:tc>
        <w:tc>
          <w:tcPr>
            <w:tcW w:w="1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80" w:type="dxa"/>
            <w:vAlign w:val="bottom"/>
            <w:gridSpan w:val="4"/>
          </w:tcPr>
          <w:p>
            <w:pPr>
              <w:ind w:left="2220"/>
              <w:spacing w:after="0"/>
              <w:rPr>
                <w:sz w:val="20"/>
                <w:szCs w:val="20"/>
                <w:color w:val="auto"/>
              </w:rPr>
            </w:pPr>
            <w:r>
              <w:rPr>
                <w:rFonts w:ascii="Times New Roman" w:cs="Times New Roman" w:eastAsia="Times New Roman" w:hAnsi="Times New Roman"/>
                <w:sz w:val="18"/>
                <w:szCs w:val="18"/>
                <w:b w:val="1"/>
                <w:bCs w:val="1"/>
                <w:color w:val="auto"/>
                <w:w w:val="98"/>
              </w:rPr>
              <w:t xml:space="preserve">ISIN No. </w:t>
            </w:r>
            <w:r>
              <w:rPr>
                <w:rFonts w:ascii="Times New Roman" w:cs="Times New Roman" w:eastAsia="Times New Roman" w:hAnsi="Times New Roman"/>
                <w:sz w:val="18"/>
                <w:szCs w:val="18"/>
                <w:color w:val="auto"/>
                <w:w w:val="98"/>
              </w:rPr>
              <w:t>US532457DJ48</w:t>
            </w: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980"/>
        <w:spacing w:after="0" w:line="256" w:lineRule="auto"/>
        <w:rPr>
          <w:sz w:val="20"/>
          <w:szCs w:val="20"/>
          <w:color w:val="auto"/>
        </w:rPr>
      </w:pPr>
      <w:r>
        <w:rPr>
          <w:rFonts w:ascii="Times New Roman" w:cs="Times New Roman" w:eastAsia="Times New Roman" w:hAnsi="Times New Roman"/>
          <w:sz w:val="18"/>
          <w:szCs w:val="18"/>
          <w:color w:val="auto"/>
        </w:rPr>
        <w:t>UNLESS THIS GLOBAL NOTE IS PRESENTED BY AN AUTHORIZED REPRESENTATIVE OF THE DEPOSITORY TRUST COMPANY, A NEW YORK CORPORATION (“DTC”), TO THE COMPANY OR ITS AGENT FOR REGISTRATION OF TRANSFER, EXCHANGE OR PAYMENT, AND ANY NOTE ISSUED IS REGISTERED IN THE NAME OF [*] OR IN SUCH OTHER NAME AS REQUESTED BY AN AUTHORIZED REPRESENTATIVE OF DTC AND ANY PAYMENT IS MADE TO [*], ANY TRANSFER, PLEDGE OR OTHER USE HEREOF FOR VALUE OR OTHERWISE BY OR TO ANY PERSON IS WRONGFUL SINCE THE REGISTERED OWNER HEREOF, [*], HAS AN INTEREST HEREIN.</w:t>
      </w:r>
    </w:p>
    <w:p>
      <w:pPr>
        <w:spacing w:after="0" w:line="79" w:lineRule="exact"/>
        <w:rPr>
          <w:sz w:val="20"/>
          <w:szCs w:val="20"/>
          <w:color w:val="auto"/>
        </w:rPr>
      </w:pPr>
    </w:p>
    <w:p>
      <w:pPr>
        <w:ind w:left="980" w:right="20"/>
        <w:spacing w:after="0" w:line="261" w:lineRule="auto"/>
        <w:rPr>
          <w:sz w:val="20"/>
          <w:szCs w:val="20"/>
          <w:color w:val="auto"/>
        </w:rPr>
      </w:pPr>
      <w:r>
        <w:rPr>
          <w:rFonts w:ascii="Times New Roman" w:cs="Times New Roman" w:eastAsia="Times New Roman" w:hAnsi="Times New Roman"/>
          <w:sz w:val="18"/>
          <w:szCs w:val="18"/>
          <w:color w:val="auto"/>
        </w:rPr>
        <w:t>UNLESS AND UNTIL IT IS EXCHANGED IN WHOLE OR IN PART FOR NOTES IN DEFINITIVE REGISTERED FORM, THIS GLOBAL NOTE MAY NOT BE TRANSFERRED EXCEPT AS A WHOLE BY DTC TO A NOMINEE OF DTC, OR BY A NOMINEE OF DTC TO DTC OR ANOTHER NOMINEE OF DTC, OR BY DTC OR ANY SUCH NOMINEE TO A SUCCESSOR DEPOSITARY OR TO A NOMINEE OF SUCH SUCCESSOR DEPOSITARY.</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ELI LILLY AND COMPANY, an Indiana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which term includes any successor corporation under the Indenture referred to herein), for value received, hereby promises to pay to [*], or its registered assigns, the principal amount of [*] Dollars ($[*]) on May 20, 2029 (the “</w:t>
      </w:r>
      <w:r>
        <w:rPr>
          <w:rFonts w:ascii="Times New Roman" w:cs="Times New Roman" w:eastAsia="Times New Roman" w:hAnsi="Times New Roman"/>
          <w:sz w:val="18"/>
          <w:szCs w:val="18"/>
          <w:b w:val="1"/>
          <w:bCs w:val="1"/>
          <w:i w:val="1"/>
          <w:iCs w:val="1"/>
          <w:color w:val="auto"/>
        </w:rPr>
        <w:t>Stated Maturity Date</w:t>
      </w:r>
      <w:r>
        <w:rPr>
          <w:rFonts w:ascii="Times New Roman" w:cs="Times New Roman" w:eastAsia="Times New Roman" w:hAnsi="Times New Roman"/>
          <w:sz w:val="18"/>
          <w:szCs w:val="18"/>
          <w:color w:val="auto"/>
        </w:rPr>
        <w:t>”), unless redeemed on the Centessa Special Mandatory Redemption Date (as defined on the reverse hereof) (the Stated Maturity Date or the Centessa Special Mandatory Redemption Date is referred to herein as the “</w:t>
      </w:r>
      <w:r>
        <w:rPr>
          <w:rFonts w:ascii="Times New Roman" w:cs="Times New Roman" w:eastAsia="Times New Roman" w:hAnsi="Times New Roman"/>
          <w:sz w:val="18"/>
          <w:szCs w:val="18"/>
          <w:b w:val="1"/>
          <w:bCs w:val="1"/>
          <w:i w:val="1"/>
          <w:iCs w:val="1"/>
          <w:color w:val="auto"/>
        </w:rPr>
        <w:t>Maturity Date</w:t>
      </w:r>
      <w:r>
        <w:rPr>
          <w:rFonts w:ascii="Times New Roman" w:cs="Times New Roman" w:eastAsia="Times New Roman" w:hAnsi="Times New Roman"/>
          <w:sz w:val="18"/>
          <w:szCs w:val="18"/>
          <w:color w:val="auto"/>
        </w:rPr>
        <w:t>” with respect to the principal amount repayable on such date), upon surrender of this Note at the office or agency of the Company for such payment in the City of New York, in such coin or currency of the United States of America as at the time of payment shall be legal tender for the payment of public and private debts, and to pay interest on the outstanding principal amount until the Maturity Date, quarterly in arrears on February 20, May 20, August 20 and November 20 of each year, commencing on August 20, 2026, and at the Maturity Date (each a “</w:t>
      </w:r>
      <w:r>
        <w:rPr>
          <w:rFonts w:ascii="Times New Roman" w:cs="Times New Roman" w:eastAsia="Times New Roman" w:hAnsi="Times New Roman"/>
          <w:sz w:val="18"/>
          <w:szCs w:val="18"/>
          <w:b w:val="1"/>
          <w:bCs w:val="1"/>
          <w:i w:val="1"/>
          <w:iCs w:val="1"/>
          <w:color w:val="auto"/>
        </w:rPr>
        <w:t>Floating Rate Interest Payment Date</w:t>
      </w:r>
      <w:r>
        <w:rPr>
          <w:rFonts w:ascii="Times New Roman" w:cs="Times New Roman" w:eastAsia="Times New Roman" w:hAnsi="Times New Roman"/>
          <w:sz w:val="18"/>
          <w:szCs w:val="18"/>
          <w:color w:val="auto"/>
        </w:rPr>
        <w:t>”), in like coin or currency, at a floating rate, reset quarterly on each Floating Rate Interest Payment Date, equal to Compounded SOFR, plus 0.460%, to holders of record as of the close of business on the date that is 15 calendar days prior to each Floating Rate Interest Payment Date. Such interest on this Note shall accrue from, and including, the most recent Floating Rate Interest Payment Date (or, if no interest has been paid, from May 20, 2026) to, but excluding, the</w:t>
      </w:r>
    </w:p>
    <w:p>
      <w:pPr>
        <w:sectPr>
          <w:pgSz w:w="11900" w:h="16838" w:orient="portrait"/>
          <w:cols w:equalWidth="0" w:num="1">
            <w:col w:w="10980"/>
          </w:cols>
          <w:pgMar w:left="440" w:top="266" w:right="479" w:bottom="1440" w:gutter="0" w:footer="0" w:header="0"/>
        </w:sectPr>
      </w:pPr>
    </w:p>
    <w:bookmarkStart w:id="163" w:name="page164"/>
    <w:bookmarkEnd w:id="163"/>
    <w:p>
      <w:pPr>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corresponding Latter Floating Rate Interest Payment Date (as defined below);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this Note is in the form of a Global Security, then payments of principal of or premium, if any, or interest on this Note may be made at the Company’s option by wire transfer of immediately available funds to the account specified by the Depositary for this Note;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this Note is not in the form of a Global Security, then payments of principal of and premium, if any, and interest on this Note may be made at the Company’s option by check mailed to the address of the person entitled thereto as such address shall appear in the records of the Security Registrar.</w:t>
      </w:r>
    </w:p>
    <w:p>
      <w:pPr>
        <w:spacing w:after="0" w:line="18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If the February 20, May 20, August 20 or November 20 of any year is not a Business Day, then the next succeeding Business Day shall be the applicable Floating Rate Interest Payment Date and interest on this Note shall be paid on such next succeeding Business Day (unless such next succeeding Business Day falls in the succeeding calendar month, in which case the applicable Floating Rate Interest Payment Date shall be the Business Day immediately preceding such February 20, May 20, August 20 or November 20, and interest on the this Note shall be paid on such immediately preceding Business Day). If the Maturity Date is not a Business Day, the payment of principal of, and interest on, this Note shall be made on the next succeeding Business Day, and no interest shall accrue for the period from and after the Maturity Date.</w:t>
      </w:r>
    </w:p>
    <w:p>
      <w:pPr>
        <w:spacing w:after="0" w:line="183"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initial Interest Period</w:t>
      </w:r>
      <w:r>
        <w:rPr>
          <w:rFonts w:ascii="Times New Roman" w:cs="Times New Roman" w:eastAsia="Times New Roman" w:hAnsi="Times New Roman"/>
          <w:sz w:val="18"/>
          <w:szCs w:val="18"/>
          <w:color w:val="auto"/>
        </w:rPr>
        <w:t>” means the period from and including May 20, 2026 to, but excluding, the first Floating Rate Interest Payment Date. Thereafter, each “</w:t>
      </w:r>
      <w:r>
        <w:rPr>
          <w:rFonts w:ascii="Times New Roman" w:cs="Times New Roman" w:eastAsia="Times New Roman" w:hAnsi="Times New Roman"/>
          <w:sz w:val="18"/>
          <w:szCs w:val="18"/>
          <w:b w:val="1"/>
          <w:bCs w:val="1"/>
          <w:i w:val="1"/>
          <w:iCs w:val="1"/>
          <w:color w:val="auto"/>
        </w:rPr>
        <w:t>Interest Period</w:t>
      </w:r>
      <w:r>
        <w:rPr>
          <w:rFonts w:ascii="Times New Roman" w:cs="Times New Roman" w:eastAsia="Times New Roman" w:hAnsi="Times New Roman"/>
          <w:sz w:val="18"/>
          <w:szCs w:val="18"/>
          <w:color w:val="auto"/>
        </w:rPr>
        <w:t>” means the period from and including a Floating Rate Interest Payment Date to, but excluding, the immediately succeeding Floating Rate Interest Payment Date (such succeeding Floating Rate Interest Payment Date, the “</w:t>
      </w:r>
      <w:r>
        <w:rPr>
          <w:rFonts w:ascii="Times New Roman" w:cs="Times New Roman" w:eastAsia="Times New Roman" w:hAnsi="Times New Roman"/>
          <w:sz w:val="18"/>
          <w:szCs w:val="18"/>
          <w:b w:val="1"/>
          <w:bCs w:val="1"/>
          <w:i w:val="1"/>
          <w:iCs w:val="1"/>
          <w:color w:val="auto"/>
        </w:rPr>
        <w:t>Latter Floating Rate Interest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the final Interest Period for the Notes shall be the period from and including the Floating Rate Interest Payment Date immediately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preceding the Maturity Date to, but excluding, the Maturity Date. Interest on the Notes shall be computed on the basis of a 360-day year and the actual number of days in the Observation Period.</w:t>
      </w:r>
    </w:p>
    <w:p>
      <w:pPr>
        <w:spacing w:after="0" w:line="18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interest rate for the initial Interest Period shall be Compounded SOFR determined on August 18, 2026, plus 0.460%. Thereafter, the interest rate for any Interest Period shall be Compounded SOFR, as determined on the applicable date that is the second U.S. Government Securities Business Day preceding such Floating Rate Interest Payment Date (the “</w:t>
      </w:r>
      <w:r>
        <w:rPr>
          <w:rFonts w:ascii="Times New Roman" w:cs="Times New Roman" w:eastAsia="Times New Roman" w:hAnsi="Times New Roman"/>
          <w:sz w:val="18"/>
          <w:szCs w:val="18"/>
          <w:b w:val="1"/>
          <w:bCs w:val="1"/>
          <w:i w:val="1"/>
          <w:iCs w:val="1"/>
          <w:color w:val="auto"/>
        </w:rPr>
        <w:t>Interest Determination Date</w:t>
      </w:r>
      <w:r>
        <w:rPr>
          <w:rFonts w:ascii="Times New Roman" w:cs="Times New Roman" w:eastAsia="Times New Roman" w:hAnsi="Times New Roman"/>
          <w:sz w:val="18"/>
          <w:szCs w:val="18"/>
          <w:color w:val="auto"/>
        </w:rPr>
        <w:t>”), plus a margin of 0.460%. In no event shall the interest on this Note higher than the maximum rate permitted by New York law as the same may be modified by United States law of general application, or lower than zero.</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amount of interest accrued and payable on the Notes for each Interest Period shall be equal to the product of (i) the outstanding principal amount of the Notes multiplied by (ii) the product of (a) the interest rate for the relevant Interest Period multiplied by (b) the quotient of the actual number of calendar days in the Observation Period divided by 360. The interest rate for any Interest Period shall not be adjusted for any modifications or amendments to the SOFR Index or SOFR data that the New York Federal Reserve may publish after the interest rate for that Interest Period has been determined.</w:t>
      </w:r>
    </w:p>
    <w:p>
      <w:pPr>
        <w:spacing w:after="0" w:line="179"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a Saturday or Sunday, that is neither a legal holiday nor a day on which banking institutions are authorized or required by law or regulation to close in the City of New York.</w:t>
      </w:r>
    </w:p>
    <w:p>
      <w:pPr>
        <w:sectPr>
          <w:pgSz w:w="11900" w:h="16838" w:orient="portrait"/>
          <w:cols w:equalWidth="0" w:num="1">
            <w:col w:w="11000"/>
          </w:cols>
          <w:pgMar w:left="440" w:top="268" w:right="459" w:bottom="1440" w:gutter="0" w:footer="0" w:header="0"/>
        </w:sectPr>
      </w:pPr>
    </w:p>
    <w:bookmarkStart w:id="164" w:name="page165"/>
    <w:bookmarkEnd w:id="164"/>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interest rate and amount of interest to be paid on the Notes for each Interest Period shall be determined by Deutsche Bank Trust Company Americas, acting as calculation agent (the “</w:t>
      </w:r>
      <w:r>
        <w:rPr>
          <w:rFonts w:ascii="Times New Roman" w:cs="Times New Roman" w:eastAsia="Times New Roman" w:hAnsi="Times New Roman"/>
          <w:sz w:val="18"/>
          <w:szCs w:val="18"/>
          <w:b w:val="1"/>
          <w:bCs w:val="1"/>
          <w:i w:val="1"/>
          <w:iCs w:val="1"/>
          <w:color w:val="auto"/>
        </w:rPr>
        <w:t>Calculation Agent</w:t>
      </w:r>
      <w:r>
        <w:rPr>
          <w:rFonts w:ascii="Times New Roman" w:cs="Times New Roman" w:eastAsia="Times New Roman" w:hAnsi="Times New Roman"/>
          <w:sz w:val="18"/>
          <w:szCs w:val="18"/>
          <w:color w:val="auto"/>
        </w:rPr>
        <w:t>”). The Calculation Agent shall, upon the request of any Holder of the Notes, provide the interest rate then in effect. All determinations made by the Calculation Agent shall, in the absence of manifest error, be conclusive for all purposes and binding on the Company and the Holders of the Notes. So long as Compounded SOFR is required to be determined with respect to the Notes, there shall at all times be a Calculation Agent. In the event that any then-acting Calculation Agent shall be unable or unwilling to act, or such Calculation Agent shall fail duly to establish Compounded SOFR for any Interest Period, or the Company proposes to remove such Calculation Agent, the Company shall appoint another Calculation Agent. The Company may appoint itself or any of its affiliates or subsidiaries as the Calculation Agent. The Company may change the Calculation Agent with respect to the Notes at any time without notice to the Holders of the Notes.</w:t>
      </w:r>
    </w:p>
    <w:p>
      <w:pPr>
        <w:spacing w:after="0" w:line="188"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This Note is issued pursuant to, and shall be governed by, that certain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dated as of February 1, 1991, between the Company and Deutsche Bank Trust Company Americas (as successor to Citibank, N.A.), as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Capitalized terms used in this Note without definition shall have the respective meanings ascribed to them in the Indenture.</w:t>
      </w:r>
    </w:p>
    <w:p>
      <w:pPr>
        <w:spacing w:after="0" w:line="175"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provisions of this Note are continued on the reverse hereof, and such continued provisions shall for all purposes have the same effect as though fully set forth at this place.</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by the manual signature of one of its authorized officers, this Note shall not be entitled to the benefit under the Indenture or be valid or obligatory for any purpose.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[This Space Intentionally Left Blank]</w:t>
      </w:r>
    </w:p>
    <w:p>
      <w:pPr>
        <w:sectPr>
          <w:pgSz w:w="11900" w:h="16838" w:orient="portrait"/>
          <w:cols w:equalWidth="0" w:num="1">
            <w:col w:w="10980"/>
          </w:cols>
          <w:pgMar w:left="440" w:top="270" w:right="4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Eli Lilly and Company has caused this instrument to be duly signed.</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ELI LILLY AND COMPANY</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Global Note]</w:t>
      </w:r>
    </w:p>
    <w:p>
      <w:pPr>
        <w:sectPr>
          <w:pgSz w:w="11900" w:h="16838" w:orient="portrait"/>
          <w:cols w:equalWidth="0" w:num="1">
            <w:col w:w="9039"/>
          </w:cols>
          <w:pgMar w:left="1420" w:top="270" w:right="1440" w:bottom="1440" w:gutter="0" w:footer="0" w:header="0"/>
        </w:sectPr>
      </w:pPr>
    </w:p>
    <w:bookmarkStart w:id="166" w:name="page167"/>
    <w:bookmarkEnd w:id="16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Securities of the series designated therein issued under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 2026</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DEUTSCHE BANK TRUST COMPANY AMERICAS, as</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1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Global Note</w:t>
      </w:r>
      <w:r>
        <w:rPr>
          <w:rFonts w:ascii="Times New Roman" w:cs="Times New Roman" w:eastAsia="Times New Roman" w:hAnsi="Times New Roman"/>
          <w:sz w:val="18"/>
          <w:szCs w:val="18"/>
          <w:color w:val="auto"/>
        </w:rPr>
        <w:t>]</w:t>
      </w:r>
    </w:p>
    <w:p>
      <w:pPr>
        <w:sectPr>
          <w:pgSz w:w="11900" w:h="16838" w:orient="portrait"/>
          <w:cols w:equalWidth="0" w:num="1">
            <w:col w:w="10860"/>
          </w:cols>
          <w:pgMar w:left="440" w:top="270" w:right="59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This Note is one of a duly authorized issue of a series of debt securities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of the Company, designated as its Floating Rate Notes due 2029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xml:space="preserve">”). The Securities, including the Notes, are all issued or to be issued under and pursuant to the Indenture, to which Indenture, and all Board Resolutions and Officers’ Certificates as provided therein, reference is hereby made for a description of the rights, limitation of rights, obligations, duties and immunities thereunder of the Company, the Trustee and the Holders of the Notes, and the terms upon which the Notes are, and are to be, authenticated and delivered. The Notes are initially limited to Five Hundred Million Dollars ($500,000,000) in aggregate principal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without the consent of the Holders of any Securities, the Company may at any time issue additional Securities having the same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Notes other than the date of original issuance and the first Floating Rate Interest Payment Date applicable to such additional Securities. Any such additional Securities shall constitute a single series of Securities with the Notes under the Indenture.</w:t>
      </w:r>
    </w:p>
    <w:p>
      <w:pPr>
        <w:spacing w:after="0" w:line="189"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This Note shall constitute part of the Company’s unsecured and unsubordinated obligations and shall rank equally in right of payment with all of the Company’s other existing and future unsecured and unsubordinated indebtedness. This Note shall be issuable in fully registered form only, in minimum denominations of two thousand Dollars ($2,000) and any integral multiples of one thousand Dollars ($1,000) in excess of that amount.</w:t>
      </w:r>
    </w:p>
    <w:p>
      <w:pPr>
        <w:spacing w:after="0" w:line="15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In case an Event of Default shall have occurred and be continuing with respect to this Note, the principal hereof may be declared due and payable, and upon such declaration shall become due and payable, in the manner, with the effect, and subject to the conditions provided in the Indenture. The Indenture permits the Holders of at least a majority in aggregate principal amount of the Notes at the time outstanding to, on behalf of the Holders of all of the Notes and in the manner and subject to the provisions of the Indenture, waive certain past defaults and rescind and annul such past declarations and their consequences under the Indenture.</w:t>
      </w:r>
    </w:p>
    <w:p>
      <w:pPr>
        <w:spacing w:after="0" w:line="18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The Indenture contains provisions permitting the Company and the Trustee, with consent of the Holders of not less than a majority of the aggregate principal amount of the Notes at the time outstanding, evidenced as provided in the Indenture, to execute supplemental indentures for the purpose of adding any provisions to or changing in any manner or eliminating any of the provisions of the Indenture or of any supplemental indenture with respect to the Notes or of modifying in any manner the rights of the Holders of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supplemental indenture shall (i) extend the fixed maturity, or the earlier optional date of maturity, if any, of any Note, or reduce the principal amount thereof or the premium thereon, if any, or reduce the rate or extend the time of payment of interest, if any, thereon or make the principal thereof or premium, if any, or interest, if any, thereon payable in any currency other than as provided pursuant to the Indenture or this Note, without the consent of the Holders of each Note so affected; or (ii) reduce the aforesaid percentage of the Notes, the Holders of which are required to consent to any such supplemental indenture, without the consent of the Holders of all Notes then outstanding.</w:t>
      </w:r>
    </w:p>
    <w:p>
      <w:pPr>
        <w:sectPr>
          <w:pgSz w:w="11900" w:h="16838" w:orient="portrait"/>
          <w:cols w:equalWidth="0" w:num="1">
            <w:col w:w="11000"/>
          </w:cols>
          <w:pgMar w:left="440" w:top="266" w:right="459" w:bottom="1440" w:gutter="0" w:footer="0" w:header="0"/>
        </w:sectPr>
      </w:pPr>
    </w:p>
    <w:bookmarkStart w:id="168" w:name="page169"/>
    <w:bookmarkEnd w:id="168"/>
    <w:p>
      <w:pPr>
        <w:ind w:left="4" w:right="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Notes shall not be redeemable, in whole or in part, prior to the Maturity Date, except pursuant to the mandatory redemption provision set forth below under “Centessa Special Mandatory Redemption.” The Notes shall not have the benefit of any sinking fund.</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Centessa Special Mandatory Redemption</w:t>
      </w:r>
    </w:p>
    <w:p>
      <w:pPr>
        <w:spacing w:after="0" w:line="11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In the event that (x) the Centessa Acquisition is not consummated on or prior to the date that is five (5) Business Days after the later of</w:t>
      </w:r>
    </w:p>
    <w:p>
      <w:pPr>
        <w:spacing w:after="0" w:line="27" w:lineRule="exact"/>
        <w:rPr>
          <w:sz w:val="20"/>
          <w:szCs w:val="20"/>
          <w:color w:val="auto"/>
        </w:rPr>
      </w:pPr>
    </w:p>
    <w:p>
      <w:pPr>
        <w:ind w:left="4" w:right="100" w:hanging="4"/>
        <w:spacing w:after="0" w:line="253" w:lineRule="auto"/>
        <w:tabs>
          <w:tab w:leader="none" w:pos="21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31, 2027 or (ii) any later date as the parties to the Centessa Agreement may agree as the “Outside Date” thereunder or (y) the Company notifies the Trustee in writing that the Company will not pursue the consummation of the Centessa Acquisition (any such event being a “</w:t>
      </w:r>
      <w:r>
        <w:rPr>
          <w:rFonts w:ascii="Times New Roman" w:cs="Times New Roman" w:eastAsia="Times New Roman" w:hAnsi="Times New Roman"/>
          <w:sz w:val="18"/>
          <w:szCs w:val="18"/>
          <w:b w:val="1"/>
          <w:bCs w:val="1"/>
          <w:i w:val="1"/>
          <w:iCs w:val="1"/>
          <w:color w:val="auto"/>
        </w:rPr>
        <w:t>Centessa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Special Mandatory Redemption Event</w:t>
      </w:r>
      <w:r>
        <w:rPr>
          <w:rFonts w:ascii="Times New Roman" w:cs="Times New Roman" w:eastAsia="Times New Roman" w:hAnsi="Times New Roman"/>
          <w:sz w:val="18"/>
          <w:szCs w:val="18"/>
          <w:color w:val="auto"/>
        </w:rPr>
        <w:t>”), the Company will be required to redeem the Notes then outstanding (such redemption, the “</w:t>
      </w:r>
      <w:r>
        <w:rPr>
          <w:rFonts w:ascii="Times New Roman" w:cs="Times New Roman" w:eastAsia="Times New Roman" w:hAnsi="Times New Roman"/>
          <w:sz w:val="18"/>
          <w:szCs w:val="18"/>
          <w:b w:val="1"/>
          <w:bCs w:val="1"/>
          <w:i w:val="1"/>
          <w:iCs w:val="1"/>
          <w:color w:val="auto"/>
        </w:rPr>
        <w:t>Centessa Special Mandatory Redemption</w:t>
      </w:r>
      <w:r>
        <w:rPr>
          <w:rFonts w:ascii="Times New Roman" w:cs="Times New Roman" w:eastAsia="Times New Roman" w:hAnsi="Times New Roman"/>
          <w:sz w:val="18"/>
          <w:szCs w:val="18"/>
          <w:color w:val="auto"/>
        </w:rPr>
        <w:t>”) at a redemption price equal to 101% of the principal amount of such Notes plus accrued and unpaid interest, if any, to, but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excluding, the Centessa Special Mandatory Redemption Date (as defined below) (the “</w:t>
      </w:r>
      <w:r>
        <w:rPr>
          <w:rFonts w:ascii="Times New Roman" w:cs="Times New Roman" w:eastAsia="Times New Roman" w:hAnsi="Times New Roman"/>
          <w:sz w:val="18"/>
          <w:szCs w:val="18"/>
          <w:b w:val="1"/>
          <w:bCs w:val="1"/>
          <w:i w:val="1"/>
          <w:iCs w:val="1"/>
          <w:color w:val="auto"/>
        </w:rPr>
        <w:t>Centessa Special Mandatory Redemption Price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In the event that the Company becomes obligated to redeem the Notes pursuant to the Centessa Special Mandatory Redemption, the Company will promptly, and in any event not more than ten (10) Business Days after the Centessa Special Mandatory Redemption Event, deliver written notice (the “</w:t>
      </w:r>
      <w:r>
        <w:rPr>
          <w:rFonts w:ascii="Times New Roman" w:cs="Times New Roman" w:eastAsia="Times New Roman" w:hAnsi="Times New Roman"/>
          <w:sz w:val="18"/>
          <w:szCs w:val="18"/>
          <w:b w:val="1"/>
          <w:bCs w:val="1"/>
          <w:i w:val="1"/>
          <w:iCs w:val="1"/>
          <w:color w:val="auto"/>
        </w:rPr>
        <w:t>Centessa Special Mandatory Redemption Notice</w:t>
      </w:r>
      <w:r>
        <w:rPr>
          <w:rFonts w:ascii="Times New Roman" w:cs="Times New Roman" w:eastAsia="Times New Roman" w:hAnsi="Times New Roman"/>
          <w:sz w:val="18"/>
          <w:szCs w:val="18"/>
          <w:color w:val="auto"/>
        </w:rPr>
        <w:t>”) to each registered Holder of the Notes and the Trustee of the Centessa Special Mandatory Redemption and the date upon which the Notes will be redeemed (the “</w:t>
      </w:r>
      <w:r>
        <w:rPr>
          <w:rFonts w:ascii="Times New Roman" w:cs="Times New Roman" w:eastAsia="Times New Roman" w:hAnsi="Times New Roman"/>
          <w:sz w:val="18"/>
          <w:szCs w:val="18"/>
          <w:b w:val="1"/>
          <w:bCs w:val="1"/>
          <w:i w:val="1"/>
          <w:iCs w:val="1"/>
          <w:color w:val="auto"/>
        </w:rPr>
        <w:t>Centessa Special Mandatory Redemption Date</w:t>
      </w:r>
      <w:r>
        <w:rPr>
          <w:rFonts w:ascii="Times New Roman" w:cs="Times New Roman" w:eastAsia="Times New Roman" w:hAnsi="Times New Roman"/>
          <w:sz w:val="18"/>
          <w:szCs w:val="18"/>
          <w:color w:val="auto"/>
        </w:rPr>
        <w:t>,” which date shall be no earlier than five (5) days and no later than thirty (30) days following the date of such notice, unless some longer minimum period may be required by DTC (or any successor depositary)). The Centessa Special Mandatory Redemption Notice will, in accordance with the Trustee’s (if applicable) and DTC’s (or any successor depositary’s) procedures, be mailed, electronically delivered, or otherwise transmitted, according to the procedures of DTC (or any successor depositary) to each registered Holder of the Notes. Any Centessa Special Mandatory Redemption Notice may be given by the Company or may be given, at the Company’s written direction, by the Trustee in the Company’s name and at the Company’s expense.</w:t>
      </w:r>
    </w:p>
    <w:p>
      <w:pPr>
        <w:spacing w:after="0" w:line="188" w:lineRule="exact"/>
        <w:rPr>
          <w:sz w:val="20"/>
          <w:szCs w:val="20"/>
          <w:color w:val="auto"/>
        </w:rPr>
      </w:pPr>
    </w:p>
    <w:p>
      <w:pPr>
        <w:ind w:left="4" w:right="220" w:firstLine="991"/>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Centessa Special Mandatory Redemption Price of the Notes, on and after such Centessa Special Mandatory Redemption Date, interest will cease to accrue on the Notes.</w:t>
      </w:r>
    </w:p>
    <w:p>
      <w:pPr>
        <w:spacing w:after="0" w:line="162" w:lineRule="exact"/>
        <w:rPr>
          <w:sz w:val="20"/>
          <w:szCs w:val="20"/>
          <w:color w:val="auto"/>
        </w:rPr>
      </w:pPr>
    </w:p>
    <w:p>
      <w:pPr>
        <w:jc w:val="both"/>
        <w:ind w:left="4" w:right="260"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the Notes that are due and payable on a Floating Rate Interest Payment Date falling on or prior to the Centessa Special Mandatory Redemption Date will be payable on such Floating Rate Interest Payment Date to the registered Holders of the Notes as of the close of business on the relevant record date in accordance with the Notes and the Indenture.</w:t>
      </w:r>
    </w:p>
    <w:p>
      <w:pPr>
        <w:spacing w:after="0" w:line="176"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Upon the consummation of the Centessa Acquisition, the foregoing provisions regarding the Centessa Special Mandatory Redemption will cease to apply. For purposes of the foregoing, the Centessa Acquisition will be deemed consummated if the closing under the Centessa Agreement occurs, including after giving effect to any amendments, modifications or waivers to the Centessa Agreement.</w:t>
      </w:r>
    </w:p>
    <w:p>
      <w:pPr>
        <w:sectPr>
          <w:pgSz w:w="11900" w:h="16838" w:orient="portrait"/>
          <w:cols w:equalWidth="0" w:num="1">
            <w:col w:w="11004"/>
          </w:cols>
          <w:pgMar w:left="436" w:top="270" w:right="459" w:bottom="1440" w:gutter="0" w:footer="0" w:header="0"/>
        </w:sectPr>
      </w:pPr>
    </w:p>
    <w:bookmarkStart w:id="169" w:name="page170"/>
    <w:bookmarkEnd w:id="16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Centessa</w:t>
      </w:r>
      <w:r>
        <w:rPr>
          <w:rFonts w:ascii="Times New Roman" w:cs="Times New Roman" w:eastAsia="Times New Roman" w:hAnsi="Times New Roman"/>
          <w:sz w:val="18"/>
          <w:szCs w:val="18"/>
          <w:color w:val="auto"/>
        </w:rPr>
        <w:t>” means Centessa Pharmaceuticals plc, a public limited company registered in England and Wales.</w:t>
      </w:r>
    </w:p>
    <w:p>
      <w:pPr>
        <w:spacing w:after="0" w:line="225"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Centessa Acquisition</w:t>
      </w:r>
      <w:r>
        <w:rPr>
          <w:rFonts w:ascii="Times New Roman" w:cs="Times New Roman" w:eastAsia="Times New Roman" w:hAnsi="Times New Roman"/>
          <w:sz w:val="18"/>
          <w:szCs w:val="18"/>
          <w:color w:val="auto"/>
        </w:rPr>
        <w:t>” means the acquisition by Eli Lilly and Company (including through the Purchaser (as defined below)) of Centessa and its subsidiaries pursuant to the Centessa Agreement.</w:t>
      </w:r>
    </w:p>
    <w:p>
      <w:pPr>
        <w:spacing w:after="0" w:line="155" w:lineRule="exact"/>
        <w:rPr>
          <w:sz w:val="20"/>
          <w:szCs w:val="20"/>
          <w:color w:val="auto"/>
        </w:rPr>
      </w:pPr>
    </w:p>
    <w:p>
      <w:pPr>
        <w:ind w:right="10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Centessa Agreement</w:t>
      </w:r>
      <w:r>
        <w:rPr>
          <w:rFonts w:ascii="Times New Roman" w:cs="Times New Roman" w:eastAsia="Times New Roman" w:hAnsi="Times New Roman"/>
          <w:sz w:val="18"/>
          <w:szCs w:val="18"/>
          <w:color w:val="auto"/>
        </w:rPr>
        <w:t>” means the Transaction Agreement, dated as of March 31, 2026, by and among Eli Lilly and Company, an Indiana corporation, LDH XV Corporation, a Delaware corporation and direct wholly owned subsidiary of Eli Lilly and Company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and Centessa, as amended, supplemented, renewed, modified or waived from time to time.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SOFR Index Unavailable</w:t>
      </w:r>
    </w:p>
    <w:p>
      <w:pPr>
        <w:spacing w:after="0" w:line="119"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If a SOFR IndexStart or SOFR IndexEnd is not published on the associated Interest Determination Date and a Benchmark Transition Event and its related Benchmark Replacement Date have not occurred with respect to the Secured Overnight Financing Rate, “</w:t>
      </w:r>
      <w:r>
        <w:rPr>
          <w:rFonts w:ascii="Times New Roman" w:cs="Times New Roman" w:eastAsia="Times New Roman" w:hAnsi="Times New Roman"/>
          <w:sz w:val="18"/>
          <w:szCs w:val="18"/>
          <w:b w:val="1"/>
          <w:bCs w:val="1"/>
          <w:i w:val="1"/>
          <w:iCs w:val="1"/>
          <w:color w:val="auto"/>
        </w:rPr>
        <w:t>Compounded SOFR</w:t>
      </w:r>
      <w:r>
        <w:rPr>
          <w:rFonts w:ascii="Times New Roman" w:cs="Times New Roman" w:eastAsia="Times New Roman" w:hAnsi="Times New Roman"/>
          <w:sz w:val="18"/>
          <w:szCs w:val="18"/>
          <w:color w:val="auto"/>
        </w:rPr>
        <w:t>” shall mean, for the applicable Interest Period for which such index is not available, the rate of return on a daily compounded interest investment calculated in accordance with the formula for SOFR Averages, and definitions required for such formula, published on the New York Federal Reserve’s Website, initially located at https://www.newyorkfed.org/markets/treasury-repo-reference-rates-information. For the purposes of this provision, references in the SOFR Averages compounding formula and related definitions to “calculation period” shall be replaced with “Observation Period” and the words “that is, 30-, 90-, or 180- calendar days” shall be removed. If the daily Secured Overnight Financing Rate (“</w:t>
      </w:r>
      <w:r>
        <w:rPr>
          <w:rFonts w:ascii="Times New Roman" w:cs="Times New Roman" w:eastAsia="Times New Roman" w:hAnsi="Times New Roman"/>
          <w:sz w:val="18"/>
          <w:szCs w:val="18"/>
          <w:b w:val="1"/>
          <w:bCs w:val="1"/>
          <w:i w:val="1"/>
          <w:iCs w:val="1"/>
          <w:color w:val="auto"/>
        </w:rPr>
        <w:t>SOFRi</w:t>
      </w:r>
      <w:r>
        <w:rPr>
          <w:rFonts w:ascii="Times New Roman" w:cs="Times New Roman" w:eastAsia="Times New Roman" w:hAnsi="Times New Roman"/>
          <w:sz w:val="18"/>
          <w:szCs w:val="18"/>
          <w:color w:val="auto"/>
        </w:rPr>
        <w:t>”) does not so appear for any day, “i” in the Observation Period, SOFRi for such day “i” shall be SOFR published in respect of the first preceding U.S. Government Securities Business Day for which the Secured Overnight Financing Rate was published on the New York Federal Reserve’s Website.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a Benchmark Transition Event</w:t>
      </w:r>
    </w:p>
    <w:p>
      <w:pPr>
        <w:spacing w:after="0" w:line="119" w:lineRule="exact"/>
        <w:rPr>
          <w:sz w:val="20"/>
          <w:szCs w:val="20"/>
          <w:color w:val="auto"/>
        </w:rPr>
      </w:pPr>
    </w:p>
    <w:p>
      <w:pPr>
        <w:ind w:right="40" w:firstLine="436"/>
        <w:spacing w:after="0" w:line="261" w:lineRule="auto"/>
        <w:tabs>
          <w:tab w:leader="none" w:pos="6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Indenture, the Notes or in any other documents relating to the Notes, if the Company or its designee determines on or prior to the relevant Reference Time that a Benchmark Transition Event and its related Benchmark Replacement Date have occurred with respect to the then-current Benchmark, the Benchmark Replacement shall replace the then-current Benchmark for all purposes relating to the Notes in respect of all determinations on such date and for all determinations on all subsequent dates.</w:t>
      </w:r>
    </w:p>
    <w:p>
      <w:pPr>
        <w:spacing w:after="0" w:line="179" w:lineRule="exact"/>
        <w:rPr>
          <w:rFonts w:ascii="Times New Roman" w:cs="Times New Roman" w:eastAsia="Times New Roman" w:hAnsi="Times New Roman"/>
          <w:sz w:val="18"/>
          <w:szCs w:val="18"/>
          <w:color w:val="auto"/>
        </w:rPr>
      </w:pPr>
    </w:p>
    <w:p>
      <w:pPr>
        <w:ind w:right="240" w:firstLine="436"/>
        <w:spacing w:after="0" w:line="282" w:lineRule="auto"/>
        <w:tabs>
          <w:tab w:leader="none" w:pos="70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implementation of a Benchmark Replacement, the Company or its designee shall have the right to make Benchmark Replacement Conforming Changes from time to time.</w:t>
      </w:r>
    </w:p>
    <w:p>
      <w:pPr>
        <w:sectPr>
          <w:pgSz w:w="11900" w:h="16838" w:orient="portrait"/>
          <w:cols w:equalWidth="0" w:num="1">
            <w:col w:w="10960"/>
          </w:cols>
          <w:pgMar w:left="440" w:top="266" w:right="499" w:bottom="1440" w:gutter="0" w:footer="0" w:header="0"/>
        </w:sectPr>
      </w:pPr>
    </w:p>
    <w:bookmarkStart w:id="170" w:name="page171"/>
    <w:bookmarkEnd w:id="170"/>
    <w:p>
      <w:pPr>
        <w:ind w:firstLine="436"/>
        <w:spacing w:after="0" w:line="266" w:lineRule="auto"/>
        <w:tabs>
          <w:tab w:leader="none" w:pos="7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determination, decision or election that may be made by the Company or its designee pursuant to the Benchmark Replacement provisions described herein, including a determination with respect to a tenor, rate or adjustment or of the occurrence or non-occurrence of an event, circumstance or date and any decision to take or refrain from taking any action or any selection:</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conclusive and binding absent manifest error;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made by the Company, shall be made in the Company’s sole discretion;</w:t>
      </w:r>
    </w:p>
    <w:p>
      <w:pPr>
        <w:spacing w:after="0" w:line="225"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made by the Company’s designee, shall be made after consultation with the Company, and such designee shall not make any such determination, decision or election to which the Company objects; and</w:t>
      </w:r>
    </w:p>
    <w:p>
      <w:pPr>
        <w:spacing w:after="0" w:line="161" w:lineRule="exact"/>
        <w:rPr>
          <w:rFonts w:ascii="Times New Roman" w:cs="Times New Roman" w:eastAsia="Times New Roman" w:hAnsi="Times New Roman"/>
          <w:sz w:val="18"/>
          <w:szCs w:val="18"/>
          <w:color w:val="auto"/>
        </w:rPr>
      </w:pPr>
    </w:p>
    <w:p>
      <w:pPr>
        <w:ind w:right="360" w:firstLine="987"/>
        <w:spacing w:after="0" w:line="282" w:lineRule="auto"/>
        <w:tabs>
          <w:tab w:leader="none" w:pos="124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Notes or in the other documents relating to the Notes, including the Indenture, shall become effective without consent from the Holders of the Notes or any other party.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used herein the following terms have the meanings assigned to them:</w:t>
      </w:r>
    </w:p>
    <w:p>
      <w:pPr>
        <w:spacing w:after="0" w:line="113" w:lineRule="exact"/>
        <w:rPr>
          <w:sz w:val="20"/>
          <w:szCs w:val="20"/>
          <w:color w:val="auto"/>
        </w:rPr>
      </w:pPr>
    </w:p>
    <w:p>
      <w:pPr>
        <w:ind w:right="12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w:t>
      </w:r>
      <w:r>
        <w:rPr>
          <w:rFonts w:ascii="Times New Roman" w:cs="Times New Roman" w:eastAsia="Times New Roman" w:hAnsi="Times New Roman"/>
          <w:sz w:val="18"/>
          <w:szCs w:val="18"/>
          <w:color w:val="auto"/>
        </w:rPr>
        <w:t xml:space="preserve">” means, initially, Compounded SOFR;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or its designee determines on or prior to the Reference Time that a Benchmark Transition Event and its related Benchmark Replacement Date have occurred with respect to Compounded SOFR (or the published daily SOFR Index used in the calculation thereof) or the then-current Benchmark, then “Benchmark” means the applicable Benchmark Replacement.</w:t>
      </w:r>
    </w:p>
    <w:p>
      <w:pPr>
        <w:spacing w:after="0" w:line="176" w:lineRule="exact"/>
        <w:rPr>
          <w:sz w:val="20"/>
          <w:szCs w:val="20"/>
          <w:color w:val="auto"/>
        </w:rPr>
      </w:pPr>
    </w:p>
    <w:p>
      <w:pPr>
        <w:ind w:right="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Replacement</w:t>
      </w:r>
      <w:r>
        <w:rPr>
          <w:rFonts w:ascii="Times New Roman" w:cs="Times New Roman" w:eastAsia="Times New Roman" w:hAnsi="Times New Roman"/>
          <w:sz w:val="18"/>
          <w:szCs w:val="18"/>
          <w:color w:val="auto"/>
        </w:rPr>
        <w:t>” means the first alternative set forth in the order below that can be determined by the Company or its designee as of the Benchmark Replacement Date:</w:t>
      </w:r>
    </w:p>
    <w:p>
      <w:pPr>
        <w:spacing w:after="0" w:line="51" w:lineRule="exact"/>
        <w:rPr>
          <w:sz w:val="20"/>
          <w:szCs w:val="20"/>
          <w:color w:val="auto"/>
        </w:rPr>
      </w:pPr>
    </w:p>
    <w:p>
      <w:pPr>
        <w:ind w:right="720" w:firstLine="987"/>
        <w:spacing w:after="0" w:line="282" w:lineRule="auto"/>
        <w:tabs>
          <w:tab w:leader="none" w:pos="124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rate of interest that has been selected or recommended by the Relevant Governmental Body as the replacement for the then-current Benchmark and (b) the Benchmark Replacement Adjustment;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ISDA Fallback Rate and (b) the Benchmark Replacement Adjustment; or</w:t>
      </w:r>
    </w:p>
    <w:p>
      <w:pPr>
        <w:spacing w:after="0" w:line="225" w:lineRule="exact"/>
        <w:rPr>
          <w:rFonts w:ascii="Times New Roman" w:cs="Times New Roman" w:eastAsia="Times New Roman" w:hAnsi="Times New Roman"/>
          <w:sz w:val="18"/>
          <w:szCs w:val="18"/>
          <w:color w:val="auto"/>
        </w:rPr>
      </w:pPr>
    </w:p>
    <w:p>
      <w:pPr>
        <w:ind w:right="200" w:firstLine="987"/>
        <w:spacing w:after="0" w:line="266" w:lineRule="auto"/>
        <w:tabs>
          <w:tab w:leader="none" w:pos="124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rate of interest that has been selected by the Company or its designee as the replacement for the then-current Benchmark giving due consideration to any industry-accepted rate of interest as a replacement for the then-current Benchmark for U.S. dollar-denominated floating rate notes at such time and (b) the Benchmark Replacement Adjustment.</w:t>
      </w:r>
    </w:p>
    <w:p>
      <w:pPr>
        <w:spacing w:after="0" w:line="176" w:lineRule="exact"/>
        <w:rPr>
          <w:sz w:val="20"/>
          <w:szCs w:val="20"/>
          <w:color w:val="auto"/>
        </w:rPr>
      </w:pPr>
    </w:p>
    <w:p>
      <w:pPr>
        <w:ind w:right="340" w:firstLine="991"/>
        <w:spacing w:after="0" w:line="254" w:lineRule="auto"/>
        <w:rPr>
          <w:sz w:val="20"/>
          <w:szCs w:val="20"/>
          <w:color w:val="auto"/>
        </w:rPr>
      </w:pPr>
      <w:r>
        <w:rPr>
          <w:rFonts w:ascii="Times New Roman" w:cs="Times New Roman" w:eastAsia="Times New Roman" w:hAnsi="Times New Roman"/>
          <w:sz w:val="18"/>
          <w:szCs w:val="18"/>
          <w:color w:val="auto"/>
        </w:rPr>
        <w:t>None of the Trustee, the Calculation Agent or the Paying Agent shall be under any obligation, to select, determine or designate any Benchmark Replacement or shall have any liability for any determination made by or on behalf of the Company or its designee in connection with a Benchmark Transition Event or a Benchmark Replacement, and each Holder, by its acceptance of a Note or a beneficial interest in a Note, shall be deemed to waive, release, and covenant not to assert any claims against the Trustee, the Calculation Agent or the Paying Agent relating to any such determinations. Without limiting the generality of the foregoing, none of the Trustee, the Calculation Agent or the Paying Agent shall have any responsibility to determine whether any manifest error has occurred and may conclusively assume that no manifest error exists and shall suffer no liability in so assuming. For the avoidance of doubt, the Company’s designee shall not be the Trustee or the Calculation Agent unless the Trustee or Calculation Agent, as applicable, agrees in writing.</w:t>
      </w:r>
    </w:p>
    <w:p>
      <w:pPr>
        <w:sectPr>
          <w:pgSz w:w="11900" w:h="16838" w:orient="portrait"/>
          <w:cols w:equalWidth="0" w:num="1">
            <w:col w:w="11000"/>
          </w:cols>
          <w:pgMar w:left="440" w:top="270" w:right="459" w:bottom="1440" w:gutter="0" w:footer="0" w:header="0"/>
        </w:sectPr>
      </w:pPr>
    </w:p>
    <w:bookmarkStart w:id="171" w:name="page172"/>
    <w:bookmarkEnd w:id="171"/>
    <w:p>
      <w:pPr>
        <w:ind w:right="6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Benchmark Replacement Adjustment</w:t>
      </w:r>
      <w:r>
        <w:rPr>
          <w:rFonts w:ascii="Times New Roman" w:cs="Times New Roman" w:eastAsia="Times New Roman" w:hAnsi="Times New Roman"/>
          <w:sz w:val="18"/>
          <w:szCs w:val="18"/>
          <w:color w:val="auto"/>
        </w:rPr>
        <w:t>” means the first alternative set forth in the order below that can be determined by the Company or its designee as of the Benchmark Replacement Date:</w:t>
      </w:r>
    </w:p>
    <w:p>
      <w:pPr>
        <w:spacing w:after="0" w:line="51" w:lineRule="exact"/>
        <w:rPr>
          <w:sz w:val="20"/>
          <w:szCs w:val="20"/>
          <w:color w:val="auto"/>
        </w:rPr>
      </w:pPr>
    </w:p>
    <w:p>
      <w:pPr>
        <w:jc w:val="both"/>
        <w:ind w:right="520" w:firstLine="987"/>
        <w:spacing w:after="0" w:line="282" w:lineRule="auto"/>
        <w:tabs>
          <w:tab w:leader="none" w:pos="124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(which may be a positive or negative value or zero), or method for calculating or determining such spread adjustment, that has been selected or recommended by the Relevant Governmental Body for the applicable Unadjusted Benchmark Replacement;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Unadjusted Benchmark Replacement is equivalent to the ISDA Fallback Rate, the ISDA Fallback Adjustment; or</w:t>
      </w:r>
    </w:p>
    <w:p>
      <w:pPr>
        <w:spacing w:after="0" w:line="225" w:lineRule="exact"/>
        <w:rPr>
          <w:rFonts w:ascii="Times New Roman" w:cs="Times New Roman" w:eastAsia="Times New Roman" w:hAnsi="Times New Roman"/>
          <w:sz w:val="18"/>
          <w:szCs w:val="18"/>
          <w:color w:val="auto"/>
        </w:rPr>
      </w:pPr>
    </w:p>
    <w:p>
      <w:pPr>
        <w:ind w:firstLine="987"/>
        <w:spacing w:after="0" w:line="289" w:lineRule="auto"/>
        <w:tabs>
          <w:tab w:leader="none" w:pos="1246"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spread adjustment (which may be a positive or negative value or zero) that has been selected by the Company or its designee giving due consideration to any industry-accepted spread adjustment, or method for calculating or determining such spread adjustment, for the replacement of the then-current Benchmark with the applicable Unadjusted Benchmark Replacement for U.S. dollar-denominated floating rate notes at such time.</w:t>
      </w:r>
    </w:p>
    <w:p>
      <w:pPr>
        <w:spacing w:after="0" w:line="154" w:lineRule="exact"/>
        <w:rPr>
          <w:sz w:val="20"/>
          <w:szCs w:val="20"/>
          <w:color w:val="auto"/>
        </w:rPr>
      </w:pPr>
    </w:p>
    <w:p>
      <w:pPr>
        <w:ind w:right="160" w:firstLine="991"/>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Benchmark Replacement Conforming Changes</w:t>
      </w:r>
      <w:r>
        <w:rPr>
          <w:rFonts w:ascii="Times New Roman" w:cs="Times New Roman" w:eastAsia="Times New Roman" w:hAnsi="Times New Roman"/>
          <w:sz w:val="17"/>
          <w:szCs w:val="17"/>
          <w:color w:val="auto"/>
        </w:rPr>
        <w:t>” means, with respect to any Benchmark Replacement, any technical, administrative or operational changes (including changes to the definition or interpretation of the Interest Period, timing and frequency of determining rates and making payments of interest, rounding of amounts or tenors and other administrative matters) that the Company or its designee decide may be appropriate to reflect the adoption of such Benchmark Replacement in a manner substantially consistent with market practice (or, if the Company or its designee decide that adoption of any portion of such market practice is not administratively feasible or if the Company or its designee determine that no market practice for use of the Benchmark Replacement exists, in such other manner as the Company or its designee determine is reasonably practicable).</w:t>
      </w:r>
    </w:p>
    <w:p>
      <w:pPr>
        <w:spacing w:after="0" w:line="168" w:lineRule="exact"/>
        <w:rPr>
          <w:sz w:val="20"/>
          <w:szCs w:val="20"/>
          <w:color w:val="auto"/>
        </w:rPr>
      </w:pPr>
    </w:p>
    <w:p>
      <w:pPr>
        <w:ind w:right="7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 (including any daily published component used in the calculation thereof):</w:t>
      </w:r>
    </w:p>
    <w:p>
      <w:pPr>
        <w:spacing w:after="0" w:line="51" w:lineRule="exact"/>
        <w:rPr>
          <w:sz w:val="20"/>
          <w:szCs w:val="20"/>
          <w:color w:val="auto"/>
        </w:rPr>
      </w:pPr>
    </w:p>
    <w:p>
      <w:pPr>
        <w:ind w:right="320" w:firstLine="987"/>
        <w:spacing w:after="0" w:line="266" w:lineRule="auto"/>
        <w:tabs>
          <w:tab w:leader="none" w:pos="124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(or such component); or</w:t>
      </w:r>
    </w:p>
    <w:p>
      <w:pPr>
        <w:spacing w:after="0" w:line="175" w:lineRule="exact"/>
        <w:rPr>
          <w:rFonts w:ascii="Times New Roman" w:cs="Times New Roman" w:eastAsia="Times New Roman" w:hAnsi="Times New Roman"/>
          <w:sz w:val="18"/>
          <w:szCs w:val="18"/>
          <w:color w:val="auto"/>
        </w:rPr>
      </w:pPr>
    </w:p>
    <w:p>
      <w:pPr>
        <w:ind w:right="800" w:firstLine="987"/>
        <w:spacing w:after="0" w:line="282" w:lineRule="auto"/>
        <w:tabs>
          <w:tab w:leader="none" w:pos="124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date of the public statement or publication of information referenced therein.</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For the avoidance of doubt, if the event that gives rise to the Benchmark Replacement Date occurs on the same day as, but earlier than, the Reference Time in respect of any determination, the Benchmark Replacement Date shall be deemed to have occurred prior to the Reference Time for such determination.</w:t>
      </w:r>
    </w:p>
    <w:p>
      <w:pPr>
        <w:sectPr>
          <w:pgSz w:w="11900" w:h="16838" w:orient="portrait"/>
          <w:cols w:equalWidth="0" w:num="1">
            <w:col w:w="11000"/>
          </w:cols>
          <w:pgMar w:left="440" w:top="266" w:right="459" w:bottom="1440" w:gutter="0" w:footer="0" w:header="0"/>
        </w:sectPr>
      </w:pPr>
    </w:p>
    <w:bookmarkStart w:id="172" w:name="page173"/>
    <w:bookmarkEnd w:id="172"/>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for purposes of the definitions of Benchmark Replacement Date and Benchmark Transition Event, references to Benchmark also include any reference rate underlying such Benchmark.</w:t>
      </w:r>
    </w:p>
    <w:p>
      <w:pPr>
        <w:spacing w:after="0" w:line="158" w:lineRule="exact"/>
        <w:rPr>
          <w:sz w:val="20"/>
          <w:szCs w:val="20"/>
          <w:color w:val="auto"/>
        </w:rPr>
      </w:pPr>
    </w:p>
    <w:p>
      <w:pPr>
        <w:ind w:right="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 (including the daily published component used in the calculation thereof):</w:t>
      </w:r>
    </w:p>
    <w:p>
      <w:pPr>
        <w:spacing w:after="0" w:line="51" w:lineRule="exact"/>
        <w:rPr>
          <w:sz w:val="20"/>
          <w:szCs w:val="20"/>
          <w:color w:val="auto"/>
        </w:rPr>
      </w:pPr>
    </w:p>
    <w:p>
      <w:pPr>
        <w:ind w:right="20" w:firstLine="987"/>
        <w:spacing w:after="0" w:line="266" w:lineRule="auto"/>
        <w:tabs>
          <w:tab w:leader="none" w:pos="12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the Benchmark (or such component) announcing that such administrator has ceased or shall cease to provide the Benchmark (or such component), permanently or indefinitely;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shall continue to provide the Benchmark (or such component);</w:t>
      </w:r>
    </w:p>
    <w:p>
      <w:pPr>
        <w:spacing w:after="0" w:line="175"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the Benchmark (or such component), the central bank for the currency of the Benchmark (or such component), an insolvency official with jurisdiction over the administrator for the Benchmark (or such component), a resolution authority with jurisdiction over the administrator for the Benchmark (or such component) or a court or an entity with similar insolvency or resolution authority over the administrator for the Benchmark (or such component), which states that the administrator of the Benchmark (or such component) has ceased or shall cease to provide the Benchmark (or such component) permanently or indefinitely;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shall continue to provide the Benchmark (or such component); or</w:t>
      </w:r>
    </w:p>
    <w:p>
      <w:pPr>
        <w:spacing w:after="0" w:line="188"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the Benchmark announcing that the Benchmark is no longer representative.</w:t>
      </w:r>
    </w:p>
    <w:p>
      <w:pPr>
        <w:spacing w:after="0" w:line="158" w:lineRule="exact"/>
        <w:rPr>
          <w:sz w:val="20"/>
          <w:szCs w:val="20"/>
          <w:color w:val="auto"/>
        </w:rPr>
      </w:pPr>
    </w:p>
    <w:p>
      <w:pPr>
        <w:ind w:right="220" w:firstLine="991"/>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Compounded SOFR</w:t>
      </w:r>
      <w:r>
        <w:rPr>
          <w:rFonts w:ascii="Times New Roman" w:cs="Times New Roman" w:eastAsia="Times New Roman" w:hAnsi="Times New Roman"/>
          <w:sz w:val="17"/>
          <w:szCs w:val="17"/>
          <w:color w:val="auto"/>
        </w:rPr>
        <w:t>” means, with respect to any Interest Period, the rate computed in accordance with the following formula set forth below (and the resulting percentage shall be rounded, if necessary, to the nearest one hundred-thousandth of a percentage point (e.g., 9.753973% (or .09753973) being rounded down to 9.75397% (or .0975397) and 9.753978% (or .09753978) being rounded up to 9.75398% (or .0975398))):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128270</wp:posOffset>
            </wp:positionV>
            <wp:extent cx="1859915" cy="3511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185991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w:t>
      </w:r>
    </w:p>
    <w:p>
      <w:pPr>
        <w:spacing w:after="0" w:line="113"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 IndexStart</w:t>
      </w:r>
      <w:r>
        <w:rPr>
          <w:rFonts w:ascii="Times New Roman" w:cs="Times New Roman" w:eastAsia="Times New Roman" w:hAnsi="Times New Roman"/>
          <w:sz w:val="18"/>
          <w:szCs w:val="18"/>
          <w:color w:val="auto"/>
        </w:rPr>
        <w:t>” is the SOFR Index value for the day that is two U.S. Government Securities Business Days preceding the first date of the relevant Interest Period;</w:t>
      </w:r>
    </w:p>
    <w:p>
      <w:pPr>
        <w:sectPr>
          <w:pgSz w:w="11900" w:h="16838" w:orient="portrait"/>
          <w:cols w:equalWidth="0" w:num="1">
            <w:col w:w="10980"/>
          </w:cols>
          <w:pgMar w:left="440" w:top="270" w:right="479" w:bottom="1440" w:gutter="0" w:footer="0" w:header="0"/>
        </w:sectPr>
      </w:pPr>
    </w:p>
    <w:bookmarkStart w:id="173" w:name="page174"/>
    <w:bookmarkEnd w:id="173"/>
    <w:p>
      <w:pPr>
        <w:ind w:right="44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SOFR IndexEnd</w:t>
      </w:r>
      <w:r>
        <w:rPr>
          <w:rFonts w:ascii="Times New Roman" w:cs="Times New Roman" w:eastAsia="Times New Roman" w:hAnsi="Times New Roman"/>
          <w:sz w:val="18"/>
          <w:szCs w:val="18"/>
          <w:color w:val="auto"/>
        </w:rPr>
        <w:t>” is the SOFR Index value for the day that is two U.S. Government Securities Business Days preceding the Latter Floating Rate Interest Payment Date relating to such Interest Period (or in the final Interest Period, preceding the Maturity Date); and</w:t>
      </w:r>
    </w:p>
    <w:p>
      <w:pPr>
        <w:spacing w:after="0" w:line="155"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dc</w:t>
      </w:r>
      <w:r>
        <w:rPr>
          <w:rFonts w:ascii="Times New Roman" w:cs="Times New Roman" w:eastAsia="Times New Roman" w:hAnsi="Times New Roman"/>
          <w:sz w:val="18"/>
          <w:szCs w:val="18"/>
          <w:color w:val="auto"/>
        </w:rPr>
        <w:t>” is the actual number of calendar days from (and including) SOFR IndexStart to (but excluding) SOFR IndexEnd (the actual number of calendar days in the applicable Observation Period).</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purposes of determining Compounded SOFR, “SOFR Index” means, with respect to any U.S. Government Securities Business Day:</w:t>
      </w:r>
    </w:p>
    <w:p>
      <w:pPr>
        <w:spacing w:after="0" w:line="117" w:lineRule="exact"/>
        <w:rPr>
          <w:sz w:val="20"/>
          <w:szCs w:val="20"/>
          <w:color w:val="auto"/>
        </w:rPr>
      </w:pPr>
    </w:p>
    <w:p>
      <w:pPr>
        <w:jc w:val="both"/>
        <w:ind w:left="1420" w:right="480" w:firstLine="871"/>
        <w:spacing w:after="0" w:line="266" w:lineRule="auto"/>
        <w:tabs>
          <w:tab w:leader="none" w:pos="2527"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SOFR Index value as published by the New York Federal Reserve as such index appears on the New York Federal Reserve’s Website at 3:00 p.m. (New York City time) on such U.S. Government Securities Business Day (the “SOFR Determination Time”); provided that:</w:t>
      </w:r>
    </w:p>
    <w:p>
      <w:pPr>
        <w:spacing w:after="0" w:line="67" w:lineRule="exact"/>
        <w:rPr>
          <w:rFonts w:ascii="Times New Roman" w:cs="Times New Roman" w:eastAsia="Times New Roman" w:hAnsi="Times New Roman"/>
          <w:sz w:val="18"/>
          <w:szCs w:val="18"/>
          <w:color w:val="auto"/>
        </w:rPr>
      </w:pPr>
    </w:p>
    <w:p>
      <w:pPr>
        <w:ind w:left="2540" w:hanging="249"/>
        <w:spacing w:after="0"/>
        <w:tabs>
          <w:tab w:leader="none" w:pos="25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SOFR Index value does not so appear as specified in clause (1) above at the SOFR Determination Time, then:</w:t>
      </w:r>
    </w:p>
    <w:p>
      <w:pPr>
        <w:spacing w:after="0" w:line="130" w:lineRule="exact"/>
        <w:rPr>
          <w:rFonts w:ascii="Times New Roman" w:cs="Times New Roman" w:eastAsia="Times New Roman" w:hAnsi="Times New Roman"/>
          <w:sz w:val="18"/>
          <w:szCs w:val="18"/>
          <w:color w:val="auto"/>
        </w:rPr>
      </w:pPr>
    </w:p>
    <w:p>
      <w:pPr>
        <w:jc w:val="both"/>
        <w:ind w:left="1420" w:right="420" w:hanging="439"/>
        <w:spacing w:after="0" w:line="266" w:lineRule="auto"/>
        <w:tabs>
          <w:tab w:leader="none" w:pos="14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Benchmark Transition Event and its related Benchmark Replacement Date (each as defined below) have not occurred with respect to SOFR, then Compounded SOFR shall be the rate determined pursuant to the “SOFR Index Unavailable” provisions described below; or</w:t>
      </w:r>
    </w:p>
    <w:p>
      <w:pPr>
        <w:spacing w:after="0" w:line="81" w:lineRule="exact"/>
        <w:rPr>
          <w:rFonts w:ascii="Times New Roman" w:cs="Times New Roman" w:eastAsia="Times New Roman" w:hAnsi="Times New Roman"/>
          <w:sz w:val="18"/>
          <w:szCs w:val="18"/>
          <w:color w:val="auto"/>
        </w:rPr>
      </w:pPr>
    </w:p>
    <w:p>
      <w:pPr>
        <w:ind w:left="1420" w:right="300" w:hanging="439"/>
        <w:spacing w:after="0" w:line="266" w:lineRule="auto"/>
        <w:tabs>
          <w:tab w:leader="none" w:pos="14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Benchmark Transition Event and its related Benchmark Replacement Date have occurred with respect to SOFR, then Compounded SOFR shall be the rate determined pursuant to the “Effect of a Benchmark Transition Event” provisions described below.</w:t>
      </w:r>
    </w:p>
    <w:p>
      <w:pPr>
        <w:spacing w:after="0" w:line="172"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ISDA Definitions</w:t>
      </w:r>
      <w:r>
        <w:rPr>
          <w:rFonts w:ascii="Times New Roman" w:cs="Times New Roman" w:eastAsia="Times New Roman" w:hAnsi="Times New Roman"/>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w:t>
      </w:r>
    </w:p>
    <w:p>
      <w:pPr>
        <w:spacing w:after="0" w:line="171" w:lineRule="exact"/>
        <w:rPr>
          <w:sz w:val="20"/>
          <w:szCs w:val="20"/>
          <w:color w:val="auto"/>
        </w:rPr>
      </w:pPr>
    </w:p>
    <w:p>
      <w:pPr>
        <w:ind w:right="40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ISDA Fallback Adjustment</w:t>
      </w:r>
      <w:r>
        <w:rPr>
          <w:rFonts w:ascii="Times New Roman" w:cs="Times New Roman" w:eastAsia="Times New Roman" w:hAnsi="Times New Roman"/>
          <w:sz w:val="18"/>
          <w:szCs w:val="18"/>
          <w:color w:val="auto"/>
        </w:rPr>
        <w:t>” means the spread adjustment (which may be a positive or negative value or zero) that would apply for derivatives transactions referencing the ISDA Definitions to be determined upon the occurrence of an index cessation event with respect to the Benchmark.</w:t>
      </w:r>
    </w:p>
    <w:p>
      <w:pPr>
        <w:spacing w:after="0" w:line="171" w:lineRule="exact"/>
        <w:rPr>
          <w:sz w:val="20"/>
          <w:szCs w:val="20"/>
          <w:color w:val="auto"/>
        </w:rPr>
      </w:pPr>
    </w:p>
    <w:p>
      <w:pPr>
        <w:ind w:right="20" w:firstLine="991"/>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ISDA Fallback Rate</w:t>
      </w:r>
      <w:r>
        <w:rPr>
          <w:rFonts w:ascii="Times New Roman" w:cs="Times New Roman" w:eastAsia="Times New Roman" w:hAnsi="Times New Roman"/>
          <w:sz w:val="17"/>
          <w:szCs w:val="17"/>
          <w:color w:val="auto"/>
        </w:rPr>
        <w:t>”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sectPr>
          <w:pgSz w:w="11900" w:h="16838" w:orient="portrait"/>
          <w:cols w:equalWidth="0" w:num="1">
            <w:col w:w="10940"/>
          </w:cols>
          <w:pgMar w:left="440" w:top="266" w:right="519" w:bottom="1440" w:gutter="0" w:footer="0" w:header="0"/>
        </w:sectPr>
      </w:pPr>
    </w:p>
    <w:bookmarkStart w:id="174" w:name="page175"/>
    <w:bookmarkEnd w:id="174"/>
    <w:p>
      <w:pPr>
        <w:ind w:right="54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New York Federal Reserve</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155" w:lineRule="exact"/>
        <w:rPr>
          <w:sz w:val="20"/>
          <w:szCs w:val="20"/>
          <w:color w:val="auto"/>
        </w:rPr>
      </w:pPr>
    </w:p>
    <w:p>
      <w:pPr>
        <w:ind w:right="1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New York Federal Reserve’s Website</w:t>
      </w:r>
      <w:r>
        <w:rPr>
          <w:rFonts w:ascii="Times New Roman" w:cs="Times New Roman" w:eastAsia="Times New Roman" w:hAnsi="Times New Roman"/>
          <w:sz w:val="18"/>
          <w:szCs w:val="18"/>
          <w:color w:val="auto"/>
        </w:rPr>
        <w:t>” means the website of the New York Federal Reserve, currently at http://www.newyorkfed.org, or any successor source.</w:t>
      </w:r>
    </w:p>
    <w:p>
      <w:pPr>
        <w:spacing w:after="0" w:line="155" w:lineRule="exact"/>
        <w:rPr>
          <w:sz w:val="20"/>
          <w:szCs w:val="20"/>
          <w:color w:val="auto"/>
        </w:rPr>
      </w:pPr>
    </w:p>
    <w:p>
      <w:pPr>
        <w:ind w:right="40"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Observation Period</w:t>
      </w:r>
      <w:r>
        <w:rPr>
          <w:rFonts w:ascii="Times New Roman" w:cs="Times New Roman" w:eastAsia="Times New Roman" w:hAnsi="Times New Roman"/>
          <w:sz w:val="18"/>
          <w:szCs w:val="18"/>
          <w:color w:val="auto"/>
        </w:rPr>
        <w:t xml:space="preserve">” means, in respect of each Interest Period, the period from and including two U.S. Government Securities Business Days preceding the first date of such relevant Interest Period to but excluding two U.S. Government Securities Business Days preceding the Latter Floating Rate Interest Payment Date for such Interest Period (or in the final Interest Period, preceding the Maturity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first Observation Period shall be the period from and including two U.S. Government Securities Business Days preceding the settlement date of the Notes to, but excluding, the two U.S. Government Securities Business Days preceding the first Floating Rate Interest Payment Date.</w:t>
      </w:r>
    </w:p>
    <w:p>
      <w:pPr>
        <w:spacing w:after="0" w:line="179" w:lineRule="exact"/>
        <w:rPr>
          <w:sz w:val="20"/>
          <w:szCs w:val="20"/>
          <w:color w:val="auto"/>
        </w:rPr>
      </w:pPr>
    </w:p>
    <w:p>
      <w:pPr>
        <w:ind w:right="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Reference Time</w:t>
      </w:r>
      <w:r>
        <w:rPr>
          <w:rFonts w:ascii="Times New Roman" w:cs="Times New Roman" w:eastAsia="Times New Roman" w:hAnsi="Times New Roman"/>
          <w:sz w:val="18"/>
          <w:szCs w:val="18"/>
          <w:color w:val="auto"/>
        </w:rPr>
        <w:t>” with respect to any determination of the Benchmark means (1) if the Benchmark is Compounded SOFR, the SOFR Determination Time, and (2) if the Benchmark is not Compounded SOFR, the time determined by the Company or its designee after giving effect to the Benchmark Replacement Conforming Changes.</w:t>
      </w:r>
    </w:p>
    <w:p>
      <w:pPr>
        <w:spacing w:after="0" w:line="171" w:lineRule="exact"/>
        <w:rPr>
          <w:sz w:val="20"/>
          <w:szCs w:val="20"/>
          <w:color w:val="auto"/>
        </w:rPr>
      </w:pPr>
    </w:p>
    <w:p>
      <w:pPr>
        <w:ind w:right="660" w:firstLine="991"/>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Relevant Governmental Body</w:t>
      </w:r>
      <w:r>
        <w:rPr>
          <w:rFonts w:ascii="Times New Roman" w:cs="Times New Roman" w:eastAsia="Times New Roman" w:hAnsi="Times New Roman"/>
          <w:sz w:val="17"/>
          <w:szCs w:val="17"/>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32"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Secured Overnight Financing Rate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SOFR</w:t>
      </w:r>
      <w:r>
        <w:rPr>
          <w:rFonts w:ascii="Times New Roman" w:cs="Times New Roman" w:eastAsia="Times New Roman" w:hAnsi="Times New Roman"/>
          <w:sz w:val="18"/>
          <w:szCs w:val="18"/>
          <w:color w:val="auto"/>
        </w:rPr>
        <w:t>” means the daily secured overnight financing rate as provided by the New York Federal Reserve on the New York Federal Reserve’s Website.</w:t>
      </w:r>
    </w:p>
    <w:p>
      <w:pPr>
        <w:spacing w:after="0" w:line="155" w:lineRule="exact"/>
        <w:rPr>
          <w:sz w:val="20"/>
          <w:szCs w:val="20"/>
          <w:color w:val="auto"/>
        </w:rPr>
      </w:pPr>
    </w:p>
    <w:p>
      <w:pPr>
        <w:jc w:val="both"/>
        <w:ind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 Securities Business Day</w:t>
      </w:r>
      <w:r>
        <w:rPr>
          <w:rFonts w:ascii="Times New Roman" w:cs="Times New Roman" w:eastAsia="Times New Roman" w:hAnsi="Times New Roman"/>
          <w:sz w:val="18"/>
          <w:szCs w:val="18"/>
          <w:color w:val="auto"/>
        </w:rPr>
        <w:t>” means any day except for a Saturday, a Sunday or a day on which the Securities Industry and Financial Markets Association recommends that the fixed income departments of its members be closed for the entire day for purposes of trading in U.S. government securities.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Unadjusted Benchmark Replacement</w:t>
      </w:r>
      <w:r>
        <w:rPr>
          <w:rFonts w:ascii="Times New Roman" w:cs="Times New Roman" w:eastAsia="Times New Roman" w:hAnsi="Times New Roman"/>
          <w:sz w:val="18"/>
          <w:szCs w:val="18"/>
          <w:color w:val="auto"/>
        </w:rPr>
        <w:t>” means the Benchmark Replacement excluding the Benchmark Replacement Adjustment.</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Notes are subject to the defeasance provisions set forth in Section 12.02 of the Indenture.</w:t>
      </w:r>
    </w:p>
    <w:p>
      <w:pPr>
        <w:spacing w:after="0" w:line="225"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The Company shall not pay any additional amounts on any of the Notes to any person, including any Holder who is not a United States person in respect of any tax, assessment or governmental charge withheld or deducted.</w:t>
      </w:r>
    </w:p>
    <w:p>
      <w:pPr>
        <w:spacing w:after="0" w:line="162"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Note or of the Indenture or of any Board Resolution shall alter or impair the obligation of the Company, which is absolute and unconditional, to pay the principal of and premium, if any, and interest on this Note at the times and places and at the rate and in the coin and currency herein prescribed.</w:t>
      </w:r>
    </w:p>
    <w:p>
      <w:pPr>
        <w:sectPr>
          <w:pgSz w:w="11900" w:h="16838" w:orient="portrait"/>
          <w:cols w:equalWidth="0" w:num="1">
            <w:col w:w="11000"/>
          </w:cols>
          <w:pgMar w:left="440" w:top="266" w:right="459" w:bottom="1440" w:gutter="0" w:footer="0" w:header="0"/>
        </w:sectPr>
      </w:pPr>
    </w:p>
    <w:bookmarkStart w:id="175" w:name="page176"/>
    <w:bookmarkEnd w:id="175"/>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Note is transferable by the Holder hereof in person or by his or her attorney duly authorized in writing on the books of the Company at the office or agency to be maintained by the Company for that purpose in the City of New York, but only in the manner, subject to the limitations and upon payment of any tax or governmental charge for which the Company may require reimbursement as provided in the Indenture, and upon surrender and cancellation of this Note. Upon any registration of transfer, a new registered Note or Notes, of authorized denomination or authorized denominations and like tenor and terms, and in the same aggregate principal amount, shall be issued to the transferee in exchange therefor.</w:t>
      </w:r>
    </w:p>
    <w:p>
      <w:pPr>
        <w:spacing w:after="0" w:line="183"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The Company, the Trustee, any Paying Agent, any Calculation Agent and any Security Registrar may deem and treat the Holder hereof as the absolute owner of this Note (whether or not this Note shall be overdue and notwithstanding any notations of ownership or other writing hereon made by anyone other than the Security Registrar) for the purpose of receiving payment of or on account of the principal hereof and premium, if any, and interest due hereon as herein provided and for all other purposes, and none of the Company, the Trustee, any Paying Agent, any Calculation Agent or any Security Registrar shall be affected by any notice to the contrary.</w:t>
      </w:r>
    </w:p>
    <w:p>
      <w:pPr>
        <w:spacing w:after="0" w:line="183"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if any, or interest on this Note, or for any claim based hereon, or otherwise in respect hereof, or based on or in respect of the Indenture or any supplemental indenture thereto or any Board Resolution, against any Person other than the Company or against any incorporator, stockholder, officer or director, past, present or future, as such, of the Company or any other Person, whether by virtue of any constitution, statute or rule of law, or by the enforcement of any assessment or penalty or otherwise, all such liability being, by the acceptance hereof and as part of the consideration for the issuance of this Note, expressly waived and released.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Note shall be governed by and construed in accordance with the laws of the State of New York.</w:t>
      </w:r>
    </w:p>
    <w:p>
      <w:pPr>
        <w:sectPr>
          <w:pgSz w:w="11900" w:h="16838" w:orient="portrait"/>
          <w:cols w:equalWidth="0" w:num="1">
            <w:col w:w="11020"/>
          </w:cols>
          <w:pgMar w:left="440" w:top="270" w:right="4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173990</wp:posOffset>
            </wp:positionV>
            <wp:extent cx="1988820" cy="2057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198882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640" w:type="dxa"/>
        <w:tblCellMar>
          <w:top w:w="0" w:type="dxa"/>
          <w:left w:w="0" w:type="dxa"/>
          <w:bottom w:w="0" w:type="dxa"/>
          <w:right w:w="0" w:type="dxa"/>
        </w:tblCellMar>
      </w:tblPr>
      <w:tr>
        <w:trPr>
          <w:trHeight w:val="216"/>
        </w:trPr>
        <w:tc>
          <w:tcPr>
            <w:tcW w:w="280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8"/>
              </w:rPr>
              <w:t>601 Lexington Avenue</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8"/>
              </w:rPr>
              <w:t>New York, NY 10022</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9"/>
              </w:rPr>
              <w:t>United States</w:t>
            </w:r>
          </w:p>
        </w:tc>
        <w:tc>
          <w:tcPr>
            <w:tcW w:w="23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Facsimile:</w:t>
            </w:r>
          </w:p>
        </w:tc>
        <w:tc>
          <w:tcPr>
            <w:tcW w:w="0" w:type="dxa"/>
            <w:vAlign w:val="bottom"/>
          </w:tcPr>
          <w:p>
            <w:pPr>
              <w:spacing w:after="0"/>
              <w:rPr>
                <w:sz w:val="1"/>
                <w:szCs w:val="1"/>
                <w:color w:val="auto"/>
              </w:rPr>
            </w:pPr>
          </w:p>
        </w:tc>
      </w:tr>
      <w:tr>
        <w:trPr>
          <w:trHeight w:val="234"/>
        </w:trPr>
        <w:tc>
          <w:tcPr>
            <w:tcW w:w="2800" w:type="dxa"/>
            <w:vAlign w:val="bottom"/>
            <w:vMerge w:val="restart"/>
          </w:tcPr>
          <w:p>
            <w:pPr>
              <w:jc w:val="center"/>
              <w:ind w:right="1090"/>
              <w:spacing w:after="0"/>
              <w:rPr>
                <w:sz w:val="20"/>
                <w:szCs w:val="20"/>
                <w:color w:val="auto"/>
              </w:rPr>
            </w:pPr>
            <w:r>
              <w:rPr>
                <w:rFonts w:ascii="Times New Roman" w:cs="Times New Roman" w:eastAsia="Times New Roman" w:hAnsi="Times New Roman"/>
                <w:sz w:val="18"/>
                <w:szCs w:val="18"/>
                <w:color w:val="auto"/>
                <w:w w:val="99"/>
              </w:rPr>
              <w:t>+1 212 446 4800</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+1 212 446 4900</w:t>
            </w:r>
          </w:p>
        </w:tc>
        <w:tc>
          <w:tcPr>
            <w:tcW w:w="0" w:type="dxa"/>
            <w:vAlign w:val="bottom"/>
          </w:tcPr>
          <w:p>
            <w:pPr>
              <w:spacing w:after="0"/>
              <w:rPr>
                <w:sz w:val="1"/>
                <w:szCs w:val="1"/>
                <w:color w:val="auto"/>
              </w:rPr>
            </w:pPr>
          </w:p>
        </w:tc>
      </w:tr>
      <w:tr>
        <w:trPr>
          <w:trHeight w:val="108"/>
        </w:trPr>
        <w:tc>
          <w:tcPr>
            <w:tcW w:w="2800" w:type="dxa"/>
            <w:vAlign w:val="bottom"/>
            <w:vMerge w:val="continue"/>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280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www.kirkland.com</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80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9"/>
              </w:rPr>
              <w:t>May 20, 2026</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 Lilly and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Lilly Corporate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 46285</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tab/>
        <w:t>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7"/>
          <w:szCs w:val="17"/>
          <w:color w:val="auto"/>
        </w:rPr>
        <w:t>We are issuing this opinion letter in our capacity as special counsel for Eli Lilly and Company, an Indiana corporation (the “Company”), in connection with the registration by the Company of $750,000,000 aggregate principal amount of the Company’s Floating Rate Notes due 2028 (the “2028 Floating Rate Notes”), $500,000,000 aggregate principal amount of the Company’s Floating Rate Notes due 2029 (the “2029 Floating Rate Notes”), $750,000,000 aggregate principal amount of the Company’s 4.150% Notes due 2029 (the “2029 Notes”), $1,500,000,000 aggregate principal amount of the Company’s 4.375% Notes due 2031 (the “2031 Notes”), $1,250,000,000 aggregate principal amount of the Company’s 4.650% Notes due 2033 (the “2033 Notes”), $1,500,000,000 aggregate principal amount of the Company’s 4.850% Notes due 2036 (the “2036 Notes”), $1,750,000,000 aggregate principal amount of the Company’s 5.600% Notes due 2056 (the “2056 Notes”) and $1,000,000,000 aggregate principal amount of the Company’s 5.700% Notes due 2066 (the “2066 Notes” and, collectively with the 2028 Floating Rate Notes, the 2029 Floating Rate Notes, the 2029 Notes, the 2031 Notes, the 2033 Notes, the 2036 Notes and the 2056 Notes, the “Notes”) pursuant to a Registration Statement on Form S-3 (No.</w:t>
      </w:r>
    </w:p>
    <w:p>
      <w:pPr>
        <w:spacing w:after="0" w:line="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333-285052) filed with the Securities and Exchange Commission under the Securities Act of 1933, as amended (the “Securities Act”). Such Registration Statement, as amended or supplemented, is hereinafter referred to as the “Registration Statement.” The Notes are to be issued pursuant to that certain Indenture (the “Indenture”), dated as of February 1, 1991, between the Company and Deutsche Bank Trust Company Americas (as successor to Citibank, N.A.), as trustee (the “Trustee”). The Notes are to be sold pursuant to that certain Underwriting Agreement (the “Underwriting Agreement”), dated May 6, 2026, among the Company and Morgan Stanley &amp; Co. LLC, Citigroup Global Markets Inc., Deutsche Bank Securities Inc. and Goldman Sachs &amp; Co. LLC, as representatives of the underwriters named on Schedule 1 therein (the “Underwriters”).</w:t>
      </w:r>
    </w:p>
    <w:p>
      <w:pPr>
        <w:spacing w:after="0" w:line="190"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In that connection, we have examined originals, or copies certified or otherwise identified to our satisfaction, of such documents, corporate records and other instruments as we have deemed necessary for the purposes of this opinion, including (i) the Registration Statement, (ii) the Indenture and (iii) the forms of the Notes.</w:t>
      </w:r>
    </w:p>
    <w:p>
      <w:pPr>
        <w:sectPr>
          <w:pgSz w:w="11900" w:h="16838" w:orient="portrait"/>
          <w:cols w:equalWidth="0" w:num="1">
            <w:col w:w="11020"/>
          </w:cols>
          <w:pgMar w:left="440" w:top="117" w:right="439" w:bottom="1440" w:gutter="0" w:footer="0" w:header="0"/>
        </w:sectPr>
      </w:pPr>
    </w:p>
    <w:bookmarkStart w:id="177" w:name="page178"/>
    <w:bookmarkEnd w:id="17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2968625</wp:posOffset>
            </wp:positionH>
            <wp:positionV relativeFrom="page">
              <wp:posOffset>337820</wp:posOffset>
            </wp:positionV>
            <wp:extent cx="1619885" cy="1797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1619885" cy="179705"/>
                    </a:xfrm>
                    <a:prstGeom prst="rect">
                      <a:avLst/>
                    </a:prstGeom>
                    <a:noFill/>
                  </pic:spPr>
                </pic:pic>
              </a:graphicData>
            </a:graphic>
          </wp:anchor>
        </w:drawing>
        <w:t>Eli Lilly and Company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May 20, 2026</w:t>
      </w:r>
    </w:p>
    <w:p>
      <w:pPr>
        <w:spacing w:after="0" w:line="139"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opinion, we have assumed the authenticity of all documents submitted to us as originals, the conformity to the originals of all documents submitted to us as copies and the authenticity of the originals of all documents submitted to us as copies. In reliance on the Other Opinion (as defined below), we have also assumed the genuineness of the signatures of persons signing all documents in connection with which this opinion is rendered, the authority of such persons signing on behalf of the parties thereto and the due authorization, execution and delivery of all documents by the parties thereto. We have not independently established or verified any facts relevant to the opinion expressed herein, but have relied upon statements and representations of officers and other representatives of the Company and others.</w:t>
      </w:r>
    </w:p>
    <w:p>
      <w:pPr>
        <w:spacing w:after="0" w:line="187" w:lineRule="exact"/>
        <w:rPr>
          <w:sz w:val="20"/>
          <w:szCs w:val="20"/>
          <w:color w:val="auto"/>
        </w:rPr>
      </w:pPr>
    </w:p>
    <w:p>
      <w:pPr>
        <w:ind w:left="4" w:right="100" w:firstLine="440"/>
        <w:spacing w:after="0" w:line="254" w:lineRule="auto"/>
        <w:rPr>
          <w:sz w:val="20"/>
          <w:szCs w:val="20"/>
          <w:color w:val="auto"/>
        </w:rPr>
      </w:pPr>
      <w:r>
        <w:rPr>
          <w:rFonts w:ascii="Times New Roman" w:cs="Times New Roman" w:eastAsia="Times New Roman" w:hAnsi="Times New Roman"/>
          <w:sz w:val="18"/>
          <w:szCs w:val="18"/>
          <w:color w:val="auto"/>
        </w:rPr>
        <w:t>In reliance on the Other Opinion, we have assumed further that the Company is a corporation duly organized, validly existing and in good standing under the laws of the State of Indiana and has all legal right, power and authority to issue the Notes and to execute, deliver and perform its obligations under the Indenture and the Notes. We have also assumed the due authorization, execution and delivery of the Indenture by the Company and the Trustee and the due authorization of the Notes by the Company. We note that you are relying with respect to these matters and all matters of Indiana law on an opinion of Jamie Burnett, Associate Vice President—Assistant General Counsel—Finance and Corporate Governance of the Company, dated as of the date hereof, which opinion is filed as Exhibit 5.2 to the Current Report on Form 8-K to be filed by the Company with the Securities and Exchange Commission on the date hereof and to be incorporated by reference into the Registration Statement (the “Other Opinion”). We have also assumed that the execution and delivery of the Indenture and the Notes and the performance by the Company of its obligations thereunder do not and will not violate, conflict with or constitute a default under any agreement or instrument to which the Company is bound.</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Our opinion expressed below is subject to the qualifications that we express no opinion as to the applicability of, compliance with, or effect of</w:t>
      </w:r>
    </w:p>
    <w:p>
      <w:pPr>
        <w:spacing w:after="0" w:line="27" w:lineRule="exact"/>
        <w:rPr>
          <w:sz w:val="20"/>
          <w:szCs w:val="20"/>
          <w:color w:val="auto"/>
        </w:rPr>
      </w:pPr>
    </w:p>
    <w:p>
      <w:pPr>
        <w:ind w:left="4" w:right="80" w:hanging="4"/>
        <w:spacing w:after="0" w:line="250" w:lineRule="auto"/>
        <w:tabs>
          <w:tab w:leader="none" w:pos="21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bankruptcy, insolvency, reorganization, fraudulent transfer, fraudulent conveyance, moratorium or other similar law affecting the enforcement of creditors’ rights generally, (ii) general principles of equity (regardless of whether enforcement is considered in a proceeding in equity or at law) and</w:t>
      </w:r>
    </w:p>
    <w:p>
      <w:pPr>
        <w:ind w:left="324" w:hanging="324"/>
        <w:spacing w:after="0"/>
        <w:tabs>
          <w:tab w:leader="none" w:pos="32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policy considerations that may limit the rights of parties to obtain certain remedies.</w:t>
      </w:r>
    </w:p>
    <w:p>
      <w:pPr>
        <w:spacing w:after="0" w:line="207"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qualifications, assumptions and limitations and the further limitations set forth below, we are of the opinion that, when the Notes have been duly executed and authenticated in accordance with the provisions of the Indenture and delivered to and paid for by the Underwriters pursuant to the Underwriting Agreement, the Notes will constitute binding obligations of the Company.</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1012"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5651500</wp:posOffset>
            </wp:positionH>
            <wp:positionV relativeFrom="page">
              <wp:posOffset>337820</wp:posOffset>
            </wp:positionV>
            <wp:extent cx="1620520" cy="1797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1620520" cy="179705"/>
                    </a:xfrm>
                    <a:prstGeom prst="rect">
                      <a:avLst/>
                    </a:prstGeom>
                    <a:noFill/>
                  </pic:spPr>
                </pic:pic>
              </a:graphicData>
            </a:graphic>
          </wp:anchor>
        </w:drawing>
        <w:t>Eli Lilly and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2026</w:t>
      </w:r>
    </w:p>
    <w:p>
      <w:pPr>
        <w:spacing w:after="0" w:line="13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Current Report on Form 8-K to be filed by the Company with the Securities and Exchange Commission on the date hereof and its incorporation by reference into the Registration Statement. We also consent to the reference to our firm under the heading “Legal Matters” in the prospectus constituting part of the Registration Statement. In giving this consent, we do not thereby admit that we are in the category of persons whose consent is required under Section 7 of the Securities Act or the rules and regulations of the Securities and Exchange Commission.</w:t>
      </w:r>
    </w:p>
    <w:p>
      <w:pPr>
        <w:spacing w:after="0" w:line="183"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Our advice on every legal issue addressed in this letter is based exclusively on the internal law of the State of New York and represents our opinion as to how that issue would be resolved were it to be considered by the highest court in the jurisdiction which enacted such law. The manner in which any particular issue relating to the opinions would be treated in any actual court case would depend in part on facts and circumstances particular to the case and would also depend on how the court involved chose to exercise the wide discretionary authority generally available to it. None of the opinions or other advice contained in this letter considers or covers any foreign or state securities (or “blue sky”) laws or regulations. This opinion is limited to the specific issues addressed herein, and no opinion may be inferred or implied beyond that expressly stated herein. This opinion speaks only as of the date hereof, and we assume no obligation to revise or supplement this opinion.</w:t>
      </w:r>
    </w:p>
    <w:p>
      <w:pPr>
        <w:spacing w:after="0" w:line="18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This opinion is furnished to you in connection with the filing of a Current Report on Form 8-K by the Company, and its incorporation by reference into the Registration Statement, and in accordance with the requirements of Item 601(b)(5) of Regulation S-K promulgated under the Securities Act, and may be relied upon by you and by persons entitled to rely upon it pursuant to the applicable provisions of the Securities Act.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Kirkland &amp; Ellis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1012" w:right="459" w:bottom="1440" w:gutter="0" w:footer="0" w:header="0"/>
        </w:sectPr>
      </w:pPr>
    </w:p>
    <w:bookmarkStart w:id="179" w:name="page180"/>
    <w:bookmarkEnd w:id="179"/>
    <w:p>
      <w:pPr>
        <w:ind w:left="9900"/>
        <w:spacing w:after="0"/>
        <w:rPr>
          <w:sz w:val="20"/>
          <w:szCs w:val="20"/>
          <w:color w:val="auto"/>
        </w:rPr>
      </w:pPr>
      <w:r>
        <w:rPr>
          <w:rFonts w:ascii="Times New Roman" w:cs="Times New Roman" w:eastAsia="Times New Roman" w:hAnsi="Times New Roman"/>
          <w:sz w:val="18"/>
          <w:szCs w:val="18"/>
          <w:b w:val="1"/>
          <w:bCs w:val="1"/>
          <w:color w:val="auto"/>
        </w:rPr>
        <w:t xml:space="preserve">Exhibit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5912485</wp:posOffset>
            </wp:positionH>
            <wp:positionV relativeFrom="paragraph">
              <wp:posOffset>173990</wp:posOffset>
            </wp:positionV>
            <wp:extent cx="720090" cy="402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2009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Eli Lilly and Company</w:t>
      </w:r>
    </w:p>
    <w:p>
      <w:pPr>
        <w:spacing w:after="0" w:line="31"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Lilly Corporate Center</w:t>
      </w:r>
    </w:p>
    <w:p>
      <w:pPr>
        <w:spacing w:after="0" w:line="9"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Indianapolis, Indiana 46285</w:t>
      </w:r>
    </w:p>
    <w:p>
      <w:pPr>
        <w:spacing w:after="0" w:line="9"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+1.317.276.2000</w:t>
      </w:r>
    </w:p>
    <w:p>
      <w:pPr>
        <w:spacing w:after="0" w:line="9"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u w:val="single" w:color="auto"/>
          <w:color w:val="auto"/>
        </w:rPr>
        <w:t>www.lilly.com</w:t>
      </w:r>
    </w:p>
    <w:p>
      <w:pPr>
        <w:spacing w:after="0" w:line="220"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8"/>
          <w:szCs w:val="18"/>
          <w:color w:val="auto"/>
        </w:rPr>
        <w:t xml:space="preserve">May 20, 2026 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 Lilly and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Lilly Corporate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 46285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 the Associate Vice President—Assistant General Counsel—Finance and Corporate Governance of Eli Lilly and Company, an Indiana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 am rendering this opinion in connection with the proposed issuance by the Company of $750,000,000 aggregate principal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Company’s Floating Rate Notes due 2028 (the “</w:t>
      </w:r>
      <w:r>
        <w:rPr>
          <w:rFonts w:ascii="Times New Roman" w:cs="Times New Roman" w:eastAsia="Times New Roman" w:hAnsi="Times New Roman"/>
          <w:sz w:val="18"/>
          <w:szCs w:val="18"/>
          <w:b w:val="1"/>
          <w:bCs w:val="1"/>
          <w:color w:val="auto"/>
        </w:rPr>
        <w:t>2028 Floating Rate Notes</w:t>
      </w:r>
      <w:r>
        <w:rPr>
          <w:rFonts w:ascii="Times New Roman" w:cs="Times New Roman" w:eastAsia="Times New Roman" w:hAnsi="Times New Roman"/>
          <w:sz w:val="18"/>
          <w:szCs w:val="18"/>
          <w:color w:val="auto"/>
        </w:rPr>
        <w:t>”), $500,000,000 aggregate principal amount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Floating Rate Notes due 2029 (the “</w:t>
      </w:r>
      <w:r>
        <w:rPr>
          <w:rFonts w:ascii="Times New Roman" w:cs="Times New Roman" w:eastAsia="Times New Roman" w:hAnsi="Times New Roman"/>
          <w:sz w:val="18"/>
          <w:szCs w:val="18"/>
          <w:b w:val="1"/>
          <w:bCs w:val="1"/>
          <w:color w:val="auto"/>
        </w:rPr>
        <w:t>2029 Floating Rate Notes</w:t>
      </w:r>
      <w:r>
        <w:rPr>
          <w:rFonts w:ascii="Times New Roman" w:cs="Times New Roman" w:eastAsia="Times New Roman" w:hAnsi="Times New Roman"/>
          <w:sz w:val="18"/>
          <w:szCs w:val="18"/>
          <w:color w:val="auto"/>
        </w:rPr>
        <w:t>”), $750,000,000 aggregate principal amount of the Company’s 4.150% Notes due 2029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2029 Notes</w:t>
      </w:r>
      <w:r>
        <w:rPr>
          <w:rFonts w:ascii="Times New Roman" w:cs="Times New Roman" w:eastAsia="Times New Roman" w:hAnsi="Times New Roman"/>
          <w:sz w:val="18"/>
          <w:szCs w:val="18"/>
          <w:color w:val="auto"/>
        </w:rPr>
        <w:t>”), $1,500,000,000 aggregate principal amount of the Company’s 4.375% Notes due 2031 (the “</w:t>
      </w:r>
      <w:r>
        <w:rPr>
          <w:rFonts w:ascii="Times New Roman" w:cs="Times New Roman" w:eastAsia="Times New Roman" w:hAnsi="Times New Roman"/>
          <w:sz w:val="18"/>
          <w:szCs w:val="18"/>
          <w:b w:val="1"/>
          <w:bCs w:val="1"/>
          <w:color w:val="auto"/>
        </w:rPr>
        <w:t>2031 Notes</w:t>
      </w:r>
      <w:r>
        <w:rPr>
          <w:rFonts w:ascii="Times New Roman" w:cs="Times New Roman" w:eastAsia="Times New Roman" w:hAnsi="Times New Roman"/>
          <w:sz w:val="18"/>
          <w:szCs w:val="18"/>
          <w:color w:val="auto"/>
        </w:rPr>
        <w:t>”), $1,250,000,000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 of the Company’s 4.650% Notes due 2033 (the “</w:t>
      </w:r>
      <w:r>
        <w:rPr>
          <w:rFonts w:ascii="Times New Roman" w:cs="Times New Roman" w:eastAsia="Times New Roman" w:hAnsi="Times New Roman"/>
          <w:sz w:val="18"/>
          <w:szCs w:val="18"/>
          <w:b w:val="1"/>
          <w:bCs w:val="1"/>
          <w:color w:val="auto"/>
        </w:rPr>
        <w:t>2033 Notes</w:t>
      </w:r>
      <w:r>
        <w:rPr>
          <w:rFonts w:ascii="Times New Roman" w:cs="Times New Roman" w:eastAsia="Times New Roman" w:hAnsi="Times New Roman"/>
          <w:sz w:val="18"/>
          <w:szCs w:val="18"/>
          <w:color w:val="auto"/>
        </w:rPr>
        <w:t>”), $1,500,000,000 aggregate principal amount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4.850% Notes due 2036 (the “</w:t>
      </w:r>
      <w:r>
        <w:rPr>
          <w:rFonts w:ascii="Times New Roman" w:cs="Times New Roman" w:eastAsia="Times New Roman" w:hAnsi="Times New Roman"/>
          <w:sz w:val="18"/>
          <w:szCs w:val="18"/>
          <w:b w:val="1"/>
          <w:bCs w:val="1"/>
          <w:color w:val="auto"/>
        </w:rPr>
        <w:t>2036 Notes</w:t>
      </w:r>
      <w:r>
        <w:rPr>
          <w:rFonts w:ascii="Times New Roman" w:cs="Times New Roman" w:eastAsia="Times New Roman" w:hAnsi="Times New Roman"/>
          <w:sz w:val="18"/>
          <w:szCs w:val="18"/>
          <w:color w:val="auto"/>
        </w:rPr>
        <w:t>”), $1,750,000,000 aggregate principal amount of the Company’s 5.600% Notes due 2056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2056 Notes</w:t>
      </w:r>
      <w:r>
        <w:rPr>
          <w:rFonts w:ascii="Times New Roman" w:cs="Times New Roman" w:eastAsia="Times New Roman" w:hAnsi="Times New Roman"/>
          <w:sz w:val="18"/>
          <w:szCs w:val="18"/>
          <w:color w:val="auto"/>
        </w:rPr>
        <w:t>”) and $1,000,000,000 aggregate principal amount of the Company’s 5.700% Notes due 2066 (the “</w:t>
      </w:r>
      <w:r>
        <w:rPr>
          <w:rFonts w:ascii="Times New Roman" w:cs="Times New Roman" w:eastAsia="Times New Roman" w:hAnsi="Times New Roman"/>
          <w:sz w:val="18"/>
          <w:szCs w:val="18"/>
          <w:b w:val="1"/>
          <w:bCs w:val="1"/>
          <w:color w:val="auto"/>
        </w:rPr>
        <w:t>2066 Notes</w:t>
      </w:r>
      <w:r>
        <w:rPr>
          <w:rFonts w:ascii="Times New Roman" w:cs="Times New Roman" w:eastAsia="Times New Roman" w:hAnsi="Times New Roman"/>
          <w:sz w:val="18"/>
          <w:szCs w:val="18"/>
          <w:color w:val="auto"/>
        </w:rPr>
        <w:t>” and, collectively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 Floating Rate Notes, the 2029 Floating Rate Notes, the 2029 Notes, the 2031 Notes, the 2033 Notes, the 2036 Notes and the 2056 Notes,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pursuant to a prospectus supplement dated May 6, 2026 to the prospectus dated February 19, 2025 contained in the Company’s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on Form S-3 (File No. 333-285052)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U.S. Securities and Exchange Commission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February 19, 2025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pursuant to an Indenture, 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1991, between the Company and Deutsche Bank Trust Company Americas (as successor to Citibank, N.A.), as trustee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an Underwriting Agreement dated May 6, 2026 (the “</w:t>
      </w:r>
      <w:r>
        <w:rPr>
          <w:rFonts w:ascii="Times New Roman" w:cs="Times New Roman" w:eastAsia="Times New Roman" w:hAnsi="Times New Roman"/>
          <w:sz w:val="17"/>
          <w:szCs w:val="17"/>
          <w:b w:val="1"/>
          <w:bCs w:val="1"/>
          <w:color w:val="auto"/>
        </w:rPr>
        <w:t>Underwriting Agreement</w:t>
      </w:r>
      <w:r>
        <w:rPr>
          <w:rFonts w:ascii="Times New Roman" w:cs="Times New Roman" w:eastAsia="Times New Roman" w:hAnsi="Times New Roman"/>
          <w:sz w:val="17"/>
          <w:szCs w:val="17"/>
          <w:color w:val="auto"/>
        </w:rPr>
        <w:t>”), among the Company and Morgan Stanley &amp; Co. LLC, Citigroup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Global Markets Inc., Deutsche Bank Securities Inc. and Goldman Sachs &amp; Co. LLC, as representatives of the several underwriters named on </w:t>
      </w:r>
      <w:r>
        <w:rPr>
          <w:rFonts w:ascii="Times New Roman" w:cs="Times New Roman" w:eastAsia="Times New Roman" w:hAnsi="Times New Roman"/>
          <w:sz w:val="17"/>
          <w:szCs w:val="17"/>
          <w:u w:val="single" w:color="auto"/>
          <w:color w:val="auto"/>
        </w:rPr>
        <w:t>Schedule 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w:t>
      </w:r>
    </w:p>
    <w:p>
      <w:pPr>
        <w:sectPr>
          <w:pgSz w:w="11900" w:h="16838" w:orient="portrait"/>
          <w:cols w:equalWidth="0" w:num="1">
            <w:col w:w="10980"/>
          </w:cols>
          <w:pgMar w:left="440" w:top="117" w:right="479" w:bottom="1440" w:gutter="0" w:footer="0" w:header="0"/>
        </w:sectPr>
      </w:pPr>
    </w:p>
    <w:bookmarkStart w:id="180" w:name="page181"/>
    <w:bookmarkEnd w:id="180"/>
    <w:p>
      <w:pPr>
        <w:ind w:left="4"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have examined and am familiar with originals, or copies certified or otherwise identified to my satisfaction, of such documents, corporate records, certificates of officers of the Company and of public officials and such other instruments as I have deemed necessary or appropriate as a basis for the opinions expressed below, including the Registration Statement, the Company’s Amended Articles of Incorporation, the Company’s Bylaws, the Indenture, the global notes representing the Notes and the Underwriting Agreement.</w:t>
      </w:r>
    </w:p>
    <w:p>
      <w:pPr>
        <w:spacing w:after="0" w:line="180" w:lineRule="exact"/>
        <w:rPr>
          <w:sz w:val="20"/>
          <w:szCs w:val="20"/>
          <w:color w:val="auto"/>
        </w:rPr>
      </w:pPr>
    </w:p>
    <w:p>
      <w:pPr>
        <w:ind w:left="4"/>
        <w:spacing w:after="0" w:line="274" w:lineRule="auto"/>
        <w:rPr>
          <w:sz w:val="20"/>
          <w:szCs w:val="20"/>
          <w:color w:val="auto"/>
        </w:rPr>
      </w:pPr>
      <w:r>
        <w:rPr>
          <w:rFonts w:ascii="Times New Roman" w:cs="Times New Roman" w:eastAsia="Times New Roman" w:hAnsi="Times New Roman"/>
          <w:sz w:val="17"/>
          <w:szCs w:val="17"/>
          <w:color w:val="auto"/>
        </w:rPr>
        <w:t>For purposes of the opinions expressed below, I have assumed, without independent investigation, that: (i) the Indenture and the Underwriting Agreement have been duly authorized, executed and delivered by the parties thereto other than the Company and constitute valid and binding obligations of the parties thereto other than the Company, enforceable against each of them in accordance with their respective terms; and (ii) any certificates representing the Notes will conform as to form to the forms of global notes examined by me. I have also assumed, without independent investigation, the genuineness and authenticity of all documents submitted to me as originals, the conformity to originals of all documents submitted to me as copies thereof and the due execution and delivery of all documents where due execution and delivery are prerequisites to the effectiveness thereof.</w:t>
      </w:r>
    </w:p>
    <w:p>
      <w:pPr>
        <w:spacing w:after="0" w:line="173"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On the basis of, and in reliance on, the foregoing and subject to the assumptions, exceptions, qualifications and limitations contained herein, I am of the opinion that:</w:t>
      </w:r>
    </w:p>
    <w:p>
      <w:pPr>
        <w:spacing w:after="0" w:line="67" w:lineRule="exact"/>
        <w:rPr>
          <w:sz w:val="20"/>
          <w:szCs w:val="20"/>
          <w:color w:val="auto"/>
        </w:rPr>
      </w:pPr>
    </w:p>
    <w:p>
      <w:pPr>
        <w:ind w:left="424" w:hanging="424"/>
        <w:spacing w:after="0"/>
        <w:tabs>
          <w:tab w:leader="none" w:pos="42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organized and validly existing under the laws of the State of Indiana.</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Indenture and the Underwriting Agreement has been duly and validly authorized, executed and delivered by the Company.</w:t>
      </w:r>
    </w:p>
    <w:p>
      <w:pPr>
        <w:spacing w:after="0" w:line="130" w:lineRule="exact"/>
        <w:rPr>
          <w:rFonts w:ascii="Times New Roman" w:cs="Times New Roman" w:eastAsia="Times New Roman" w:hAnsi="Times New Roman"/>
          <w:sz w:val="18"/>
          <w:szCs w:val="18"/>
          <w:color w:val="auto"/>
        </w:rPr>
      </w:pPr>
    </w:p>
    <w:p>
      <w:pPr>
        <w:ind w:left="424" w:right="280" w:hanging="424"/>
        <w:spacing w:after="0" w:line="282" w:lineRule="auto"/>
        <w:tabs>
          <w:tab w:leader="none" w:pos="42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duly authorized the issuance of the Notes, and the Company has full corporate power and authority to issue the Notes and to perform its obligations under the Notes, the Indenture and the Underwriting Agreement.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am a member of the bar of the State of Indiana and I express no opinion as to the laws of any other jurisdiction.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hereby consent that Kirkland &amp; Ellis LLP may rely upon this opinion as if it were addressed to such firm.</w:t>
      </w:r>
    </w:p>
    <w:p>
      <w:pPr>
        <w:spacing w:after="0" w:line="225"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The foregoing opinion is rendered as of the date hereof, and I assume no obligation to update such opinion to reflect any facts or circumstances that may hereafter come to my attention or any changes in the law which may hereafter occur.</w:t>
      </w:r>
    </w:p>
    <w:p>
      <w:pPr>
        <w:spacing w:after="0" w:line="162" w:lineRule="exact"/>
        <w:rPr>
          <w:sz w:val="20"/>
          <w:szCs w:val="20"/>
          <w:color w:val="auto"/>
        </w:rPr>
      </w:pPr>
    </w:p>
    <w:p>
      <w:pPr>
        <w:ind w:left="4" w:right="340"/>
        <w:spacing w:after="0" w:line="266" w:lineRule="auto"/>
        <w:rPr>
          <w:sz w:val="20"/>
          <w:szCs w:val="20"/>
          <w:color w:val="auto"/>
        </w:rPr>
      </w:pPr>
      <w:r>
        <w:rPr>
          <w:rFonts w:ascii="Times New Roman" w:cs="Times New Roman" w:eastAsia="Times New Roman" w:hAnsi="Times New Roman"/>
          <w:sz w:val="18"/>
          <w:szCs w:val="18"/>
          <w:color w:val="auto"/>
        </w:rPr>
        <w:t>I hereby consent to the incorporation by reference of this opinion into the Registration Statement and to the reference to my name under the heading “Legal Matters” in the prospectus included in the Registration Statement. In giving such consent, I do not admit that I come within the category of persons whose consent is required under Section 7 of the Securities Act, or the rules and regulations of the Commission.</w:t>
      </w:r>
    </w:p>
    <w:p>
      <w:pPr>
        <w:spacing w:after="0" w:line="1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81" w:name="page182"/>
    <w:bookmarkEnd w:id="18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Yours truly,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Jamie Burnett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Jamie Burnett</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Associate Vice President—Assistant General Counsel—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Finance and Corporate Governance</w:t>
      </w:r>
    </w:p>
    <w:p>
      <w:pPr>
        <w:spacing w:after="0" w:line="13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[Signature Page to Exhibit 5.2 Opinion]</w:t>
      </w:r>
    </w:p>
    <w:sectPr>
      <w:pgSz w:w="11900" w:h="16838" w:orient="portrait"/>
      <w:cols w:equalWidth="0" w:num="1">
        <w:col w:w="9660"/>
      </w:cols>
      <w:pgMar w:left="1440" w:top="27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
      <w:numFmt w:val="bullet"/>
      <w:start w:val="1"/>
    </w:lvl>
  </w:abstractNum>
  <w:abstractNum w:abstractNumId="2">
    <w:nsid w:val="39386575"/>
    <w:multiLevelType w:val="hybridMultilevel"/>
    <w:lvl w:ilvl="0">
      <w:lvlJc w:val="left"/>
      <w:lvlText w:val=" "/>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1)"/>
      <w:numFmt w:val="lowerLetter"/>
      <w:start w:val="1"/>
    </w:lvl>
  </w:abstractNum>
  <w:abstractNum w:abstractNumId="7">
    <w:nsid w:val="354FE9F9"/>
    <w:multiLevelType w:val="hybridMultilevel"/>
    <w:lvl w:ilvl="0">
      <w:lvlJc w:val="left"/>
      <w:lvlText w:val="%1."/>
      <w:numFmt w:val="decimal"/>
      <w:start w:val="1"/>
    </w:lvl>
  </w:abstractNum>
  <w:abstractNum w:abstractNumId="8">
    <w:nsid w:val="15B5AF5C"/>
    <w:multiLevelType w:val="hybridMultilevel"/>
    <w:lvl w:ilvl="0">
      <w:lvlJc w:val="left"/>
      <w:lvlText w:val="(%1)"/>
      <w:numFmt w:val="decimal"/>
      <w:start w:val="5"/>
    </w:lvl>
  </w:abstractNum>
  <w:abstractNum w:abstractNumId="9">
    <w:nsid w:val="741226BB"/>
    <w:multiLevelType w:val="hybridMultilevel"/>
    <w:lvl w:ilvl="0">
      <w:lvlJc w:val="left"/>
      <w:lvlText w:val="(%1)"/>
      <w:numFmt w:val="decimal"/>
      <w:start w:val="5"/>
    </w:lvl>
  </w:abstractNum>
  <w:abstractNum w:abstractNumId="10">
    <w:nsid w:val="D34B6A8"/>
    <w:multiLevelType w:val="hybridMultilevel"/>
    <w:lvl w:ilvl="0">
      <w:lvlJc w:val="left"/>
      <w:lvlText w:val="(%1)"/>
      <w:numFmt w:val="decimal"/>
      <w:start w:val="5"/>
    </w:lvl>
  </w:abstractNum>
  <w:abstractNum w:abstractNumId="11">
    <w:nsid w:val="10233C99"/>
    <w:multiLevelType w:val="hybridMultilevel"/>
    <w:lvl w:ilvl="0">
      <w:lvlJc w:val="left"/>
      <w:lvlText w:val="(%1)"/>
      <w:numFmt w:val="decimal"/>
      <w:start w:val="5"/>
    </w:lvl>
  </w:abstractNum>
  <w:abstractNum w:abstractNumId="12">
    <w:nsid w:val="3F6AB60F"/>
    <w:multiLevelType w:val="hybridMultilevel"/>
    <w:lvl w:ilvl="0">
      <w:lvlJc w:val="left"/>
      <w:lvlText w:val="(%1)"/>
      <w:numFmt w:val="decimal"/>
      <w:start w:val="5"/>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1."/>
      <w:numFmt w:val="decimal"/>
      <w:start w:val="1"/>
    </w:lvl>
    <w:lvl w:ilvl="1">
      <w:lvlJc w:val="left"/>
      <w:lvlText w:val="(%2)"/>
      <w:numFmt w:val="lowerLetter"/>
      <w:start w:val="1"/>
    </w:lvl>
  </w:abstractNum>
  <w:abstractNum w:abstractNumId="16">
    <w:nsid w:val="579BE4F1"/>
    <w:multiLevelType w:val="hybridMultilevel"/>
    <w:lvl w:ilvl="0">
      <w:lvlJc w:val="left"/>
      <w:lvlText w:val="%1"/>
      <w:numFmt w:val="lowerRoman"/>
      <w:start w:val="1"/>
    </w:lvl>
    <w:lvl w:ilvl="1">
      <w:lvlJc w:val="left"/>
      <w:lvlText w:val="(%2)"/>
      <w:numFmt w:val="lowerLetter"/>
      <w:start w:val="2"/>
    </w:lvl>
  </w:abstractNum>
  <w:abstractNum w:abstractNumId="17">
    <w:nsid w:val="310C50B3"/>
    <w:multiLevelType w:val="hybridMultilevel"/>
    <w:lvl w:ilvl="0">
      <w:lvlJc w:val="left"/>
      <w:lvlText w:val="(%1)"/>
      <w:numFmt w:val="lowerRoman"/>
      <w:start w:val="6"/>
    </w:lvl>
    <w:lvl w:ilvl="1">
      <w:lvlJc w:val="left"/>
      <w:lvlText w:val="%2"/>
      <w:numFmt w:val="lowerLetter"/>
      <w:start w:val="1"/>
    </w:lvl>
  </w:abstractNum>
  <w:abstractNum w:abstractNumId="18">
    <w:nsid w:val="5FF87E05"/>
    <w:multiLevelType w:val="hybridMultilevel"/>
    <w:lvl w:ilvl="0">
      <w:lvlJc w:val="left"/>
      <w:lvlText w:val="(%1)"/>
      <w:numFmt w:val="lowerLetter"/>
      <w:start w:val="4"/>
    </w:lvl>
  </w:abstractNum>
  <w:abstractNum w:abstractNumId="19">
    <w:nsid w:val="2F305DEF"/>
    <w:multiLevelType w:val="hybridMultilevel"/>
    <w:lvl w:ilvl="0">
      <w:lvlJc w:val="left"/>
      <w:lvlText w:val="%1"/>
      <w:numFmt w:val="lowerLetter"/>
      <w:start w:val="1"/>
    </w:lvl>
    <w:lvl w:ilvl="1">
      <w:lvlJc w:val="left"/>
      <w:lvlText w:val="(%2)"/>
      <w:numFmt w:val="lowerLetter"/>
      <w:start w:val="8"/>
    </w:lvl>
  </w:abstractNum>
  <w:abstractNum w:abstractNumId="20">
    <w:nsid w:val="25A70BF7"/>
    <w:multiLevelType w:val="hybridMultilevel"/>
    <w:lvl w:ilvl="0">
      <w:lvlJc w:val="left"/>
      <w:lvlText w:val="(%1)"/>
      <w:numFmt w:val="lowerLetter"/>
      <w:start w:val="35"/>
    </w:lvl>
    <w:lvl w:ilvl="1">
      <w:lvlJc w:val="left"/>
      <w:lvlText w:val="(%2)"/>
      <w:numFmt w:val="lowerLetter"/>
      <w:start w:val="10"/>
    </w:lvl>
  </w:abstractNum>
  <w:abstractNum w:abstractNumId="21">
    <w:nsid w:val="1DBABF00"/>
    <w:multiLevelType w:val="hybridMultilevel"/>
    <w:lvl w:ilvl="0">
      <w:lvlJc w:val="left"/>
      <w:lvlText w:val="(%1)"/>
      <w:numFmt w:val="lowerLetter"/>
      <w:start w:val="13"/>
    </w:lvl>
  </w:abstractNum>
  <w:abstractNum w:abstractNumId="22">
    <w:nsid w:val="4AD084E9"/>
    <w:multiLevelType w:val="hybridMultilevel"/>
    <w:lvl w:ilvl="0">
      <w:lvlJc w:val="left"/>
      <w:lvlText w:val="(%1)"/>
      <w:numFmt w:val="lowerLetter"/>
      <w:start w:val="16"/>
    </w:lvl>
  </w:abstractNum>
  <w:abstractNum w:abstractNumId="23">
    <w:nsid w:val="1F48EAA1"/>
    <w:multiLevelType w:val="hybridMultilevel"/>
    <w:lvl w:ilvl="0">
      <w:lvlJc w:val="left"/>
      <w:lvlText w:val="%1"/>
      <w:numFmt w:val="decimal"/>
      <w:start w:val="1"/>
    </w:lvl>
    <w:lvl w:ilvl="1">
      <w:lvlJc w:val="left"/>
      <w:lvlText w:val="(%2)"/>
      <w:numFmt w:val="lowerLetter"/>
      <w:start w:val="20"/>
    </w:lvl>
  </w:abstractNum>
  <w:abstractNum w:abstractNumId="24">
    <w:nsid w:val="1381823A"/>
    <w:multiLevelType w:val="hybridMultilevel"/>
    <w:lvl w:ilvl="0">
      <w:lvlJc w:val="left"/>
      <w:lvlText w:val="%1."/>
      <w:numFmt w:val="decimal"/>
      <w:start w:val="2"/>
    </w:lvl>
    <w:lvl w:ilvl="1">
      <w:lvlJc w:val="left"/>
      <w:lvlText w:val="%2"/>
      <w:numFmt w:val="lowerLetter"/>
      <w:start w:val="1"/>
    </w:lvl>
  </w:abstractNum>
  <w:abstractNum w:abstractNumId="25">
    <w:nsid w:val="5DB70AE5"/>
    <w:multiLevelType w:val="hybridMultilevel"/>
    <w:lvl w:ilvl="0">
      <w:lvlJc w:val="left"/>
      <w:lvlText w:val="%1."/>
      <w:numFmt w:val="decimal"/>
      <w:start w:val="4"/>
    </w:lvl>
    <w:lvl w:ilvl="1">
      <w:lvlJc w:val="left"/>
      <w:lvlText w:val="(%2)"/>
      <w:numFmt w:val="lowerLetter"/>
      <w:start w:val="1"/>
    </w:lvl>
  </w:abstractNum>
  <w:abstractNum w:abstractNumId="26">
    <w:nsid w:val="100F8FCA"/>
    <w:multiLevelType w:val="hybridMultilevel"/>
    <w:lvl w:ilvl="0">
      <w:lvlJc w:val="left"/>
      <w:lvlText w:val="(%1)"/>
      <w:numFmt w:val="lowerLetter"/>
      <w:start w:val="4"/>
    </w:lvl>
  </w:abstractNum>
  <w:abstractNum w:abstractNumId="27">
    <w:nsid w:val="6590700B"/>
    <w:multiLevelType w:val="hybridMultilevel"/>
    <w:lvl w:ilvl="0">
      <w:lvlJc w:val="left"/>
      <w:lvlText w:val="%1"/>
      <w:numFmt w:val="decimal"/>
      <w:start w:val="1"/>
    </w:lvl>
    <w:lvl w:ilvl="1">
      <w:lvlJc w:val="left"/>
      <w:lvlText w:val="(%2)"/>
      <w:numFmt w:val="lowerLetter"/>
      <w:start w:val="6"/>
    </w:lvl>
  </w:abstractNum>
  <w:abstractNum w:abstractNumId="28">
    <w:nsid w:val="15014ACB"/>
    <w:multiLevelType w:val="hybridMultilevel"/>
    <w:lvl w:ilvl="0">
      <w:lvlJc w:val="left"/>
      <w:lvlText w:val="%1."/>
      <w:numFmt w:val="decimal"/>
      <w:start w:val="5"/>
    </w:lvl>
    <w:lvl w:ilvl="1">
      <w:lvlJc w:val="left"/>
      <w:lvlText w:val="(%2)"/>
      <w:numFmt w:val="lowerLetter"/>
      <w:start w:val="1"/>
    </w:lvl>
  </w:abstractNum>
  <w:abstractNum w:abstractNumId="29">
    <w:nsid w:val="5F5E7FD0"/>
    <w:multiLevelType w:val="hybridMultilevel"/>
    <w:lvl w:ilvl="0">
      <w:lvlJc w:val="left"/>
      <w:lvlText w:val="(%1)"/>
      <w:numFmt w:val="lowerLetter"/>
      <w:start w:val="3"/>
    </w:lvl>
  </w:abstractNum>
  <w:abstractNum w:abstractNumId="30">
    <w:nsid w:val="98A3148"/>
    <w:multiLevelType w:val="hybridMultilevel"/>
    <w:lvl w:ilvl="0">
      <w:lvlJc w:val="left"/>
      <w:lvlText w:val="(%1)"/>
      <w:numFmt w:val="lowerLetter"/>
      <w:start w:val="6"/>
    </w:lvl>
  </w:abstractNum>
  <w:abstractNum w:abstractNumId="31">
    <w:nsid w:val="799D0247"/>
    <w:multiLevelType w:val="hybridMultilevel"/>
    <w:lvl w:ilvl="0">
      <w:lvlJc w:val="left"/>
      <w:lvlText w:val="%1"/>
      <w:numFmt w:val="decimal"/>
      <w:start w:val="1"/>
    </w:lvl>
    <w:lvl w:ilvl="1">
      <w:lvlJc w:val="left"/>
      <w:lvlText w:val="(%2)"/>
      <w:numFmt w:val="lowerLetter"/>
      <w:start w:val="9"/>
    </w:lvl>
  </w:abstractNum>
  <w:abstractNum w:abstractNumId="32">
    <w:nsid w:val="6B94764"/>
    <w:multiLevelType w:val="hybridMultilevel"/>
    <w:lvl w:ilvl="0">
      <w:lvlJc w:val="left"/>
      <w:lvlText w:val="%1."/>
      <w:numFmt w:val="decimal"/>
      <w:start w:val="6"/>
    </w:lvl>
    <w:lvl w:ilvl="1">
      <w:lvlJc w:val="left"/>
      <w:lvlText w:val="(%2)"/>
      <w:numFmt w:val="lowerLetter"/>
      <w:start w:val="1"/>
    </w:lvl>
  </w:abstractNum>
  <w:abstractNum w:abstractNumId="33">
    <w:nsid w:val="42C296BD"/>
    <w:multiLevelType w:val="hybridMultilevel"/>
    <w:lvl w:ilvl="0">
      <w:lvlJc w:val="left"/>
      <w:lvlText w:val="%1."/>
      <w:numFmt w:val="decimal"/>
      <w:start w:val="8"/>
    </w:lvl>
  </w:abstractNum>
  <w:abstractNum w:abstractNumId="34">
    <w:nsid w:val="168E121F"/>
    <w:multiLevelType w:val="hybridMultilevel"/>
    <w:lvl w:ilvl="0">
      <w:lvlJc w:val="left"/>
      <w:lvlText w:val="%1."/>
      <w:numFmt w:val="decimal"/>
      <w:start w:val="9"/>
    </w:lvl>
  </w:abstractNum>
  <w:abstractNum w:abstractNumId="35">
    <w:nsid w:val="1EBA5D23"/>
    <w:multiLevelType w:val="hybridMultilevel"/>
    <w:lvl w:ilvl="0">
      <w:lvlJc w:val="left"/>
      <w:lvlText w:val="%1."/>
      <w:numFmt w:val="decimal"/>
      <w:start w:val="11"/>
    </w:lvl>
  </w:abstractNum>
  <w:abstractNum w:abstractNumId="36">
    <w:nsid w:val="661E3F1E"/>
    <w:multiLevelType w:val="hybridMultilevel"/>
    <w:lvl w:ilvl="0">
      <w:lvlJc w:val="left"/>
      <w:lvlText w:val="%1."/>
      <w:numFmt w:val="decimal"/>
      <w:start w:val="12"/>
    </w:lvl>
  </w:abstractNum>
  <w:abstractNum w:abstractNumId="37">
    <w:nsid w:val="5DC79EA8"/>
    <w:multiLevelType w:val="hybridMultilevel"/>
    <w:lvl w:ilvl="0">
      <w:lvlJc w:val="left"/>
      <w:lvlText w:val=" "/>
      <w:numFmt w:val="bullet"/>
      <w:start w:val="1"/>
    </w:lvl>
  </w:abstractNum>
  <w:abstractNum w:abstractNumId="38">
    <w:nsid w:val="540A471C"/>
    <w:multiLevelType w:val="hybridMultilevel"/>
    <w:lvl w:ilvl="0">
      <w:lvlJc w:val="left"/>
      <w:lvlText w:val=" "/>
      <w:numFmt w:val="bullet"/>
      <w:start w:val="1"/>
    </w:lvl>
  </w:abstractNum>
  <w:abstractNum w:abstractNumId="39">
    <w:nsid w:val="7BD3EE7B"/>
    <w:multiLevelType w:val="hybridMultilevel"/>
    <w:lvl w:ilvl="0">
      <w:lvlJc w:val="left"/>
      <w:lvlText w:val="%1."/>
      <w:numFmt w:val="decimal"/>
      <w:start w:val="1"/>
    </w:lvl>
  </w:abstractNum>
  <w:abstractNum w:abstractNumId="40">
    <w:nsid w:val="51D9C564"/>
    <w:multiLevelType w:val="hybridMultilevel"/>
    <w:lvl w:ilvl="0">
      <w:lvlJc w:val="left"/>
      <w:lvlText w:val="(%1)"/>
      <w:numFmt w:val="lowerRoman"/>
      <w:start w:val="1"/>
    </w:lvl>
  </w:abstractNum>
  <w:abstractNum w:abstractNumId="41">
    <w:nsid w:val="613EFDC5"/>
    <w:multiLevelType w:val="hybridMultilevel"/>
    <w:lvl w:ilvl="0">
      <w:lvlJc w:val="left"/>
      <w:lvlText w:val="(%1)"/>
      <w:numFmt w:val="lowerRoman"/>
      <w:start w:val="4"/>
    </w:lvl>
  </w:abstractNum>
  <w:abstractNum w:abstractNumId="42">
    <w:nsid w:val="BF72B14"/>
    <w:multiLevelType w:val="hybridMultilevel"/>
    <w:lvl w:ilvl="0">
      <w:lvlJc w:val="left"/>
      <w:lvlText w:val="(%1)"/>
      <w:numFmt w:val="lowerLetter"/>
      <w:start w:val="1"/>
    </w:lvl>
    <w:lvl w:ilvl="1">
      <w:lvlJc w:val="left"/>
      <w:lvlText w:val="(%2)"/>
      <w:numFmt w:val="lowerRoman"/>
      <w:start w:val="1"/>
    </w:lvl>
  </w:abstractNum>
  <w:abstractNum w:abstractNumId="43">
    <w:nsid w:val="11447B73"/>
    <w:multiLevelType w:val="hybridMultilevel"/>
    <w:lvl w:ilvl="0">
      <w:lvlJc w:val="left"/>
      <w:lvlText w:val="%1"/>
      <w:numFmt w:val="lowerLetter"/>
      <w:start w:val="1"/>
    </w:lvl>
    <w:lvl w:ilvl="1">
      <w:lvlJc w:val="left"/>
      <w:lvlText w:val="(%2)"/>
      <w:numFmt w:val="lowerRoman"/>
      <w:start w:val="2"/>
    </w:lvl>
  </w:abstractNum>
  <w:abstractNum w:abstractNumId="44">
    <w:nsid w:val="42963E5A"/>
    <w:multiLevelType w:val="hybridMultilevel"/>
    <w:lvl w:ilvl="0">
      <w:lvlJc w:val="left"/>
      <w:lvlText w:val="(%1)"/>
      <w:numFmt w:val="lowerLetter"/>
      <w:start w:val="2"/>
    </w:lvl>
    <w:lvl w:ilvl="1">
      <w:lvlJc w:val="left"/>
      <w:lvlText w:val="%2"/>
      <w:numFmt w:val="lowerRoman"/>
      <w:start w:val="1"/>
    </w:lvl>
  </w:abstractNum>
  <w:abstractNum w:abstractNumId="45">
    <w:nsid w:val="A0382C5"/>
    <w:multiLevelType w:val="hybridMultilevel"/>
    <w:lvl w:ilvl="0">
      <w:lvlJc w:val="left"/>
      <w:lvlText w:val="(%1)"/>
      <w:numFmt w:val="lowerLetter"/>
      <w:start w:val="1"/>
    </w:lvl>
  </w:abstractNum>
  <w:abstractNum w:abstractNumId="46">
    <w:nsid w:val="8F2B15E"/>
    <w:multiLevelType w:val="hybridMultilevel"/>
    <w:lvl w:ilvl="0">
      <w:lvlJc w:val="left"/>
      <w:lvlText w:val="(%1)"/>
      <w:numFmt w:val="lowerLetter"/>
      <w:start w:val="1"/>
    </w:lvl>
  </w:abstractNum>
  <w:abstractNum w:abstractNumId="47">
    <w:nsid w:val="1A32234B"/>
    <w:multiLevelType w:val="hybridMultilevel"/>
    <w:lvl w:ilvl="0">
      <w:lvlJc w:val="left"/>
      <w:lvlText w:val="%1"/>
      <w:numFmt w:val="lowerLetter"/>
      <w:start w:val="1"/>
    </w:lvl>
    <w:lvl w:ilvl="1">
      <w:lvlJc w:val="left"/>
      <w:lvlText w:val="(%2)"/>
      <w:numFmt w:val="lowerLetter"/>
      <w:start w:val="4"/>
    </w:lvl>
  </w:abstractNum>
  <w:abstractNum w:abstractNumId="48">
    <w:nsid w:val="3B0FD379"/>
    <w:multiLevelType w:val="hybridMultilevel"/>
    <w:lvl w:ilvl="0">
      <w:lvlJc w:val="left"/>
      <w:lvlText w:val="(%1)"/>
      <w:numFmt w:val="lowerLetter"/>
      <w:start w:val="6"/>
    </w:lvl>
    <w:lvl w:ilvl="1">
      <w:lvlJc w:val="left"/>
      <w:lvlText w:val="(%2)"/>
      <w:numFmt w:val="lowerLetter"/>
      <w:start w:val="7"/>
    </w:lvl>
  </w:abstractNum>
  <w:abstractNum w:abstractNumId="49">
    <w:nsid w:val="68EB2F63"/>
    <w:multiLevelType w:val="hybridMultilevel"/>
    <w:lvl w:ilvl="0">
      <w:lvlJc w:val="left"/>
      <w:lvlText w:val="%1."/>
      <w:numFmt w:val="decimal"/>
      <w:start w:val="1"/>
    </w:lvl>
    <w:lvl w:ilvl="1">
      <w:lvlJc w:val="left"/>
      <w:lvlText w:val="%2."/>
      <w:numFmt w:val="lowerLetter"/>
      <w:start w:val="1"/>
    </w:lvl>
  </w:abstractNum>
  <w:abstractNum w:abstractNumId="50">
    <w:nsid w:val="4962813B"/>
    <w:multiLevelType w:val="hybridMultilevel"/>
    <w:lvl w:ilvl="0">
      <w:lvlJc w:val="left"/>
      <w:lvlText w:val="%1"/>
      <w:numFmt w:val="decimal"/>
      <w:start w:val="1"/>
    </w:lvl>
    <w:lvl w:ilvl="1">
      <w:lvlJc w:val="left"/>
      <w:lvlText w:val="%2."/>
      <w:numFmt w:val="lowerLetter"/>
      <w:start w:val="2"/>
    </w:lvl>
  </w:abstractNum>
  <w:abstractNum w:abstractNumId="51">
    <w:nsid w:val="60B6DF70"/>
    <w:multiLevelType w:val="hybridMultilevel"/>
    <w:lvl w:ilvl="0">
      <w:lvlJc w:val="left"/>
      <w:lvlText w:val="%1."/>
      <w:numFmt w:val="decimal"/>
      <w:start w:val="6"/>
    </w:lvl>
    <w:lvl w:ilvl="1">
      <w:lvlJc w:val="left"/>
      <w:lvlText w:val="%2"/>
      <w:numFmt w:val="lowerLetter"/>
      <w:start w:val="1"/>
    </w:lvl>
  </w:abstractNum>
  <w:abstractNum w:abstractNumId="52">
    <w:nsid w:val="6A5EE64"/>
    <w:multiLevelType w:val="hybridMultilevel"/>
    <w:lvl w:ilvl="0">
      <w:lvlJc w:val="left"/>
      <w:lvlText w:val="(%1)"/>
      <w:numFmt w:val="decimal"/>
      <w:start w:val="1"/>
    </w:lvl>
  </w:abstractNum>
  <w:abstractNum w:abstractNumId="53">
    <w:nsid w:val="14330624"/>
    <w:multiLevelType w:val="hybridMultilevel"/>
    <w:lvl w:ilvl="0">
      <w:lvlJc w:val="left"/>
      <w:lvlText w:val="(%1)"/>
      <w:numFmt w:val="lowerRoman"/>
      <w:start w:val="1"/>
    </w:lvl>
  </w:abstractNum>
  <w:abstractNum w:abstractNumId="54">
    <w:nsid w:val="7FFFCA11"/>
    <w:multiLevelType w:val="hybridMultilevel"/>
    <w:lvl w:ilvl="0">
      <w:lvlJc w:val="left"/>
      <w:lvlText w:val="(%1)"/>
      <w:numFmt w:val="lowerLetter"/>
      <w:start w:val="1"/>
    </w:lvl>
  </w:abstractNum>
  <w:abstractNum w:abstractNumId="55">
    <w:nsid w:val="1A27709E"/>
    <w:multiLevelType w:val="hybridMultilevel"/>
    <w:lvl w:ilvl="0">
      <w:lvlJc w:val="left"/>
      <w:lvlText w:val="(%1)"/>
      <w:numFmt w:val="lowerLetter"/>
      <w:start w:val="3"/>
    </w:lvl>
  </w:abstractNum>
  <w:abstractNum w:abstractNumId="56">
    <w:nsid w:val="71EA1109"/>
    <w:multiLevelType w:val="hybridMultilevel"/>
    <w:lvl w:ilvl="0">
      <w:lvlJc w:val="left"/>
      <w:lvlText w:val="(%1)"/>
      <w:numFmt w:val="lowerRoman"/>
      <w:start w:val="1"/>
    </w:lvl>
  </w:abstractNum>
  <w:abstractNum w:abstractNumId="57">
    <w:nsid w:val="100F59DC"/>
    <w:multiLevelType w:val="hybridMultilevel"/>
    <w:lvl w:ilvl="0">
      <w:lvlJc w:val="left"/>
      <w:lvlText w:val="(%1)"/>
      <w:numFmt w:val="lowerRoman"/>
      <w:start w:val="4"/>
    </w:lvl>
  </w:abstractNum>
  <w:abstractNum w:abstractNumId="58">
    <w:nsid w:val="7FB7E0AA"/>
    <w:multiLevelType w:val="hybridMultilevel"/>
    <w:lvl w:ilvl="0">
      <w:lvlJc w:val="left"/>
      <w:lvlText w:val="%1"/>
      <w:numFmt w:val="decimal"/>
      <w:start w:val="1"/>
    </w:lvl>
    <w:lvl w:ilvl="1">
      <w:lvlJc w:val="left"/>
      <w:lvlText w:val="(%2)"/>
      <w:numFmt w:val="lowerRoman"/>
      <w:start w:val="12"/>
    </w:lvl>
  </w:abstractNum>
  <w:abstractNum w:abstractNumId="59">
    <w:nsid w:val="6EB5BD4"/>
    <w:multiLevelType w:val="hybridMultilevel"/>
    <w:lvl w:ilvl="0">
      <w:lvlJc w:val="left"/>
      <w:lvlText w:val="(%1)"/>
      <w:numFmt w:val="decimal"/>
      <w:start w:val="1"/>
    </w:lvl>
    <w:lvl w:ilvl="1">
      <w:lvlJc w:val="left"/>
      <w:lvlText w:val="%2"/>
      <w:numFmt w:val="lowerRoman"/>
      <w:start w:val="1"/>
    </w:lvl>
  </w:abstractNum>
  <w:abstractNum w:abstractNumId="60">
    <w:nsid w:val="6F6DD9AC"/>
    <w:multiLevelType w:val="hybridMultilevel"/>
    <w:lvl w:ilvl="0">
      <w:lvlJc w:val="left"/>
      <w:lvlText w:val="(%1)"/>
      <w:numFmt w:val="lowerRoman"/>
      <w:start w:val="18"/>
    </w:lvl>
  </w:abstractNum>
  <w:abstractNum w:abstractNumId="61">
    <w:nsid w:val="94211F2"/>
    <w:multiLevelType w:val="hybridMultilevel"/>
    <w:lvl w:ilvl="0">
      <w:lvlJc w:val="left"/>
      <w:lvlText w:val="(%1)"/>
      <w:numFmt w:val="lowerRoman"/>
      <w:start w:val="1"/>
    </w:lvl>
  </w:abstractNum>
  <w:abstractNum w:abstractNumId="62">
    <w:nsid w:val="885E1B"/>
    <w:multiLevelType w:val="hybridMultilevel"/>
    <w:lvl w:ilvl="0">
      <w:lvlJc w:val="left"/>
      <w:lvlText w:val="(%1)"/>
      <w:numFmt w:val="decimal"/>
      <w:start w:val="1"/>
    </w:lvl>
  </w:abstractNum>
  <w:abstractNum w:abstractNumId="63">
    <w:nsid w:val="76272110"/>
    <w:multiLevelType w:val="hybridMultilevel"/>
    <w:lvl w:ilvl="0">
      <w:lvlJc w:val="left"/>
      <w:lvlText w:val="(%1)"/>
      <w:numFmt w:val="lowerRoman"/>
      <w:start w:val="1"/>
    </w:lvl>
  </w:abstractNum>
  <w:abstractNum w:abstractNumId="64">
    <w:nsid w:val="4C04A8AF"/>
    <w:multiLevelType w:val="hybridMultilevel"/>
    <w:lvl w:ilvl="0">
      <w:lvlJc w:val="left"/>
      <w:lvlText w:val="(%1)"/>
      <w:numFmt w:val="decimal"/>
      <w:start w:val="1"/>
    </w:lvl>
  </w:abstractNum>
  <w:abstractNum w:abstractNumId="65">
    <w:nsid w:val="1716703B"/>
    <w:multiLevelType w:val="hybridMultilevel"/>
    <w:lvl w:ilvl="0">
      <w:lvlJc w:val="left"/>
      <w:lvlText w:val="(%1)"/>
      <w:numFmt w:val="lowerRoman"/>
      <w:start w:val="1"/>
    </w:lvl>
  </w:abstractNum>
  <w:abstractNum w:abstractNumId="66">
    <w:nsid w:val="14E17E33"/>
    <w:multiLevelType w:val="hybridMultilevel"/>
    <w:lvl w:ilvl="0">
      <w:lvlJc w:val="left"/>
      <w:lvlText w:val="(%1)"/>
      <w:numFmt w:val="decimal"/>
      <w:start w:val="1"/>
    </w:lvl>
  </w:abstractNum>
  <w:abstractNum w:abstractNumId="67">
    <w:nsid w:val="3222E7CD"/>
    <w:multiLevelType w:val="hybridMultilevel"/>
    <w:lvl w:ilvl="0">
      <w:lvlJc w:val="left"/>
      <w:lvlText w:val="(%1)"/>
      <w:numFmt w:val="lowerRoman"/>
      <w:start w:val="1"/>
    </w:lvl>
  </w:abstractNum>
  <w:abstractNum w:abstractNumId="68">
    <w:nsid w:val="74DE0EE3"/>
    <w:multiLevelType w:val="hybridMultilevel"/>
    <w:lvl w:ilvl="0">
      <w:lvlJc w:val="left"/>
      <w:lvlText w:val="(%1)"/>
      <w:numFmt w:val="decimal"/>
      <w:start w:val="1"/>
    </w:lvl>
  </w:abstractNum>
  <w:abstractNum w:abstractNumId="69">
    <w:nsid w:val="68EBC550"/>
    <w:multiLevelType w:val="hybridMultilevel"/>
    <w:lvl w:ilvl="0">
      <w:lvlJc w:val="left"/>
      <w:lvlText w:val="(%1)"/>
      <w:numFmt w:val="decimal"/>
      <w:start w:val="1"/>
    </w:lvl>
  </w:abstractNum>
  <w:abstractNum w:abstractNumId="70">
    <w:nsid w:val="2DF6D648"/>
    <w:multiLevelType w:val="hybridMultilevel"/>
    <w:lvl w:ilvl="0">
      <w:lvlJc w:val="left"/>
      <w:lvlText w:val="(%1)"/>
      <w:numFmt w:val="lowerRoman"/>
      <w:start w:val="1"/>
    </w:lvl>
  </w:abstractNum>
  <w:abstractNum w:abstractNumId="71">
    <w:nsid w:val="46B7D447"/>
    <w:multiLevelType w:val="hybridMultilevel"/>
    <w:lvl w:ilvl="0">
      <w:lvlJc w:val="left"/>
      <w:lvlText w:val="%1"/>
      <w:numFmt w:val="lowerRoman"/>
      <w:start w:val="1"/>
    </w:lvl>
    <w:lvl w:ilvl="1">
      <w:lvlJc w:val="left"/>
      <w:lvlText w:val="(%2)"/>
      <w:numFmt w:val="lowerRoman"/>
      <w:start w:val="5"/>
    </w:lvl>
  </w:abstractNum>
  <w:abstractNum w:abstractNumId="72">
    <w:nsid w:val="4A2AC315"/>
    <w:multiLevelType w:val="hybridMultilevel"/>
    <w:lvl w:ilvl="0">
      <w:lvlJc w:val="left"/>
      <w:lvlText w:val="(%1)"/>
      <w:numFmt w:val="lowerRoman"/>
      <w:start w:val="1"/>
    </w:lvl>
    <w:lvl w:ilvl="1">
      <w:lvlJc w:val="left"/>
      <w:lvlText w:val="%2"/>
      <w:numFmt w:val="lowerRoman"/>
      <w:start w:val="1"/>
    </w:lvl>
  </w:abstractNum>
  <w:abstractNum w:abstractNumId="73">
    <w:nsid w:val="39EE015C"/>
    <w:multiLevelType w:val="hybridMultilevel"/>
    <w:lvl w:ilvl="0">
      <w:lvlJc w:val="left"/>
      <w:lvlText w:val="(%1)"/>
      <w:numFmt w:val="lowerRoman"/>
      <w:start w:val="1"/>
    </w:lvl>
  </w:abstractNum>
  <w:abstractNum w:abstractNumId="74">
    <w:nsid w:val="57FC4FBB"/>
    <w:multiLevelType w:val="hybridMultilevel"/>
    <w:lvl w:ilvl="0">
      <w:lvlJc w:val="left"/>
      <w:lvlText w:val="(%1)"/>
      <w:numFmt w:val="lowerLetter"/>
      <w:start w:val="2"/>
    </w:lvl>
  </w:abstractNum>
  <w:abstractNum w:abstractNumId="75">
    <w:nsid w:val="CC1016F"/>
    <w:multiLevelType w:val="hybridMultilevel"/>
    <w:lvl w:ilvl="0">
      <w:lvlJc w:val="left"/>
      <w:lvlText w:val="(%1)"/>
      <w:numFmt w:val="lowerRoman"/>
      <w:start w:val="6"/>
    </w:lvl>
  </w:abstractNum>
  <w:abstractNum w:abstractNumId="76">
    <w:nsid w:val="43F18422"/>
    <w:multiLevelType w:val="hybridMultilevel"/>
    <w:lvl w:ilvl="0">
      <w:lvlJc w:val="left"/>
      <w:lvlText w:val="%1"/>
      <w:numFmt w:val="decimal"/>
      <w:start w:val="1"/>
    </w:lvl>
    <w:lvl w:ilvl="1">
      <w:lvlJc w:val="left"/>
      <w:lvlText w:val="(%2)"/>
      <w:numFmt w:val="lowerRoman"/>
      <w:start w:val="11"/>
    </w:lvl>
    <w:lvl w:ilvl="2">
      <w:lvlJc w:val="left"/>
      <w:lvlText w:val="%3"/>
      <w:numFmt w:val="lowerLetter"/>
      <w:start w:val="1"/>
    </w:lvl>
  </w:abstractNum>
  <w:abstractNum w:abstractNumId="77">
    <w:nsid w:val="60EF0119"/>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78">
    <w:nsid w:val="26F324BA"/>
    <w:multiLevelType w:val="hybridMultilevel"/>
    <w:lvl w:ilvl="0">
      <w:lvlJc w:val="left"/>
      <w:lvlText w:val="%1"/>
      <w:numFmt w:val="decimal"/>
      <w:start w:val="1"/>
    </w:lvl>
    <w:lvl w:ilvl="1">
      <w:lvlJc w:val="left"/>
      <w:lvlText w:val="(%2)"/>
      <w:numFmt w:val="lowerLetter"/>
      <w:start w:val="2"/>
    </w:lvl>
  </w:abstractNum>
  <w:abstractNum w:abstractNumId="79">
    <w:nsid w:val="7F01579B"/>
    <w:multiLevelType w:val="hybridMultilevel"/>
    <w:lvl w:ilvl="0">
      <w:lvlJc w:val="left"/>
      <w:lvlText w:val="(%1)"/>
      <w:numFmt w:val="decimal"/>
      <w:start w:val="3"/>
    </w:lvl>
    <w:lvl w:ilvl="1">
      <w:lvlJc w:val="left"/>
      <w:lvlText w:val="(%2)"/>
      <w:numFmt w:val="lowerLetter"/>
      <w:start w:val="1"/>
    </w:lvl>
  </w:abstractNum>
  <w:abstractNum w:abstractNumId="80">
    <w:nsid w:val="49DA307D"/>
    <w:multiLevelType w:val="hybridMultilevel"/>
    <w:lvl w:ilvl="0">
      <w:lvlJc w:val="left"/>
      <w:lvlText w:val="(%1)"/>
      <w:numFmt w:val="decimal"/>
      <w:start w:val="5"/>
    </w:lvl>
    <w:lvl w:ilvl="1">
      <w:lvlJc w:val="left"/>
      <w:lvlText w:val="(%2)"/>
      <w:numFmt w:val="lowerLetter"/>
      <w:start w:val="1"/>
    </w:lvl>
  </w:abstractNum>
  <w:abstractNum w:abstractNumId="81">
    <w:nsid w:val="7055A5F5"/>
    <w:multiLevelType w:val="hybridMultilevel"/>
    <w:lvl w:ilvl="0">
      <w:lvlJc w:val="left"/>
      <w:lvlText w:val="(%1)"/>
      <w:numFmt w:val="decimal"/>
      <w:start w:val="6"/>
    </w:lvl>
    <w:lvl w:ilvl="1">
      <w:lvlJc w:val="left"/>
      <w:lvlText w:val="(%2)"/>
      <w:numFmt w:val="lowerLetter"/>
      <w:start w:val="1"/>
    </w:lvl>
  </w:abstractNum>
  <w:abstractNum w:abstractNumId="82">
    <w:nsid w:val="5FB8370B"/>
    <w:multiLevelType w:val="hybridMultilevel"/>
    <w:lvl w:ilvl="0">
      <w:lvlJc w:val="left"/>
      <w:lvlText w:val="(%1)"/>
      <w:numFmt w:val="decimal"/>
      <w:start w:val="7"/>
    </w:lvl>
  </w:abstractNum>
  <w:abstractNum w:abstractNumId="83">
    <w:nsid w:val="50801EE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84">
    <w:nsid w:val="488AC1A"/>
    <w:multiLevelType w:val="hybridMultilevel"/>
    <w:lvl w:ilvl="0">
      <w:lvlJc w:val="left"/>
      <w:lvlText w:val="%1"/>
      <w:numFmt w:val="upperLetter"/>
      <w:start w:val="1"/>
    </w:lvl>
    <w:lvl w:ilvl="1">
      <w:lvlJc w:val="left"/>
      <w:lvlText w:val="(%2)"/>
      <w:numFmt w:val="decimal"/>
      <w:start w:val="8"/>
    </w:lvl>
    <w:lvl w:ilvl="2">
      <w:lvlJc w:val="left"/>
      <w:lvlText w:val="%3"/>
      <w:numFmt w:val="lowerLetter"/>
      <w:start w:val="1"/>
    </w:lvl>
    <w:lvl w:ilvl="3">
      <w:lvlJc w:val="left"/>
      <w:lvlText w:val="%4"/>
      <w:numFmt w:val="lowerRoman"/>
      <w:start w:val="1"/>
    </w:lvl>
  </w:abstractNum>
  <w:abstractNum w:abstractNumId="85">
    <w:nsid w:val="5FB8011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86">
    <w:nsid w:val="6AA78F7F"/>
    <w:multiLevelType w:val="hybridMultilevel"/>
    <w:lvl w:ilvl="0">
      <w:lvlJc w:val="left"/>
      <w:lvlText w:val="(%1)"/>
      <w:numFmt w:val="decimal"/>
      <w:start w:val="9"/>
    </w:lvl>
  </w:abstractNum>
  <w:abstractNum w:abstractNumId="87">
    <w:nsid w:val="7672BD23"/>
    <w:multiLevelType w:val="hybridMultilevel"/>
    <w:lvl w:ilvl="0">
      <w:lvlJc w:val="left"/>
      <w:lvlText w:val="%1"/>
      <w:numFmt w:val="lowerRoman"/>
      <w:start w:val="1"/>
    </w:lvl>
    <w:lvl w:ilvl="1">
      <w:lvlJc w:val="left"/>
      <w:lvlText w:val="(%2)"/>
      <w:numFmt w:val="decimal"/>
      <w:start w:val="15"/>
    </w:lvl>
    <w:lvl w:ilvl="2">
      <w:lvlJc w:val="left"/>
      <w:lvlText w:val="%3"/>
      <w:numFmt w:val="lowerRoman"/>
      <w:start w:val="1"/>
    </w:lvl>
  </w:abstractNum>
  <w:abstractNum w:abstractNumId="88">
    <w:nsid w:val="6FC75AF8"/>
    <w:multiLevelType w:val="hybridMultilevel"/>
    <w:lvl w:ilvl="0">
      <w:lvlJc w:val="left"/>
      <w:lvlText w:val="(%1)"/>
      <w:numFmt w:val="lowerRoman"/>
      <w:start w:val="2"/>
    </w:lvl>
    <w:lvl w:ilvl="1">
      <w:lvlJc w:val="left"/>
      <w:lvlText w:val="(%2)"/>
      <w:numFmt w:val="decimal"/>
      <w:start w:val="16"/>
    </w:lvl>
    <w:lvl w:ilvl="2">
      <w:lvlJc w:val="left"/>
      <w:lvlText w:val="(%3)"/>
      <w:numFmt w:val="lowerRoman"/>
      <w:start w:val="19"/>
    </w:lvl>
  </w:abstractNum>
  <w:abstractNum w:abstractNumId="89">
    <w:nsid w:val="6A5F7029"/>
    <w:multiLevelType w:val="hybridMultilevel"/>
    <w:lvl w:ilvl="0">
      <w:lvlJc w:val="left"/>
      <w:lvlText w:val="(%1)"/>
      <w:numFmt w:val="lowerRoman"/>
      <w:start w:val="1"/>
    </w:lvl>
    <w:lvl w:ilvl="1">
      <w:lvlJc w:val="left"/>
      <w:lvlText w:val="(%2)"/>
      <w:numFmt w:val="decimal"/>
      <w:start w:val="1"/>
    </w:lvl>
  </w:abstractNum>
  <w:abstractNum w:abstractNumId="90">
    <w:nsid w:val="7D5E18F8"/>
    <w:multiLevelType w:val="hybridMultilevel"/>
    <w:lvl w:ilvl="0">
      <w:lvlJc w:val="left"/>
      <w:lvlText w:val="(%1)"/>
      <w:numFmt w:val="decimal"/>
      <w:start w:val="4"/>
    </w:lvl>
  </w:abstractNum>
  <w:abstractNum w:abstractNumId="91">
    <w:nsid w:val="5F3534A4"/>
    <w:multiLevelType w:val="hybridMultilevel"/>
    <w:lvl w:ilvl="0">
      <w:lvlJc w:val="left"/>
      <w:lvlText w:val="(%1)"/>
      <w:numFmt w:val="decimal"/>
      <w:start w:val="1"/>
    </w:lvl>
  </w:abstractNum>
  <w:abstractNum w:abstractNumId="92">
    <w:nsid w:val="73A1821B"/>
    <w:multiLevelType w:val="hybridMultilevel"/>
    <w:lvl w:ilvl="0">
      <w:lvlJc w:val="left"/>
      <w:lvlText w:val="(%1)"/>
      <w:numFmt w:val="decimal"/>
      <w:start w:val="1"/>
    </w:lvl>
  </w:abstractNum>
  <w:abstractNum w:abstractNumId="93">
    <w:nsid w:val="7DE67713"/>
    <w:multiLevelType w:val="hybridMultilevel"/>
    <w:lvl w:ilvl="0">
      <w:lvlJc w:val="left"/>
      <w:lvlText w:val="(%1)"/>
      <w:numFmt w:val="decimal"/>
      <w:start w:val="2"/>
    </w:lvl>
  </w:abstractNum>
  <w:abstractNum w:abstractNumId="94">
    <w:nsid w:val="555C55B5"/>
    <w:multiLevelType w:val="hybridMultilevel"/>
    <w:lvl w:ilvl="0">
      <w:lvlJc w:val="left"/>
      <w:lvlText w:val="(%1)"/>
      <w:numFmt w:val="decimal"/>
      <w:start w:val="1"/>
    </w:lvl>
  </w:abstractNum>
  <w:abstractNum w:abstractNumId="95">
    <w:nsid w:val="3FA62ACA"/>
    <w:multiLevelType w:val="hybridMultilevel"/>
    <w:lvl w:ilvl="0">
      <w:lvlJc w:val="left"/>
      <w:lvlText w:val="(%1)"/>
      <w:numFmt w:val="decimal"/>
      <w:start w:val="1"/>
    </w:lvl>
  </w:abstractNum>
  <w:abstractNum w:abstractNumId="96">
    <w:nsid w:val="14FCE74E"/>
    <w:multiLevelType w:val="hybridMultilevel"/>
    <w:lvl w:ilvl="0">
      <w:lvlJc w:val="left"/>
      <w:lvlText w:val="%1"/>
      <w:numFmt w:val="lowerRoman"/>
      <w:start w:val="1"/>
    </w:lvl>
    <w:lvl w:ilvl="1">
      <w:lvlJc w:val="left"/>
      <w:lvlText w:val="(%2)"/>
      <w:numFmt w:val="lowerLetter"/>
      <w:start w:val="1"/>
    </w:lvl>
  </w:abstractNum>
  <w:abstractNum w:abstractNumId="97">
    <w:nsid w:val="6A3DD3E8"/>
    <w:multiLevelType w:val="hybridMultilevel"/>
    <w:lvl w:ilvl="0">
      <w:lvlJc w:val="left"/>
      <w:lvlText w:val="%1."/>
      <w:numFmt w:val="lowerRoman"/>
      <w:start w:val="1"/>
    </w:lvl>
    <w:lvl w:ilvl="1">
      <w:lvlJc w:val="left"/>
      <w:lvlText w:val="%2"/>
      <w:numFmt w:val="lowerLetter"/>
      <w:start w:val="1"/>
    </w:lvl>
  </w:abstractNum>
  <w:abstractNum w:abstractNumId="98">
    <w:nsid w:val="71C91298"/>
    <w:multiLevelType w:val="hybridMultilevel"/>
    <w:lvl w:ilvl="0">
      <w:lvlJc w:val="left"/>
      <w:lvlText w:val="(%1)"/>
      <w:numFmt w:val="lowerRoman"/>
      <w:start w:val="1"/>
    </w:lvl>
  </w:abstractNum>
  <w:abstractNum w:abstractNumId="99">
    <w:nsid w:val="9DAF632"/>
    <w:multiLevelType w:val="hybridMultilevel"/>
    <w:lvl w:ilvl="0">
      <w:lvlJc w:val="left"/>
      <w:lvlText w:val="(%1)"/>
      <w:numFmt w:val="lowerRoman"/>
      <w:start w:val="1"/>
    </w:lvl>
  </w:abstractNum>
  <w:abstractNum w:abstractNumId="100">
    <w:nsid w:val="53299938"/>
    <w:multiLevelType w:val="hybridMultilevel"/>
    <w:lvl w:ilvl="0">
      <w:lvlJc w:val="left"/>
      <w:lvlText w:val="(%1)"/>
      <w:numFmt w:val="lowerRoman"/>
      <w:start w:val="3"/>
    </w:lvl>
    <w:lvl w:ilvl="1">
      <w:lvlJc w:val="left"/>
      <w:lvlText w:val="(%2)"/>
      <w:numFmt w:val="decimal"/>
      <w:start w:val="1"/>
    </w:lvl>
  </w:abstractNum>
  <w:abstractNum w:abstractNumId="101">
    <w:nsid w:val="1FBFE8E0"/>
    <w:multiLevelType w:val="hybridMultilevel"/>
    <w:lvl w:ilvl="0">
      <w:lvlJc w:val="left"/>
      <w:lvlText w:val="(%1)"/>
      <w:numFmt w:val="decimal"/>
      <w:start w:val="1"/>
    </w:lvl>
  </w:abstractNum>
  <w:abstractNum w:abstractNumId="102">
    <w:nsid w:val="5092CA79"/>
    <w:multiLevelType w:val="hybridMultilevel"/>
    <w:lvl w:ilvl="0">
      <w:lvlJc w:val="left"/>
      <w:lvlText w:val="(%1)"/>
      <w:numFmt w:val="decimal"/>
      <w:start w:val="1"/>
    </w:lvl>
  </w:abstractNum>
  <w:abstractNum w:abstractNumId="103">
    <w:nsid w:val="1D545C4D"/>
    <w:multiLevelType w:val="hybridMultilevel"/>
    <w:lvl w:ilvl="0">
      <w:lvlJc w:val="left"/>
      <w:lvlText w:val="(%1)"/>
      <w:numFmt w:val="decimal"/>
      <w:start w:val="1"/>
    </w:lvl>
  </w:abstractNum>
  <w:abstractNum w:abstractNumId="104">
    <w:nsid w:val="59ADEA3D"/>
    <w:multiLevelType w:val="hybridMultilevel"/>
    <w:lvl w:ilvl="0">
      <w:lvlJc w:val="left"/>
      <w:lvlText w:val="(%1)"/>
      <w:numFmt w:val="decimal"/>
      <w:start w:val="1"/>
    </w:lvl>
  </w:abstractNum>
  <w:abstractNum w:abstractNumId="105">
    <w:nsid w:val="288F1A34"/>
    <w:multiLevelType w:val="hybridMultilevel"/>
    <w:lvl w:ilvl="0">
      <w:lvlJc w:val="left"/>
      <w:lvlText w:val="%1"/>
      <w:numFmt w:val="lowerRoman"/>
      <w:start w:val="1"/>
    </w:lvl>
    <w:lvl w:ilvl="1">
      <w:lvlJc w:val="left"/>
      <w:lvlText w:val="(%2)"/>
      <w:numFmt w:val="lowerLetter"/>
      <w:start w:val="3"/>
    </w:lvl>
  </w:abstractNum>
  <w:abstractNum w:abstractNumId="106">
    <w:nsid w:val="2A155DBC"/>
    <w:multiLevelType w:val="hybridMultilevel"/>
    <w:lvl w:ilvl="0">
      <w:lvlJc w:val="left"/>
      <w:lvlText w:val="%1."/>
      <w:numFmt w:val="lowerRoman"/>
      <w:start w:val="3"/>
    </w:lvl>
    <w:lvl w:ilvl="1">
      <w:lvlJc w:val="left"/>
      <w:lvlText w:val="%2"/>
      <w:numFmt w:val="lowerLetter"/>
      <w:start w:val="1"/>
    </w:lvl>
  </w:abstractNum>
  <w:abstractNum w:abstractNumId="107">
    <w:nsid w:val="1D9F6E5F"/>
    <w:multiLevelType w:val="hybridMultilevel"/>
    <w:lvl w:ilvl="0">
      <w:lvlJc w:val="left"/>
      <w:lvlText w:val="(%1)"/>
      <w:numFmt w:val="lowerRoman"/>
      <w:start w:val="1"/>
    </w:lvl>
  </w:abstractNum>
  <w:abstractNum w:abstractNumId="108">
    <w:nsid w:val="97E1B4E"/>
    <w:multiLevelType w:val="hybridMultilevel"/>
    <w:lvl w:ilvl="0">
      <w:lvlJc w:val="left"/>
      <w:lvlText w:val="(%1)"/>
      <w:numFmt w:val="lowerRoman"/>
      <w:start w:val="3"/>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jpe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jpe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jpe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jpe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jpeg"/><Relationship Id="rId243" Type="http://schemas.openxmlformats.org/officeDocument/2006/relationships/image" Target="media/image234.png"/><Relationship Id="rId244" Type="http://schemas.openxmlformats.org/officeDocument/2006/relationships/image" Target="media/image235.jpeg"/><Relationship Id="rId245" Type="http://schemas.openxmlformats.org/officeDocument/2006/relationships/image" Target="media/image236.png"/><Relationship Id="rId246" Type="http://schemas.openxmlformats.org/officeDocument/2006/relationships/image" Target="media/image237.jpeg"/><Relationship Id="rId247" Type="http://schemas.openxmlformats.org/officeDocument/2006/relationships/image" Target="media/image238.jpe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19" Type="http://schemas.openxmlformats.org/officeDocument/2006/relationships/hyperlink" Target="http://www.sec.gov/Archives/edgar/data/59478/000005947813000010/exhibit41-indenturedatedfe.htm" TargetMode="External"/><Relationship Id="rId20" Type="http://schemas.openxmlformats.org/officeDocument/2006/relationships/hyperlink" Target="http://www.sec.gov/Archives/edgar/data/59478/000095015209001897/c49534exv4w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2026-05-20T15:38:08Z</dcterms:created>
  <dcterms:modified xsi:type="dcterms:W3CDTF">2026-05-20T15:38:08Z</dcterms:modified>
</cp:coreProperties>
</file>