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Foghorn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344174107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10, 2021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w:t>
      </w:r>
    </w:p>
    <w:p>
      <w:pPr>
        <w:spacing w:after="0" w:line="46"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517" w:right="539" w:bottom="1440" w:gutter="0" w:footer="0" w:header="0"/>
        </w:sectPr>
      </w:pPr>
    </w:p>
    <w:bookmarkStart w:id="1" w:name="page2"/>
    <w:bookmarkEnd w:id="1"/>
    <w:p>
      <w:pPr>
        <w:jc w:val="center"/>
        <w:ind w:right="3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66" w:lineRule="exact"/>
        <w:rPr>
          <w:sz w:val="20"/>
          <w:szCs w:val="20"/>
          <w:color w:val="auto"/>
        </w:rPr>
      </w:pPr>
    </w:p>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 OR</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-421640</wp:posOffset>
            </wp:positionV>
            <wp:extent cx="6926580" cy="5648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64896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Eli Lilly and Company</w:t>
      </w:r>
    </w:p>
    <w:p>
      <w:pPr>
        <w:spacing w:after="0" w:line="23" w:lineRule="exact"/>
        <w:rPr>
          <w:sz w:val="20"/>
          <w:szCs w:val="20"/>
          <w:color w:val="auto"/>
        </w:rPr>
      </w:pPr>
    </w:p>
    <w:p>
      <w:pPr>
        <w:ind w:left="467"/>
        <w:spacing w:after="0"/>
        <w:rPr>
          <w:sz w:val="20"/>
          <w:szCs w:val="20"/>
          <w:color w:val="auto"/>
        </w:rPr>
      </w:pPr>
      <w:r>
        <w:rPr>
          <w:rFonts w:ascii="Arial" w:cs="Arial" w:eastAsia="Arial" w:hAnsi="Arial"/>
          <w:sz w:val="18"/>
          <w:szCs w:val="18"/>
          <w:color w:val="auto"/>
        </w:rPr>
        <w:t>35-0470950</w:t>
      </w:r>
    </w:p>
    <w:p>
      <w:pPr>
        <w:spacing w:after="0" w:line="22"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Indiana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N/A</w:t>
      </w:r>
    </w:p>
    <w:p>
      <w:pPr>
        <w:spacing w:after="0" w:line="36" w:lineRule="exact"/>
        <w:rPr>
          <w:sz w:val="20"/>
          <w:szCs w:val="20"/>
          <w:color w:val="auto"/>
        </w:rPr>
      </w:pPr>
    </w:p>
    <w:p>
      <w:pPr>
        <w:ind w:left="447" w:hanging="357"/>
        <w:spacing w:after="0"/>
        <w:tabs>
          <w:tab w:leader="none" w:pos="4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4,000,000</w:t>
      </w:r>
    </w:p>
    <w:p>
      <w:pPr>
        <w:spacing w:after="0" w:line="36" w:lineRule="exact"/>
        <w:rPr>
          <w:sz w:val="20"/>
          <w:szCs w:val="20"/>
          <w:color w:val="auto"/>
        </w:rPr>
      </w:pPr>
    </w:p>
    <w:p>
      <w:pPr>
        <w:ind w:left="467" w:hanging="467"/>
        <w:spacing w:after="0"/>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220" w:hanging="467"/>
        <w:spacing w:after="0" w:line="402" w:lineRule="auto"/>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9.7%</w:t>
      </w:r>
    </w:p>
    <w:p>
      <w:pPr>
        <w:spacing w:after="0" w:line="1" w:lineRule="exact"/>
        <w:rPr>
          <w:rFonts w:ascii="Arial" w:cs="Arial" w:eastAsia="Arial" w:hAnsi="Arial"/>
          <w:sz w:val="18"/>
          <w:szCs w:val="18"/>
          <w:color w:val="auto"/>
        </w:rPr>
      </w:pPr>
    </w:p>
    <w:p>
      <w:pPr>
        <w:ind w:left="447" w:hanging="447"/>
        <w:spacing w:after="0"/>
        <w:tabs>
          <w:tab w:leader="none" w:pos="4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0747"/>
          </w:cols>
          <w:pgMar w:left="593" w:top="274"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 Name of Issuer: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Foghorn Therapeutics Inc. (the “Issuer”)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500 Technology Square, Ste 700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Cambridge, MA 02139</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Schedule 13G is on behalf of Eli Lilly and Company, an Indiana corporation.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Eli Lilly and Company, Lilly Corporate Center, Indianapolis, Indiana 46285</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Eli Lilly and Company is an Indiana corporation.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2(d). Titles of Classes of Securities: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Common Stock, par value $0.0001 per share (“Common Stock”)</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344174107</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w:t>
      </w:r>
    </w:p>
    <w:p>
      <w:pPr>
        <w:spacing w:after="0" w:line="27" w:lineRule="exact"/>
        <w:rPr>
          <w:sz w:val="20"/>
          <w:szCs w:val="20"/>
          <w:color w:val="auto"/>
        </w:rPr>
      </w:pPr>
    </w:p>
    <w:p>
      <w:pPr>
        <w:ind w:left="1084"/>
        <w:spacing w:after="0"/>
        <w:rPr>
          <w:sz w:val="20"/>
          <w:szCs w:val="20"/>
          <w:color w:val="auto"/>
        </w:rPr>
      </w:pPr>
      <w:r>
        <w:rPr>
          <w:rFonts w:ascii="Arial" w:cs="Arial" w:eastAsia="Arial" w:hAnsi="Arial"/>
          <w:sz w:val="18"/>
          <w:szCs w:val="18"/>
          <w:b w:val="1"/>
          <w:bCs w:val="1"/>
          <w:color w:val="auto"/>
        </w:rPr>
        <w:t>Check Whether the Person Filing is a(n):</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1:</w:t>
      </w:r>
    </w:p>
    <w:p>
      <w:pPr>
        <w:spacing w:after="0" w:line="99" w:lineRule="exact"/>
        <w:rPr>
          <w:sz w:val="20"/>
          <w:szCs w:val="20"/>
          <w:color w:val="auto"/>
        </w:rPr>
      </w:pPr>
    </w:p>
    <w:p>
      <w:pPr>
        <w:ind w:left="1364" w:hanging="373"/>
        <w:spacing w:after="0"/>
        <w:tabs>
          <w:tab w:leader="none" w:pos="136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4,000,000</w:t>
      </w:r>
    </w:p>
    <w:p>
      <w:pPr>
        <w:spacing w:after="0" w:line="113" w:lineRule="exact"/>
        <w:rPr>
          <w:sz w:val="20"/>
          <w:szCs w:val="20"/>
          <w:color w:val="auto"/>
        </w:rPr>
      </w:pPr>
    </w:p>
    <w:p>
      <w:pPr>
        <w:ind w:left="1424" w:right="8360" w:hanging="433"/>
        <w:spacing w:after="0" w:line="407" w:lineRule="auto"/>
        <w:tabs>
          <w:tab w:leader="none" w:pos="1373"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9.7%</w:t>
      </w:r>
    </w:p>
    <w:p>
      <w:pPr>
        <w:spacing w:after="0" w:line="165" w:lineRule="exact"/>
        <w:rPr>
          <w:rFonts w:ascii="Arial" w:cs="Arial" w:eastAsia="Arial" w:hAnsi="Arial"/>
          <w:sz w:val="18"/>
          <w:szCs w:val="18"/>
          <w:color w:val="auto"/>
        </w:rPr>
      </w:pPr>
    </w:p>
    <w:p>
      <w:pPr>
        <w:ind w:left="384" w:hanging="384"/>
        <w:spacing w:after="0"/>
        <w:tabs>
          <w:tab w:leader="none" w:pos="3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3" w:lineRule="exact"/>
        <w:rPr>
          <w:rFonts w:ascii="Arial" w:cs="Arial" w:eastAsia="Arial" w:hAnsi="Arial"/>
          <w:sz w:val="18"/>
          <w:szCs w:val="18"/>
          <w:color w:val="auto"/>
        </w:rPr>
      </w:pPr>
    </w:p>
    <w:p>
      <w:pPr>
        <w:ind w:left="1784" w:hanging="352"/>
        <w:spacing w:after="0"/>
        <w:tabs>
          <w:tab w:leader="none" w:pos="1784"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Sole power to vote or to direct the vote:</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4,000,000</w:t>
      </w:r>
    </w:p>
    <w:p>
      <w:pPr>
        <w:spacing w:after="0" w:line="113" w:lineRule="exact"/>
        <w:rPr>
          <w:sz w:val="20"/>
          <w:szCs w:val="20"/>
          <w:color w:val="auto"/>
        </w:rPr>
      </w:pPr>
    </w:p>
    <w:p>
      <w:pPr>
        <w:ind w:left="1824" w:hanging="392"/>
        <w:spacing w:after="0"/>
        <w:tabs>
          <w:tab w:leader="none" w:pos="182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Shared power to vote or to direct the vote:</w:t>
      </w:r>
    </w:p>
    <w:p>
      <w:pPr>
        <w:spacing w:after="0" w:line="12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4"/>
          </w:cols>
          <w:pgMar w:left="436" w:top="270" w:right="479" w:bottom="1440" w:gutter="0" w:footer="0" w:header="0"/>
        </w:sectPr>
      </w:pPr>
    </w:p>
    <w:bookmarkStart w:id="3" w:name="page4"/>
    <w:bookmarkEnd w:id="3"/>
    <w:p>
      <w:pPr>
        <w:ind w:left="1880" w:hanging="452"/>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 power to dispose or to direct the disposition of:</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4,000,000</w:t>
      </w:r>
    </w:p>
    <w:p>
      <w:pPr>
        <w:spacing w:after="0" w:line="113" w:lineRule="exact"/>
        <w:rPr>
          <w:sz w:val="20"/>
          <w:szCs w:val="20"/>
          <w:color w:val="auto"/>
        </w:rPr>
      </w:pPr>
    </w:p>
    <w:p>
      <w:pPr>
        <w:ind w:left="1860" w:hanging="432"/>
        <w:spacing w:after="0"/>
        <w:tabs>
          <w:tab w:leader="none" w:pos="18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Shared power to dispose or to direct the disposition of:</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0940"/>
          </w:cols>
          <w:pgMar w:left="440" w:top="270" w:right="51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13, 2021</w:t>
      </w:r>
    </w:p>
    <w:p>
      <w:pPr>
        <w:spacing w:after="0" w:line="200" w:lineRule="exact"/>
        <w:rPr>
          <w:sz w:val="20"/>
          <w:szCs w:val="20"/>
          <w:color w:val="auto"/>
        </w:rPr>
      </w:pPr>
    </w:p>
    <w:p>
      <w:pPr>
        <w:spacing w:after="0" w:line="29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ELI LILLY AND COMPANY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Erin Conway, Attorney-in-Fact</w:t>
      </w:r>
    </w:p>
    <w:p>
      <w:pPr>
        <w:spacing w:after="0" w:line="200" w:lineRule="exact"/>
        <w:rPr>
          <w:sz w:val="20"/>
          <w:szCs w:val="20"/>
          <w:color w:val="auto"/>
        </w:rPr>
      </w:pPr>
    </w:p>
    <w:p>
      <w:pPr>
        <w:spacing w:after="0" w:line="2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Schedule 13G was executed pursuant to a power of attorney previously filed with the Securities and Exchange Commission, and hereby incorporated by reference herein. The power of attorney for Eli Lilly and Company was filed as an attachment to a filing by Eli Lilly and Company on Schedule 13G for Sigilon Therapeutics, Inc. on February 12, 2021.</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4"/>
      <w:numFmt w:val="bullet"/>
      <w:start w:val="1"/>
    </w:lvl>
  </w:abstractNum>
  <w:abstractNum w:abstractNumId="7">
    <w:nsid w:val="1190CDE7"/>
    <w:multiLevelType w:val="hybridMultilevel"/>
    <w:lvl w:ilvl="0">
      <w:lvlJc w:val="left"/>
      <w:lvlText w:val="9"/>
      <w:numFmt w:val="bullet"/>
      <w:start w:val="1"/>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1">
    <w:nsid w:val="109CF92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2021-12-13T07:18:23Z</dcterms:created>
  <dcterms:modified xsi:type="dcterms:W3CDTF">2021-12-13T07:18:23Z</dcterms:modified>
</cp:coreProperties>
</file>