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2018</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81" w:lineRule="exact"/>
        <w:rPr>
          <w:sz w:val="24"/>
          <w:szCs w:val="24"/>
          <w:color w:val="auto"/>
        </w:rPr>
      </w:pPr>
    </w:p>
    <w:tbl>
      <w:tblPr>
        <w:tblLayout w:type="fixed"/>
        <w:tblInd w:w="1740" w:type="dxa"/>
        <w:tblCellMar>
          <w:top w:w="0" w:type="dxa"/>
          <w:left w:w="0" w:type="dxa"/>
          <w:bottom w:w="0" w:type="dxa"/>
          <w:right w:w="0" w:type="dxa"/>
        </w:tblCellMar>
      </w:tblPr>
      <w:tr>
        <w:trPr>
          <w:trHeight w:val="220"/>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of Incorporation)</w:t>
            </w:r>
          </w:p>
        </w:tc>
        <w:tc>
          <w:tcPr>
            <w:tcW w:w="2640" w:type="dxa"/>
            <w:vAlign w:val="bottom"/>
          </w:tcPr>
          <w:p>
            <w:pPr>
              <w:spacing w:after="0"/>
              <w:rPr>
                <w:sz w:val="20"/>
                <w:szCs w:val="20"/>
                <w:color w:val="auto"/>
              </w:rPr>
            </w:pPr>
          </w:p>
        </w:tc>
        <w:tc>
          <w:tcPr>
            <w:tcW w:w="2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35-0470950</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Lilly Corporate Center</w:t>
            </w:r>
          </w:p>
        </w:tc>
        <w:tc>
          <w:tcPr>
            <w:tcW w:w="26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001-06351</w:t>
            </w: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12"/>
        </w:trPr>
        <w:tc>
          <w:tcPr>
            <w:tcW w:w="272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20"/>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Indianapolis, Indiana</w:t>
            </w:r>
          </w:p>
        </w:tc>
        <w:tc>
          <w:tcPr>
            <w:tcW w:w="2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2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2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46285</w:t>
            </w:r>
          </w:p>
        </w:tc>
        <w:tc>
          <w:tcPr>
            <w:tcW w:w="0" w:type="dxa"/>
            <w:vAlign w:val="bottom"/>
          </w:tcPr>
          <w:p>
            <w:pPr>
              <w:spacing w:after="0"/>
              <w:rPr>
                <w:sz w:val="1"/>
                <w:szCs w:val="1"/>
                <w:color w:val="auto"/>
              </w:rPr>
            </w:pPr>
          </w:p>
        </w:tc>
      </w:tr>
      <w:tr>
        <w:trPr>
          <w:trHeight w:val="216"/>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Executive Offices)</w:t>
            </w:r>
          </w:p>
        </w:tc>
        <w:tc>
          <w:tcPr>
            <w:tcW w:w="264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(317) 276-2000</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Change</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1600200</wp:posOffset>
            </wp:positionH>
            <wp:positionV relativeFrom="paragraph">
              <wp:posOffset>-127635</wp:posOffset>
            </wp:positionV>
            <wp:extent cx="4056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7"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33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held our annual meeting of shareholders on May 7, 2018. Voting results for each matter submitted to a vote at the 2018 annual meeting are provided below.</w:t>
      </w:r>
    </w:p>
    <w:p>
      <w:pPr>
        <w:spacing w:after="0" w:line="324" w:lineRule="exact"/>
        <w:rPr>
          <w:sz w:val="20"/>
          <w:szCs w:val="20"/>
          <w:color w:val="auto"/>
        </w:rPr>
      </w:pPr>
    </w:p>
    <w:p>
      <w:pPr>
        <w:ind w:left="860" w:hanging="798"/>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 nominees for director were elected to serve three-year terms ending in 2021, as follows:</w:t>
      </w:r>
    </w:p>
    <w:p>
      <w:pPr>
        <w:spacing w:after="0" w:line="170" w:lineRule="exact"/>
        <w:rPr>
          <w:sz w:val="20"/>
          <w:szCs w:val="20"/>
          <w:color w:val="auto"/>
        </w:rPr>
      </w:pPr>
    </w:p>
    <w:tbl>
      <w:tblPr>
        <w:tblLayout w:type="fixed"/>
        <w:tblInd w:w="1130" w:type="dxa"/>
        <w:tblCellMar>
          <w:top w:w="0" w:type="dxa"/>
          <w:left w:w="0" w:type="dxa"/>
          <w:bottom w:w="0" w:type="dxa"/>
          <w:right w:w="0" w:type="dxa"/>
        </w:tblCellMar>
      </w:tblPr>
      <w:tr>
        <w:trPr>
          <w:trHeight w:val="284"/>
        </w:trPr>
        <w:tc>
          <w:tcPr>
            <w:tcW w:w="2020" w:type="dxa"/>
            <w:vAlign w:val="bottom"/>
            <w:tcBorders>
              <w:top w:val="single" w:sz="8" w:color="auto"/>
              <w:left w:val="single" w:sz="8" w:color="auto"/>
              <w:bottom w:val="single" w:sz="8" w:color="auto"/>
              <w:right w:val="single" w:sz="8" w:color="auto"/>
            </w:tcBorders>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760" w:type="dxa"/>
            <w:vAlign w:val="bottom"/>
            <w:tcBorders>
              <w:top w:val="single" w:sz="8" w:color="auto"/>
              <w:bottom w:val="single" w:sz="8" w:color="auto"/>
            </w:tcBorders>
            <w:shd w:val="clear" w:color="auto" w:fill="DDDDDD"/>
          </w:tcPr>
          <w:p>
            <w:pPr>
              <w:spacing w:after="0"/>
              <w:rPr>
                <w:sz w:val="24"/>
                <w:szCs w:val="24"/>
                <w:color w:val="auto"/>
              </w:rPr>
            </w:pPr>
          </w:p>
        </w:tc>
        <w:tc>
          <w:tcPr>
            <w:tcW w:w="1080" w:type="dxa"/>
            <w:vAlign w:val="bottom"/>
            <w:tcBorders>
              <w:top w:val="single" w:sz="8" w:color="auto"/>
              <w:bottom w:val="single" w:sz="8" w:color="auto"/>
              <w:right w:val="single" w:sz="8" w:color="auto"/>
            </w:tcBorders>
            <w:gridSpan w:val="2"/>
            <w:shd w:val="clear" w:color="auto" w:fill="DDDDDD"/>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40" w:type="dxa"/>
            <w:vAlign w:val="bottom"/>
            <w:tcBorders>
              <w:top w:val="single" w:sz="8" w:color="auto"/>
              <w:bottom w:val="single" w:sz="8" w:color="auto"/>
              <w:right w:val="single" w:sz="8" w:color="auto"/>
            </w:tcBorders>
            <w:gridSpan w:val="3"/>
            <w:shd w:val="clear" w:color="auto" w:fill="DDDDDD"/>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20" w:type="dxa"/>
            <w:vAlign w:val="bottom"/>
            <w:tcBorders>
              <w:top w:val="single" w:sz="8" w:color="auto"/>
              <w:bottom w:val="single" w:sz="8" w:color="auto"/>
            </w:tcBorders>
            <w:shd w:val="clear" w:color="auto" w:fill="DDDDDD"/>
          </w:tcPr>
          <w:p>
            <w:pPr>
              <w:spacing w:after="0"/>
              <w:rPr>
                <w:sz w:val="24"/>
                <w:szCs w:val="24"/>
                <w:color w:val="auto"/>
              </w:rPr>
            </w:pPr>
          </w:p>
        </w:tc>
        <w:tc>
          <w:tcPr>
            <w:tcW w:w="1160" w:type="dxa"/>
            <w:vAlign w:val="bottom"/>
            <w:tcBorders>
              <w:top w:val="single" w:sz="8" w:color="auto"/>
              <w:bottom w:val="single" w:sz="8" w:color="auto"/>
              <w:right w:val="single" w:sz="8" w:color="auto"/>
            </w:tcBorders>
            <w:gridSpan w:val="2"/>
            <w:shd w:val="clear" w:color="auto" w:fill="DDDDDD"/>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 w:type="dxa"/>
            <w:vAlign w:val="bottom"/>
            <w:tcBorders>
              <w:top w:val="single" w:sz="8" w:color="auto"/>
              <w:bottom w:val="single" w:sz="8" w:color="auto"/>
            </w:tcBorders>
            <w:shd w:val="clear" w:color="auto" w:fill="DDDDDD"/>
          </w:tcPr>
          <w:p>
            <w:pPr>
              <w:spacing w:after="0"/>
              <w:rPr>
                <w:sz w:val="24"/>
                <w:szCs w:val="24"/>
                <w:color w:val="auto"/>
              </w:rPr>
            </w:pPr>
          </w:p>
        </w:tc>
        <w:tc>
          <w:tcPr>
            <w:tcW w:w="1540" w:type="dxa"/>
            <w:vAlign w:val="bottom"/>
            <w:tcBorders>
              <w:top w:val="single" w:sz="8" w:color="auto"/>
              <w:bottom w:val="single" w:sz="8" w:color="auto"/>
              <w:right w:val="single" w:sz="8" w:color="auto"/>
            </w:tcBorders>
            <w:gridSpan w:val="2"/>
            <w:shd w:val="clear" w:color="auto" w:fill="DDDDDD"/>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37"/>
        </w:trPr>
        <w:tc>
          <w:tcPr>
            <w:tcW w:w="20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Katherine Baicker, Ph.D.</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807,981,594</w:t>
            </w:r>
          </w:p>
        </w:tc>
        <w:tc>
          <w:tcPr>
            <w:tcW w:w="18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5,661,012</w:t>
            </w:r>
          </w:p>
        </w:tc>
        <w:tc>
          <w:tcPr>
            <w:tcW w:w="1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1,516,668</w:t>
            </w:r>
          </w:p>
        </w:tc>
        <w:tc>
          <w:tcPr>
            <w:tcW w:w="15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112,161,406</w:t>
            </w:r>
          </w:p>
        </w:tc>
        <w:tc>
          <w:tcPr>
            <w:tcW w:w="32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 Erik Fyrwald</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806,313,078</w:t>
            </w:r>
          </w:p>
        </w:tc>
        <w:tc>
          <w:tcPr>
            <w:tcW w:w="18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7,342,686</w:t>
            </w:r>
          </w:p>
        </w:tc>
        <w:tc>
          <w:tcPr>
            <w:tcW w:w="1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1,503,510</w:t>
            </w:r>
          </w:p>
        </w:tc>
        <w:tc>
          <w:tcPr>
            <w:tcW w:w="15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112,161,406</w:t>
            </w:r>
          </w:p>
        </w:tc>
        <w:tc>
          <w:tcPr>
            <w:tcW w:w="32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Jamere Jackson</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808,044,424</w:t>
            </w:r>
          </w:p>
        </w:tc>
        <w:tc>
          <w:tcPr>
            <w:tcW w:w="18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5,568,189</w:t>
            </w:r>
          </w:p>
        </w:tc>
        <w:tc>
          <w:tcPr>
            <w:tcW w:w="1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1,546,661</w:t>
            </w:r>
          </w:p>
        </w:tc>
        <w:tc>
          <w:tcPr>
            <w:tcW w:w="15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112,161,406</w:t>
            </w:r>
          </w:p>
        </w:tc>
        <w:tc>
          <w:tcPr>
            <w:tcW w:w="32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Ellen R. Marram</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657,164,985</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155,220,885</w:t>
            </w:r>
          </w:p>
        </w:tc>
        <w:tc>
          <w:tcPr>
            <w:tcW w:w="1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2,773,404</w:t>
            </w:r>
          </w:p>
        </w:tc>
        <w:tc>
          <w:tcPr>
            <w:tcW w:w="15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112,161,406</w:t>
            </w:r>
          </w:p>
        </w:tc>
        <w:tc>
          <w:tcPr>
            <w:tcW w:w="32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Jackson P. Tai</w:t>
            </w:r>
          </w:p>
        </w:tc>
        <w:tc>
          <w:tcPr>
            <w:tcW w:w="1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805,527,679</w:t>
            </w:r>
          </w:p>
        </w:tc>
        <w:tc>
          <w:tcPr>
            <w:tcW w:w="18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8,111,345</w:t>
            </w:r>
          </w:p>
        </w:tc>
        <w:tc>
          <w:tcPr>
            <w:tcW w:w="1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1,520,250</w:t>
            </w:r>
          </w:p>
        </w:tc>
        <w:tc>
          <w:tcPr>
            <w:tcW w:w="15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112,161,406</w:t>
            </w:r>
          </w:p>
        </w:tc>
        <w:tc>
          <w:tcPr>
            <w:tcW w:w="32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hanging="805"/>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following vote, the shareholders approved an advisory vote on compensation paid to named executive officers:</w:t>
      </w:r>
    </w:p>
    <w:p>
      <w:pPr>
        <w:spacing w:after="0" w:line="386" w:lineRule="exact"/>
        <w:rPr>
          <w:sz w:val="20"/>
          <w:szCs w:val="20"/>
          <w:color w:val="auto"/>
        </w:rPr>
      </w:pPr>
    </w:p>
    <w:tbl>
      <w:tblPr>
        <w:tblLayout w:type="fixed"/>
        <w:tblInd w:w="4250" w:type="dxa"/>
        <w:tblCellMar>
          <w:top w:w="0" w:type="dxa"/>
          <w:left w:w="0" w:type="dxa"/>
          <w:bottom w:w="0" w:type="dxa"/>
          <w:right w:w="0" w:type="dxa"/>
        </w:tblCellMar>
      </w:tblPr>
      <w:tr>
        <w:trPr>
          <w:trHeight w:val="28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790,360,976</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22,679,570</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2,118,728</w:t>
            </w:r>
          </w:p>
        </w:tc>
      </w:tr>
      <w:tr>
        <w:trPr>
          <w:trHeight w:val="24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860" w:hanging="798"/>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Ernst &amp; Young as our principal independent auditor was ratified by the following shareholder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257810</wp:posOffset>
            </wp:positionV>
            <wp:extent cx="189547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5486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260"/>
        <w:spacing w:after="0"/>
        <w:tabs>
          <w:tab w:leader="none" w:pos="604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906,183,075</w:t>
      </w:r>
    </w:p>
    <w:p>
      <w:pPr>
        <w:spacing w:after="0" w:line="77" w:lineRule="exact"/>
        <w:rPr>
          <w:sz w:val="20"/>
          <w:szCs w:val="20"/>
          <w:color w:val="auto"/>
        </w:rPr>
      </w:pPr>
    </w:p>
    <w:p>
      <w:pPr>
        <w:ind w:left="426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8"/>
          <w:szCs w:val="18"/>
          <w:color w:val="auto"/>
        </w:rPr>
        <w:t>19,956,379</w:t>
      </w:r>
    </w:p>
    <w:p>
      <w:pPr>
        <w:spacing w:after="0" w:line="77" w:lineRule="exact"/>
        <w:rPr>
          <w:sz w:val="20"/>
          <w:szCs w:val="20"/>
          <w:color w:val="auto"/>
        </w:rPr>
      </w:pPr>
    </w:p>
    <w:p>
      <w:pPr>
        <w:ind w:left="426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Abstain:</w:t>
      </w:r>
      <w:r>
        <w:rPr>
          <w:sz w:val="20"/>
          <w:szCs w:val="20"/>
          <w:color w:val="auto"/>
        </w:rPr>
        <w:tab/>
      </w:r>
      <w:r>
        <w:rPr>
          <w:rFonts w:ascii="Times New Roman" w:cs="Times New Roman" w:eastAsia="Times New Roman" w:hAnsi="Times New Roman"/>
          <w:sz w:val="18"/>
          <w:szCs w:val="18"/>
          <w:color w:val="auto"/>
        </w:rPr>
        <w:t>1,181,226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0" w:right="160"/>
        <w:spacing w:after="0" w:line="261" w:lineRule="auto"/>
        <w:rPr>
          <w:sz w:val="20"/>
          <w:szCs w:val="20"/>
          <w:color w:val="auto"/>
        </w:rPr>
      </w:pPr>
      <w:r>
        <w:rPr>
          <w:rFonts w:ascii="Times New Roman" w:cs="Times New Roman" w:eastAsia="Times New Roman" w:hAnsi="Times New Roman"/>
          <w:sz w:val="18"/>
          <w:szCs w:val="18"/>
          <w:color w:val="auto"/>
        </w:rPr>
        <w:t>The proposal to amend the Articles of Incorporation to eliminate the classified board structure did not receive the required vote of 80% of outstanding shares. The shareholders voted as follows:</w:t>
      </w:r>
    </w:p>
    <w:p>
      <w:pPr>
        <w:ind w:left="60"/>
        <w:spacing w:after="0"/>
        <w:rPr>
          <w:sz w:val="20"/>
          <w:szCs w:val="20"/>
          <w:color w:val="auto"/>
        </w:rPr>
      </w:pPr>
      <w:r>
        <w:rPr>
          <w:rFonts w:ascii="Times New Roman" w:cs="Times New Roman" w:eastAsia="Times New Roman" w:hAnsi="Times New Roman"/>
          <w:sz w:val="18"/>
          <w:szCs w:val="18"/>
          <w:color w:val="auto"/>
        </w:rPr>
        <w:t>d)</w:t>
      </w:r>
    </w:p>
    <w:p>
      <w:pPr>
        <w:spacing w:after="0" w:line="367" w:lineRule="exact"/>
        <w:rPr>
          <w:sz w:val="20"/>
          <w:szCs w:val="20"/>
          <w:color w:val="auto"/>
        </w:rPr>
      </w:pPr>
    </w:p>
    <w:tbl>
      <w:tblPr>
        <w:tblLayout w:type="fixed"/>
        <w:tblInd w:w="4250" w:type="dxa"/>
        <w:tblCellMar>
          <w:top w:w="0" w:type="dxa"/>
          <w:left w:w="0" w:type="dxa"/>
          <w:bottom w:w="0" w:type="dxa"/>
          <w:right w:w="0" w:type="dxa"/>
        </w:tblCellMar>
      </w:tblPr>
      <w:tr>
        <w:trPr>
          <w:trHeight w:val="28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680,264,719</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132,472,438</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2,422,117</w:t>
            </w:r>
          </w:p>
        </w:tc>
      </w:tr>
      <w:tr>
        <w:trPr>
          <w:trHeight w:val="24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940"/>
          </w:cols>
          <w:pgMar w:left="240" w:top="576" w:right="719" w:bottom="1440" w:gutter="0" w:footer="0" w:header="0"/>
        </w:sectPr>
      </w:pPr>
    </w:p>
    <w:bookmarkStart w:id="2" w:name="page3"/>
    <w:bookmarkEnd w:id="2"/>
    <w:p>
      <w:pPr>
        <w:ind w:left="800" w:right="260"/>
        <w:spacing w:after="0" w:line="261" w:lineRule="auto"/>
        <w:rPr>
          <w:sz w:val="20"/>
          <w:szCs w:val="20"/>
          <w:color w:val="auto"/>
        </w:rPr>
      </w:pPr>
      <w:r>
        <w:rPr>
          <w:rFonts w:ascii="Times New Roman" w:cs="Times New Roman" w:eastAsia="Times New Roman" w:hAnsi="Times New Roman"/>
          <w:sz w:val="18"/>
          <w:szCs w:val="18"/>
          <w:color w:val="auto"/>
        </w:rPr>
        <w:t>The proposal to amend the Articles of Incorporation to eliminate supermajority voting provisions did not receive the required vote of 80% of outstanding shares. The shareholders voted as follows:</w:t>
      </w:r>
    </w:p>
    <w:p>
      <w:pPr>
        <w:spacing w:after="0"/>
        <w:rPr>
          <w:sz w:val="20"/>
          <w:szCs w:val="20"/>
          <w:color w:val="auto"/>
        </w:rPr>
      </w:pPr>
      <w:r>
        <w:rPr>
          <w:rFonts w:ascii="Times New Roman" w:cs="Times New Roman" w:eastAsia="Times New Roman" w:hAnsi="Times New Roman"/>
          <w:sz w:val="18"/>
          <w:szCs w:val="18"/>
          <w:color w:val="auto"/>
        </w:rPr>
        <w:t>e)</w:t>
      </w:r>
    </w:p>
    <w:p>
      <w:pPr>
        <w:spacing w:after="0" w:line="367" w:lineRule="exact"/>
        <w:rPr>
          <w:sz w:val="20"/>
          <w:szCs w:val="20"/>
          <w:color w:val="auto"/>
        </w:rPr>
      </w:pPr>
    </w:p>
    <w:tbl>
      <w:tblPr>
        <w:tblLayout w:type="fixed"/>
        <w:tblInd w:w="4190" w:type="dxa"/>
        <w:tblCellMar>
          <w:top w:w="0" w:type="dxa"/>
          <w:left w:w="0" w:type="dxa"/>
          <w:bottom w:w="0" w:type="dxa"/>
          <w:right w:w="0" w:type="dxa"/>
        </w:tblCellMar>
      </w:tblPr>
      <w:tr>
        <w:trPr>
          <w:trHeight w:val="28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679,682,534</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133,344,580</w:t>
            </w:r>
          </w:p>
        </w:tc>
      </w:tr>
      <w:tr>
        <w:trPr>
          <w:trHeight w:val="26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2,132,160</w:t>
            </w:r>
          </w:p>
        </w:tc>
      </w:tr>
      <w:tr>
        <w:trPr>
          <w:trHeight w:val="244"/>
        </w:trPr>
        <w:tc>
          <w:tcPr>
            <w:tcW w:w="168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700" w:hanging="69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following vote, the shareholders approved the Amended and Restated 2002 Lilly Stock Plan:</w:t>
      </w:r>
    </w:p>
    <w:p>
      <w:pPr>
        <w:spacing w:after="0" w:line="386" w:lineRule="exact"/>
        <w:rPr>
          <w:sz w:val="20"/>
          <w:szCs w:val="20"/>
          <w:color w:val="auto"/>
        </w:rPr>
      </w:pPr>
    </w:p>
    <w:tbl>
      <w:tblPr>
        <w:tblLayout w:type="fixed"/>
        <w:tblInd w:w="4190" w:type="dxa"/>
        <w:tblCellMar>
          <w:top w:w="0" w:type="dxa"/>
          <w:left w:w="0" w:type="dxa"/>
          <w:bottom w:w="0" w:type="dxa"/>
          <w:right w:w="0" w:type="dxa"/>
        </w:tblCellMar>
      </w:tblPr>
      <w:tr>
        <w:trPr>
          <w:trHeight w:val="284"/>
        </w:trPr>
        <w:tc>
          <w:tcPr>
            <w:tcW w:w="1600" w:type="dxa"/>
            <w:vAlign w:val="bottom"/>
            <w:tcBorders>
              <w:top w:val="single" w:sz="8" w:color="auto"/>
              <w:left w:val="single" w:sz="8" w:color="auto"/>
              <w:bottom w:val="single" w:sz="8" w:color="DDDDDD"/>
              <w:right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780,122,923</w:t>
            </w:r>
          </w:p>
        </w:tc>
      </w:tr>
      <w:tr>
        <w:trPr>
          <w:trHeight w:val="264"/>
        </w:trPr>
        <w:tc>
          <w:tcPr>
            <w:tcW w:w="1600" w:type="dxa"/>
            <w:vAlign w:val="bottom"/>
            <w:tcBorders>
              <w:top w:val="single" w:sz="8" w:color="auto"/>
              <w:left w:val="single" w:sz="8" w:color="auto"/>
              <w:bottom w:val="single" w:sz="8" w:color="DDDDDD"/>
              <w:right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33,048,675</w:t>
            </w:r>
          </w:p>
        </w:tc>
      </w:tr>
      <w:tr>
        <w:trPr>
          <w:trHeight w:val="264"/>
        </w:trPr>
        <w:tc>
          <w:tcPr>
            <w:tcW w:w="1600" w:type="dxa"/>
            <w:vAlign w:val="bottom"/>
            <w:tcBorders>
              <w:top w:val="single" w:sz="8" w:color="auto"/>
              <w:left w:val="single" w:sz="8" w:color="auto"/>
              <w:bottom w:val="single" w:sz="8" w:color="DDDDDD"/>
              <w:right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1,987,676</w:t>
            </w:r>
          </w:p>
        </w:tc>
      </w:tr>
      <w:tr>
        <w:trPr>
          <w:trHeight w:val="244"/>
        </w:trPr>
        <w:tc>
          <w:tcPr>
            <w:tcW w:w="1600" w:type="dxa"/>
            <w:vAlign w:val="bottom"/>
            <w:tcBorders>
              <w:top w:val="single" w:sz="8" w:color="auto"/>
              <w:left w:val="single" w:sz="8" w:color="auto"/>
              <w:bottom w:val="single" w:sz="8" w:color="DDDDDD"/>
              <w:right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700" w:hanging="69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following vote, a shareholder proposal seeking support for the descheduling of cannibas was not approved:</w:t>
      </w:r>
    </w:p>
    <w:p>
      <w:pPr>
        <w:spacing w:after="0" w:line="170" w:lineRule="exact"/>
        <w:rPr>
          <w:sz w:val="20"/>
          <w:szCs w:val="20"/>
          <w:color w:val="auto"/>
        </w:rPr>
      </w:pPr>
    </w:p>
    <w:tbl>
      <w:tblPr>
        <w:tblLayout w:type="fixed"/>
        <w:tblInd w:w="4510" w:type="dxa"/>
        <w:tblCellMar>
          <w:top w:w="0" w:type="dxa"/>
          <w:left w:w="0" w:type="dxa"/>
          <w:bottom w:w="0" w:type="dxa"/>
          <w:right w:w="0" w:type="dxa"/>
        </w:tblCellMar>
      </w:tblPr>
      <w:tr>
        <w:trPr>
          <w:trHeight w:val="28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12,756,730</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793,887,229</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8,515,315</w:t>
            </w:r>
          </w:p>
        </w:tc>
      </w:tr>
      <w:tr>
        <w:trPr>
          <w:trHeight w:val="24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300" w:hanging="65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following vote, a shareholder proposal requesting a report regarding direct and indirect political contributions was not approved:</w:t>
      </w:r>
    </w:p>
    <w:p>
      <w:pPr>
        <w:spacing w:after="0" w:line="386" w:lineRule="exact"/>
        <w:rPr>
          <w:sz w:val="20"/>
          <w:szCs w:val="20"/>
          <w:color w:val="auto"/>
        </w:rPr>
      </w:pPr>
    </w:p>
    <w:tbl>
      <w:tblPr>
        <w:tblLayout w:type="fixed"/>
        <w:tblInd w:w="4510" w:type="dxa"/>
        <w:tblCellMar>
          <w:top w:w="0" w:type="dxa"/>
          <w:left w:w="0" w:type="dxa"/>
          <w:bottom w:w="0" w:type="dxa"/>
          <w:right w:w="0" w:type="dxa"/>
        </w:tblCellMar>
      </w:tblPr>
      <w:tr>
        <w:trPr>
          <w:trHeight w:val="28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161,245,782</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639,334,659</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14,578,833</w:t>
            </w:r>
          </w:p>
        </w:tc>
      </w:tr>
      <w:tr>
        <w:trPr>
          <w:trHeight w:val="24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the following vote, a shareholder proposal requesting a report on policies and practices regarding contract animal laboratories was not</w:t>
      </w:r>
    </w:p>
    <w:p>
      <w:pPr>
        <w:spacing w:after="0" w:line="27" w:lineRule="exact"/>
        <w:rPr>
          <w:sz w:val="20"/>
          <w:szCs w:val="20"/>
          <w:color w:val="auto"/>
        </w:rPr>
      </w:pPr>
    </w:p>
    <w:p>
      <w:pPr>
        <w:ind w:left="1300" w:hanging="65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367" w:lineRule="exact"/>
        <w:rPr>
          <w:sz w:val="20"/>
          <w:szCs w:val="20"/>
          <w:color w:val="auto"/>
        </w:rPr>
      </w:pPr>
    </w:p>
    <w:tbl>
      <w:tblPr>
        <w:tblLayout w:type="fixed"/>
        <w:tblInd w:w="4510" w:type="dxa"/>
        <w:tblCellMar>
          <w:top w:w="0" w:type="dxa"/>
          <w:left w:w="0" w:type="dxa"/>
          <w:bottom w:w="0" w:type="dxa"/>
          <w:right w:w="0" w:type="dxa"/>
        </w:tblCellMar>
      </w:tblPr>
      <w:tr>
        <w:trPr>
          <w:trHeight w:val="28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25,959,167</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780,403,894</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8,796,213</w:t>
            </w:r>
          </w:p>
        </w:tc>
      </w:tr>
      <w:tr>
        <w:trPr>
          <w:trHeight w:val="24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00"/>
          </w:cols>
          <w:pgMar w:left="300" w:top="742"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By the following vote, a shareholder proposal requesting a report on the extent to which risks related to public concern over drug pricing</w:t>
      </w:r>
    </w:p>
    <w:p>
      <w:pPr>
        <w:spacing w:after="0" w:line="27" w:lineRule="exact"/>
        <w:rPr>
          <w:sz w:val="20"/>
          <w:szCs w:val="20"/>
          <w:color w:val="auto"/>
        </w:rPr>
      </w:pPr>
    </w:p>
    <w:p>
      <w:pPr>
        <w:ind w:left="1360" w:hanging="650"/>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are integrated into incentive compensation arrangements was not approved:</w:t>
      </w:r>
    </w:p>
    <w:p>
      <w:pPr>
        <w:spacing w:after="0" w:line="367" w:lineRule="exact"/>
        <w:rPr>
          <w:sz w:val="20"/>
          <w:szCs w:val="20"/>
          <w:color w:val="auto"/>
        </w:rPr>
      </w:pPr>
    </w:p>
    <w:tbl>
      <w:tblPr>
        <w:tblLayout w:type="fixed"/>
        <w:tblInd w:w="4570" w:type="dxa"/>
        <w:tblCellMar>
          <w:top w:w="0" w:type="dxa"/>
          <w:left w:w="0" w:type="dxa"/>
          <w:bottom w:w="0" w:type="dxa"/>
          <w:right w:w="0" w:type="dxa"/>
        </w:tblCellMar>
      </w:tblPr>
      <w:tr>
        <w:trPr>
          <w:trHeight w:val="28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143,874,469</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665,645,852</w:t>
            </w:r>
          </w:p>
        </w:tc>
      </w:tr>
      <w:tr>
        <w:trPr>
          <w:trHeight w:val="26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5,638,953</w:t>
            </w:r>
          </w:p>
        </w:tc>
      </w:tr>
      <w:tr>
        <w:trPr>
          <w:trHeight w:val="244"/>
        </w:trPr>
        <w:tc>
          <w:tcPr>
            <w:tcW w:w="16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112,161,406</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record date of the meeting, 1,090,681,575 shares of common stock were issued and outstanding.</w:t>
      </w:r>
    </w:p>
    <w:p>
      <w:pPr>
        <w:sectPr>
          <w:pgSz w:w="11900" w:h="16838" w:orient="portrait"/>
          <w:cols w:equalWidth="0" w:num="1">
            <w:col w:w="11200"/>
          </w:cols>
          <w:pgMar w:left="240" w:top="742" w:right="45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tabs>
          <w:tab w:leader="none" w:pos="5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Bronwen L. Mantlo</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Bronwen L. Mantlo</w:t>
      </w:r>
    </w:p>
    <w:p>
      <w:pPr>
        <w:spacing w:after="0" w:line="9"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tab/>
        <w:t>Corporate Secretary</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Dated: May 8, 2018</w:t>
      </w:r>
    </w:p>
    <w:sectPr>
      <w:pgSz w:w="11900" w:h="16838" w:orient="portrait"/>
      <w:cols w:equalWidth="0" w:num="1">
        <w:col w:w="11220"/>
      </w:cols>
      <w:pgMar w:left="240" w:top="75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6"/>
    </w:lvl>
  </w:abstractNum>
  <w:abstractNum w:abstractNumId="4">
    <w:nsid w:val="2EB141F2"/>
    <w:multiLevelType w:val="hybridMultilevel"/>
    <w:lvl w:ilvl="0">
      <w:lvlJc w:val="left"/>
      <w:lvlText w:val="%1)"/>
      <w:numFmt w:val="lowerLetter"/>
      <w:start w:val="7"/>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2019-12-05T07:36:59Z</dcterms:created>
  <dcterms:modified xsi:type="dcterms:W3CDTF">2019-12-05T07:36:59Z</dcterms:modified>
</cp:coreProperties>
</file>