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Ionetix Corp / DE /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Common Stock, par value $0.0001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04/09/2026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5"/>
        <w:gridCol w:w="8010"/>
      </w:tblGrid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ELI LILLY &amp; Co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INDIANA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8,411,397.00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8,411,397.00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8,411,397.00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7.9 %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9"/>
        <w:gridCol w:w="9071"/>
        <w:gridCol w:w="155"/>
      </w:tblGrid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Ionetix Corp / DE /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3130 SOVEREIGN DRIVE, LANSING, MICHIGAN, 48911.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Eli Lilly and Company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Lilly Corporate Center Indianapolis, Indiana 46285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Eli Lilly and Company is an Indiana corporation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Common Stock, par value $0.0001 per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8,411,397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7.98%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8,411,397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N/A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8,411,397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N/A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40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4"/>
        <w:gridCol w:w="2024"/>
      </w:tblGrid>
      <w:tr>
        <w:trPr/>
        <w:tc>
          <w:tcPr>
            <w:tcW w:w="202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89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91"/>
            </w:tblGrid>
            <w:tr>
              <w:trPr/>
              <w:tc>
                <w:tcPr>
                  <w:tcW w:w="18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ELI LILLY &amp; 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0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61"/>
        <w:gridCol w:w="4344"/>
      </w:tblGrid>
      <w:tr>
        <w:trPr/>
        <w:tc>
          <w:tcPr>
            <w:tcW w:w="58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2"/>
              <w:gridCol w:w="9043"/>
            </w:tblGrid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Christopher Anderson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Vice President - Leader of Corporate Securities and Assistant Corporate Secretary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07/24/2026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3401</Characters>
  <CharactersWithSpaces>4046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