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424(b)(2)</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333-285052</w:t>
      </w:r>
    </w:p>
    <w:p>
      <w:pPr>
        <w:spacing w:after="0" w:line="214" w:lineRule="exact"/>
        <w:rPr>
          <w:sz w:val="24"/>
          <w:szCs w:val="24"/>
          <w:color w:val="auto"/>
        </w:rPr>
      </w:pPr>
    </w:p>
    <w:tbl>
      <w:tblPr>
        <w:tblLayout w:type="fixed"/>
        <w:tblInd w:w="120" w:type="dxa"/>
        <w:tblCellMar>
          <w:top w:w="0" w:type="dxa"/>
          <w:left w:w="0" w:type="dxa"/>
          <w:bottom w:w="0" w:type="dxa"/>
          <w:right w:w="0" w:type="dxa"/>
        </w:tblCellMar>
      </w:tblPr>
      <w:tr>
        <w:trPr>
          <w:trHeight w:val="278"/>
        </w:trPr>
        <w:tc>
          <w:tcPr>
            <w:tcW w:w="720" w:type="dxa"/>
            <w:vAlign w:val="bottom"/>
            <w:vMerge w:val="restart"/>
            <w:textDirection w:val="btLr"/>
          </w:tcPr>
          <w:p>
            <w:pPr>
              <w:ind w:left="618"/>
              <w:spacing w:after="0"/>
              <w:rPr>
                <w:sz w:val="20"/>
                <w:szCs w:val="20"/>
                <w:color w:val="auto"/>
              </w:rPr>
            </w:pPr>
            <w:r>
              <w:rPr>
                <w:rFonts w:ascii="Arial" w:cs="Arial" w:eastAsia="Arial" w:hAnsi="Arial"/>
                <w:sz w:val="1"/>
                <w:szCs w:val="1"/>
                <w:b w:val="1"/>
                <w:bCs w:val="1"/>
                <w:color w:val="FF4338"/>
                <w:w w:val="40"/>
              </w:rPr>
              <w:t>thispreliminaryprospectussupplementisnotcompleteandmaybechanged.AregistrationstatementrelatingtoeffectiveundertheSecuritiesActof1933,asamended.Wearenotusingthispreliminaryprospectussupplementandprospectustooffertosellortosolicitofferstobuythesesecuritiesinanyjurisdictionwheretheofferorsaleisnot</w:t>
            </w:r>
          </w:p>
        </w:tc>
        <w:tc>
          <w:tcPr>
            <w:tcW w:w="7280" w:type="dxa"/>
            <w:vAlign w:val="bottom"/>
          </w:tcPr>
          <w:p>
            <w:pPr>
              <w:jc w:val="center"/>
              <w:ind w:left="2190"/>
              <w:spacing w:after="0"/>
              <w:rPr>
                <w:sz w:val="20"/>
                <w:szCs w:val="20"/>
                <w:color w:val="auto"/>
              </w:rPr>
            </w:pPr>
            <w:r>
              <w:rPr>
                <w:rFonts w:ascii="Times New Roman" w:cs="Times New Roman" w:eastAsia="Times New Roman" w:hAnsi="Times New Roman"/>
                <w:sz w:val="16"/>
                <w:szCs w:val="16"/>
                <w:b w:val="1"/>
                <w:bCs w:val="1"/>
                <w:color w:val="FF4338"/>
              </w:rPr>
              <w:t>SUBJECT TO COMPLETION</w:t>
            </w:r>
          </w:p>
        </w:tc>
        <w:tc>
          <w:tcPr>
            <w:tcW w:w="0" w:type="dxa"/>
            <w:vAlign w:val="bottom"/>
          </w:tcPr>
          <w:p>
            <w:pPr>
              <w:spacing w:after="0"/>
              <w:rPr>
                <w:sz w:val="1"/>
                <w:szCs w:val="1"/>
                <w:color w:val="auto"/>
              </w:rPr>
            </w:pPr>
          </w:p>
        </w:tc>
      </w:tr>
      <w:tr>
        <w:trPr>
          <w:trHeight w:val="212"/>
        </w:trPr>
        <w:tc>
          <w:tcPr>
            <w:tcW w:w="720" w:type="dxa"/>
            <w:vAlign w:val="bottom"/>
            <w:vMerge w:val="continue"/>
          </w:tcPr>
          <w:p>
            <w:pPr>
              <w:spacing w:after="0"/>
              <w:rPr>
                <w:sz w:val="18"/>
                <w:szCs w:val="18"/>
                <w:color w:val="auto"/>
              </w:rPr>
            </w:pPr>
          </w:p>
        </w:tc>
        <w:tc>
          <w:tcPr>
            <w:tcW w:w="7280" w:type="dxa"/>
            <w:vAlign w:val="bottom"/>
          </w:tcPr>
          <w:p>
            <w:pPr>
              <w:jc w:val="center"/>
              <w:ind w:left="2190"/>
              <w:spacing w:after="0"/>
              <w:rPr>
                <w:sz w:val="20"/>
                <w:szCs w:val="20"/>
                <w:color w:val="auto"/>
              </w:rPr>
            </w:pPr>
            <w:r>
              <w:rPr>
                <w:rFonts w:ascii="Times New Roman" w:cs="Times New Roman" w:eastAsia="Times New Roman" w:hAnsi="Times New Roman"/>
                <w:sz w:val="16"/>
                <w:szCs w:val="16"/>
                <w:b w:val="1"/>
                <w:bCs w:val="1"/>
                <w:color w:val="FF4338"/>
              </w:rPr>
              <w:t>PRELIMINARY PROSPECTUS SUPPLEMENT, DATED MAY 6, 2026</w:t>
            </w:r>
          </w:p>
        </w:tc>
        <w:tc>
          <w:tcPr>
            <w:tcW w:w="0" w:type="dxa"/>
            <w:vAlign w:val="bottom"/>
          </w:tcPr>
          <w:p>
            <w:pPr>
              <w:spacing w:after="0"/>
              <w:rPr>
                <w:sz w:val="1"/>
                <w:szCs w:val="1"/>
                <w:color w:val="auto"/>
              </w:rPr>
            </w:pPr>
          </w:p>
        </w:tc>
      </w:tr>
      <w:tr>
        <w:trPr>
          <w:trHeight w:val="118"/>
        </w:trPr>
        <w:tc>
          <w:tcPr>
            <w:tcW w:w="720" w:type="dxa"/>
            <w:vAlign w:val="bottom"/>
            <w:vMerge w:val="continue"/>
          </w:tcPr>
          <w:p>
            <w:pPr>
              <w:spacing w:after="0"/>
              <w:rPr>
                <w:sz w:val="10"/>
                <w:szCs w:val="10"/>
                <w:color w:val="auto"/>
              </w:rPr>
            </w:pPr>
          </w:p>
        </w:tc>
        <w:tc>
          <w:tcPr>
            <w:tcW w:w="7280" w:type="dxa"/>
            <w:vAlign w:val="bottom"/>
          </w:tcPr>
          <w:p>
            <w:pPr>
              <w:ind w:left="140"/>
              <w:spacing w:after="0" w:line="118" w:lineRule="exact"/>
              <w:rPr>
                <w:sz w:val="20"/>
                <w:szCs w:val="20"/>
                <w:color w:val="auto"/>
              </w:rPr>
            </w:pPr>
            <w:r>
              <w:rPr>
                <w:rFonts w:ascii="Times New Roman" w:cs="Times New Roman" w:eastAsia="Times New Roman" w:hAnsi="Times New Roman"/>
                <w:sz w:val="13"/>
                <w:szCs w:val="13"/>
                <w:color w:val="auto"/>
              </w:rPr>
              <w:t>equal to Compounded SOFR, plus          %.</w:t>
            </w:r>
          </w:p>
        </w:tc>
        <w:tc>
          <w:tcPr>
            <w:tcW w:w="0" w:type="dxa"/>
            <w:vAlign w:val="bottom"/>
          </w:tcPr>
          <w:p>
            <w:pPr>
              <w:spacing w:after="0"/>
              <w:rPr>
                <w:sz w:val="1"/>
                <w:szCs w:val="1"/>
                <w:color w:val="auto"/>
              </w:rPr>
            </w:pPr>
          </w:p>
        </w:tc>
      </w:tr>
      <w:tr>
        <w:trPr>
          <w:trHeight w:val="176"/>
        </w:trPr>
        <w:tc>
          <w:tcPr>
            <w:tcW w:w="720" w:type="dxa"/>
            <w:vAlign w:val="bottom"/>
          </w:tcPr>
          <w:p>
            <w:pPr>
              <w:spacing w:after="0"/>
              <w:rPr>
                <w:sz w:val="15"/>
                <w:szCs w:val="15"/>
                <w:color w:val="auto"/>
              </w:rPr>
            </w:pPr>
          </w:p>
        </w:tc>
        <w:tc>
          <w:tcPr>
            <w:tcW w:w="7280" w:type="dxa"/>
            <w:vAlign w:val="bottom"/>
          </w:tcPr>
          <w:p>
            <w:pPr>
              <w:ind w:left="140"/>
              <w:spacing w:after="0" w:line="176" w:lineRule="exact"/>
              <w:rPr>
                <w:sz w:val="20"/>
                <w:szCs w:val="20"/>
                <w:color w:val="auto"/>
              </w:rPr>
            </w:pPr>
            <w:r>
              <w:rPr>
                <w:rFonts w:ascii="Times New Roman" w:cs="Times New Roman" w:eastAsia="Times New Roman" w:hAnsi="Times New Roman"/>
                <w:sz w:val="16"/>
                <w:szCs w:val="16"/>
                <w:b w:val="1"/>
                <w:bCs w:val="1"/>
                <w:color w:val="auto"/>
              </w:rPr>
              <w:t>Prospectus Supplement</w:t>
            </w:r>
          </w:p>
        </w:tc>
        <w:tc>
          <w:tcPr>
            <w:tcW w:w="0" w:type="dxa"/>
            <w:vAlign w:val="bottom"/>
          </w:tcPr>
          <w:p>
            <w:pPr>
              <w:spacing w:after="0"/>
              <w:rPr>
                <w:sz w:val="1"/>
                <w:szCs w:val="1"/>
                <w:color w:val="auto"/>
              </w:rPr>
            </w:pPr>
          </w:p>
        </w:tc>
      </w:tr>
      <w:tr>
        <w:trPr>
          <w:trHeight w:val="238"/>
        </w:trPr>
        <w:tc>
          <w:tcPr>
            <w:tcW w:w="720" w:type="dxa"/>
            <w:vAlign w:val="bottom"/>
          </w:tcPr>
          <w:p>
            <w:pPr>
              <w:spacing w:after="0"/>
              <w:rPr>
                <w:sz w:val="20"/>
                <w:szCs w:val="20"/>
                <w:color w:val="auto"/>
              </w:rPr>
            </w:pP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 Prospectus dated February 19, 2025)</w:t>
            </w:r>
          </w:p>
        </w:tc>
        <w:tc>
          <w:tcPr>
            <w:tcW w:w="0" w:type="dxa"/>
            <w:vAlign w:val="bottom"/>
          </w:tcPr>
          <w:p>
            <w:pPr>
              <w:spacing w:after="0"/>
              <w:rPr>
                <w:sz w:val="1"/>
                <w:szCs w:val="1"/>
                <w:color w:val="auto"/>
              </w:rPr>
            </w:pPr>
          </w:p>
        </w:tc>
      </w:tr>
      <w:tr>
        <w:trPr>
          <w:trHeight w:val="385"/>
        </w:trPr>
        <w:tc>
          <w:tcPr>
            <w:tcW w:w="720" w:type="dxa"/>
            <w:vAlign w:val="bottom"/>
          </w:tcPr>
          <w:p>
            <w:pPr>
              <w:spacing w:after="0"/>
              <w:rPr>
                <w:sz w:val="24"/>
                <w:szCs w:val="24"/>
                <w:color w:val="auto"/>
              </w:rPr>
            </w:pPr>
          </w:p>
        </w:tc>
        <w:tc>
          <w:tcPr>
            <w:tcW w:w="7280" w:type="dxa"/>
            <w:vAlign w:val="bottom"/>
          </w:tcPr>
          <w:p>
            <w:pPr>
              <w:ind w:left="3440"/>
              <w:spacing w:after="0"/>
              <w:rPr>
                <w:sz w:val="20"/>
                <w:szCs w:val="20"/>
                <w:color w:val="auto"/>
              </w:rPr>
            </w:pPr>
            <w:r>
              <w:rPr>
                <w:rFonts w:ascii="Times New Roman" w:cs="Times New Roman" w:eastAsia="Times New Roman" w:hAnsi="Times New Roman"/>
                <w:sz w:val="29"/>
                <w:szCs w:val="29"/>
                <w:b w:val="1"/>
                <w:bCs w:val="1"/>
                <w:color w:val="auto"/>
              </w:rPr>
              <w:t xml:space="preserve">$   </w:t>
            </w:r>
            <w:r>
              <w:rPr>
                <w:rFonts w:ascii="Times New Roman" w:cs="Times New Roman" w:eastAsia="Times New Roman" w:hAnsi="Times New Roman"/>
                <w:sz w:val="25"/>
                <w:szCs w:val="25"/>
                <w:color w:val="auto"/>
              </w:rPr>
              <w:t xml:space="preserve"> </w:t>
            </w:r>
            <w:r>
              <w:rPr>
                <w:rFonts w:ascii="Times New Roman" w:cs="Times New Roman" w:eastAsia="Times New Roman" w:hAnsi="Times New Roman"/>
                <w:sz w:val="29"/>
                <w:szCs w:val="29"/>
                <w:b w:val="1"/>
                <w:bCs w:val="1"/>
                <w:color w:val="auto"/>
              </w:rPr>
              <w:t xml:space="preserve">                     </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3074035</wp:posOffset>
            </wp:positionH>
            <wp:positionV relativeFrom="paragraph">
              <wp:posOffset>149860</wp:posOffset>
            </wp:positionV>
            <wp:extent cx="994410"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94410"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tbl>
      <w:tblPr>
        <w:tblLayout w:type="fixed"/>
        <w:tblInd w:w="12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22"/>
                <w:szCs w:val="22"/>
                <w:b w:val="1"/>
                <w:bCs w:val="1"/>
                <w:color w:val="auto"/>
              </w:rPr>
              <w:t xml:space="preserve">$ </w:t>
            </w:r>
          </w:p>
        </w:tc>
        <w:tc>
          <w:tcPr>
            <w:tcW w:w="26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w w:val="72"/>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w w:val="72"/>
              </w:rPr>
              <w:t> </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2780" w:type="dxa"/>
            <w:vAlign w:val="bottom"/>
            <w:gridSpan w:val="13"/>
          </w:tcPr>
          <w:p>
            <w:pPr>
              <w:jc w:val="center"/>
              <w:ind w:right="8"/>
              <w:spacing w:after="0"/>
              <w:rPr>
                <w:sz w:val="20"/>
                <w:szCs w:val="20"/>
                <w:color w:val="auto"/>
              </w:rPr>
            </w:pPr>
            <w:r>
              <w:rPr>
                <w:rFonts w:ascii="Times New Roman" w:cs="Times New Roman" w:eastAsia="Times New Roman" w:hAnsi="Times New Roman"/>
                <w:sz w:val="22"/>
                <w:szCs w:val="22"/>
                <w:b w:val="1"/>
                <w:bCs w:val="1"/>
                <w:color w:val="auto"/>
                <w:w w:val="98"/>
              </w:rPr>
              <w:t>Floating Rate Notes Due 20</w:t>
            </w: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43"/>
        </w:trPr>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20" w:type="dxa"/>
            <w:vAlign w:val="bottom"/>
            <w:gridSpan w:val="9"/>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w w:val="94"/>
              </w:rPr>
              <w:t>Interest payable on 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320" w:type="dxa"/>
            <w:vAlign w:val="bottom"/>
          </w:tcPr>
          <w:p>
            <w:pPr>
              <w:jc w:val="right"/>
              <w:ind w:right="73"/>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60" w:type="dxa"/>
            <w:vAlign w:val="bottom"/>
          </w:tcPr>
          <w:p>
            <w:pPr>
              <w:jc w:val="right"/>
              <w:ind w:right="21"/>
              <w:spacing w:after="0"/>
              <w:rPr>
                <w:sz w:val="20"/>
                <w:szCs w:val="20"/>
                <w:color w:val="auto"/>
              </w:rPr>
            </w:pPr>
            <w:r>
              <w:rPr>
                <w:rFonts w:ascii="Times New Roman" w:cs="Times New Roman" w:eastAsia="Times New Roman" w:hAnsi="Times New Roman"/>
                <w:sz w:val="15"/>
                <w:szCs w:val="15"/>
                <w:b w:val="1"/>
                <w:bCs w:val="1"/>
                <w:color w:val="auto"/>
                <w:w w:val="74"/>
              </w:rPr>
              <w:t>, </w:t>
            </w:r>
          </w:p>
        </w:tc>
        <w:tc>
          <w:tcPr>
            <w:tcW w:w="2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60" w:type="dxa"/>
            <w:vAlign w:val="bottom"/>
          </w:tcPr>
          <w:p>
            <w:pPr>
              <w:spacing w:after="0"/>
              <w:rPr>
                <w:sz w:val="21"/>
                <w:szCs w:val="21"/>
                <w:color w:val="auto"/>
              </w:rPr>
            </w:pPr>
          </w:p>
        </w:tc>
        <w:tc>
          <w:tcPr>
            <w:tcW w:w="3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w w:val="87"/>
              </w:rPr>
              <w:t>, </w:t>
            </w:r>
          </w:p>
        </w:tc>
        <w:tc>
          <w:tcPr>
            <w:tcW w:w="180" w:type="dxa"/>
            <w:vAlign w:val="bottom"/>
          </w:tcPr>
          <w:p>
            <w:pPr>
              <w:jc w:val="right"/>
              <w:ind w:right="45"/>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300" w:type="dxa"/>
            <w:vAlign w:val="bottom"/>
          </w:tcPr>
          <w:p>
            <w:pPr>
              <w:jc w:val="center"/>
              <w:ind w:right="81"/>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50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b w:val="1"/>
                <w:bCs w:val="1"/>
                <w:color w:val="auto"/>
              </w:rPr>
              <w:t>and</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b w:val="1"/>
                <w:bCs w:val="1"/>
                <w:color w:val="auto"/>
              </w:rPr>
              <w:t xml:space="preserve">$ </w:t>
            </w:r>
          </w:p>
        </w:tc>
        <w:tc>
          <w:tcPr>
            <w:tcW w:w="26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w w:val="72"/>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2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72"/>
              </w:rPr>
              <w:t> </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2780" w:type="dxa"/>
            <w:vAlign w:val="bottom"/>
            <w:gridSpan w:val="13"/>
          </w:tcPr>
          <w:p>
            <w:pPr>
              <w:jc w:val="center"/>
              <w:ind w:right="8"/>
              <w:spacing w:after="0" w:line="243" w:lineRule="exact"/>
              <w:rPr>
                <w:sz w:val="20"/>
                <w:szCs w:val="20"/>
                <w:color w:val="auto"/>
              </w:rPr>
            </w:pPr>
            <w:r>
              <w:rPr>
                <w:rFonts w:ascii="Times New Roman" w:cs="Times New Roman" w:eastAsia="Times New Roman" w:hAnsi="Times New Roman"/>
                <w:sz w:val="22"/>
                <w:szCs w:val="22"/>
                <w:b w:val="1"/>
                <w:bCs w:val="1"/>
                <w:color w:val="auto"/>
                <w:w w:val="98"/>
              </w:rPr>
              <w:t>Floating Rate Notes Due 20</w:t>
            </w: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20" w:type="dxa"/>
            <w:vAlign w:val="bottom"/>
            <w:gridSpan w:val="9"/>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w w:val="94"/>
              </w:rPr>
              <w:t>Interest payable on 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320" w:type="dxa"/>
            <w:vAlign w:val="bottom"/>
          </w:tcPr>
          <w:p>
            <w:pPr>
              <w:jc w:val="right"/>
              <w:ind w:right="73"/>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60" w:type="dxa"/>
            <w:vAlign w:val="bottom"/>
          </w:tcPr>
          <w:p>
            <w:pPr>
              <w:jc w:val="right"/>
              <w:ind w:right="21"/>
              <w:spacing w:after="0"/>
              <w:rPr>
                <w:sz w:val="20"/>
                <w:szCs w:val="20"/>
                <w:color w:val="auto"/>
              </w:rPr>
            </w:pPr>
            <w:r>
              <w:rPr>
                <w:rFonts w:ascii="Times New Roman" w:cs="Times New Roman" w:eastAsia="Times New Roman" w:hAnsi="Times New Roman"/>
                <w:sz w:val="15"/>
                <w:szCs w:val="15"/>
                <w:b w:val="1"/>
                <w:bCs w:val="1"/>
                <w:color w:val="auto"/>
                <w:w w:val="74"/>
              </w:rPr>
              <w:t>, </w:t>
            </w:r>
          </w:p>
        </w:tc>
        <w:tc>
          <w:tcPr>
            <w:tcW w:w="2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60" w:type="dxa"/>
            <w:vAlign w:val="bottom"/>
          </w:tcPr>
          <w:p>
            <w:pPr>
              <w:spacing w:after="0"/>
              <w:rPr>
                <w:sz w:val="21"/>
                <w:szCs w:val="21"/>
                <w:color w:val="auto"/>
              </w:rPr>
            </w:pPr>
          </w:p>
        </w:tc>
        <w:tc>
          <w:tcPr>
            <w:tcW w:w="3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w w:val="87"/>
              </w:rPr>
              <w:t>, </w:t>
            </w:r>
          </w:p>
        </w:tc>
        <w:tc>
          <w:tcPr>
            <w:tcW w:w="180" w:type="dxa"/>
            <w:vAlign w:val="bottom"/>
          </w:tcPr>
          <w:p>
            <w:pPr>
              <w:jc w:val="right"/>
              <w:ind w:right="45"/>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300" w:type="dxa"/>
            <w:vAlign w:val="bottom"/>
          </w:tcPr>
          <w:p>
            <w:pPr>
              <w:jc w:val="center"/>
              <w:ind w:right="81"/>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50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b w:val="1"/>
                <w:bCs w:val="1"/>
                <w:color w:val="auto"/>
              </w:rPr>
              <w:t>and</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6"/>
          </w:tcPr>
          <w:p>
            <w:pPr>
              <w:jc w:val="right"/>
              <w:ind w:right="14"/>
              <w:spacing w:after="0" w:line="243" w:lineRule="exact"/>
              <w:rPr>
                <w:sz w:val="20"/>
                <w:szCs w:val="20"/>
                <w:color w:val="auto"/>
              </w:rPr>
            </w:pPr>
            <w:r>
              <w:rPr>
                <w:rFonts w:ascii="Times New Roman" w:cs="Times New Roman" w:eastAsia="Times New Roman" w:hAnsi="Times New Roman"/>
                <w:sz w:val="22"/>
                <w:szCs w:val="22"/>
                <w:b w:val="1"/>
                <w:bCs w:val="1"/>
                <w:color w:val="auto"/>
              </w:rPr>
              <w:t xml:space="preserve">$             </w:t>
            </w:r>
          </w:p>
        </w:tc>
        <w:tc>
          <w:tcPr>
            <w:tcW w:w="1720" w:type="dxa"/>
            <w:vAlign w:val="bottom"/>
            <w:gridSpan w:val="9"/>
          </w:tcPr>
          <w:p>
            <w:pPr>
              <w:jc w:val="center"/>
              <w:ind w:right="25"/>
              <w:spacing w:after="0" w:line="243" w:lineRule="exact"/>
              <w:rPr>
                <w:sz w:val="20"/>
                <w:szCs w:val="20"/>
                <w:color w:val="auto"/>
              </w:rPr>
            </w:pPr>
            <w:r>
              <w:rPr>
                <w:rFonts w:ascii="Times New Roman" w:cs="Times New Roman" w:eastAsia="Times New Roman" w:hAnsi="Times New Roman"/>
                <w:sz w:val="22"/>
                <w:szCs w:val="22"/>
                <w:b w:val="1"/>
                <w:bCs w:val="1"/>
                <w:color w:val="auto"/>
                <w:w w:val="98"/>
              </w:rPr>
              <w:t>% Notes Due 20</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gridSpan w:val="10"/>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w w:val="93"/>
              </w:rPr>
              <w:t>Interest payable on </w:t>
            </w:r>
          </w:p>
        </w:tc>
        <w:tc>
          <w:tcPr>
            <w:tcW w:w="2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60" w:type="dxa"/>
            <w:vAlign w:val="bottom"/>
          </w:tcPr>
          <w:p>
            <w:pPr>
              <w:spacing w:after="0"/>
              <w:rPr>
                <w:sz w:val="21"/>
                <w:szCs w:val="21"/>
                <w:color w:val="auto"/>
              </w:rPr>
            </w:pPr>
          </w:p>
        </w:tc>
        <w:tc>
          <w:tcPr>
            <w:tcW w:w="520" w:type="dxa"/>
            <w:vAlign w:val="bottom"/>
            <w:gridSpan w:val="3"/>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rPr>
              <w:t>and</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6"/>
          </w:tcPr>
          <w:p>
            <w:pPr>
              <w:jc w:val="right"/>
              <w:ind w:right="14"/>
              <w:spacing w:after="0" w:line="243" w:lineRule="exact"/>
              <w:rPr>
                <w:sz w:val="20"/>
                <w:szCs w:val="20"/>
                <w:color w:val="auto"/>
              </w:rPr>
            </w:pPr>
            <w:r>
              <w:rPr>
                <w:rFonts w:ascii="Times New Roman" w:cs="Times New Roman" w:eastAsia="Times New Roman" w:hAnsi="Times New Roman"/>
                <w:sz w:val="22"/>
                <w:szCs w:val="22"/>
                <w:b w:val="1"/>
                <w:bCs w:val="1"/>
                <w:color w:val="auto"/>
              </w:rPr>
              <w:t xml:space="preserve">$             </w:t>
            </w:r>
          </w:p>
        </w:tc>
        <w:tc>
          <w:tcPr>
            <w:tcW w:w="1720" w:type="dxa"/>
            <w:vAlign w:val="bottom"/>
            <w:gridSpan w:val="9"/>
          </w:tcPr>
          <w:p>
            <w:pPr>
              <w:jc w:val="center"/>
              <w:ind w:right="25"/>
              <w:spacing w:after="0" w:line="243" w:lineRule="exact"/>
              <w:rPr>
                <w:sz w:val="20"/>
                <w:szCs w:val="20"/>
                <w:color w:val="auto"/>
              </w:rPr>
            </w:pPr>
            <w:r>
              <w:rPr>
                <w:rFonts w:ascii="Times New Roman" w:cs="Times New Roman" w:eastAsia="Times New Roman" w:hAnsi="Times New Roman"/>
                <w:sz w:val="22"/>
                <w:szCs w:val="22"/>
                <w:b w:val="1"/>
                <w:bCs w:val="1"/>
                <w:color w:val="auto"/>
                <w:w w:val="98"/>
              </w:rPr>
              <w:t>% Notes Due 20</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gridSpan w:val="10"/>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w w:val="93"/>
              </w:rPr>
              <w:t>Interest payable on </w:t>
            </w:r>
          </w:p>
        </w:tc>
        <w:tc>
          <w:tcPr>
            <w:tcW w:w="2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60" w:type="dxa"/>
            <w:vAlign w:val="bottom"/>
          </w:tcPr>
          <w:p>
            <w:pPr>
              <w:spacing w:after="0"/>
              <w:rPr>
                <w:sz w:val="21"/>
                <w:szCs w:val="21"/>
                <w:color w:val="auto"/>
              </w:rPr>
            </w:pPr>
          </w:p>
        </w:tc>
        <w:tc>
          <w:tcPr>
            <w:tcW w:w="520" w:type="dxa"/>
            <w:vAlign w:val="bottom"/>
            <w:gridSpan w:val="3"/>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rPr>
              <w:t>and</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6"/>
          </w:tcPr>
          <w:p>
            <w:pPr>
              <w:jc w:val="right"/>
              <w:ind w:right="14"/>
              <w:spacing w:after="0" w:line="243" w:lineRule="exact"/>
              <w:rPr>
                <w:sz w:val="20"/>
                <w:szCs w:val="20"/>
                <w:color w:val="auto"/>
              </w:rPr>
            </w:pPr>
            <w:r>
              <w:rPr>
                <w:rFonts w:ascii="Times New Roman" w:cs="Times New Roman" w:eastAsia="Times New Roman" w:hAnsi="Times New Roman"/>
                <w:sz w:val="22"/>
                <w:szCs w:val="22"/>
                <w:b w:val="1"/>
                <w:bCs w:val="1"/>
                <w:color w:val="auto"/>
              </w:rPr>
              <w:t xml:space="preserve">$             </w:t>
            </w:r>
          </w:p>
        </w:tc>
        <w:tc>
          <w:tcPr>
            <w:tcW w:w="1720" w:type="dxa"/>
            <w:vAlign w:val="bottom"/>
            <w:gridSpan w:val="9"/>
          </w:tcPr>
          <w:p>
            <w:pPr>
              <w:jc w:val="center"/>
              <w:ind w:right="25"/>
              <w:spacing w:after="0" w:line="243" w:lineRule="exact"/>
              <w:rPr>
                <w:sz w:val="20"/>
                <w:szCs w:val="20"/>
                <w:color w:val="auto"/>
              </w:rPr>
            </w:pPr>
            <w:r>
              <w:rPr>
                <w:rFonts w:ascii="Times New Roman" w:cs="Times New Roman" w:eastAsia="Times New Roman" w:hAnsi="Times New Roman"/>
                <w:sz w:val="22"/>
                <w:szCs w:val="22"/>
                <w:b w:val="1"/>
                <w:bCs w:val="1"/>
                <w:color w:val="auto"/>
                <w:w w:val="98"/>
              </w:rPr>
              <w:t>% Notes Due 20</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gridSpan w:val="10"/>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w w:val="91"/>
              </w:rPr>
              <w:t>Interest payable on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72"/>
              </w:rPr>
              <w:t> </w:t>
            </w:r>
          </w:p>
        </w:tc>
        <w:tc>
          <w:tcPr>
            <w:tcW w:w="60" w:type="dxa"/>
            <w:vAlign w:val="bottom"/>
          </w:tcPr>
          <w:p>
            <w:pPr>
              <w:spacing w:after="0"/>
              <w:rPr>
                <w:sz w:val="21"/>
                <w:szCs w:val="21"/>
                <w:color w:val="auto"/>
              </w:rPr>
            </w:pPr>
          </w:p>
        </w:tc>
        <w:tc>
          <w:tcPr>
            <w:tcW w:w="520" w:type="dxa"/>
            <w:vAlign w:val="bottom"/>
            <w:gridSpan w:val="3"/>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rPr>
              <w:t>and</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6"/>
          </w:tcPr>
          <w:p>
            <w:pPr>
              <w:jc w:val="right"/>
              <w:ind w:right="14"/>
              <w:spacing w:after="0" w:line="243" w:lineRule="exact"/>
              <w:rPr>
                <w:sz w:val="20"/>
                <w:szCs w:val="20"/>
                <w:color w:val="auto"/>
              </w:rPr>
            </w:pPr>
            <w:r>
              <w:rPr>
                <w:rFonts w:ascii="Times New Roman" w:cs="Times New Roman" w:eastAsia="Times New Roman" w:hAnsi="Times New Roman"/>
                <w:sz w:val="22"/>
                <w:szCs w:val="22"/>
                <w:b w:val="1"/>
                <w:bCs w:val="1"/>
                <w:color w:val="auto"/>
              </w:rPr>
              <w:t xml:space="preserve">$             </w:t>
            </w:r>
          </w:p>
        </w:tc>
        <w:tc>
          <w:tcPr>
            <w:tcW w:w="1720" w:type="dxa"/>
            <w:vAlign w:val="bottom"/>
            <w:gridSpan w:val="9"/>
          </w:tcPr>
          <w:p>
            <w:pPr>
              <w:jc w:val="center"/>
              <w:ind w:right="25"/>
              <w:spacing w:after="0" w:line="243" w:lineRule="exact"/>
              <w:rPr>
                <w:sz w:val="20"/>
                <w:szCs w:val="20"/>
                <w:color w:val="auto"/>
              </w:rPr>
            </w:pPr>
            <w:r>
              <w:rPr>
                <w:rFonts w:ascii="Times New Roman" w:cs="Times New Roman" w:eastAsia="Times New Roman" w:hAnsi="Times New Roman"/>
                <w:sz w:val="22"/>
                <w:szCs w:val="22"/>
                <w:b w:val="1"/>
                <w:bCs w:val="1"/>
                <w:color w:val="auto"/>
                <w:w w:val="98"/>
              </w:rPr>
              <w:t>% Notes Due 20</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gridSpan w:val="10"/>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w w:val="93"/>
              </w:rPr>
              <w:t>Interest payable on </w:t>
            </w:r>
          </w:p>
        </w:tc>
        <w:tc>
          <w:tcPr>
            <w:tcW w:w="2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60" w:type="dxa"/>
            <w:vAlign w:val="bottom"/>
          </w:tcPr>
          <w:p>
            <w:pPr>
              <w:spacing w:after="0"/>
              <w:rPr>
                <w:sz w:val="21"/>
                <w:szCs w:val="21"/>
                <w:color w:val="auto"/>
              </w:rPr>
            </w:pPr>
          </w:p>
        </w:tc>
        <w:tc>
          <w:tcPr>
            <w:tcW w:w="520" w:type="dxa"/>
            <w:vAlign w:val="bottom"/>
            <w:gridSpan w:val="3"/>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rPr>
              <w:t>and</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6"/>
          </w:tcPr>
          <w:p>
            <w:pPr>
              <w:jc w:val="right"/>
              <w:ind w:right="14"/>
              <w:spacing w:after="0" w:line="243" w:lineRule="exact"/>
              <w:rPr>
                <w:sz w:val="20"/>
                <w:szCs w:val="20"/>
                <w:color w:val="auto"/>
              </w:rPr>
            </w:pPr>
            <w:r>
              <w:rPr>
                <w:rFonts w:ascii="Times New Roman" w:cs="Times New Roman" w:eastAsia="Times New Roman" w:hAnsi="Times New Roman"/>
                <w:sz w:val="22"/>
                <w:szCs w:val="22"/>
                <w:b w:val="1"/>
                <w:bCs w:val="1"/>
                <w:color w:val="auto"/>
              </w:rPr>
              <w:t xml:space="preserve">$             </w:t>
            </w:r>
          </w:p>
        </w:tc>
        <w:tc>
          <w:tcPr>
            <w:tcW w:w="1720" w:type="dxa"/>
            <w:vAlign w:val="bottom"/>
            <w:gridSpan w:val="9"/>
          </w:tcPr>
          <w:p>
            <w:pPr>
              <w:jc w:val="center"/>
              <w:ind w:right="25"/>
              <w:spacing w:after="0" w:line="243" w:lineRule="exact"/>
              <w:rPr>
                <w:sz w:val="20"/>
                <w:szCs w:val="20"/>
                <w:color w:val="auto"/>
              </w:rPr>
            </w:pPr>
            <w:r>
              <w:rPr>
                <w:rFonts w:ascii="Times New Roman" w:cs="Times New Roman" w:eastAsia="Times New Roman" w:hAnsi="Times New Roman"/>
                <w:sz w:val="22"/>
                <w:szCs w:val="22"/>
                <w:b w:val="1"/>
                <w:bCs w:val="1"/>
                <w:color w:val="auto"/>
                <w:w w:val="98"/>
              </w:rPr>
              <w:t>% Notes Due 20</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gridSpan w:val="10"/>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w w:val="91"/>
              </w:rPr>
              <w:t>Interest payable on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72"/>
              </w:rPr>
              <w:t> </w:t>
            </w:r>
          </w:p>
        </w:tc>
        <w:tc>
          <w:tcPr>
            <w:tcW w:w="60" w:type="dxa"/>
            <w:vAlign w:val="bottom"/>
          </w:tcPr>
          <w:p>
            <w:pPr>
              <w:spacing w:after="0"/>
              <w:rPr>
                <w:sz w:val="21"/>
                <w:szCs w:val="21"/>
                <w:color w:val="auto"/>
              </w:rPr>
            </w:pPr>
          </w:p>
        </w:tc>
        <w:tc>
          <w:tcPr>
            <w:tcW w:w="520" w:type="dxa"/>
            <w:vAlign w:val="bottom"/>
            <w:gridSpan w:val="3"/>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rPr>
              <w:t>and</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6"/>
          </w:tcPr>
          <w:p>
            <w:pPr>
              <w:jc w:val="right"/>
              <w:ind w:right="14"/>
              <w:spacing w:after="0" w:line="243" w:lineRule="exact"/>
              <w:rPr>
                <w:sz w:val="20"/>
                <w:szCs w:val="20"/>
                <w:color w:val="auto"/>
              </w:rPr>
            </w:pPr>
            <w:r>
              <w:rPr>
                <w:rFonts w:ascii="Times New Roman" w:cs="Times New Roman" w:eastAsia="Times New Roman" w:hAnsi="Times New Roman"/>
                <w:sz w:val="22"/>
                <w:szCs w:val="22"/>
                <w:b w:val="1"/>
                <w:bCs w:val="1"/>
                <w:color w:val="auto"/>
              </w:rPr>
              <w:t xml:space="preserve">$             </w:t>
            </w:r>
          </w:p>
        </w:tc>
        <w:tc>
          <w:tcPr>
            <w:tcW w:w="1720" w:type="dxa"/>
            <w:vAlign w:val="bottom"/>
            <w:gridSpan w:val="9"/>
          </w:tcPr>
          <w:p>
            <w:pPr>
              <w:jc w:val="center"/>
              <w:ind w:right="25"/>
              <w:spacing w:after="0" w:line="243" w:lineRule="exact"/>
              <w:rPr>
                <w:sz w:val="20"/>
                <w:szCs w:val="20"/>
                <w:color w:val="auto"/>
              </w:rPr>
            </w:pPr>
            <w:r>
              <w:rPr>
                <w:rFonts w:ascii="Times New Roman" w:cs="Times New Roman" w:eastAsia="Times New Roman" w:hAnsi="Times New Roman"/>
                <w:sz w:val="22"/>
                <w:szCs w:val="22"/>
                <w:b w:val="1"/>
                <w:bCs w:val="1"/>
                <w:color w:val="auto"/>
                <w:w w:val="98"/>
              </w:rPr>
              <w:t>% Notes Due 20</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86"/>
        </w:trPr>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10"/>
          </w:tcPr>
          <w:p>
            <w:pPr>
              <w:ind w:left="200"/>
              <w:spacing w:after="0"/>
              <w:rPr>
                <w:sz w:val="20"/>
                <w:szCs w:val="20"/>
                <w:color w:val="auto"/>
              </w:rPr>
            </w:pPr>
            <w:r>
              <w:rPr>
                <w:rFonts w:ascii="Times New Roman" w:cs="Times New Roman" w:eastAsia="Times New Roman" w:hAnsi="Times New Roman"/>
                <w:sz w:val="22"/>
                <w:szCs w:val="22"/>
                <w:b w:val="1"/>
                <w:bCs w:val="1"/>
                <w:color w:val="auto"/>
                <w:w w:val="91"/>
              </w:rPr>
              <w:t>Interest payable on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w w:val="72"/>
              </w:rPr>
              <w:t> </w:t>
            </w:r>
          </w:p>
        </w:tc>
        <w:tc>
          <w:tcPr>
            <w:tcW w:w="60" w:type="dxa"/>
            <w:vAlign w:val="bottom"/>
          </w:tcPr>
          <w:p>
            <w:pPr>
              <w:spacing w:after="0"/>
              <w:rPr>
                <w:sz w:val="24"/>
                <w:szCs w:val="24"/>
                <w:color w:val="auto"/>
              </w:rPr>
            </w:pPr>
          </w:p>
        </w:tc>
        <w:tc>
          <w:tcPr>
            <w:tcW w:w="520" w:type="dxa"/>
            <w:vAlign w:val="bottom"/>
            <w:gridSpan w:val="3"/>
          </w:tcPr>
          <w:p>
            <w:pPr>
              <w:ind w:left="80"/>
              <w:spacing w:after="0"/>
              <w:rPr>
                <w:sz w:val="20"/>
                <w:szCs w:val="20"/>
                <w:color w:val="auto"/>
              </w:rPr>
            </w:pPr>
            <w:r>
              <w:rPr>
                <w:rFonts w:ascii="Times New Roman" w:cs="Times New Roman" w:eastAsia="Times New Roman" w:hAnsi="Times New Roman"/>
                <w:sz w:val="22"/>
                <w:szCs w:val="22"/>
                <w:b w:val="1"/>
                <w:bCs w:val="1"/>
                <w:color w:val="auto"/>
              </w:rPr>
              <w:t>and</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18"/>
        </w:trPr>
        <w:tc>
          <w:tcPr>
            <w:tcW w:w="2440" w:type="dxa"/>
            <w:vAlign w:val="bottom"/>
            <w:gridSpan w:val="6"/>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7"/>
          </w:tcPr>
          <w:p>
            <w:pPr>
              <w:spacing w:after="0"/>
              <w:rPr>
                <w:sz w:val="18"/>
                <w:szCs w:val="18"/>
                <w:color w:val="auto"/>
              </w:rPr>
            </w:pPr>
          </w:p>
        </w:tc>
        <w:tc>
          <w:tcPr>
            <w:tcW w:w="1940" w:type="dxa"/>
            <w:vAlign w:val="bottom"/>
            <w:tcBorders>
              <w:bottom w:val="single" w:sz="8" w:color="auto"/>
            </w:tcBorders>
            <w:gridSpan w:val="10"/>
          </w:tcPr>
          <w:p>
            <w:pPr>
              <w:spacing w:after="0"/>
              <w:rPr>
                <w:sz w:val="18"/>
                <w:szCs w:val="18"/>
                <w:color w:val="auto"/>
              </w:rPr>
            </w:pPr>
          </w:p>
        </w:tc>
        <w:tc>
          <w:tcPr>
            <w:tcW w:w="3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5"/>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90"/>
        </w:trPr>
        <w:tc>
          <w:tcPr>
            <w:tcW w:w="2440" w:type="dxa"/>
            <w:vAlign w:val="bottom"/>
            <w:gridSpan w:val="6"/>
          </w:tcPr>
          <w:p>
            <w:pPr>
              <w:ind w:left="1240"/>
              <w:spacing w:after="0"/>
              <w:rPr>
                <w:sz w:val="20"/>
                <w:szCs w:val="20"/>
                <w:color w:val="auto"/>
              </w:rPr>
            </w:pPr>
            <w:r>
              <w:rPr>
                <w:rFonts w:ascii="Times New Roman" w:cs="Times New Roman" w:eastAsia="Times New Roman" w:hAnsi="Times New Roman"/>
                <w:sz w:val="16"/>
                <w:szCs w:val="16"/>
                <w:color w:val="auto"/>
              </w:rPr>
              <w:t xml:space="preserve">We are offering $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4220" w:type="dxa"/>
            <w:vAlign w:val="bottom"/>
            <w:gridSpan w:val="19"/>
          </w:tcPr>
          <w:p>
            <w:pPr>
              <w:ind w:left="80"/>
              <w:spacing w:after="0"/>
              <w:rPr>
                <w:sz w:val="20"/>
                <w:szCs w:val="20"/>
                <w:color w:val="auto"/>
              </w:rPr>
            </w:pPr>
            <w:r>
              <w:rPr>
                <w:rFonts w:ascii="Times New Roman" w:cs="Times New Roman" w:eastAsia="Times New Roman" w:hAnsi="Times New Roman"/>
                <w:sz w:val="16"/>
                <w:szCs w:val="16"/>
                <w:color w:val="auto"/>
                <w:w w:val="99"/>
              </w:rPr>
              <w:t>   in aggregate principal amount of floating rate notes due 20 </w:t>
            </w:r>
          </w:p>
        </w:tc>
        <w:tc>
          <w:tcPr>
            <w:tcW w:w="180" w:type="dxa"/>
            <w:vAlign w:val="bottom"/>
          </w:tcPr>
          <w:p>
            <w:pPr>
              <w:jc w:val="right"/>
              <w:ind w:right="45"/>
              <w:spacing w:after="0"/>
              <w:rPr>
                <w:sz w:val="20"/>
                <w:szCs w:val="20"/>
                <w:color w:val="auto"/>
              </w:rPr>
            </w:pPr>
            <w:r>
              <w:rPr>
                <w:rFonts w:ascii="Times New Roman" w:cs="Times New Roman" w:eastAsia="Times New Roman" w:hAnsi="Times New Roman"/>
                <w:sz w:val="8"/>
                <w:szCs w:val="8"/>
                <w:color w:val="auto"/>
                <w:w w:val="74"/>
              </w:rPr>
              <w:t> </w:t>
            </w:r>
          </w:p>
        </w:tc>
        <w:tc>
          <w:tcPr>
            <w:tcW w:w="168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w w:val="88"/>
              </w:rPr>
              <w:t>   , which will mature on </w:t>
            </w:r>
          </w:p>
        </w:tc>
        <w:tc>
          <w:tcPr>
            <w:tcW w:w="12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48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77"/>
              </w:rPr>
              <w:t>, 20  </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 </w:t>
            </w:r>
          </w:p>
        </w:tc>
        <w:tc>
          <w:tcPr>
            <w:tcW w:w="420" w:type="dxa"/>
            <w:vAlign w:val="bottom"/>
          </w:tcPr>
          <w:p>
            <w:pPr>
              <w:jc w:val="right"/>
              <w:ind w:right="252"/>
              <w:spacing w:after="0"/>
              <w:rPr>
                <w:sz w:val="20"/>
                <w:szCs w:val="20"/>
                <w:color w:val="auto"/>
              </w:rPr>
            </w:pPr>
            <w:r>
              <w:rPr>
                <w:rFonts w:ascii="Times New Roman" w:cs="Times New Roman" w:eastAsia="Times New Roman" w:hAnsi="Times New Roman"/>
                <w:sz w:val="11"/>
                <w:szCs w:val="11"/>
                <w:color w:val="auto"/>
                <w:w w:val="72"/>
              </w:rPr>
              <w:t> </w:t>
            </w:r>
          </w:p>
        </w:tc>
      </w:tr>
      <w:tr>
        <w:trPr>
          <w:trHeight w:val="203"/>
        </w:trPr>
        <w:tc>
          <w:tcPr>
            <w:tcW w:w="1300" w:type="dxa"/>
            <w:vAlign w:val="bottom"/>
          </w:tcPr>
          <w:p>
            <w:pPr>
              <w:ind w:left="860"/>
              <w:spacing w:after="0"/>
              <w:rPr>
                <w:sz w:val="20"/>
                <w:szCs w:val="20"/>
                <w:color w:val="auto"/>
              </w:rPr>
            </w:pPr>
            <w:r>
              <w:rPr>
                <w:rFonts w:ascii="Times New Roman" w:cs="Times New Roman" w:eastAsia="Times New Roman" w:hAnsi="Times New Roman"/>
                <w:sz w:val="16"/>
                <w:szCs w:val="16"/>
                <w:color w:val="auto"/>
                <w:w w:val="80"/>
              </w:rPr>
              <w:t>(the “ 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620" w:type="dxa"/>
            <w:vAlign w:val="bottom"/>
            <w:gridSpan w:val="6"/>
          </w:tcPr>
          <w:p>
            <w:pPr>
              <w:jc w:val="center"/>
              <w:spacing w:after="0"/>
              <w:rPr>
                <w:sz w:val="20"/>
                <w:szCs w:val="20"/>
                <w:color w:val="auto"/>
              </w:rPr>
            </w:pPr>
            <w:r>
              <w:rPr>
                <w:rFonts w:ascii="Times New Roman" w:cs="Times New Roman" w:eastAsia="Times New Roman" w:hAnsi="Times New Roman"/>
                <w:sz w:val="16"/>
                <w:szCs w:val="16"/>
                <w:color w:val="auto"/>
              </w:rPr>
              <w:t xml:space="preserve">floating rate notes”), $ </w:t>
            </w:r>
          </w:p>
        </w:tc>
        <w:tc>
          <w:tcPr>
            <w:tcW w:w="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xml:space="preserve">    </w:t>
            </w:r>
          </w:p>
        </w:tc>
        <w:tc>
          <w:tcPr>
            <w:tcW w:w="3880" w:type="dxa"/>
            <w:vAlign w:val="bottom"/>
            <w:gridSpan w:val="19"/>
          </w:tcPr>
          <w:p>
            <w:pPr>
              <w:ind w:left="40"/>
              <w:spacing w:after="0"/>
              <w:rPr>
                <w:sz w:val="20"/>
                <w:szCs w:val="20"/>
                <w:color w:val="auto"/>
              </w:rPr>
            </w:pPr>
            <w:r>
              <w:rPr>
                <w:rFonts w:ascii="Times New Roman" w:cs="Times New Roman" w:eastAsia="Times New Roman" w:hAnsi="Times New Roman"/>
                <w:sz w:val="16"/>
                <w:szCs w:val="16"/>
                <w:color w:val="auto"/>
                <w:w w:val="97"/>
              </w:rPr>
              <w:t>in aggregate principal amount of floating rate notes due 20 </w:t>
            </w:r>
          </w:p>
        </w:tc>
        <w:tc>
          <w:tcPr>
            <w:tcW w:w="26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74"/>
              </w:rPr>
              <w:t> </w:t>
            </w:r>
          </w:p>
        </w:tc>
        <w:tc>
          <w:tcPr>
            <w:tcW w:w="17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w w:val="89"/>
              </w:rPr>
              <w:t>   , which will mature on  </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 </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6"/>
                <w:szCs w:val="16"/>
                <w:color w:val="auto"/>
                <w:w w:val="99"/>
              </w:rPr>
              <w:t>   ,</w:t>
            </w:r>
          </w:p>
        </w:tc>
      </w:tr>
      <w:tr>
        <w:trPr>
          <w:trHeight w:val="203"/>
        </w:trPr>
        <w:tc>
          <w:tcPr>
            <w:tcW w:w="130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 xml:space="preserve">20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 xml:space="preserve">(the “       </w:t>
            </w:r>
          </w:p>
        </w:tc>
        <w:tc>
          <w:tcPr>
            <w:tcW w:w="3000" w:type="dxa"/>
            <w:vAlign w:val="bottom"/>
            <w:gridSpan w:val="13"/>
          </w:tcPr>
          <w:p>
            <w:pPr>
              <w:jc w:val="center"/>
              <w:spacing w:after="0"/>
              <w:rPr>
                <w:sz w:val="20"/>
                <w:szCs w:val="20"/>
                <w:color w:val="auto"/>
              </w:rPr>
            </w:pPr>
            <w:r>
              <w:rPr>
                <w:rFonts w:ascii="Times New Roman" w:cs="Times New Roman" w:eastAsia="Times New Roman" w:hAnsi="Times New Roman"/>
                <w:sz w:val="16"/>
                <w:szCs w:val="16"/>
                <w:color w:val="auto"/>
                <w:w w:val="97"/>
              </w:rPr>
              <w:t>floating rate notes” and, together with the  </w:t>
            </w:r>
          </w:p>
        </w:tc>
        <w:tc>
          <w:tcPr>
            <w:tcW w:w="160" w:type="dxa"/>
            <w:vAlign w:val="bottom"/>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3360" w:type="dxa"/>
            <w:vAlign w:val="bottom"/>
            <w:gridSpan w:val="14"/>
          </w:tcPr>
          <w:p>
            <w:pPr>
              <w:jc w:val="center"/>
              <w:spacing w:after="0"/>
              <w:rPr>
                <w:sz w:val="20"/>
                <w:szCs w:val="20"/>
                <w:color w:val="auto"/>
              </w:rPr>
            </w:pPr>
            <w:r>
              <w:rPr>
                <w:rFonts w:ascii="Times New Roman" w:cs="Times New Roman" w:eastAsia="Times New Roman" w:hAnsi="Times New Roman"/>
                <w:sz w:val="16"/>
                <w:szCs w:val="16"/>
                <w:color w:val="auto"/>
              </w:rPr>
              <w:t xml:space="preserve">   floating rate notes, the “floating rate notes”), $ </w:t>
            </w:r>
          </w:p>
        </w:tc>
        <w:tc>
          <w:tcPr>
            <w:tcW w:w="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    </w:t>
            </w:r>
          </w:p>
        </w:tc>
        <w:tc>
          <w:tcPr>
            <w:tcW w:w="1100" w:type="dxa"/>
            <w:vAlign w:val="bottom"/>
            <w:gridSpan w:val="3"/>
          </w:tcPr>
          <w:p>
            <w:pPr>
              <w:jc w:val="right"/>
              <w:ind w:right="72"/>
              <w:spacing w:after="0"/>
              <w:rPr>
                <w:sz w:val="20"/>
                <w:szCs w:val="20"/>
                <w:color w:val="auto"/>
              </w:rPr>
            </w:pPr>
            <w:r>
              <w:rPr>
                <w:rFonts w:ascii="Times New Roman" w:cs="Times New Roman" w:eastAsia="Times New Roman" w:hAnsi="Times New Roman"/>
                <w:sz w:val="16"/>
                <w:szCs w:val="16"/>
                <w:color w:val="auto"/>
              </w:rPr>
              <w:t>in aggregate</w:t>
            </w:r>
          </w:p>
        </w:tc>
      </w:tr>
      <w:tr>
        <w:trPr>
          <w:trHeight w:val="203"/>
        </w:trPr>
        <w:tc>
          <w:tcPr>
            <w:tcW w:w="2280" w:type="dxa"/>
            <w:vAlign w:val="bottom"/>
            <w:gridSpan w:val="5"/>
          </w:tcPr>
          <w:p>
            <w:pPr>
              <w:ind w:left="860"/>
              <w:spacing w:after="0"/>
              <w:rPr>
                <w:sz w:val="20"/>
                <w:szCs w:val="20"/>
                <w:color w:val="auto"/>
              </w:rPr>
            </w:pPr>
            <w:r>
              <w:rPr>
                <w:rFonts w:ascii="Times New Roman" w:cs="Times New Roman" w:eastAsia="Times New Roman" w:hAnsi="Times New Roman"/>
                <w:sz w:val="16"/>
                <w:szCs w:val="16"/>
                <w:color w:val="auto"/>
                <w:w w:val="98"/>
              </w:rPr>
              <w:t>principal amount of 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 </w:t>
            </w:r>
          </w:p>
        </w:tc>
        <w:tc>
          <w:tcPr>
            <w:tcW w:w="160" w:type="dxa"/>
            <w:vAlign w:val="bottom"/>
          </w:tcPr>
          <w:p>
            <w:pPr>
              <w:jc w:val="center"/>
              <w:ind w:right="46"/>
              <w:spacing w:after="0"/>
              <w:rPr>
                <w:sz w:val="20"/>
                <w:szCs w:val="20"/>
                <w:color w:val="auto"/>
              </w:rPr>
            </w:pPr>
            <w:r>
              <w:rPr>
                <w:rFonts w:ascii="Times New Roman" w:cs="Times New Roman" w:eastAsia="Times New Roman" w:hAnsi="Times New Roman"/>
                <w:sz w:val="5"/>
                <w:szCs w:val="5"/>
                <w:color w:val="auto"/>
                <w:w w:val="79"/>
              </w:rPr>
              <w:t> </w:t>
            </w: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1"/>
              </w:rPr>
              <w:t>% notes due 20 </w:t>
            </w:r>
          </w:p>
        </w:tc>
        <w:tc>
          <w:tcPr>
            <w:tcW w:w="240" w:type="dxa"/>
            <w:vAlign w:val="bottom"/>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1860" w:type="dxa"/>
            <w:vAlign w:val="bottom"/>
            <w:gridSpan w:val="9"/>
          </w:tcPr>
          <w:p>
            <w:pPr>
              <w:ind w:left="40"/>
              <w:spacing w:after="0"/>
              <w:rPr>
                <w:sz w:val="20"/>
                <w:szCs w:val="20"/>
                <w:color w:val="auto"/>
              </w:rPr>
            </w:pPr>
            <w:r>
              <w:rPr>
                <w:rFonts w:ascii="Times New Roman" w:cs="Times New Roman" w:eastAsia="Times New Roman" w:hAnsi="Times New Roman"/>
                <w:sz w:val="16"/>
                <w:szCs w:val="16"/>
                <w:color w:val="auto"/>
                <w:w w:val="93"/>
              </w:rPr>
              <w:t>   , which will mature on , </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6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87"/>
              </w:rPr>
              <w:t> </w:t>
            </w:r>
          </w:p>
        </w:tc>
        <w:tc>
          <w:tcPr>
            <w:tcW w:w="160" w:type="dxa"/>
            <w:vAlign w:val="bottom"/>
          </w:tcPr>
          <w:p>
            <w:pPr>
              <w:jc w:val="right"/>
              <w:ind w:right="74"/>
              <w:spacing w:after="0"/>
              <w:rPr>
                <w:sz w:val="20"/>
                <w:szCs w:val="20"/>
                <w:color w:val="auto"/>
              </w:rPr>
            </w:pPr>
            <w:r>
              <w:rPr>
                <w:rFonts w:ascii="Times New Roman" w:cs="Times New Roman" w:eastAsia="Times New Roman" w:hAnsi="Times New Roman"/>
                <w:sz w:val="2"/>
                <w:szCs w:val="2"/>
                <w:color w:val="auto"/>
                <w:w w:val="97"/>
              </w:rPr>
              <w:t> </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76"/>
              </w:rPr>
              <w:t>(the “ </w:t>
            </w:r>
          </w:p>
        </w:tc>
        <w:tc>
          <w:tcPr>
            <w:tcW w:w="24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87"/>
              </w:rPr>
              <w:t> </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 xml:space="preserve">   % notes”), $ </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gridSpan w:val="3"/>
          </w:tcPr>
          <w:p>
            <w:pPr>
              <w:jc w:val="center"/>
              <w:ind w:right="232"/>
              <w:spacing w:after="0"/>
              <w:rPr>
                <w:sz w:val="20"/>
                <w:szCs w:val="20"/>
                <w:color w:val="auto"/>
              </w:rPr>
            </w:pPr>
            <w:r>
              <w:rPr>
                <w:rFonts w:ascii="Times New Roman" w:cs="Times New Roman" w:eastAsia="Times New Roman" w:hAnsi="Times New Roman"/>
                <w:sz w:val="16"/>
                <w:szCs w:val="16"/>
                <w:color w:val="auto"/>
              </w:rPr>
              <w:t>in aggregate</w:t>
            </w:r>
          </w:p>
        </w:tc>
      </w:tr>
      <w:tr>
        <w:trPr>
          <w:trHeight w:val="203"/>
        </w:trPr>
        <w:tc>
          <w:tcPr>
            <w:tcW w:w="2280" w:type="dxa"/>
            <w:vAlign w:val="bottom"/>
            <w:gridSpan w:val="5"/>
          </w:tcPr>
          <w:p>
            <w:pPr>
              <w:ind w:left="860"/>
              <w:spacing w:after="0"/>
              <w:rPr>
                <w:sz w:val="20"/>
                <w:szCs w:val="20"/>
                <w:color w:val="auto"/>
              </w:rPr>
            </w:pPr>
            <w:r>
              <w:rPr>
                <w:rFonts w:ascii="Times New Roman" w:cs="Times New Roman" w:eastAsia="Times New Roman" w:hAnsi="Times New Roman"/>
                <w:sz w:val="16"/>
                <w:szCs w:val="16"/>
                <w:color w:val="auto"/>
                <w:w w:val="98"/>
              </w:rPr>
              <w:t>principal amount of 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 </w:t>
            </w:r>
          </w:p>
        </w:tc>
        <w:tc>
          <w:tcPr>
            <w:tcW w:w="160" w:type="dxa"/>
            <w:vAlign w:val="bottom"/>
          </w:tcPr>
          <w:p>
            <w:pPr>
              <w:jc w:val="center"/>
              <w:ind w:right="46"/>
              <w:spacing w:after="0"/>
              <w:rPr>
                <w:sz w:val="20"/>
                <w:szCs w:val="20"/>
                <w:color w:val="auto"/>
              </w:rPr>
            </w:pPr>
            <w:r>
              <w:rPr>
                <w:rFonts w:ascii="Times New Roman" w:cs="Times New Roman" w:eastAsia="Times New Roman" w:hAnsi="Times New Roman"/>
                <w:sz w:val="5"/>
                <w:szCs w:val="5"/>
                <w:color w:val="auto"/>
                <w:w w:val="79"/>
              </w:rPr>
              <w:t> </w:t>
            </w: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 xml:space="preserve">% notes due     </w:t>
            </w:r>
          </w:p>
        </w:tc>
        <w:tc>
          <w:tcPr>
            <w:tcW w:w="240" w:type="dxa"/>
            <w:vAlign w:val="bottom"/>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20 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660" w:type="dxa"/>
            <w:vAlign w:val="bottom"/>
            <w:gridSpan w:val="8"/>
          </w:tcPr>
          <w:p>
            <w:pPr>
              <w:ind w:left="60"/>
              <w:spacing w:after="0"/>
              <w:rPr>
                <w:sz w:val="20"/>
                <w:szCs w:val="20"/>
                <w:color w:val="auto"/>
              </w:rPr>
            </w:pPr>
            <w:r>
              <w:rPr>
                <w:rFonts w:ascii="Times New Roman" w:cs="Times New Roman" w:eastAsia="Times New Roman" w:hAnsi="Times New Roman"/>
                <w:sz w:val="16"/>
                <w:szCs w:val="16"/>
                <w:color w:val="auto"/>
                <w:w w:val="98"/>
              </w:rPr>
              <w:t>, which will mature on </w:t>
            </w:r>
          </w:p>
        </w:tc>
        <w:tc>
          <w:tcPr>
            <w:tcW w:w="200" w:type="dxa"/>
            <w:vAlign w:val="bottom"/>
          </w:tcPr>
          <w:p>
            <w:pPr>
              <w:jc w:val="center"/>
              <w:ind w:right="32"/>
              <w:spacing w:after="0"/>
              <w:rPr>
                <w:sz w:val="20"/>
                <w:szCs w:val="20"/>
                <w:color w:val="auto"/>
              </w:rPr>
            </w:pPr>
            <w:r>
              <w:rPr>
                <w:rFonts w:ascii="Times New Roman" w:cs="Times New Roman" w:eastAsia="Times New Roman" w:hAnsi="Times New Roman"/>
                <w:sz w:val="5"/>
                <w:szCs w:val="5"/>
                <w:color w:val="auto"/>
                <w:w w:val="79"/>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1"/>
              </w:rPr>
              <w:t>,  </w:t>
            </w:r>
          </w:p>
        </w:tc>
        <w:tc>
          <w:tcPr>
            <w:tcW w:w="6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87"/>
              </w:rPr>
              <w:t> </w:t>
            </w:r>
          </w:p>
        </w:tc>
        <w:tc>
          <w:tcPr>
            <w:tcW w:w="160" w:type="dxa"/>
            <w:vAlign w:val="bottom"/>
          </w:tcPr>
          <w:p>
            <w:pPr>
              <w:jc w:val="right"/>
              <w:ind w:right="74"/>
              <w:spacing w:after="0"/>
              <w:rPr>
                <w:sz w:val="20"/>
                <w:szCs w:val="20"/>
                <w:color w:val="auto"/>
              </w:rPr>
            </w:pPr>
            <w:r>
              <w:rPr>
                <w:rFonts w:ascii="Times New Roman" w:cs="Times New Roman" w:eastAsia="Times New Roman" w:hAnsi="Times New Roman"/>
                <w:sz w:val="2"/>
                <w:szCs w:val="2"/>
                <w:color w:val="auto"/>
                <w:w w:val="97"/>
              </w:rPr>
              <w:t> </w:t>
            </w:r>
          </w:p>
        </w:tc>
        <w:tc>
          <w:tcPr>
            <w:tcW w:w="480" w:type="dxa"/>
            <w:vAlign w:val="bottom"/>
            <w:gridSpan w:val="2"/>
          </w:tcPr>
          <w:p>
            <w:pPr>
              <w:jc w:val="center"/>
              <w:ind w:right="61"/>
              <w:spacing w:after="0"/>
              <w:rPr>
                <w:sz w:val="20"/>
                <w:szCs w:val="20"/>
                <w:color w:val="auto"/>
              </w:rPr>
            </w:pPr>
            <w:r>
              <w:rPr>
                <w:rFonts w:ascii="Times New Roman" w:cs="Times New Roman" w:eastAsia="Times New Roman" w:hAnsi="Times New Roman"/>
                <w:sz w:val="16"/>
                <w:szCs w:val="16"/>
                <w:color w:val="auto"/>
              </w:rPr>
              <w:t xml:space="preserve">20    </w:t>
            </w:r>
          </w:p>
        </w:tc>
        <w:tc>
          <w:tcPr>
            <w:tcW w:w="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84"/>
              </w:rPr>
              <w:t>(the “ </w:t>
            </w:r>
          </w:p>
        </w:tc>
        <w:tc>
          <w:tcPr>
            <w:tcW w:w="124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w w:val="98"/>
              </w:rPr>
              <w:t xml:space="preserve">      % notes”), $ </w:t>
            </w:r>
          </w:p>
        </w:tc>
        <w:tc>
          <w:tcPr>
            <w:tcW w:w="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xml:space="preserve">    </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in</w:t>
            </w:r>
          </w:p>
        </w:tc>
        <w:tc>
          <w:tcPr>
            <w:tcW w:w="420" w:type="dxa"/>
            <w:vAlign w:val="bottom"/>
          </w:tcPr>
          <w:p>
            <w:pPr>
              <w:spacing w:after="0"/>
              <w:rPr>
                <w:sz w:val="17"/>
                <w:szCs w:val="17"/>
                <w:color w:val="auto"/>
              </w:rPr>
            </w:pPr>
          </w:p>
        </w:tc>
      </w:tr>
      <w:tr>
        <w:trPr>
          <w:trHeight w:val="203"/>
        </w:trPr>
        <w:tc>
          <w:tcPr>
            <w:tcW w:w="3080" w:type="dxa"/>
            <w:vAlign w:val="bottom"/>
            <w:gridSpan w:val="8"/>
          </w:tcPr>
          <w:p>
            <w:pPr>
              <w:ind w:left="860"/>
              <w:spacing w:after="0"/>
              <w:rPr>
                <w:sz w:val="20"/>
                <w:szCs w:val="20"/>
                <w:color w:val="auto"/>
              </w:rPr>
            </w:pPr>
            <w:r>
              <w:rPr>
                <w:rFonts w:ascii="Times New Roman" w:cs="Times New Roman" w:eastAsia="Times New Roman" w:hAnsi="Times New Roman"/>
                <w:sz w:val="16"/>
                <w:szCs w:val="16"/>
                <w:color w:val="auto"/>
              </w:rPr>
              <w:t xml:space="preserve">aggregate principal amount of    </w:t>
            </w:r>
          </w:p>
        </w:tc>
        <w:tc>
          <w:tcPr>
            <w:tcW w:w="180" w:type="dxa"/>
            <w:vAlign w:val="bottom"/>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110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auto"/>
                <w:w w:val="89"/>
              </w:rPr>
              <w:t>% notes due 20 </w:t>
            </w:r>
          </w:p>
        </w:tc>
        <w:tc>
          <w:tcPr>
            <w:tcW w:w="1860" w:type="dxa"/>
            <w:vAlign w:val="bottom"/>
            <w:gridSpan w:val="9"/>
          </w:tcPr>
          <w:p>
            <w:pPr>
              <w:ind w:left="100"/>
              <w:spacing w:after="0"/>
              <w:rPr>
                <w:sz w:val="20"/>
                <w:szCs w:val="20"/>
                <w:color w:val="auto"/>
              </w:rPr>
            </w:pPr>
            <w:r>
              <w:rPr>
                <w:rFonts w:ascii="Times New Roman" w:cs="Times New Roman" w:eastAsia="Times New Roman" w:hAnsi="Times New Roman"/>
                <w:sz w:val="16"/>
                <w:szCs w:val="16"/>
                <w:color w:val="auto"/>
                <w:w w:val="94"/>
              </w:rPr>
              <w:t>   , which will mature on </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5"/>
                <w:szCs w:val="5"/>
                <w:color w:val="auto"/>
                <w:w w:val="79"/>
              </w:rPr>
              <w:t> </w:t>
            </w:r>
          </w:p>
        </w:tc>
        <w:tc>
          <w:tcPr>
            <w:tcW w:w="400" w:type="dxa"/>
            <w:vAlign w:val="bottom"/>
            <w:gridSpan w:val="3"/>
          </w:tcPr>
          <w:p>
            <w:pPr>
              <w:jc w:val="right"/>
              <w:ind w:right="54"/>
              <w:spacing w:after="0"/>
              <w:rPr>
                <w:sz w:val="20"/>
                <w:szCs w:val="20"/>
                <w:color w:val="auto"/>
              </w:rPr>
            </w:pPr>
            <w:r>
              <w:rPr>
                <w:rFonts w:ascii="Times New Roman" w:cs="Times New Roman" w:eastAsia="Times New Roman" w:hAnsi="Times New Roman"/>
                <w:sz w:val="15"/>
                <w:szCs w:val="15"/>
                <w:color w:val="auto"/>
                <w:w w:val="74"/>
              </w:rPr>
              <w:t>, 20 </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5"/>
                <w:szCs w:val="5"/>
                <w:color w:val="auto"/>
                <w:w w:val="79"/>
              </w:rPr>
              <w:t> </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92"/>
              </w:rPr>
              <w:t>(the “ </w:t>
            </w:r>
          </w:p>
        </w:tc>
        <w:tc>
          <w:tcPr>
            <w:tcW w:w="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    </w:t>
            </w: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w w:val="88"/>
              </w:rPr>
              <w:t>% notes”), $  </w:t>
            </w:r>
          </w:p>
        </w:tc>
        <w:tc>
          <w:tcPr>
            <w:tcW w:w="24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4"/>
              </w:rPr>
              <w:t> </w:t>
            </w:r>
          </w:p>
        </w:tc>
        <w:tc>
          <w:tcPr>
            <w:tcW w:w="1100" w:type="dxa"/>
            <w:vAlign w:val="bottom"/>
            <w:gridSpan w:val="3"/>
          </w:tcPr>
          <w:p>
            <w:pPr>
              <w:jc w:val="right"/>
              <w:ind w:right="212"/>
              <w:spacing w:after="0"/>
              <w:rPr>
                <w:sz w:val="20"/>
                <w:szCs w:val="20"/>
                <w:color w:val="auto"/>
              </w:rPr>
            </w:pPr>
            <w:r>
              <w:rPr>
                <w:rFonts w:ascii="Times New Roman" w:cs="Times New Roman" w:eastAsia="Times New Roman" w:hAnsi="Times New Roman"/>
                <w:sz w:val="16"/>
                <w:szCs w:val="16"/>
                <w:color w:val="auto"/>
              </w:rPr>
              <w:t>in aggregate</w:t>
            </w:r>
          </w:p>
        </w:tc>
      </w:tr>
      <w:tr>
        <w:trPr>
          <w:trHeight w:val="203"/>
        </w:trPr>
        <w:tc>
          <w:tcPr>
            <w:tcW w:w="2280" w:type="dxa"/>
            <w:vAlign w:val="bottom"/>
            <w:gridSpan w:val="5"/>
          </w:tcPr>
          <w:p>
            <w:pPr>
              <w:ind w:left="860"/>
              <w:spacing w:after="0"/>
              <w:rPr>
                <w:sz w:val="20"/>
                <w:szCs w:val="20"/>
                <w:color w:val="auto"/>
              </w:rPr>
            </w:pPr>
            <w:r>
              <w:rPr>
                <w:rFonts w:ascii="Times New Roman" w:cs="Times New Roman" w:eastAsia="Times New Roman" w:hAnsi="Times New Roman"/>
                <w:sz w:val="16"/>
                <w:szCs w:val="16"/>
                <w:color w:val="auto"/>
                <w:w w:val="98"/>
              </w:rPr>
              <w:t>principal amount of 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 </w:t>
            </w:r>
          </w:p>
        </w:tc>
        <w:tc>
          <w:tcPr>
            <w:tcW w:w="160" w:type="dxa"/>
            <w:vAlign w:val="bottom"/>
          </w:tcPr>
          <w:p>
            <w:pPr>
              <w:jc w:val="center"/>
              <w:ind w:right="46"/>
              <w:spacing w:after="0"/>
              <w:rPr>
                <w:sz w:val="20"/>
                <w:szCs w:val="20"/>
                <w:color w:val="auto"/>
              </w:rPr>
            </w:pPr>
            <w:r>
              <w:rPr>
                <w:rFonts w:ascii="Times New Roman" w:cs="Times New Roman" w:eastAsia="Times New Roman" w:hAnsi="Times New Roman"/>
                <w:sz w:val="5"/>
                <w:szCs w:val="5"/>
                <w:color w:val="auto"/>
                <w:w w:val="79"/>
              </w:rPr>
              <w:t> </w:t>
            </w: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1"/>
              </w:rPr>
              <w:t>% notes due 20 </w:t>
            </w:r>
          </w:p>
        </w:tc>
        <w:tc>
          <w:tcPr>
            <w:tcW w:w="240" w:type="dxa"/>
            <w:vAlign w:val="bottom"/>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1860" w:type="dxa"/>
            <w:vAlign w:val="bottom"/>
            <w:gridSpan w:val="9"/>
          </w:tcPr>
          <w:p>
            <w:pPr>
              <w:ind w:left="40"/>
              <w:spacing w:after="0"/>
              <w:rPr>
                <w:sz w:val="20"/>
                <w:szCs w:val="20"/>
                <w:color w:val="auto"/>
              </w:rPr>
            </w:pPr>
            <w:r>
              <w:rPr>
                <w:rFonts w:ascii="Times New Roman" w:cs="Times New Roman" w:eastAsia="Times New Roman" w:hAnsi="Times New Roman"/>
                <w:sz w:val="16"/>
                <w:szCs w:val="16"/>
                <w:color w:val="auto"/>
                <w:w w:val="95"/>
              </w:rPr>
              <w:t>   , which will mature on  </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84"/>
              </w:rPr>
              <w:t>, 20 </w:t>
            </w:r>
          </w:p>
        </w:tc>
        <w:tc>
          <w:tcPr>
            <w:tcW w:w="6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87"/>
              </w:rPr>
              <w:t> </w:t>
            </w: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 xml:space="preserve">(the “    </w:t>
            </w:r>
          </w:p>
        </w:tc>
        <w:tc>
          <w:tcPr>
            <w:tcW w:w="24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87"/>
              </w:rPr>
              <w:t> </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 notes”), $ </w:t>
            </w:r>
          </w:p>
        </w:tc>
        <w:tc>
          <w:tcPr>
            <w:tcW w:w="24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87"/>
              </w:rPr>
              <w:t> </w:t>
            </w:r>
          </w:p>
        </w:tc>
        <w:tc>
          <w:tcPr>
            <w:tcW w:w="146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auto"/>
              </w:rPr>
              <w:t>in aggregate principal</w:t>
            </w:r>
          </w:p>
        </w:tc>
      </w:tr>
      <w:tr>
        <w:trPr>
          <w:trHeight w:val="203"/>
        </w:trPr>
        <w:tc>
          <w:tcPr>
            <w:tcW w:w="1640" w:type="dxa"/>
            <w:vAlign w:val="bottom"/>
            <w:gridSpan w:val="3"/>
          </w:tcPr>
          <w:p>
            <w:pPr>
              <w:ind w:left="860"/>
              <w:spacing w:after="0"/>
              <w:rPr>
                <w:sz w:val="20"/>
                <w:szCs w:val="20"/>
                <w:color w:val="auto"/>
              </w:rPr>
            </w:pPr>
            <w:r>
              <w:rPr>
                <w:rFonts w:ascii="Times New Roman" w:cs="Times New Roman" w:eastAsia="Times New Roman" w:hAnsi="Times New Roman"/>
                <w:sz w:val="16"/>
                <w:szCs w:val="16"/>
                <w:color w:val="auto"/>
                <w:w w:val="93"/>
              </w:rPr>
              <w:t>amount of 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auto"/>
                <w:w w:val="86"/>
              </w:rPr>
              <w:t>   % notes due 20 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60" w:type="dxa"/>
            <w:vAlign w:val="bottom"/>
            <w:gridSpan w:val="8"/>
          </w:tcPr>
          <w:p>
            <w:pPr>
              <w:ind w:left="60"/>
              <w:spacing w:after="0"/>
              <w:rPr>
                <w:sz w:val="20"/>
                <w:szCs w:val="20"/>
                <w:color w:val="auto"/>
              </w:rPr>
            </w:pPr>
            <w:r>
              <w:rPr>
                <w:rFonts w:ascii="Times New Roman" w:cs="Times New Roman" w:eastAsia="Times New Roman" w:hAnsi="Times New Roman"/>
                <w:sz w:val="16"/>
                <w:szCs w:val="16"/>
                <w:color w:val="auto"/>
                <w:w w:val="94"/>
              </w:rPr>
              <w:t>   , which will mature on  </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 20 </w:t>
            </w:r>
          </w:p>
        </w:tc>
        <w:tc>
          <w:tcPr>
            <w:tcW w:w="2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87"/>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 </w:t>
            </w: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w w:val="76"/>
              </w:rPr>
              <w:t>(the “ 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 </w:t>
            </w:r>
          </w:p>
        </w:tc>
        <w:tc>
          <w:tcPr>
            <w:tcW w:w="144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 xml:space="preserve">% notes”), and $    </w:t>
            </w:r>
          </w:p>
        </w:tc>
        <w:tc>
          <w:tcPr>
            <w:tcW w:w="24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 </w:t>
            </w:r>
          </w:p>
        </w:tc>
        <w:tc>
          <w:tcPr>
            <w:tcW w:w="146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auto"/>
              </w:rPr>
              <w:t>in aggregate principal</w:t>
            </w:r>
          </w:p>
        </w:tc>
      </w:tr>
      <w:tr>
        <w:trPr>
          <w:trHeight w:val="202"/>
        </w:trPr>
        <w:tc>
          <w:tcPr>
            <w:tcW w:w="1640" w:type="dxa"/>
            <w:vAlign w:val="bottom"/>
            <w:gridSpan w:val="3"/>
          </w:tcPr>
          <w:p>
            <w:pPr>
              <w:ind w:left="860"/>
              <w:spacing w:after="0"/>
              <w:rPr>
                <w:sz w:val="20"/>
                <w:szCs w:val="20"/>
                <w:color w:val="auto"/>
              </w:rPr>
            </w:pPr>
            <w:r>
              <w:rPr>
                <w:rFonts w:ascii="Times New Roman" w:cs="Times New Roman" w:eastAsia="Times New Roman" w:hAnsi="Times New Roman"/>
                <w:sz w:val="16"/>
                <w:szCs w:val="16"/>
                <w:color w:val="auto"/>
                <w:w w:val="93"/>
              </w:rPr>
              <w:t>amount of 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auto"/>
              </w:rPr>
              <w:t xml:space="preserve">% notes due 20 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60" w:type="dxa"/>
            <w:vAlign w:val="bottom"/>
            <w:gridSpan w:val="8"/>
          </w:tcPr>
          <w:p>
            <w:pPr>
              <w:ind w:left="60"/>
              <w:spacing w:after="0"/>
              <w:rPr>
                <w:sz w:val="20"/>
                <w:szCs w:val="20"/>
                <w:color w:val="auto"/>
              </w:rPr>
            </w:pPr>
            <w:r>
              <w:rPr>
                <w:rFonts w:ascii="Times New Roman" w:cs="Times New Roman" w:eastAsia="Times New Roman" w:hAnsi="Times New Roman"/>
                <w:sz w:val="16"/>
                <w:szCs w:val="16"/>
                <w:color w:val="auto"/>
              </w:rPr>
              <w:t xml:space="preserve">, which will mature on    </w:t>
            </w:r>
          </w:p>
        </w:tc>
        <w:tc>
          <w:tcPr>
            <w:tcW w:w="3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w w:val="74"/>
              </w:rPr>
              <w:t>, 20 </w:t>
            </w:r>
          </w:p>
        </w:tc>
        <w:tc>
          <w:tcPr>
            <w:tcW w:w="320" w:type="dxa"/>
            <w:vAlign w:val="bottom"/>
          </w:tcPr>
          <w:p>
            <w:pPr>
              <w:jc w:val="right"/>
              <w:ind w:right="73"/>
              <w:spacing w:after="0"/>
              <w:rPr>
                <w:sz w:val="20"/>
                <w:szCs w:val="20"/>
                <w:color w:val="auto"/>
              </w:rPr>
            </w:pPr>
            <w:r>
              <w:rPr>
                <w:rFonts w:ascii="Times New Roman" w:cs="Times New Roman" w:eastAsia="Times New Roman" w:hAnsi="Times New Roman"/>
                <w:sz w:val="16"/>
                <w:szCs w:val="16"/>
                <w:color w:val="auto"/>
                <w:w w:val="87"/>
              </w:rPr>
              <w:t> </w:t>
            </w:r>
          </w:p>
        </w:tc>
        <w:tc>
          <w:tcPr>
            <w:tcW w:w="46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84"/>
              </w:rPr>
              <w:t>(the “ </w:t>
            </w:r>
          </w:p>
        </w:tc>
        <w:tc>
          <w:tcPr>
            <w:tcW w:w="200" w:type="dxa"/>
            <w:vAlign w:val="bottom"/>
          </w:tcPr>
          <w:p>
            <w:pPr>
              <w:jc w:val="right"/>
              <w:ind w:right="18"/>
              <w:spacing w:after="0"/>
              <w:rPr>
                <w:sz w:val="20"/>
                <w:szCs w:val="20"/>
                <w:color w:val="auto"/>
              </w:rPr>
            </w:pPr>
            <w:r>
              <w:rPr>
                <w:rFonts w:ascii="Times New Roman" w:cs="Times New Roman" w:eastAsia="Times New Roman" w:hAnsi="Times New Roman"/>
                <w:sz w:val="11"/>
                <w:szCs w:val="11"/>
                <w:color w:val="auto"/>
                <w:w w:val="72"/>
              </w:rPr>
              <w:t> </w:t>
            </w:r>
          </w:p>
        </w:tc>
        <w:tc>
          <w:tcPr>
            <w:tcW w:w="2380" w:type="dxa"/>
            <w:vAlign w:val="bottom"/>
            <w:gridSpan w:val="10"/>
          </w:tcPr>
          <w:p>
            <w:pPr>
              <w:ind w:left="20"/>
              <w:spacing w:after="0"/>
              <w:rPr>
                <w:sz w:val="20"/>
                <w:szCs w:val="20"/>
                <w:color w:val="auto"/>
              </w:rPr>
            </w:pPr>
            <w:r>
              <w:rPr>
                <w:rFonts w:ascii="Times New Roman" w:cs="Times New Roman" w:eastAsia="Times New Roman" w:hAnsi="Times New Roman"/>
                <w:sz w:val="16"/>
                <w:szCs w:val="16"/>
                <w:color w:val="auto"/>
                <w:w w:val="95"/>
              </w:rPr>
              <w:t>% notes” and, collectively with the  </w:t>
            </w:r>
          </w:p>
        </w:tc>
        <w:tc>
          <w:tcPr>
            <w:tcW w:w="24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71"/>
              </w:rPr>
              <w:t> </w:t>
            </w:r>
          </w:p>
        </w:tc>
        <w:tc>
          <w:tcPr>
            <w:tcW w:w="1100" w:type="dxa"/>
            <w:vAlign w:val="bottom"/>
            <w:gridSpan w:val="3"/>
          </w:tcPr>
          <w:p>
            <w:pPr>
              <w:jc w:val="right"/>
              <w:ind w:right="32"/>
              <w:spacing w:after="0"/>
              <w:rPr>
                <w:sz w:val="20"/>
                <w:szCs w:val="20"/>
                <w:color w:val="auto"/>
              </w:rPr>
            </w:pPr>
            <w:r>
              <w:rPr>
                <w:rFonts w:ascii="Times New Roman" w:cs="Times New Roman" w:eastAsia="Times New Roman" w:hAnsi="Times New Roman"/>
                <w:sz w:val="16"/>
                <w:szCs w:val="16"/>
                <w:color w:val="auto"/>
                <w:w w:val="95"/>
              </w:rPr>
              <w:t>   % notes, the</w:t>
            </w:r>
          </w:p>
        </w:tc>
      </w:tr>
      <w:tr>
        <w:trPr>
          <w:trHeight w:val="203"/>
        </w:trPr>
        <w:tc>
          <w:tcPr>
            <w:tcW w:w="130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 xml:space="preserve">       </w:t>
            </w:r>
          </w:p>
        </w:tc>
        <w:tc>
          <w:tcPr>
            <w:tcW w:w="98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w w:val="93"/>
              </w:rPr>
              <w:t>% notes, the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w w:val="99"/>
              </w:rPr>
              <w:t>% notes, the  </w:t>
            </w:r>
          </w:p>
        </w:tc>
        <w:tc>
          <w:tcPr>
            <w:tcW w:w="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 xml:space="preserve">    </w:t>
            </w:r>
          </w:p>
        </w:tc>
        <w:tc>
          <w:tcPr>
            <w:tcW w:w="1220" w:type="dxa"/>
            <w:vAlign w:val="bottom"/>
            <w:gridSpan w:val="6"/>
          </w:tcPr>
          <w:p>
            <w:pPr>
              <w:ind w:left="100"/>
              <w:spacing w:after="0"/>
              <w:rPr>
                <w:sz w:val="20"/>
                <w:szCs w:val="20"/>
                <w:color w:val="auto"/>
              </w:rPr>
            </w:pPr>
            <w:r>
              <w:rPr>
                <w:rFonts w:ascii="Times New Roman" w:cs="Times New Roman" w:eastAsia="Times New Roman" w:hAnsi="Times New Roman"/>
                <w:sz w:val="16"/>
                <w:szCs w:val="16"/>
                <w:color w:val="auto"/>
                <w:w w:val="90"/>
              </w:rPr>
              <w:t>% notes and the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 </w:t>
            </w:r>
          </w:p>
        </w:tc>
        <w:tc>
          <w:tcPr>
            <w:tcW w:w="4860" w:type="dxa"/>
            <w:vAlign w:val="bottom"/>
            <w:gridSpan w:val="19"/>
          </w:tcPr>
          <w:p>
            <w:pPr>
              <w:jc w:val="right"/>
              <w:ind w:right="272"/>
              <w:spacing w:after="0"/>
              <w:rPr>
                <w:sz w:val="20"/>
                <w:szCs w:val="20"/>
                <w:color w:val="auto"/>
              </w:rPr>
            </w:pPr>
            <w:r>
              <w:rPr>
                <w:rFonts w:ascii="Times New Roman" w:cs="Times New Roman" w:eastAsia="Times New Roman" w:hAnsi="Times New Roman"/>
                <w:sz w:val="16"/>
                <w:szCs w:val="16"/>
                <w:color w:val="auto"/>
              </w:rPr>
              <w:t>   % notes, the “fixed rate notes” and, together with the floating rate</w:t>
            </w:r>
          </w:p>
        </w:tc>
      </w:tr>
      <w:tr>
        <w:trPr>
          <w:trHeight w:val="203"/>
        </w:trPr>
        <w:tc>
          <w:tcPr>
            <w:tcW w:w="10140" w:type="dxa"/>
            <w:vAlign w:val="bottom"/>
            <w:gridSpan w:val="37"/>
          </w:tcPr>
          <w:p>
            <w:pPr>
              <w:ind w:left="860"/>
              <w:spacing w:after="0"/>
              <w:rPr>
                <w:sz w:val="20"/>
                <w:szCs w:val="20"/>
                <w:color w:val="auto"/>
              </w:rPr>
            </w:pPr>
            <w:r>
              <w:rPr>
                <w:rFonts w:ascii="Times New Roman" w:cs="Times New Roman" w:eastAsia="Times New Roman" w:hAnsi="Times New Roman"/>
                <w:sz w:val="16"/>
                <w:szCs w:val="16"/>
                <w:color w:val="auto"/>
              </w:rPr>
              <w:t>notes, the “notes”). The floating rate notes will bear interest at a floating rate, reset quarterly, equal to Compounded SOFR (as defined under</w:t>
            </w:r>
          </w:p>
        </w:tc>
      </w:tr>
      <w:tr>
        <w:trPr>
          <w:trHeight w:val="210"/>
        </w:trPr>
        <w:tc>
          <w:tcPr>
            <w:tcW w:w="4580" w:type="dxa"/>
            <w:vAlign w:val="bottom"/>
            <w:gridSpan w:val="15"/>
          </w:tcPr>
          <w:p>
            <w:pPr>
              <w:ind w:left="860"/>
              <w:spacing w:after="0"/>
              <w:rPr>
                <w:sz w:val="20"/>
                <w:szCs w:val="20"/>
                <w:color w:val="auto"/>
              </w:rPr>
            </w:pPr>
            <w:r>
              <w:rPr>
                <w:rFonts w:ascii="Times New Roman" w:cs="Times New Roman" w:eastAsia="Times New Roman" w:hAnsi="Times New Roman"/>
                <w:sz w:val="16"/>
                <w:szCs w:val="16"/>
                <w:color w:val="auto"/>
                <w:w w:val="98"/>
              </w:rPr>
              <w:t>“Description of the Notes—Floating Rate Notes”), plus  </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71"/>
              </w:rPr>
              <w:t> </w:t>
            </w:r>
          </w:p>
        </w:tc>
        <w:tc>
          <w:tcPr>
            <w:tcW w:w="5380" w:type="dxa"/>
            <w:vAlign w:val="bottom"/>
            <w:gridSpan w:val="21"/>
          </w:tcPr>
          <w:p>
            <w:pPr>
              <w:jc w:val="right"/>
              <w:spacing w:after="0"/>
              <w:rPr>
                <w:sz w:val="20"/>
                <w:szCs w:val="20"/>
                <w:color w:val="auto"/>
              </w:rPr>
            </w:pPr>
            <w:r>
              <w:rPr>
                <w:rFonts w:ascii="Times New Roman" w:cs="Times New Roman" w:eastAsia="Times New Roman" w:hAnsi="Times New Roman"/>
                <w:sz w:val="16"/>
                <w:szCs w:val="16"/>
                <w:color w:val="auto"/>
              </w:rPr>
              <w:t>   %, and the floating rate notes will bear interest at a floating rate, reset quarterly,</w:t>
            </w:r>
          </w:p>
        </w:tc>
      </w:tr>
      <w:tr>
        <w:trPr>
          <w:trHeight w:val="321"/>
        </w:trPr>
        <w:tc>
          <w:tcPr>
            <w:tcW w:w="1300" w:type="dxa"/>
            <w:vAlign w:val="bottom"/>
            <w:textDirection w:val="btLr"/>
          </w:tcPr>
          <w:p>
            <w:pPr>
              <w:ind w:left="820"/>
              <w:spacing w:after="0"/>
              <w:rPr>
                <w:sz w:val="20"/>
                <w:szCs w:val="20"/>
                <w:color w:val="auto"/>
              </w:rPr>
            </w:pPr>
            <w:r>
              <w:rPr>
                <w:rFonts w:ascii="Arial" w:cs="Arial" w:eastAsia="Arial" w:hAnsi="Arial"/>
                <w:sz w:val="1"/>
                <w:szCs w:val="1"/>
                <w:b w:val="1"/>
                <w:bCs w:val="1"/>
                <w:color w:val="FF4338"/>
              </w:rPr>
              <w:t>Theinformationinthesesecuritiesistheaccompanyingpermitted.</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ind w:left="980" w:right="900" w:firstLine="371"/>
        <w:spacing w:after="0" w:line="267" w:lineRule="auto"/>
        <w:rPr>
          <w:sz w:val="20"/>
          <w:szCs w:val="20"/>
          <w:color w:val="auto"/>
        </w:rPr>
      </w:pPr>
      <w:r>
        <w:rPr>
          <w:rFonts w:ascii="Times New Roman" w:cs="Times New Roman" w:eastAsia="Times New Roman" w:hAnsi="Times New Roman"/>
          <w:sz w:val="16"/>
          <w:szCs w:val="16"/>
          <w:color w:val="auto"/>
        </w:rPr>
        <w:t>Subject to the applicable mandatory redemption provisions described below for the applicable series of floating rate notes, we may not redeem the floating rate notes at our option prior to maturity. We may redeem some or all of the fixed rate notes, at our option, at the times and prices described under “Description of the Notes—Optional Redemption” and certain series of the fixed rate notes are subject to the applicable mandatory redemption provisions described below.</w:t>
      </w:r>
    </w:p>
    <w:p>
      <w:pPr>
        <w:spacing w:after="0" w:line="81" w:lineRule="exact"/>
        <w:rPr>
          <w:sz w:val="24"/>
          <w:szCs w:val="24"/>
          <w:color w:val="auto"/>
        </w:rPr>
      </w:pPr>
    </w:p>
    <w:p>
      <w:pPr>
        <w:ind w:left="980" w:right="900" w:firstLine="371"/>
        <w:spacing w:after="0" w:line="275" w:lineRule="auto"/>
        <w:rPr>
          <w:sz w:val="20"/>
          <w:szCs w:val="20"/>
          <w:color w:val="auto"/>
        </w:rPr>
      </w:pPr>
      <w:r>
        <w:rPr>
          <w:rFonts w:ascii="Times New Roman" w:cs="Times New Roman" w:eastAsia="Times New Roman" w:hAnsi="Times New Roman"/>
          <w:sz w:val="16"/>
          <w:szCs w:val="16"/>
          <w:color w:val="auto"/>
        </w:rPr>
        <w:t>We expect to use the net proceeds from the sale of the notes for general corporate purposes, which may include the repayment of outstanding commercial paper, as well as potentially to fund all or a portion of the upfront cash consideration and related fees and expenses payable in connection with our pending acquisitions of Centessa Pharmaceuticals plc (“Centessa”) and Kelonia Therapeutics, Inc. (“Kelonia”). Prior to such uses, we may temporarily invest the net proceeds in marketable securities and short-term investments.</w:t>
      </w:r>
    </w:p>
    <w:p>
      <w:pPr>
        <w:spacing w:after="0" w:line="75" w:lineRule="exact"/>
        <w:rPr>
          <w:sz w:val="24"/>
          <w:szCs w:val="24"/>
          <w:color w:val="auto"/>
        </w:rPr>
      </w:pPr>
    </w:p>
    <w:p>
      <w:pPr>
        <w:ind w:left="980" w:right="1040" w:firstLine="371"/>
        <w:spacing w:after="0" w:line="298" w:lineRule="auto"/>
        <w:rPr>
          <w:sz w:val="20"/>
          <w:szCs w:val="20"/>
          <w:color w:val="auto"/>
        </w:rPr>
      </w:pPr>
      <w:r>
        <w:rPr>
          <w:rFonts w:ascii="Times New Roman" w:cs="Times New Roman" w:eastAsia="Times New Roman" w:hAnsi="Times New Roman"/>
          <w:sz w:val="16"/>
          <w:szCs w:val="16"/>
          <w:color w:val="auto"/>
        </w:rPr>
        <w:t>We currently expect the Centessa Acquisition (as defined in “Description of the Notes—Special Mandatory Redemption” and, together with the acquisition of Kelonia, the “Acquisitions”) to be completed in the third quarter of 2026 and the</w:t>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8" w:lineRule="exact"/>
        <w:rPr>
          <w:sz w:val="20"/>
          <w:szCs w:val="20"/>
          <w:color w:val="auto"/>
        </w:rPr>
      </w:pPr>
    </w:p>
    <w:p>
      <w:pPr>
        <w:ind w:left="120" w:right="60"/>
        <w:spacing w:after="0" w:line="267" w:lineRule="auto"/>
        <w:rPr>
          <w:sz w:val="20"/>
          <w:szCs w:val="20"/>
          <w:color w:val="auto"/>
        </w:rPr>
      </w:pPr>
      <w:r>
        <w:rPr>
          <w:rFonts w:ascii="Times New Roman" w:cs="Times New Roman" w:eastAsia="Times New Roman" w:hAnsi="Times New Roman"/>
          <w:sz w:val="16"/>
          <w:szCs w:val="16"/>
          <w:color w:val="auto"/>
        </w:rPr>
        <w:t>acquisition of Kelonia to be completed in the second half of 2026. The sale of notes in this offering is not contingent upon the completion of either of the Acquisitions, which, if completed, will occur, in each case, subsequent to the closing of this offering. However, in the event that the Centessa Acquisition is not consummated on or prior to the date that is five (5) business days after the later of (i) March 31, 2027 or (ii) any later date as the parties to the Centessa Agreement (as defined in “Description of the Notes—Special Mandatory Redemption”) may agree as the “Outside Date” thereunder or (y) we notify the trustee in writing that we will not pursue the consummation of the Centessa Acquisition, we will be required to redeem the Centessa Mandatorily Redeemable Notes (as defined in “Description of the Notes— Special Mandatory Redemption”) then outstanding at a redemption price equal to 101% of the principal amount of such Centessa Mandatorily Redeemable Notes plus accrued and unpaid interest, if any, to, but excluding, the Centessa Special Mandatory Redemption Date (as defined in “Description of the Notes—Special Mandatory Redemption”). The net proceeds from the sale of the notes in this offering will not be deposited into an escrow account pending completion of the Centessa Acquisition or the Centessa Special Mandatory Redemption (as defined in “Description of the Notes—Special Mandatory Redemption”), nor will we be required to grant any security interest or other lien on the proceeds to secure any redemption of the notes. See “Description of the Notes—Special Mandatory Redemption.”</w:t>
      </w:r>
    </w:p>
    <w:p>
      <w:pPr>
        <w:spacing w:after="0" w:line="86" w:lineRule="exact"/>
        <w:rPr>
          <w:sz w:val="20"/>
          <w:szCs w:val="20"/>
          <w:color w:val="auto"/>
        </w:rPr>
      </w:pPr>
    </w:p>
    <w:p>
      <w:pPr>
        <w:ind w:left="120" w:right="60" w:firstLine="440"/>
        <w:spacing w:after="0" w:line="298" w:lineRule="auto"/>
        <w:rPr>
          <w:sz w:val="20"/>
          <w:szCs w:val="20"/>
          <w:color w:val="auto"/>
        </w:rPr>
      </w:pPr>
      <w:r>
        <w:rPr>
          <w:rFonts w:ascii="Times New Roman" w:cs="Times New Roman" w:eastAsia="Times New Roman" w:hAnsi="Times New Roman"/>
          <w:sz w:val="16"/>
          <w:szCs w:val="16"/>
          <w:color w:val="auto"/>
        </w:rPr>
        <w:t>The notes will be our unsecured and unsubordinated debt obligations, will rank equally with all of our other unsecured and unsubordinated indebtedness and will not have the benefit of any sinking fund. The notes will be issued in minimum denominations of $2,000 and integral multiples of $1,000 in excess of that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121285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6" w:lineRule="exact"/>
        <w:rPr>
          <w:sz w:val="20"/>
          <w:szCs w:val="20"/>
          <w:color w:val="auto"/>
        </w:rPr>
      </w:pPr>
    </w:p>
    <w:p>
      <w:pPr>
        <w:ind w:left="120" w:right="420" w:firstLine="440"/>
        <w:spacing w:after="0" w:line="273" w:lineRule="auto"/>
        <w:rPr>
          <w:sz w:val="20"/>
          <w:szCs w:val="20"/>
          <w:color w:val="auto"/>
        </w:rPr>
      </w:pPr>
      <w:r>
        <w:rPr>
          <w:rFonts w:ascii="Times New Roman" w:cs="Times New Roman" w:eastAsia="Times New Roman" w:hAnsi="Times New Roman"/>
          <w:sz w:val="20"/>
          <w:szCs w:val="20"/>
          <w:b w:val="1"/>
          <w:bCs w:val="1"/>
          <w:color w:val="auto"/>
        </w:rPr>
        <w:t>Investing in the notes involves risks. See “</w:t>
      </w:r>
      <w:r>
        <w:rPr>
          <w:rFonts w:ascii="Times New Roman" w:cs="Times New Roman" w:eastAsia="Times New Roman" w:hAnsi="Times New Roman"/>
          <w:sz w:val="20"/>
          <w:szCs w:val="20"/>
          <w:b w:val="1"/>
          <w:bCs w:val="1"/>
          <w:u w:val="single" w:color="auto"/>
          <w:color w:val="0000EE"/>
        </w:rPr>
        <w:t>Risk Factors</w:t>
      </w:r>
      <w:r>
        <w:rPr>
          <w:rFonts w:ascii="Times New Roman" w:cs="Times New Roman" w:eastAsia="Times New Roman" w:hAnsi="Times New Roman"/>
          <w:sz w:val="20"/>
          <w:szCs w:val="20"/>
          <w:b w:val="1"/>
          <w:bCs w:val="1"/>
          <w:color w:val="auto"/>
        </w:rPr>
        <w:t>” beginning on page S-5 of this prospectus supplement and in our Annual Report on Form 10-K for the year ended December 31, 2025.</w:t>
      </w:r>
    </w:p>
    <w:p>
      <w:pPr>
        <w:spacing w:after="0" w:line="55" w:lineRule="exact"/>
        <w:rPr>
          <w:sz w:val="20"/>
          <w:szCs w:val="20"/>
          <w:color w:val="auto"/>
        </w:rPr>
      </w:pPr>
    </w:p>
    <w:p>
      <w:pPr>
        <w:ind w:left="120" w:right="60" w:firstLine="440"/>
        <w:spacing w:after="0" w:line="301"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(the “SEC”) nor any state securities commission has approved or disapproved of the notes or determined that this prospectus supplement or the accompanying prospectus is accurate or complete. Any representation to the contrary is a criminal offense.</w:t>
      </w:r>
    </w:p>
    <w:p>
      <w:pPr>
        <w:spacing w:after="0" w:line="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Price to</w:t>
            </w: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gridSpan w:val="5"/>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Underwriting</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w w:val="98"/>
              </w:rPr>
              <w:t>Proceeds to</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 Before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456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Public</w:t>
            </w:r>
            <w:r>
              <w:rPr>
                <w:rFonts w:ascii="Times New Roman" w:cs="Times New Roman" w:eastAsia="Times New Roman" w:hAnsi="Times New Roman"/>
                <w:sz w:val="10"/>
                <w:szCs w:val="10"/>
                <w:b w:val="1"/>
                <w:bCs w:val="1"/>
                <w:color w:val="auto"/>
              </w:rPr>
              <w:t>(1)</w:t>
            </w:r>
          </w:p>
        </w:tc>
        <w:tc>
          <w:tcPr>
            <w:tcW w:w="40" w:type="dxa"/>
            <w:vAlign w:val="bottom"/>
            <w:tcBorders>
              <w:bottom w:val="single" w:sz="8" w:color="auto"/>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Discounts</w:t>
            </w:r>
          </w:p>
        </w:tc>
        <w:tc>
          <w:tcPr>
            <w:tcW w:w="20" w:type="dxa"/>
            <w:vAlign w:val="bottom"/>
            <w:tcBorders>
              <w:bottom w:val="single" w:sz="8" w:color="auto"/>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85"/>
              </w:rPr>
              <w:t>Per </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floating rate note</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5"/>
                <w:szCs w:val="5"/>
                <w:color w:val="auto"/>
                <w:w w:val="79"/>
              </w:rPr>
              <w:t> </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w w:val="71"/>
              </w:rPr>
              <w:t> </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74"/>
              </w:rPr>
              <w:t> </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w w:val="94"/>
              </w:rPr>
              <w:t>Total</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 xml:space="preserve">$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 </w:t>
            </w: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8"/>
                <w:szCs w:val="8"/>
                <w:color w:val="auto"/>
                <w:w w:val="74"/>
              </w:rPr>
              <w:t> </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jc w:val="center"/>
              <w:ind w:right="1"/>
              <w:spacing w:after="0"/>
              <w:rPr>
                <w:sz w:val="20"/>
                <w:szCs w:val="20"/>
                <w:color w:val="auto"/>
              </w:rPr>
            </w:pPr>
            <w:r>
              <w:rPr>
                <w:rFonts w:ascii="Times New Roman" w:cs="Times New Roman" w:eastAsia="Times New Roman" w:hAnsi="Times New Roman"/>
                <w:sz w:val="5"/>
                <w:szCs w:val="5"/>
                <w:color w:val="auto"/>
                <w:w w:val="79"/>
              </w:rPr>
              <w:t> </w:t>
            </w:r>
          </w:p>
        </w:tc>
        <w:tc>
          <w:tcPr>
            <w:tcW w:w="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85"/>
              </w:rPr>
              <w:t>Per </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floating rate note</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5"/>
                <w:szCs w:val="5"/>
                <w:color w:val="auto"/>
                <w:w w:val="79"/>
              </w:rPr>
              <w:t> </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46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w w:val="71"/>
              </w:rPr>
              <w:t> </w:t>
            </w:r>
          </w:p>
        </w:tc>
        <w:tc>
          <w:tcPr>
            <w:tcW w:w="44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89"/>
              </w:rPr>
              <w:t>%</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74"/>
              </w:rPr>
              <w:t> </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w w:val="94"/>
              </w:rPr>
              <w:t>Total</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Per          % note</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5"/>
                <w:szCs w:val="5"/>
                <w:color w:val="auto"/>
                <w:w w:val="79"/>
              </w:rPr>
              <w:t> </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46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w w:val="71"/>
              </w:rPr>
              <w:t> </w:t>
            </w:r>
          </w:p>
        </w:tc>
        <w:tc>
          <w:tcPr>
            <w:tcW w:w="44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89"/>
              </w:rPr>
              <w:t>%</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74"/>
              </w:rPr>
              <w:t> </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w w:val="94"/>
              </w:rPr>
              <w:t>Total</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Per          % note</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5"/>
                <w:szCs w:val="5"/>
                <w:color w:val="auto"/>
                <w:w w:val="79"/>
              </w:rPr>
              <w:t> </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46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w w:val="71"/>
              </w:rPr>
              <w:t> </w:t>
            </w:r>
          </w:p>
        </w:tc>
        <w:tc>
          <w:tcPr>
            <w:tcW w:w="44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89"/>
              </w:rPr>
              <w:t>%</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74"/>
              </w:rPr>
              <w:t> </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w w:val="94"/>
              </w:rPr>
              <w:t>Total</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Per          % note</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5"/>
                <w:szCs w:val="5"/>
                <w:color w:val="auto"/>
                <w:w w:val="79"/>
              </w:rPr>
              <w:t> </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46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w w:val="71"/>
              </w:rPr>
              <w:t> </w:t>
            </w:r>
          </w:p>
        </w:tc>
        <w:tc>
          <w:tcPr>
            <w:tcW w:w="44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89"/>
              </w:rPr>
              <w:t>%</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74"/>
              </w:rPr>
              <w:t> </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w w:val="94"/>
              </w:rPr>
              <w:t>Total</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Per          % note</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5"/>
                <w:szCs w:val="5"/>
                <w:color w:val="auto"/>
                <w:w w:val="79"/>
              </w:rPr>
              <w:t> </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46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w w:val="71"/>
              </w:rPr>
              <w:t> </w:t>
            </w:r>
          </w:p>
        </w:tc>
        <w:tc>
          <w:tcPr>
            <w:tcW w:w="44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89"/>
              </w:rPr>
              <w:t>%</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74"/>
              </w:rPr>
              <w:t> </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w w:val="94"/>
              </w:rPr>
              <w:t>Total</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Per          % note</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5"/>
                <w:szCs w:val="5"/>
                <w:color w:val="auto"/>
                <w:w w:val="79"/>
              </w:rPr>
              <w:t> </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46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w w:val="71"/>
              </w:rPr>
              <w:t> </w:t>
            </w:r>
          </w:p>
        </w:tc>
        <w:tc>
          <w:tcPr>
            <w:tcW w:w="44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89"/>
              </w:rPr>
              <w:t>%</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74"/>
              </w:rPr>
              <w:t> </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w w:val="94"/>
              </w:rPr>
              <w:t>Total</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Per          % note</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5"/>
                <w:szCs w:val="5"/>
                <w:color w:val="auto"/>
                <w:w w:val="79"/>
              </w:rPr>
              <w:t> </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46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w w:val="71"/>
              </w:rPr>
              <w:t> </w:t>
            </w:r>
          </w:p>
        </w:tc>
        <w:tc>
          <w:tcPr>
            <w:tcW w:w="44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89"/>
              </w:rPr>
              <w:t>%</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74"/>
              </w:rPr>
              <w:t> </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w w:val="94"/>
              </w:rPr>
              <w:t>Total</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spacing w:after="0"/>
              <w:rPr>
                <w:sz w:val="12"/>
                <w:szCs w:val="12"/>
                <w:color w:val="auto"/>
              </w:rPr>
            </w:pPr>
          </w:p>
        </w:tc>
        <w:tc>
          <w:tcPr>
            <w:tcW w:w="4880" w:type="dxa"/>
            <w:vAlign w:val="bottom"/>
            <w:gridSpan w:val="3"/>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85"/>
              </w:rPr>
              <w:t>(1)</w:t>
            </w:r>
          </w:p>
        </w:tc>
        <w:tc>
          <w:tcPr>
            <w:tcW w:w="5800" w:type="dxa"/>
            <w:vAlign w:val="bottom"/>
            <w:gridSpan w:val="5"/>
          </w:tcPr>
          <w:p>
            <w:pPr>
              <w:ind w:left="120"/>
              <w:spacing w:after="0"/>
              <w:rPr>
                <w:sz w:val="20"/>
                <w:szCs w:val="20"/>
                <w:color w:val="auto"/>
              </w:rPr>
            </w:pPr>
            <w:r>
              <w:rPr>
                <w:rFonts w:ascii="Times New Roman" w:cs="Times New Roman" w:eastAsia="Times New Roman" w:hAnsi="Times New Roman"/>
                <w:sz w:val="16"/>
                <w:szCs w:val="16"/>
                <w:color w:val="auto"/>
              </w:rPr>
              <w:t>Plus accrued interest from          , 2026, if any, if settlement occurs after such date.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00" w:type="dxa"/>
            <w:vAlign w:val="bottom"/>
          </w:tcPr>
          <w:p>
            <w:pPr>
              <w:spacing w:after="0"/>
              <w:rPr>
                <w:sz w:val="24"/>
                <w:szCs w:val="24"/>
                <w:color w:val="auto"/>
              </w:rPr>
            </w:pPr>
          </w:p>
        </w:tc>
        <w:tc>
          <w:tcPr>
            <w:tcW w:w="580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The notes will not be listed on any securities exchange.</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120" w:firstLine="440"/>
        <w:spacing w:after="0" w:line="298" w:lineRule="auto"/>
        <w:rPr>
          <w:sz w:val="20"/>
          <w:szCs w:val="20"/>
          <w:color w:val="auto"/>
        </w:rPr>
      </w:pPr>
      <w:r>
        <w:rPr>
          <w:rFonts w:ascii="Times New Roman" w:cs="Times New Roman" w:eastAsia="Times New Roman" w:hAnsi="Times New Roman"/>
          <w:sz w:val="16"/>
          <w:szCs w:val="16"/>
          <w:color w:val="auto"/>
        </w:rPr>
        <w:t>The underwriters expect to deliver the notes to investors in book-entry form through The Depository Trust Company for the accounts of its participants, including Clearstream Banking, société anonyme, and the Euroclear System, on or about         , 2026, against payment in immediately available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130175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i w:val="1"/>
          <w:iCs w:val="1"/>
          <w:color w:val="auto"/>
        </w:rPr>
        <w:t>Joint Book-Running Managers</w:t>
      </w:r>
    </w:p>
    <w:p>
      <w:pPr>
        <w:spacing w:after="0" w:line="114" w:lineRule="exact"/>
        <w:rPr>
          <w:sz w:val="20"/>
          <w:szCs w:val="20"/>
          <w:color w:val="auto"/>
        </w:rPr>
      </w:pPr>
    </w:p>
    <w:p>
      <w:pPr>
        <w:ind w:left="360"/>
        <w:spacing w:after="0"/>
        <w:tabs>
          <w:tab w:leader="none" w:pos="2580" w:val="left"/>
          <w:tab w:leader="none" w:pos="4540" w:val="left"/>
          <w:tab w:leader="none" w:pos="8080" w:val="left"/>
        </w:tabs>
        <w:rPr>
          <w:sz w:val="20"/>
          <w:szCs w:val="20"/>
          <w:color w:val="auto"/>
        </w:rPr>
      </w:pPr>
      <w:r>
        <w:rPr>
          <w:rFonts w:ascii="Times New Roman" w:cs="Times New Roman" w:eastAsia="Times New Roman" w:hAnsi="Times New Roman"/>
          <w:sz w:val="22"/>
          <w:szCs w:val="22"/>
          <w:b w:val="1"/>
          <w:bCs w:val="1"/>
          <w:color w:val="auto"/>
        </w:rPr>
        <w:t>Morgan Stanley</w:t>
      </w:r>
      <w:r>
        <w:rPr>
          <w:sz w:val="20"/>
          <w:szCs w:val="20"/>
          <w:color w:val="auto"/>
        </w:rPr>
        <w:tab/>
      </w:r>
      <w:r>
        <w:rPr>
          <w:rFonts w:ascii="Times New Roman" w:cs="Times New Roman" w:eastAsia="Times New Roman" w:hAnsi="Times New Roman"/>
          <w:sz w:val="22"/>
          <w:szCs w:val="22"/>
          <w:b w:val="1"/>
          <w:bCs w:val="1"/>
          <w:color w:val="auto"/>
        </w:rPr>
        <w:t>Citigroup</w:t>
      </w:r>
      <w:r>
        <w:rPr>
          <w:sz w:val="20"/>
          <w:szCs w:val="20"/>
          <w:color w:val="auto"/>
        </w:rPr>
        <w:tab/>
      </w:r>
      <w:r>
        <w:rPr>
          <w:rFonts w:ascii="Times New Roman" w:cs="Times New Roman" w:eastAsia="Times New Roman" w:hAnsi="Times New Roman"/>
          <w:sz w:val="22"/>
          <w:szCs w:val="22"/>
          <w:b w:val="1"/>
          <w:bCs w:val="1"/>
          <w:color w:val="auto"/>
        </w:rPr>
        <w:t>Deutsche Bank Securities</w:t>
      </w:r>
      <w:r>
        <w:rPr>
          <w:sz w:val="20"/>
          <w:szCs w:val="20"/>
          <w:color w:val="auto"/>
        </w:rPr>
        <w:tab/>
      </w:r>
      <w:r>
        <w:rPr>
          <w:rFonts w:ascii="Times New Roman" w:cs="Times New Roman" w:eastAsia="Times New Roman" w:hAnsi="Times New Roman"/>
          <w:sz w:val="21"/>
          <w:szCs w:val="21"/>
          <w:b w:val="1"/>
          <w:bCs w:val="1"/>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159385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The date of this prospectus supplement is          , 2026.</w:t>
      </w:r>
    </w:p>
    <w:p>
      <w:pPr>
        <w:sectPr>
          <w:pgSz w:w="11900" w:h="16838" w:orient="portrait"/>
          <w:cols w:equalWidth="0" w:num="1">
            <w:col w:w="11060"/>
          </w:cols>
          <w:pgMar w:left="320" w:top="455" w:right="5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We are responsible for the information contained in this prospectus supplement, the accompanying prospectus and any permitted free writing prospectus. We have not, and the underwriters have not, authorized anyone to provide you with different or additional information. We and the underwriters take no responsibility for, and can provide no assurance as to the reliability of, any information that others may give. We are not, and the underwriters are not, making an offer to sell, or the solicitation of an offer to buy, any of these securities in any jurisdiction where an offer or sale is not permitted. You should not assume that the information contained in this prospectus supplement, the accompanying prospectus or any permitted free writing prospectus is accurate as of any date other than the date on the front cover of this prospectus supplement or the accompanying prospectus, or the date of any such permitted free writing prospectus, as the case may be, or that the information incorporated by reference herein or therein is accurate as of any date other than the date of the relevant report or other document in which such information is contained.</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44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7120" w:type="dxa"/>
            <w:vAlign w:val="bottom"/>
            <w:gridSpan w:val="4"/>
            <w:vMerge w:val="restart"/>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74"/>
        </w:trPr>
        <w:tc>
          <w:tcPr>
            <w:tcW w:w="3440" w:type="dxa"/>
            <w:vAlign w:val="bottom"/>
            <w:tcBorders>
              <w:bottom w:val="single" w:sz="8" w:color="0000EE"/>
            </w:tcBorders>
            <w:gridSpan w:val="12"/>
            <w:vMerge w:val="continue"/>
          </w:tcPr>
          <w:p>
            <w:pPr>
              <w:spacing w:after="0"/>
              <w:rPr>
                <w:sz w:val="14"/>
                <w:szCs w:val="14"/>
                <w:color w:val="auto"/>
              </w:rPr>
            </w:pPr>
          </w:p>
        </w:tc>
        <w:tc>
          <w:tcPr>
            <w:tcW w:w="71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2"/>
          </w:tcPr>
          <w:p>
            <w:pPr>
              <w:jc w:val="right"/>
              <w:ind w:right="20"/>
              <w:spacing w:after="0" w:line="169"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10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w:t>
            </w:r>
          </w:p>
        </w:tc>
        <w:tc>
          <w:tcPr>
            <w:tcW w:w="0" w:type="dxa"/>
            <w:vAlign w:val="bottom"/>
          </w:tcPr>
          <w:p>
            <w:pPr>
              <w:spacing w:after="0"/>
              <w:rPr>
                <w:sz w:val="1"/>
                <w:szCs w:val="1"/>
                <w:color w:val="auto"/>
              </w:rPr>
            </w:pPr>
          </w:p>
        </w:tc>
      </w:tr>
      <w:tr>
        <w:trPr>
          <w:trHeight w:val="196"/>
        </w:trPr>
        <w:tc>
          <w:tcPr>
            <w:tcW w:w="532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ELI LILLY AND COMPANY</w:t>
            </w:r>
          </w:p>
        </w:tc>
        <w:tc>
          <w:tcPr>
            <w:tcW w:w="52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S-4</w:t>
            </w:r>
          </w:p>
        </w:tc>
        <w:tc>
          <w:tcPr>
            <w:tcW w:w="0" w:type="dxa"/>
            <w:vAlign w:val="bottom"/>
          </w:tcPr>
          <w:p>
            <w:pPr>
              <w:spacing w:after="0"/>
              <w:rPr>
                <w:sz w:val="1"/>
                <w:szCs w:val="1"/>
                <w:color w:val="auto"/>
              </w:rPr>
            </w:pPr>
          </w:p>
        </w:tc>
      </w:tr>
      <w:tr>
        <w:trPr>
          <w:trHeight w:val="196"/>
        </w:trPr>
        <w:tc>
          <w:tcPr>
            <w:tcW w:w="218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380" w:type="dxa"/>
            <w:vAlign w:val="bottom"/>
            <w:gridSpan w:val="8"/>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980" w:type="dxa"/>
            <w:vAlign w:val="bottom"/>
            <w:gridSpan w:val="10"/>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THE NOTES</w:t>
            </w:r>
          </w:p>
        </w:tc>
        <w:tc>
          <w:tcPr>
            <w:tcW w:w="8100" w:type="dxa"/>
            <w:vAlign w:val="bottom"/>
            <w:gridSpan w:val="6"/>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196"/>
        </w:trPr>
        <w:tc>
          <w:tcPr>
            <w:tcW w:w="10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CONSIDERATIONS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S-26</w:t>
            </w:r>
          </w:p>
        </w:tc>
        <w:tc>
          <w:tcPr>
            <w:tcW w:w="0" w:type="dxa"/>
            <w:vAlign w:val="bottom"/>
          </w:tcPr>
          <w:p>
            <w:pPr>
              <w:spacing w:after="0"/>
              <w:rPr>
                <w:sz w:val="1"/>
                <w:szCs w:val="1"/>
                <w:color w:val="auto"/>
              </w:rPr>
            </w:pPr>
          </w:p>
        </w:tc>
      </w:tr>
      <w:tr>
        <w:trPr>
          <w:trHeight w:val="196"/>
        </w:trPr>
        <w:tc>
          <w:tcPr>
            <w:tcW w:w="486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5700" w:type="dxa"/>
            <w:vAlign w:val="bottom"/>
            <w:gridSpan w:val="3"/>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38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9100" w:type="dxa"/>
            <w:vAlign w:val="bottom"/>
            <w:gridSpan w:val="11"/>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S-36</w:t>
            </w:r>
          </w:p>
        </w:tc>
        <w:tc>
          <w:tcPr>
            <w:tcW w:w="0" w:type="dxa"/>
            <w:vAlign w:val="bottom"/>
          </w:tcPr>
          <w:p>
            <w:pPr>
              <w:spacing w:after="0"/>
              <w:rPr>
                <w:sz w:val="1"/>
                <w:szCs w:val="1"/>
                <w:color w:val="auto"/>
              </w:rPr>
            </w:pPr>
          </w:p>
        </w:tc>
      </w:tr>
      <w:tr>
        <w:trPr>
          <w:trHeight w:val="196"/>
        </w:trPr>
        <w:tc>
          <w:tcPr>
            <w:tcW w:w="10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38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 DOCUMENTS INCORPORATED BY REFERENCE INTO THIS PROSPECTUS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970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SUPPLEMENT</w:t>
            </w:r>
          </w:p>
        </w:tc>
        <w:tc>
          <w:tcPr>
            <w:tcW w:w="68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S-38</w:t>
            </w:r>
          </w:p>
        </w:tc>
        <w:tc>
          <w:tcPr>
            <w:tcW w:w="0" w:type="dxa"/>
            <w:vAlign w:val="bottom"/>
          </w:tcPr>
          <w:p>
            <w:pPr>
              <w:spacing w:after="0"/>
              <w:rPr>
                <w:sz w:val="1"/>
                <w:szCs w:val="1"/>
                <w:color w:val="auto"/>
              </w:rPr>
            </w:pPr>
          </w:p>
        </w:tc>
      </w:tr>
      <w:tr>
        <w:trPr>
          <w:trHeight w:val="669"/>
        </w:trPr>
        <w:tc>
          <w:tcPr>
            <w:tcW w:w="18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70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56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10560" w:type="dxa"/>
            <w:vAlign w:val="bottom"/>
            <w:gridSpan w:val="16"/>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340" w:type="dxa"/>
            <w:vAlign w:val="bottom"/>
            <w:gridSpan w:val="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240" w:type="dxa"/>
            <w:vAlign w:val="bottom"/>
            <w:gridSpan w:val="3"/>
            <w:shd w:val="clear" w:color="auto" w:fill="0000EE"/>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38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 DOCUMENTS INCORPORATED BY REFERENCE INTO THIS PROSPECTUS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988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ELI LILLY AND COMPANY</w:t>
            </w:r>
          </w:p>
        </w:tc>
        <w:tc>
          <w:tcPr>
            <w:tcW w:w="68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40" w:type="dxa"/>
            <w:vAlign w:val="bottom"/>
            <w:gridSpan w:val="7"/>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6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8"/>
          </w:tcPr>
          <w:p>
            <w:pPr>
              <w:spacing w:after="0"/>
              <w:rPr>
                <w:sz w:val="17"/>
                <w:szCs w:val="17"/>
                <w:color w:val="auto"/>
              </w:rPr>
            </w:pPr>
          </w:p>
        </w:tc>
        <w:tc>
          <w:tcPr>
            <w:tcW w:w="5240" w:type="dxa"/>
            <w:vAlign w:val="bottom"/>
            <w:gridSpan w:val="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0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250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8060" w:type="dxa"/>
            <w:vAlign w:val="bottom"/>
            <w:gridSpan w:val="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8520" w:type="dxa"/>
            <w:vAlign w:val="bottom"/>
            <w:gridSpan w:val="9"/>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10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This document is in two parts. The first part of this prospectus supplement describes the specific terms of this offering, the notes and matters relating to us. The second part is the accompanying prospectus, which provides a more general description of the terms and conditions of the various securities we may offer under the registration statement of which this prospectus forms a part, some of which does not apply to this offering or the notes.</w:t>
      </w:r>
    </w:p>
    <w:p>
      <w:pPr>
        <w:spacing w:after="0" w:line="158"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various places in this prospectus supplement and the accompanying prospectus, we refer you to sections of other documents for additional information by indicating the titles of the other sections. All cross-references in this prospectus supplement are to captions contained in this prospectus supplement and not in the accompanying prospectus, unless otherwise indicated.</w:t>
      </w:r>
    </w:p>
    <w:p>
      <w:pPr>
        <w:spacing w:after="0" w:line="176"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or the information incorporated by reference in this prospectus supplement, may add, update or change information in the accompanying prospectus. If information in this prospectus supplement is inconsistent with the accompanying prospectus, this prospectus supplement will supersede the information in the accompanying prospectus.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It is important for you to read and consider carefully all information contained or incorporated by reference in this prospectus supplement, the accompanying prospectus and any permitted free writing prospectuses we have authorized for use with respect to this offering prior to making a decision to invest in the notes. See “Where You Can Find More Information; Documents Incorporated by Reference into this Prospectus Supplement” for additional information.</w:t>
      </w:r>
    </w:p>
    <w:p>
      <w:pPr>
        <w:spacing w:after="0" w:line="180"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Certain amounts and percentages included in this prospectus supplement have been rounded. Accordingly, in certain instances, the sum of the numbers in a column of a table may not exactly equal the total figure for that column.</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all references in this prospectus supplement to “we,” “us,” “our” and “Eli Lilly” refer to Eli Lilly and Company and its consolidated subsidiaries.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included or incorporated by reference herein and therein include forward-looking statements within the meaning of Section 27A of the Securities Act of 1933, as amended (the “Securities Act”), and Section 21E of the Securities Exchange Act of 1934, as amended (the “Exchange Act”), and are subject to the safe harbor created thereby under the Private Securities Litigation Reform Act of 1995. Forward-looking statements include all statements that do not relate solely to historical or current facts, and generally can be identified by the use of words such as “may,” “could,” “aim,” “seek,” “believe,” “will,” “expect,” “project,” “estimate,” “intend,” “target,” “anticipate,” “plan,” “continue” or similar expressions or future or conditional verbs. The forward-looking statements in this prospectus supplement include statements relating to this offering, the notes, the use of proceeds described herein and certain other information included herein.</w:t>
      </w:r>
    </w:p>
    <w:p>
      <w:pPr>
        <w:spacing w:after="0" w:line="18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Forward-looking statements inherently involve many risks and uncertainties that could cause actual results to differ materially from those expressed in forward-looking statements. Forward-looking statements are based on management’s current plans and expectations, expressed in good faith and believed to have a reasonable basis. However, we can give no assurance that any expectation or belief will result or will be achieved or accomplished. Investors therefore should not place undue reliance on forward-looking statements. The following include some but not all of the factors that could cause actual results or events to differ materially from those anticipated:</w:t>
      </w:r>
    </w:p>
    <w:p>
      <w:pPr>
        <w:spacing w:after="0" w:line="89" w:lineRule="exact"/>
        <w:rPr>
          <w:sz w:val="20"/>
          <w:szCs w:val="20"/>
          <w:color w:val="auto"/>
        </w:rPr>
      </w:pPr>
    </w:p>
    <w:p>
      <w:pPr>
        <w:ind w:left="1080" w:right="26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costs and uncertainties in the pharmaceutical research and development process, including with respect to the timing and process of obtaining regulatory approvals and the ability of our clinical trials to meet expectations;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uncertain outcome of acquisitions and business development transactions and related costs;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affecting our products, pipeline or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uptake of launched products and indications;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pricing pressures and the impact of actions of governmental and private actors affecting pricing of, reimbursement for and patient access to pharmaceuticals, or reporting obligations related thereto;</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our voluntary agreement with the U.S. government related to drug pricing and access;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uncertainties related to our or competitive products, including as may relate to safety or efficacy concerns;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relatively few products or product classes for a significant percentage of our total revenue and a consolidated supply chain;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intellectual property protection for certain of our products and competition from generic and biosimilar products;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patents and other intellectual property and changes in patent law or regulations related to data package exclusivity;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system inadequacies, inadequate controls or procedures, security breaches or operating failures;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access, disclosure, misappropriation or compromise of confidential information or other data stored in our information technology systems, networks and facilities, or those of third parties with whom we share our data and violations of data protection laws or regulations;</w:t>
      </w:r>
    </w:p>
    <w:p>
      <w:pPr>
        <w:spacing w:after="0" w:line="81"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with product supply, regulatory approvals or other negative outcomes stemming from manufacturing difficulties, disruptions or shortages, including as a result of unpredictability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160"/>
        <w:spacing w:after="0" w:line="282" w:lineRule="auto"/>
        <w:rPr>
          <w:sz w:val="20"/>
          <w:szCs w:val="20"/>
          <w:color w:val="auto"/>
        </w:rPr>
      </w:pPr>
      <w:r>
        <w:rPr>
          <w:rFonts w:ascii="Times New Roman" w:cs="Times New Roman" w:eastAsia="Times New Roman" w:hAnsi="Times New Roman"/>
          <w:sz w:val="18"/>
          <w:szCs w:val="18"/>
          <w:color w:val="auto"/>
        </w:rPr>
        <w:t>variability in demand, labor shortages, third-party performance, quality, cyber-attacks or regulatory actions related to our and third-party facilities;</w:t>
      </w:r>
    </w:p>
    <w:p>
      <w:pPr>
        <w:spacing w:after="0" w:line="67"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third-party relationships and outsourcing arrangements;</w:t>
      </w:r>
    </w:p>
    <w:p>
      <w:pPr>
        <w:spacing w:after="0" w:line="130"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artificial intelligence or other emerging technologies in various facets of our operations, including partnerships related to the use of, or the sharing of, such technologies with third parties, which may exacerbate competitive, regulatory, litigation, cybersecurity and other risks;</w:t>
      </w:r>
    </w:p>
    <w:p>
      <w:pPr>
        <w:spacing w:after="0" w:line="81" w:lineRule="exact"/>
        <w:rPr>
          <w:rFonts w:ascii="Times New Roman" w:cs="Times New Roman" w:eastAsia="Times New Roman" w:hAnsi="Times New Roman"/>
          <w:sz w:val="18"/>
          <w:szCs w:val="18"/>
          <w:color w:val="auto"/>
        </w:rPr>
      </w:pPr>
    </w:p>
    <w:p>
      <w:pPr>
        <w:jc w:val="both"/>
        <w:ind w:left="1080" w:right="22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macroeconomic conditions, including uneven economic growth or downturns or uncertainty, trade and other global disputes and interruptions, including related to tariffs, trade protection measures and similar restrictions, international tension, conflicts, regional dependencies or other costs, uncertainties and risks related to engaging in business globally;</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 changes in interest rates and inflation or deflation;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sudden declines or volatility in the trading price of our common stock and market capitalization;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investigations or other similar proceedings involving past, current or future products, activities or intellectual property;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 and regulation, tax rates or events that differ from our assumptions related to tax positions;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developments and uncertainty;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oversight and actions regarding our operations and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compliance problems or government investigations;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from the proliferation of counterfeit, misbranded, adulterated or illegally compounded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deviation from environmental-, social- or governance-related requirements or expectations;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impairments and restructuring charges;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and reporting standards;</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of the Acquisitions may not be consummated in the anticipated timeframes or at all, and if completed, we may not realize the expected benefits from the Acquisitions;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that are discussed in this prospectus supplement.</w:t>
      </w:r>
    </w:p>
    <w:p>
      <w:pPr>
        <w:spacing w:after="0" w:line="225" w:lineRule="exact"/>
        <w:rPr>
          <w:sz w:val="20"/>
          <w:szCs w:val="20"/>
          <w:color w:val="auto"/>
        </w:rPr>
      </w:pPr>
    </w:p>
    <w:p>
      <w:pPr>
        <w:jc w:val="both"/>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You should also carefully read the factors described under “Risk Factors” and in other cautionary statements in this prospectus supplement, the accompanying prospectus and in our Annual Report on Form 10-K for the year ended December 31, 2025 and our other filings with the SEC that are incorporated by reference into this prospectus supplement, for a description of certain risks that could, among other things, cause our actual results to differ from those expressed in forward-looking statements.</w:t>
      </w:r>
    </w:p>
    <w:p>
      <w:pPr>
        <w:spacing w:after="0" w:line="180"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All forward-looking statements speak only as of the date of this prospectus supplement and are expressly qualified in their entirety by the risk factors and cautionary statements included in, or incorporated by reference into, this prospectus supplement. Except as is required by law, we expressly disclaim any obligation to publicly release any revisions to forward-looking statements to reflect events after the date of this prospectus supplement.</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080"/>
          </w:cols>
          <w:pgMar w:left="320" w:top="455"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ELI LILLY AND COMPANY</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are a worldwide research-based pharmaceutical company. We were incorporated in 1901 in Indiana to succeed to the drug manufacturing business founded in Indianapolis, Indiana, in 1876 by Colonel Eli Lilly. We discover, develop, manufacture and market products in a single business segment—human pharmaceutical products. Our purpose is to unite caring with discovery to create medicines that make life better for people around the world. Our long-term success depends on our ability to continually discover or acquire, develop and commercialize innovative medicines. We manufacture and distribute our products through facilities in the United States, including Puerto Rico, and in Europe and Asia. Our products are sold in approximately 90 countries.</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corporate offices are located at Lilly Corporate Center, Indianapolis, Indiana 46285, our telephone number is (317) 276-2000 and our website is www.lilly.com. We have included our website address in this prospectus supplement solely as an inactive textual reference, and the information contained in, or that can be accessed through, our website is not a part of, or incorporated by reference in, this prospectus supplement.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060"/>
          </w:cols>
          <w:pgMar w:left="320" w:top="455" w:right="5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Your investment in the notes involves risks. You should consider carefully the risks described below and those discussed under “Risk Factors” in our Annual Report on Form 10-K for the fiscal year ended December 31, 2025 and our other filings with the SEC that are incorporated by reference into this prospectus supplement and the accompanying prospectus. It is possible that our business, financial condition, liquidity, cash flows, results of operations, reputation and prospects could be materially adversely affected by any of these risks or additional risks and uncertainties not presently known to us or that we currently believe to be immaterial.</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This prospectus supplement and the documents incorporated by reference herein also contain forward-looking statements and estimates that involve risks and uncertainties. Our actual results could differ materially from those anticipated in the forward-looking statements as a result of specific factors, including those described in our filings with the SEC that are incorporated by reference herein. See “Special Note Regarding Forward-Looking Statements” in this prospectus supplement and the accompanying prospectus, “Forward-Looking Statements” in our Annual Report on Form 10-K and similar sections in other filings with the SEC that are incorporated by reference herein.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Risks Related to the Centessa Acquisition</w:t>
      </w:r>
    </w:p>
    <w:p>
      <w:pPr>
        <w:spacing w:after="0" w:line="117" w:lineRule="exact"/>
        <w:rPr>
          <w:sz w:val="20"/>
          <w:szCs w:val="20"/>
          <w:color w:val="auto"/>
        </w:rPr>
      </w:pPr>
    </w:p>
    <w:p>
      <w:pPr>
        <w:ind w:left="120" w:right="260" w:firstLine="4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are required to redeem the Centessa Mandatorily Redeemable Notes in connection with the Centessa Special Mandatory Redemption, you may realize a lower return on your investment than if the Centessa Mandatorily Redeemable Notes had been held through maturity.</w:t>
      </w:r>
    </w:p>
    <w:p>
      <w:pPr>
        <w:spacing w:after="0" w:line="13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Our ability to consummate each of the Acquisitions is subject to various closing conditions, many of which are beyond our control, and we may not be able to consummate either Acquisition in the anticipated timeframe or at all.</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the event that (x) the Centessa Acquisition is not consummated on or prior to the date that is five (5) business days after the later of</w:t>
      </w:r>
    </w:p>
    <w:p>
      <w:pPr>
        <w:spacing w:after="0" w:line="27" w:lineRule="exact"/>
        <w:rPr>
          <w:sz w:val="20"/>
          <w:szCs w:val="20"/>
          <w:color w:val="auto"/>
        </w:rPr>
      </w:pPr>
    </w:p>
    <w:p>
      <w:pPr>
        <w:ind w:left="120" w:hanging="4"/>
        <w:spacing w:after="0" w:line="253"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March 31, 2027 or (ii) any later date as the parties to the Centessa Agreement may agree as the “Outside Date” thereunder or (y) we notify the trustee in writing that we will not pursue the consummation of the Centessa Acquisition, we will be required to redeem the Centessa Mandatorily Redeemable Notes then outstanding at a redemption price equal to 101% of the principal amount of such Centessa Mandatorily Redeemable Notes plus accrued and unpaid interest, if any, to, but excluding, the Centessa Special Mandatory Redemption Date. See “Description of the Notes—Special Mandatory Redemption” for additional information and definitions for the capitalized terms used but not defined in this risk factor.</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net proceeds from the sale of notes in this offering will not be deposited into an escrow account pending completion of the Centessa Acquisition or the Centessa Special Mandatory Redemption, nor will we be required to grant any security interest or other lien on the proceeds to secure any redemption of the notes, and the indenture or any other definitive documentation that will govern any series of notes does not and will not impose any specific restrictions on our use of the proceeds prior to the consummation of the Acquisitions. Accordingly, the source of funds for the Centessa Special Mandatory Redemption would be the proceeds that we have voluntarily retained or other sources of liquidity. If we are required to redeem any series of notes pursuant to “Description of the Notes—Special Mandatory Redemption,” our ability to pay the redemption price may be limited by our financial resources at the time. In addition, whether or not a special mandatory redemption of the Centessa Mandatorily Redeemable Notes is ultimately triggered, the existence of these redemption provisions may adversely affect the trading prices (if active trading markets for the Centessa Mandatorily Redeemable Notes develop, which they may not) of the Centessa Mandatorily Redeemable Notes until such time, if any, as the Centessa Acquisition is consummated.</w:t>
      </w:r>
    </w:p>
    <w:p>
      <w:pPr>
        <w:spacing w:after="0" w:line="194" w:lineRule="exact"/>
        <w:rPr>
          <w:sz w:val="20"/>
          <w:szCs w:val="20"/>
          <w:color w:val="auto"/>
        </w:rPr>
      </w:pPr>
    </w:p>
    <w:p>
      <w:pPr>
        <w:ind w:left="120" w:right="860" w:firstLine="440"/>
        <w:spacing w:after="0" w:line="282" w:lineRule="auto"/>
        <w:rPr>
          <w:sz w:val="20"/>
          <w:szCs w:val="20"/>
          <w:color w:val="auto"/>
        </w:rPr>
      </w:pPr>
      <w:r>
        <w:rPr>
          <w:rFonts w:ascii="Times New Roman" w:cs="Times New Roman" w:eastAsia="Times New Roman" w:hAnsi="Times New Roman"/>
          <w:sz w:val="18"/>
          <w:szCs w:val="18"/>
          <w:color w:val="auto"/>
        </w:rPr>
        <w:t>Even if we redeem the Centessa Mandatorily Redeemable Notes pursuant to the Centessa Special Mandatory Redemption described in “Description of the Notes—Special Mandatory Redemption,” you may not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100"/>
          </w:cols>
          <w:pgMar w:left="320" w:top="455"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be able to reinvest the proceeds you receive from the redemption in a comparable security at an effective interest rate or return on investment as high as you would have received on your notes being redeemed. Holders of the Centessa Mandatorily Redeemable Notes will have no right to opt out of the special mandatory redemption provisions of such notes. Your decision to invest in the notes is made at the time of the offering of the notes. We will not be required to redeem the Centessa Mandatorily Redeemable Notes if, between the closing of the offering of the notes and the closing of the Centessa Acquisition, we experience any change in our business or financial condition.</w:t>
      </w:r>
    </w:p>
    <w:p>
      <w:pPr>
        <w:spacing w:after="0" w:line="183"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floating rate notes, the      % notes and the      % notes do not constitute Centessa Mandatorily Redeemable Notes and will not be subject to the Centessa Special Mandatory Redemption. Accordingly, if a Centessa Special Mandatory Redemption is triggered, such series of notes will not be required to be redeemed and will remain outstanding in accordance with their terms, subject to our right to redeem certain of such series of notes, in whole or in part, at any time and from time to time, even if the Centessa Acquisition is not consummated. See “Description of the Notes.”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 Centessa Agreement and the related documents may be amended or modified without your consent.</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Between the time of the issuance of the notes and the consummation of the Centessa Acquisition, the parties to the Centessa Agreement or other related transaction documents may agree to modify or waive the terms or conditions of such documents without consent from the holders of the notes. The terms of the notes will not preclude the parties to the Centessa Agreement from making certain changes to the terms of the Centessa Acquisition, or from waiving certain conditions to the Centessa Acquisition, that may adversely affect your investment in the notes.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Risks Related to the Floating Rate Notes</w:t>
      </w:r>
    </w:p>
    <w:p>
      <w:pPr>
        <w:spacing w:after="0" w:line="117"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amount of interest payable on either series of floating rate notes is set only once per period and will be determined only near the end of the relevant Interest Period.</w:t>
      </w:r>
    </w:p>
    <w:p>
      <w:pPr>
        <w:spacing w:after="0" w:line="15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amount of interest payable on either series of floating rate notes is determined by reference to Compounded SOFR. This floating rate may be volatile over time, which could result in holders of either series of floating rate notes experiencing a decline in their receipt of interest and also could cause a decline in the market price of either series of floating rate notes. We have no control over a number of factors that may affect market rates, including geopolitical conditions and economic, financial, political, regulatory, judicial or other events that affect the markets generally and that are important in determining the existence, magnitude and longevity of market rate risk. Furthermore, you should note that historical levels, fluctuations and trends of Compounded SOFR are not necessarily indicative of future levels. Any historical upward or downward trend in Compounded SOFR is not an indication that Compounded SOFR is more or less likely to increase or decrease at any time during the applicable life of either series of floating rate notes, and you should not take the historical levels of Compounded SOFR as an indication of its future performance. You should further note that, although the actual level of Compounded SOFR on an interest payment date or at other times during an Interest Period (as defined under “Description of the Notes—Floating Rate Notes”) may be higher than the level of Compounded SOFR on the Interest Determination Date (as defined under “Description of the Notes—Floating Rate Notes”) on which the interest rate is determined for such Interest Period, you will not benefit from the level of Compounded SOFR at any time other than on such Interest Determination Date. As a result, changes in Compounded SOFR may not result in a comparable change in the market value of either series of floating rate notes.</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interest payments due on either series of floating rate notes will be determined only near the end of the relevant Interest Period. Therefore, holders of either series of floating rate notes will not know the total amount of interest payable with respect to a particular Interest Period until shortly prior to the related interest payment date, and it may be difficult for holders of such series of floating rate notes to reliably estimate the total amount of interest that will be payable on each such interest payment date for the applicable series of floating</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100"/>
          </w:cols>
          <w:pgMar w:left="320" w:top="455"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20"/>
        <w:spacing w:after="0" w:line="312" w:lineRule="auto"/>
        <w:rPr>
          <w:sz w:val="20"/>
          <w:szCs w:val="20"/>
          <w:color w:val="auto"/>
        </w:rPr>
      </w:pPr>
      <w:r>
        <w:rPr>
          <w:rFonts w:ascii="Times New Roman" w:cs="Times New Roman" w:eastAsia="Times New Roman" w:hAnsi="Times New Roman"/>
          <w:sz w:val="17"/>
          <w:szCs w:val="17"/>
          <w:color w:val="auto"/>
        </w:rPr>
        <w:t>rate notes. In addition, some investors may be unwilling or unable to trade either series of floating rate notes without changes to their information technology systems, both of which could adversely impact the liquidity and trading price of the applicable series of floating rate notes.</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SOFR has a limited history, and its future performance cannot be predicted based on its historical performance.</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Publication of SOFR began in April 2018, and it therefore has a limited history. The future performance of SOFR cannot be predicted based on its limited historical performance. Future levels of SOFR may bear little or no relation to the historical level of SOFR. Prior observed patterns, if any, in the behavior of market variables and their relation to SOFR, such as correlations, may change in the future. Because only limited historical data have been released by the New York Federal Reserve, such analysis inherently involves assumptions, estimates and approximations. The future performance of SOFR is impossible to predict, and therefore no future performance of either series of floating rate notes may be inferred from any of the historical actual or historical indicative data. Hypothetical or historical performance data are not indicative of, and have no bearing on, the potential performance of the applicable series of floating rate notes. Changes in the levels of SOFR may affect the return on either series of floating rate notes and the trading price of the applicable series of floating rate notes, but it is impossible to predict whether such levels will rise or fall.</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Any failure of SOFR to maintain market acceptance could adversely affect value of either series of floating rate notes.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SOFR was developed for use in certain U.S. dollar derivatives and other financial contracts as an alternative to the U.S. dollar London Interbank Offered Rate (“LIBOR”) in part because it is considered to be a good representation of general funding conditions in the overnight U.S. Treasury repurchase agreement market. However, as a rate based on transactions secured by U.S. Treasury securities, it does not measure bank-specific credit risk and, as a result, is less likely to correlate with the unsecured short-term funding costs of banks. This may mean that market participants would not consider SOFR to be a suitable substitute, replacement or successor for all of the purposes for which U.S. dollar LIBOR historically has been used (including, without limitation, as a representation of the unsecured short-term funding costs of banks), which may, in turn, lessen market acceptance of SOFR. Any failure of SOFR to maintain market acceptance could adversely affect the return on and value of either series of floating rate notes and the price at which holders of either series of floating rate notes can sell the applicable series of floating rate notes in the secondary market.</w:t>
      </w:r>
    </w:p>
    <w:p>
      <w:pPr>
        <w:spacing w:after="0" w:line="192" w:lineRule="exact"/>
        <w:rPr>
          <w:sz w:val="20"/>
          <w:szCs w:val="20"/>
          <w:color w:val="auto"/>
        </w:rPr>
      </w:pPr>
    </w:p>
    <w:p>
      <w:pPr>
        <w:ind w:left="120" w:right="260" w:firstLine="440"/>
        <w:spacing w:after="0" w:line="254" w:lineRule="auto"/>
        <w:rPr>
          <w:sz w:val="20"/>
          <w:szCs w:val="20"/>
          <w:color w:val="auto"/>
        </w:rPr>
      </w:pPr>
      <w:r>
        <w:rPr>
          <w:rFonts w:ascii="Times New Roman" w:cs="Times New Roman" w:eastAsia="Times New Roman" w:hAnsi="Times New Roman"/>
          <w:sz w:val="18"/>
          <w:szCs w:val="18"/>
          <w:color w:val="auto"/>
        </w:rPr>
        <w:t>In addition, if SOFR does not continue to be widely used as a benchmark in securities that are similar or comparable to either series of floating rate notes, the trading price of the applicable series of floating rate notes may be lower than those of securities that are linked to rates that are more widely used. Similarly, market terms for floating rate debt securities linked to SOFR, such as the spread over the base rate reflected in interest rate provisions or the manner of compounding the base rate, may evolve over time, and trading prices of either series of floating rate notes may be lower than those of later-issued SOFR-based debt securities as a result. Holders of either series of floating rate notes may not be able to sell the applicable series of floating rate notes at all or may not be able to sell the applicable series of floating rate notes at prices that will provide them with a yield comparable to similar investments that have a developed secondary market and may consequently suffer from increased pricing volatility and market risk.</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SOFR may be more volatile than other market rates.</w:t>
      </w:r>
    </w:p>
    <w:p>
      <w:pPr>
        <w:spacing w:after="0" w:line="22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Since the initial publication of SOFR, daily changes in the rate have, on occasion, been more volatile than daily changes in other benchmark or market rates during corresponding periods. In addition, although changes in Compounded SOFR generally are not expected to be as volatile as changes in SOFR on a daily basis, the return on, value of and market for either series of floating rate notes may fluctuate more than floating rate debt securities with interest rates based on less volatile rates. In addition, the volatility of SOFR has reflected the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00"/>
          </w:cols>
          <w:pgMar w:left="320" w:top="455"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underlying volatility of the overnight U.S. Treasury repo market. The New York Federal Reserve has at times conducted operations in the overnight U.S. Treasury repo market in order to help maintain the federal funds rate within a target range. There can be no assurance that the New York Federal Reserve will continue to conduct such operations in the future, and the duration and extent of any such operations is inherently uncertain. The effect of any such operations, or of the cessation of such operations to the extent they are commenced, is uncertain and could be materially adverse to investors in either series of floating rate notes.</w:t>
      </w:r>
    </w:p>
    <w:p>
      <w:pPr>
        <w:spacing w:after="0" w:line="179" w:lineRule="exact"/>
        <w:rPr>
          <w:sz w:val="20"/>
          <w:szCs w:val="20"/>
          <w:color w:val="auto"/>
        </w:rPr>
      </w:pPr>
    </w:p>
    <w:p>
      <w:pPr>
        <w:ind w:left="120" w:right="3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interest rate on either series of floating rate notes is based on Compounded SOFR and the SOFR Index, both of which have a limited history in the marketplace.</w:t>
      </w:r>
    </w:p>
    <w:p>
      <w:pPr>
        <w:spacing w:after="0" w:line="15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interest rate for either series of floating rate notes for each applicable Interest Period will be based on Compounded SOFR, which will be calculated according to a specific formula described under “Description of the Notes—Floating Rate Notes,” not by using SOFR published on or in respect of a particular date during such Interest Period or an arithmetic average of SOFR during such period. For this and other reasons, the interest rate on either series of floating rate notes during any applicable Interest Period will not necessarily be the same as the interest rate on other SOFR-linked investments that use an alternative basis to determine the applicable interest rate. Further, if SOFR in respect of a particular date during an Interest Period is negative, its contribution to the SOFR Index will be less than one, resulting in a reduction to Compounded SOFR used to calculate the interest payable on the applicable series of floating rate notes on the interest payment date for such Interest Period.</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addition, the New York Federal Reserve only began publishing the SOFR Index on March 2, 2020. Accordingly, the use of the specific formula for Compounded SOFR used in the calculation of the interest rate for either series of floating rate notes may not be widely adopted by other market participants. You should carefully review the specific formula for Compounded SOFR as described under “Description of the Notes—Floating Rate Notes” before making an investment in either series of floating rate notes. If the market adopts a different calculation method than used for either series of floating rate notes, that will likely adversely affect the liquidity and market value of the applicable series of floating rate notes.</w:t>
      </w:r>
    </w:p>
    <w:p>
      <w:pPr>
        <w:spacing w:after="0" w:line="179"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SOFR Index may be modified or discontinued, and either series of floating rate notes may bear interest by reference to a rate other than Compounded SOFR, which could adversely affect the value of the applicable series of floating rate notes.</w:t>
      </w:r>
    </w:p>
    <w:p>
      <w:pPr>
        <w:spacing w:after="0" w:line="15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SOFR Index is published by the New York Federal Reserve based on data received by it from sources other than us, and we have no control over its methods of calculation, publication schedule or rate revision practices, or availability of the SOFR Index at any time. There can be no guarantee, particularly given its relatively limited history, that the SOFR Index will not be discontinued or fundamentally altered in a manner that is materially adverse to the interests of investors in either series of floating rate notes. If the manner in which the SOFR Index is calculated, including the manner in which SOFR is calculated, is changed, that change may result in a reduction in the amount of interest payable on the applicable series of floating rate notes and the trading prices of the applicable series of floating rate notes. In addition, the New York Federal Reserve may withdraw, modify or amend the published SOFR Index or SOFR data in its sole discretion and without notice. The interest rate on either series of floating rate notes for any Interest Period will not be adjusted for any modifications or amendments to the SOFR Index or SOFR data that the New York Federal Reserve may publish after the interest rate for that Interest Period has been determined.</w:t>
      </w:r>
    </w:p>
    <w:p>
      <w:pPr>
        <w:spacing w:after="0" w:line="188"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If we or our designee determine that a Benchmark Transition Event (as defined under “Description of the Notes—Floating Rate Notes”) and its related Benchmark Replacement Date (as defined under “Description of the Notes—Floating Rate Notes”) has occurred, the interest rate on all or any series of floating rate notes, as applicable, will no longer be determined by reference to Compounded SOFR, but instead by reference to a different rate or a different Benchmark (as defined under “Description of the Notes—Floating Rate Notes”), plus a spread adjustment, which we refer to as a “Benchmark Replacement,” as further described under “Description of the Notes—Floating Rate Notes.”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If a particular Benchmark Replacement cannot be determined, then the next available Benchmark Replacement will apply. These replacement rates and adjustments may be selected, recommended or formulated by (i) the Relevant Governmental Body (as defined under “Description of the Notes —Floating Rate Notes”) (such as the Federal Reserve Board), (ii) the International Swaps and Derivatives Association (“ISDA”) or (iii) in certain circumstances, us or our designee. In addition, the terms of the floating rate notes expressly authorize us or our designee to make Benchmark Replacement Conforming Changes (as defined under “Description of the Notes—Floating Rate Notes”) with respect to, among other things, changes to the definition or interpretation of “Interest Period,” the timing and frequency of determining rates and making payments of interest, the rounding of amounts or tenors and other administrative matters. The determination of a Benchmark Replacement, the calculation of the interest rate on either series of floating rate notes by reference to a Benchmark Replacement (including the application of a Benchmark Replacement Adjustment), any implementation of Benchmark Replacement Conforming Changes and any other determinations, decisions or elections that may be made under the terms of the applicable series of floating rate notes in connection with a Benchmark Transition Event, could adversely affect the value of either series of floating rate notes, the return on either series of floating rate notes and the price at which you can sell either series of floating rate notes.</w:t>
      </w:r>
    </w:p>
    <w:p>
      <w:pPr>
        <w:spacing w:after="0" w:line="19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addition, it is possible that (i) the Benchmark Replacement may not be the economic equivalent of Compounded SOFR and does not perform in the same way as Compounded SOFR would have at any time, (ii) the Benchmark Replacement fails to gain market acceptance, (iii) the Benchmark Replacement may have a very limited history and the future performance of the Benchmark Replacement may not be predictable based on historical performance, (iv) the secondary trading market for either series of floating rate notes linked to the Benchmark Replacement may be limited and (v) the administrator of the Benchmark Replacement may make changes that could change the value of the Benchmark Replacement or discontinue the Benchmark Replacement. As a result, any Benchmark Transition Event could adversely affect the value of either series of floating rate notes, the return on either series of floating rate notes and the price at which you can sell either series of floating rate notes.</w:t>
      </w:r>
    </w:p>
    <w:p>
      <w:pPr>
        <w:spacing w:after="0" w:line="185"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our designee will have authority to make determinations, elections, calculations and adjustments that could affect the value of and your return on either series of floating rate notes.</w:t>
      </w:r>
    </w:p>
    <w:p>
      <w:pPr>
        <w:spacing w:after="0" w:line="15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or our designee will make certain determinations, decisions, elections, calculations and adjustments with respect to either series of floating rate notes, including in connection with any Benchmark Transition Event and Benchmark Replacement, that may adversely affect the value of and your return on the applicable series of floating rate notes. In particular, if a Benchmark Transition Event occurs with respect to either series of floating rate notes, the applicable Benchmark Replacement will be determined in accordance with the Benchmark transition provisions described under “Description of the Notes—Floating Rate Notes—Effect of a Benchmark Transition Event,” and we or our designee can make certain adjustments in connection with the implementation of the applicable Benchmark Replacement. Certain determinations may require the exercise of discretion and the making of subjective judgments, such as with respect to the determination of the Benchmark Replacement or the occurrence or non-occurrence of a Benchmark Transition Event. Because the continuation of SOFR on the current basis, and in turn the calculation of Compounded SOFR, cannot and will not be guaranteed, and because the applicable Benchmark Replacement is uncertain, we or our designee are likely to exercise more discretion in respect of calculating interest payable on either series of floating rate notes than would be the case in the absence of a Benchmark Transition Event. All determinations, decisions and elections by us or our designee are in our or such designee’s sole discretion (subject to consultation with us and our right to object to any determinations, decisions and elections made by our designee) as further described under “Description of the Notes—Floating Rate Notes” and will be conclusive for all purposes and binding on us and holders of the floating rate notes absent manifest error. Furthermore, all determinations, decisions and elections by us or our designee will become effective without consent from the holders of the applicable series of floating rate notes or any other party. These potentially subjective determinations may adversely affect the value of either series of floating rate notes, the return on either series of floating rate notes and the price at which you can sell either series of floating rate notes.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estimate that the net proceeds from the sale of the notes will be approximately $      after deduction of the underwriting discount and before deduction of the estimated expenses of the offering.</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expect to use the net proceeds from the sale of the notes for general corporate purposes, which may include the repayment of outstanding commercial paper, as well as potentially to fund all or a portion of the upfront cash consideration and related fees and expenses payable in connection with our pending acquisitions of Centessa and Kelonia. Prior to such uses, we may temporarily invest the net proceeds in marketable securities and short-term investments. As of May 5, 2026, the weighted average interest rate of our outstanding commercial paper borrowings was approximately 3.730% per annum and the weighted average maturity was approximately 17 days from issuance.</w:t>
      </w:r>
    </w:p>
    <w:p>
      <w:pPr>
        <w:spacing w:after="0" w:line="183"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an offer to purchase or a solicitation of an offer to sell any securities of Centessa or Kelonia, nor is it a solicitation to any securityholders of Centessa or Kelonia.</w:t>
      </w:r>
    </w:p>
    <w:p>
      <w:pPr>
        <w:spacing w:after="0" w:line="9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0880"/>
          </w:cols>
          <w:pgMar w:left="320" w:top="455" w:right="6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18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547"/>
        </w:trPr>
        <w:tc>
          <w:tcPr>
            <w:tcW w:w="2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0" w:type="dxa"/>
            <w:vAlign w:val="bottom"/>
            <w:gridSpan w:val="9"/>
          </w:tcPr>
          <w:p>
            <w:pPr>
              <w:ind w:left="1340"/>
              <w:spacing w:after="0"/>
              <w:rPr>
                <w:sz w:val="20"/>
                <w:szCs w:val="20"/>
                <w:color w:val="auto"/>
              </w:rPr>
            </w:pPr>
            <w:r>
              <w:rPr>
                <w:rFonts w:ascii="Times New Roman" w:cs="Times New Roman" w:eastAsia="Times New Roman" w:hAnsi="Times New Roman"/>
                <w:sz w:val="18"/>
                <w:szCs w:val="18"/>
                <w:b w:val="1"/>
                <w:bCs w:val="1"/>
                <w:color w:val="auto"/>
              </w:rPr>
              <w:t>DESCRIPTION OF THE NOTES</w:t>
            </w: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14"/>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60" w:type="dxa"/>
            <w:vAlign w:val="bottom"/>
            <w:gridSpan w:val="12"/>
          </w:tcPr>
          <w:p>
            <w:pPr>
              <w:ind w:left="120"/>
              <w:spacing w:after="0"/>
              <w:rPr>
                <w:sz w:val="20"/>
                <w:szCs w:val="20"/>
                <w:color w:val="auto"/>
              </w:rPr>
            </w:pPr>
            <w:r>
              <w:rPr>
                <w:rFonts w:ascii="Times New Roman" w:cs="Times New Roman" w:eastAsia="Times New Roman" w:hAnsi="Times New Roman"/>
                <w:sz w:val="18"/>
                <w:szCs w:val="18"/>
                <w:color w:val="auto"/>
                <w:w w:val="97"/>
              </w:rPr>
              <w:t>The following summary describes certain terms of the floating rate notes due 20 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(the “       </w:t>
            </w:r>
          </w:p>
        </w:tc>
        <w:tc>
          <w:tcPr>
            <w:tcW w:w="314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9"/>
              </w:rPr>
              <w:t>floating rate notes”), the floating rate notes</w:t>
            </w:r>
          </w:p>
        </w:tc>
      </w:tr>
      <w:tr>
        <w:trPr>
          <w:trHeight w:val="216"/>
        </w:trPr>
        <w:tc>
          <w:tcPr>
            <w:tcW w:w="660" w:type="dxa"/>
            <w:vAlign w:val="bottom"/>
            <w:gridSpan w:val="3"/>
          </w:tcPr>
          <w:p>
            <w:pPr>
              <w:jc w:val="center"/>
              <w:ind w:left="18"/>
              <w:spacing w:after="0"/>
              <w:rPr>
                <w:sz w:val="20"/>
                <w:szCs w:val="20"/>
                <w:color w:val="auto"/>
              </w:rPr>
            </w:pPr>
            <w:r>
              <w:rPr>
                <w:rFonts w:ascii="Times New Roman" w:cs="Times New Roman" w:eastAsia="Times New Roman" w:hAnsi="Times New Roman"/>
                <w:sz w:val="18"/>
                <w:szCs w:val="18"/>
                <w:color w:val="auto"/>
                <w:w w:val="78"/>
              </w:rPr>
              <w:t>due 20 </w:t>
            </w: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(the “    </w:t>
            </w:r>
          </w:p>
        </w:tc>
        <w:tc>
          <w:tcPr>
            <w:tcW w:w="3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w w:val="94"/>
              </w:rPr>
              <w:t>   floating rate notes” and, together with the 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70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w w:val="97"/>
              </w:rPr>
              <w:t>floating rate notes, the “floating rate notes”), the </w:t>
            </w:r>
          </w:p>
        </w:tc>
        <w:tc>
          <w:tcPr>
            <w:tcW w:w="2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 notes due</w:t>
            </w:r>
          </w:p>
        </w:tc>
      </w:tr>
      <w:tr>
        <w:trPr>
          <w:trHeight w:val="216"/>
        </w:trPr>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3"/>
              </w:rPr>
              <w:t>20 </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78"/>
              </w:rPr>
              <w:t>(the “ </w:t>
            </w:r>
          </w:p>
        </w:tc>
        <w:tc>
          <w:tcPr>
            <w:tcW w:w="1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3"/>
              </w:rPr>
              <w:t>      % notes”), the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7"/>
              </w:rPr>
              <w:t>   % notes due 20 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6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(the “ 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4"/>
              </w:rPr>
              <w:t>% notes”), the 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2"/>
              </w:rPr>
              <w:t>   % notes due 20 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6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(the “ </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3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 notes”), the</w:t>
            </w:r>
          </w:p>
        </w:tc>
      </w:tr>
      <w:tr>
        <w:trPr>
          <w:trHeight w:val="216"/>
        </w:trPr>
        <w:tc>
          <w:tcPr>
            <w:tcW w:w="26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3"/>
              </w:rPr>
              <w:t>% notes due 20 </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 xml:space="preserve">   (the “ 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notes”), the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w w:val="90"/>
              </w:rPr>
              <w:t>% notes due 20      (the “ 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2"/>
              </w:rPr>
              <w:t>% notes”) and the 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22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notes due 20      (the</w:t>
            </w:r>
          </w:p>
        </w:tc>
      </w:tr>
      <w:tr>
        <w:trPr>
          <w:trHeight w:val="234"/>
        </w:trPr>
        <w:tc>
          <w:tcPr>
            <w:tcW w:w="26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5"/>
              </w:rPr>
              <w:t>“ </w:t>
            </w:r>
          </w:p>
        </w:tc>
        <w:tc>
          <w:tcPr>
            <w:tcW w:w="180" w:type="dxa"/>
            <w:vAlign w:val="bottom"/>
          </w:tcPr>
          <w:p>
            <w:pPr>
              <w:jc w:val="center"/>
              <w:ind w:left="47"/>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456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 xml:space="preserve">% notes” and, collectively with the          % notes, the        </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7"/>
              </w:rPr>
              <w:t>% notes, the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0"/>
              </w:rPr>
              <w:t>% notes, the  </w:t>
            </w:r>
          </w:p>
        </w:tc>
        <w:tc>
          <w:tcPr>
            <w:tcW w:w="17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w w:val="90"/>
              </w:rPr>
              <w:t>      % notes and the  </w:t>
            </w:r>
          </w:p>
        </w:tc>
        <w:tc>
          <w:tcPr>
            <w:tcW w:w="100" w:type="dxa"/>
            <w:vAlign w:val="bottom"/>
          </w:tcPr>
          <w:p>
            <w:pPr>
              <w:spacing w:after="0"/>
              <w:rPr>
                <w:sz w:val="20"/>
                <w:szCs w:val="20"/>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 notes, the</w:t>
            </w:r>
          </w:p>
        </w:tc>
      </w:tr>
    </w:tbl>
    <w:p>
      <w:pPr>
        <w:ind w:left="12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“fixed rate notes” and, unless the context otherwise requires, the fixed rate notes together with the floating rate notes, the “notes”), respectively, and supplements, and to the extent inconsistent replaces, the description of the general terms of the debt securities included in the accompanying prospectus. Each series of notes will be a single series of debt securities issued under an indenture, dated as of February 1, 1991 (the “Indenture”), between us and Deutsche Bank Trust Company Americas (as successor to Citibank, N.A.), as trustee. The following summary of the notes does not purport to be complete and is subject to, and is qualified in its entirety by reference to, the actual provisions of the notes and the Indenture. As used in this section, unless otherwise indicated, all references to “we,” “us,” “our” and “Eli Lilly” refer only to Eli Lilly and Company and not to any of our subsidiaries.</w:t>
      </w:r>
    </w:p>
    <w:p>
      <w:pPr>
        <w:spacing w:after="0" w:line="2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notes will be our unsecured and unsubordinated obligations and will rank equally with all of our other unsecured and unsubordinated indebtedness. The notes will be issued in fully registered form only, in minimum denominations of $2,000 and integral multiples of $1,000 in excess of that amount.</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13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rPr>
              <w:t xml:space="preserve">We will issue $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2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w w:val="95"/>
              </w:rPr>
              <w:t>in aggregate principal amount of </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7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xml:space="preserve">floating rate notes, $ </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52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w w:val="93"/>
              </w:rPr>
              <w:t>in aggregate principal amount of  </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floating rate</w:t>
            </w:r>
          </w:p>
        </w:tc>
      </w:tr>
      <w:tr>
        <w:trPr>
          <w:trHeight w:val="21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notes, $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2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in aggregate principal amount of 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 notes, $ </w:t>
            </w:r>
          </w:p>
        </w:tc>
        <w:tc>
          <w:tcPr>
            <w:tcW w:w="2940" w:type="dxa"/>
            <w:vAlign w:val="bottom"/>
            <w:gridSpan w:val="7"/>
          </w:tcPr>
          <w:p>
            <w:pPr>
              <w:jc w:val="right"/>
              <w:ind w:right="18"/>
              <w:spacing w:after="0"/>
              <w:rPr>
                <w:sz w:val="20"/>
                <w:szCs w:val="20"/>
                <w:color w:val="auto"/>
              </w:rPr>
            </w:pPr>
            <w:r>
              <w:rPr>
                <w:rFonts w:ascii="Times New Roman" w:cs="Times New Roman" w:eastAsia="Times New Roman" w:hAnsi="Times New Roman"/>
                <w:sz w:val="18"/>
                <w:szCs w:val="18"/>
                <w:color w:val="auto"/>
                <w:w w:val="95"/>
              </w:rPr>
              <w:t>      in aggregate principal amount of  </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notes, $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0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in aggregate</w:t>
            </w:r>
          </w:p>
        </w:tc>
        <w:tc>
          <w:tcPr>
            <w:tcW w:w="600" w:type="dxa"/>
            <w:vAlign w:val="bottom"/>
          </w:tcPr>
          <w:p>
            <w:pPr>
              <w:spacing w:after="0"/>
              <w:rPr>
                <w:sz w:val="18"/>
                <w:szCs w:val="18"/>
                <w:color w:val="auto"/>
              </w:rPr>
            </w:pPr>
          </w:p>
        </w:tc>
      </w:tr>
      <w:tr>
        <w:trPr>
          <w:trHeight w:val="216"/>
        </w:trPr>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7"/>
              </w:rPr>
              <w:t>principal amount of 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jc w:val="right"/>
              <w:ind w:right="53"/>
              <w:spacing w:after="0"/>
              <w:rPr>
                <w:sz w:val="20"/>
                <w:szCs w:val="20"/>
                <w:color w:val="auto"/>
              </w:rPr>
            </w:pPr>
            <w:r>
              <w:rPr>
                <w:rFonts w:ascii="Times New Roman" w:cs="Times New Roman" w:eastAsia="Times New Roman" w:hAnsi="Times New Roman"/>
                <w:sz w:val="4"/>
                <w:szCs w:val="4"/>
                <w:color w:val="auto"/>
                <w:w w:val="98"/>
              </w:rPr>
              <w:t> </w:t>
            </w:r>
          </w:p>
        </w:tc>
        <w:tc>
          <w:tcPr>
            <w:tcW w:w="37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 notes, $         in aggregate principal amount of </w:t>
            </w: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xml:space="preserve">% notes, $ </w:t>
            </w:r>
          </w:p>
        </w:tc>
        <w:tc>
          <w:tcPr>
            <w:tcW w:w="3080" w:type="dxa"/>
            <w:vAlign w:val="bottom"/>
            <w:gridSpan w:val="8"/>
          </w:tcPr>
          <w:p>
            <w:pPr>
              <w:jc w:val="center"/>
              <w:spacing w:after="0"/>
              <w:rPr>
                <w:sz w:val="20"/>
                <w:szCs w:val="20"/>
                <w:color w:val="auto"/>
              </w:rPr>
            </w:pPr>
            <w:r>
              <w:rPr>
                <w:rFonts w:ascii="Times New Roman" w:cs="Times New Roman" w:eastAsia="Times New Roman" w:hAnsi="Times New Roman"/>
                <w:sz w:val="18"/>
                <w:szCs w:val="18"/>
                <w:color w:val="auto"/>
                <w:w w:val="95"/>
              </w:rPr>
              <w:t>      in aggregate principal amount of  </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6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notes and $ </w:t>
            </w:r>
          </w:p>
        </w:tc>
        <w:tc>
          <w:tcPr>
            <w:tcW w:w="20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7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w w:val="92"/>
              </w:rPr>
              <w:t>   in aggregate principal amount of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6760" w:type="dxa"/>
            <w:vAlign w:val="bottom"/>
            <w:gridSpan w:val="18"/>
          </w:tcPr>
          <w:p>
            <w:pPr>
              <w:jc w:val="right"/>
              <w:spacing w:after="0"/>
              <w:rPr>
                <w:sz w:val="20"/>
                <w:szCs w:val="20"/>
                <w:color w:val="auto"/>
              </w:rPr>
            </w:pPr>
            <w:r>
              <w:rPr>
                <w:rFonts w:ascii="Times New Roman" w:cs="Times New Roman" w:eastAsia="Times New Roman" w:hAnsi="Times New Roman"/>
                <w:sz w:val="18"/>
                <w:szCs w:val="18"/>
                <w:color w:val="auto"/>
              </w:rPr>
              <w:t>% notes and, except as contemplated below under “—Optional Redemption” or “—Special</w:t>
            </w:r>
          </w:p>
        </w:tc>
      </w:tr>
      <w:tr>
        <w:trPr>
          <w:trHeight w:val="216"/>
        </w:trPr>
        <w:tc>
          <w:tcPr>
            <w:tcW w:w="5480" w:type="dxa"/>
            <w:vAlign w:val="bottom"/>
            <w:gridSpan w:val="13"/>
          </w:tcPr>
          <w:p>
            <w:pPr>
              <w:spacing w:after="0"/>
              <w:rPr>
                <w:sz w:val="20"/>
                <w:szCs w:val="20"/>
                <w:color w:val="auto"/>
              </w:rPr>
            </w:pPr>
            <w:r>
              <w:rPr>
                <w:rFonts w:ascii="Times New Roman" w:cs="Times New Roman" w:eastAsia="Times New Roman" w:hAnsi="Times New Roman"/>
                <w:sz w:val="18"/>
                <w:szCs w:val="18"/>
                <w:color w:val="auto"/>
                <w:w w:val="98"/>
              </w:rPr>
              <w:t>Mandatory Redemption” with respect to the applicable series of notes, the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0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88"/>
              </w:rPr>
              <w:t>   % notes will mature on </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1"/>
                <w:szCs w:val="11"/>
                <w:color w:val="auto"/>
                <w:w w:val="72"/>
              </w:rPr>
              <w:t> </w:t>
            </w:r>
          </w:p>
        </w:tc>
        <w:tc>
          <w:tcPr>
            <w:tcW w:w="42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70"/>
              </w:rPr>
              <w:t>, 20 </w:t>
            </w:r>
          </w:p>
        </w:tc>
        <w:tc>
          <w:tcPr>
            <w:tcW w:w="24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72"/>
              </w:rPr>
              <w:t> </w:t>
            </w:r>
          </w:p>
        </w:tc>
        <w:tc>
          <w:tcPr>
            <w:tcW w:w="6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3"/>
              </w:rPr>
              <w:t>, the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 notes will mature</w:t>
            </w:r>
          </w:p>
        </w:tc>
      </w:tr>
      <w:tr>
        <w:trPr>
          <w:trHeight w:val="216"/>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 xml:space="preserve">on       , 20    </w:t>
            </w:r>
          </w:p>
        </w:tc>
        <w:tc>
          <w:tcPr>
            <w:tcW w:w="48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73"/>
              </w:rPr>
              <w:t>, the 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7"/>
              </w:rPr>
              <w:t> </w:t>
            </w:r>
          </w:p>
        </w:tc>
        <w:tc>
          <w:tcPr>
            <w:tcW w:w="19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2"/>
              </w:rPr>
              <w:t>% notes will mature on 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9"/>
              </w:rPr>
              <w:t>, the  </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20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89"/>
              </w:rPr>
              <w:t>   % notes will mature on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1"/>
              </w:rPr>
              <w:t>, 20 </w:t>
            </w:r>
          </w:p>
        </w:tc>
        <w:tc>
          <w:tcPr>
            <w:tcW w:w="24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70"/>
              </w:rPr>
              <w:t> </w:t>
            </w: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the 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640" w:type="dxa"/>
            <w:vAlign w:val="bottom"/>
            <w:gridSpan w:val="4"/>
          </w:tcPr>
          <w:p>
            <w:pPr>
              <w:jc w:val="center"/>
              <w:ind w:left="30"/>
              <w:spacing w:after="0"/>
              <w:rPr>
                <w:sz w:val="20"/>
                <w:szCs w:val="20"/>
                <w:color w:val="auto"/>
              </w:rPr>
            </w:pPr>
            <w:r>
              <w:rPr>
                <w:rFonts w:ascii="Times New Roman" w:cs="Times New Roman" w:eastAsia="Times New Roman" w:hAnsi="Times New Roman"/>
                <w:sz w:val="18"/>
                <w:szCs w:val="18"/>
                <w:color w:val="auto"/>
                <w:w w:val="99"/>
              </w:rPr>
              <w:t>% notes will mature</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72"/>
              </w:rPr>
              <w:t>on </w:t>
            </w:r>
          </w:p>
        </w:tc>
        <w:tc>
          <w:tcPr>
            <w:tcW w:w="6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2"/>
              </w:rPr>
              <w:t>   , 20 </w:t>
            </w:r>
          </w:p>
        </w:tc>
        <w:tc>
          <w:tcPr>
            <w:tcW w:w="200" w:type="dxa"/>
            <w:vAlign w:val="bottom"/>
          </w:tcPr>
          <w:p>
            <w:pPr>
              <w:ind w:left="140"/>
              <w:spacing w:after="0"/>
              <w:rPr>
                <w:sz w:val="20"/>
                <w:szCs w:val="20"/>
                <w:color w:val="auto"/>
              </w:rPr>
            </w:pPr>
            <w:r>
              <w:rPr>
                <w:rFonts w:ascii="Times New Roman" w:cs="Times New Roman" w:eastAsia="Times New Roman" w:hAnsi="Times New Roman"/>
                <w:sz w:val="4"/>
                <w:szCs w:val="4"/>
                <w:color w:val="auto"/>
                <w:w w:val="98"/>
              </w:rPr>
              <w:t> </w:t>
            </w:r>
          </w:p>
        </w:tc>
        <w:tc>
          <w:tcPr>
            <w:tcW w:w="840" w:type="dxa"/>
            <w:vAlign w:val="bottom"/>
            <w:gridSpan w:val="3"/>
          </w:tcPr>
          <w:p>
            <w:pPr>
              <w:jc w:val="right"/>
              <w:ind w:right="53"/>
              <w:spacing w:after="0"/>
              <w:rPr>
                <w:sz w:val="20"/>
                <w:szCs w:val="20"/>
                <w:color w:val="auto"/>
              </w:rPr>
            </w:pPr>
            <w:r>
              <w:rPr>
                <w:rFonts w:ascii="Times New Roman" w:cs="Times New Roman" w:eastAsia="Times New Roman" w:hAnsi="Times New Roman"/>
                <w:sz w:val="18"/>
                <w:szCs w:val="18"/>
                <w:color w:val="auto"/>
                <w:w w:val="99"/>
              </w:rPr>
              <w:t>and the </w:t>
            </w:r>
          </w:p>
        </w:tc>
        <w:tc>
          <w:tcPr>
            <w:tcW w:w="2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98"/>
              </w:rPr>
              <w:t>      % notes will mature on </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0"/>
              </w:rPr>
              <w:t>, 20 </w:t>
            </w:r>
          </w:p>
        </w:tc>
        <w:tc>
          <w:tcPr>
            <w:tcW w:w="6020" w:type="dxa"/>
            <w:vAlign w:val="bottom"/>
            <w:gridSpan w:val="15"/>
          </w:tcPr>
          <w:p>
            <w:pPr>
              <w:jc w:val="right"/>
              <w:ind w:right="210"/>
              <w:spacing w:after="0"/>
              <w:rPr>
                <w:sz w:val="20"/>
                <w:szCs w:val="20"/>
                <w:color w:val="auto"/>
              </w:rPr>
            </w:pPr>
            <w:r>
              <w:rPr>
                <w:rFonts w:ascii="Times New Roman" w:cs="Times New Roman" w:eastAsia="Times New Roman" w:hAnsi="Times New Roman"/>
                <w:sz w:val="18"/>
                <w:szCs w:val="18"/>
                <w:color w:val="auto"/>
              </w:rPr>
              <w:t>   . Except as contemplated below under “—Special Mandatory Redemption”</w:t>
            </w:r>
          </w:p>
        </w:tc>
      </w:tr>
      <w:tr>
        <w:trPr>
          <w:trHeight w:val="216"/>
        </w:trPr>
        <w:tc>
          <w:tcPr>
            <w:tcW w:w="6100" w:type="dxa"/>
            <w:vAlign w:val="bottom"/>
            <w:gridSpan w:val="15"/>
          </w:tcPr>
          <w:p>
            <w:pPr>
              <w:spacing w:after="0"/>
              <w:rPr>
                <w:sz w:val="20"/>
                <w:szCs w:val="20"/>
                <w:color w:val="auto"/>
              </w:rPr>
            </w:pPr>
            <w:r>
              <w:rPr>
                <w:rFonts w:ascii="Times New Roman" w:cs="Times New Roman" w:eastAsia="Times New Roman" w:hAnsi="Times New Roman"/>
                <w:sz w:val="18"/>
                <w:szCs w:val="18"/>
                <w:color w:val="auto"/>
                <w:w w:val="98"/>
              </w:rPr>
              <w:t>with respect to the applicable series of notes, the floating rate notes will mature on  </w:t>
            </w:r>
          </w:p>
        </w:tc>
        <w:tc>
          <w:tcPr>
            <w:tcW w:w="5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 20 </w:t>
            </w: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080" w:type="dxa"/>
            <w:vAlign w:val="bottom"/>
            <w:gridSpan w:val="8"/>
          </w:tcPr>
          <w:p>
            <w:pPr>
              <w:jc w:val="center"/>
              <w:spacing w:after="0"/>
              <w:rPr>
                <w:sz w:val="20"/>
                <w:szCs w:val="20"/>
                <w:color w:val="auto"/>
              </w:rPr>
            </w:pPr>
            <w:r>
              <w:rPr>
                <w:rFonts w:ascii="Times New Roman" w:cs="Times New Roman" w:eastAsia="Times New Roman" w:hAnsi="Times New Roman"/>
                <w:sz w:val="18"/>
                <w:szCs w:val="18"/>
                <w:color w:val="auto"/>
                <w:w w:val="95"/>
              </w:rPr>
              <w:t>and the floating rate notes will mature on  </w:t>
            </w:r>
          </w:p>
        </w:tc>
        <w:tc>
          <w:tcPr>
            <w:tcW w:w="2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6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7"/>
              </w:rPr>
              <w:t>,</w:t>
            </w:r>
          </w:p>
        </w:tc>
      </w:t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72"/>
              </w:rPr>
              <w:t>20 </w:t>
            </w:r>
          </w:p>
        </w:tc>
        <w:tc>
          <w:tcPr>
            <w:tcW w:w="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r>
    </w:tbl>
    <w:p>
      <w:pPr>
        <w:spacing w:after="0" w:line="198" w:lineRule="exact"/>
        <w:rPr>
          <w:sz w:val="20"/>
          <w:szCs w:val="20"/>
          <w:color w:val="auto"/>
        </w:rPr>
      </w:pPr>
    </w:p>
    <w:p>
      <w:pPr>
        <w:jc w:val="both"/>
        <w:ind w:left="120" w:right="300" w:firstLine="440"/>
        <w:spacing w:after="0" w:line="281" w:lineRule="auto"/>
        <w:rPr>
          <w:sz w:val="20"/>
          <w:szCs w:val="20"/>
          <w:color w:val="auto"/>
        </w:rPr>
      </w:pPr>
      <w:r>
        <w:rPr>
          <w:rFonts w:ascii="Times New Roman" w:cs="Times New Roman" w:eastAsia="Times New Roman" w:hAnsi="Times New Roman"/>
          <w:sz w:val="17"/>
          <w:szCs w:val="17"/>
          <w:color w:val="auto"/>
        </w:rPr>
        <w:t>However, we may, without the consent of the holders of notes, issue additional debt securities having the same ranking, interest rate, maturity, redemption provisions and other terms as the notes of a particular series. Any additional debt securities having such similar terms, together with the notes of such series, will constitute a single series of debt securities under the Indenture. If, however, such additional debt securities are not fungible with the notes for U.S. federal income tax purposes, such additional debt securities will have one or more separate CUSIP numbers.</w:t>
      </w:r>
    </w:p>
    <w:p>
      <w:pPr>
        <w:spacing w:after="0" w:line="164"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As used in this prospectus supplement, “business day” means any day, other than a Saturday or a Sunday, that is neither a legal holiday nor a day on which banking institutions are authorized or required by law or regulation to close in the City of New York, New York.</w:t>
      </w:r>
    </w:p>
    <w:p>
      <w:pPr>
        <w:spacing w:after="0" w:line="162"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The notes will not have the benefit of any sinking fund and, except as set forth under “Special Mandatory Redemption” with respect to the applicable series of notes, the notes will not be subject to any mandatory redemption provision.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080"/>
          </w:cols>
          <w:pgMar w:left="320" w:top="446" w:right="4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85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71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547"/>
        </w:trPr>
        <w:tc>
          <w:tcPr>
            <w:tcW w:w="850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Fixed Rate Notes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06"/>
        </w:trPr>
        <w:tc>
          <w:tcPr>
            <w:tcW w:w="850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w w:val="98"/>
              </w:rPr>
              <w:t>We will pay interest on the fixed rate notes at the rates stated in the table below, semi-annually in arrears, on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60" w:type="dxa"/>
            <w:vAlign w:val="bottom"/>
          </w:tcPr>
          <w:p>
            <w:pPr>
              <w:jc w:val="center"/>
              <w:ind w:right="37"/>
              <w:spacing w:after="0"/>
              <w:rPr>
                <w:sz w:val="20"/>
                <w:szCs w:val="20"/>
                <w:color w:val="auto"/>
              </w:rPr>
            </w:pPr>
            <w:r>
              <w:rPr>
                <w:rFonts w:ascii="Times New Roman" w:cs="Times New Roman" w:eastAsia="Times New Roman" w:hAnsi="Times New Roman"/>
                <w:sz w:val="8"/>
                <w:szCs w:val="8"/>
                <w:color w:val="auto"/>
                <w:w w:val="74"/>
              </w:rPr>
              <w:t> </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74"/>
              </w:rPr>
              <w:t>and  </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0"/>
              </w:rPr>
              <w:t>   of each year,</w:t>
            </w:r>
          </w:p>
        </w:tc>
      </w:tr>
      <w:tr>
        <w:trPr>
          <w:trHeight w:val="216"/>
        </w:trPr>
        <w:tc>
          <w:tcPr>
            <w:tcW w:w="916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w w:val="98"/>
              </w:rPr>
              <w:t>commencing on         , 2026, to the persons in whose names such fixed rate notes are registered at the close of business on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or         ,</w:t>
            </w:r>
          </w:p>
        </w:tc>
      </w:tr>
      <w:tr>
        <w:trPr>
          <w:trHeight w:val="234"/>
        </w:trPr>
        <w:tc>
          <w:tcPr>
            <w:tcW w:w="89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w w:val="99"/>
              </w:rPr>
              <w:t>respectively, as the case may be (whether or not a business day), immediately preceding the relevant interest payment date.</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67"/>
        </w:trPr>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3"/>
        </w:trPr>
        <w:tc>
          <w:tcPr>
            <w:tcW w:w="1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(per annum)</w:t>
            </w:r>
          </w:p>
        </w:tc>
        <w:tc>
          <w:tcPr>
            <w:tcW w:w="200" w:type="dxa"/>
            <w:vAlign w:val="bottom"/>
            <w:tcBorders>
              <w:bottom w:val="single" w:sz="8" w:color="CCEEFF"/>
            </w:tcBorders>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10"/>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 note</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          % note</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 note</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          % note</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 note</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1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          % note</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r>
    </w:tbl>
    <w:p>
      <w:pPr>
        <w:spacing w:after="0" w:line="1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Interest payments for the fixed rate notes will include accrued interest from, and including, the date of issuance or from, and including, the last date in respect of which interest has been paid or duly provided for, as the case may be, to, but excluding, the applicable interest payment date or the stated maturity date or the date of earlier redemption, as the case may be. Interest will be computed on the basis of a 360-day year of twelve 30-day months.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any interest payment date falls on a day that is not a business day, we will make the required interest payment on the next business day, and no interest on such payment will accrue for the period from and after such interest payment date. Similarly, if the stated maturity date or the date of earlier redemption, as the case may be (a “maturity date”), of the fixed rate notes falls on a day that is not a business day, we will make the required payment of principal, premium, if any, and interest, if any, on the next succeeding business day, and no interest on such payment will accrue for the period from and after such maturity date.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Floating Rate Notes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floating rate notes will bear interest at a floating rate, reset quarterly on each Floating Rate Interest Payment Date (as defined below), equal to Compounded SOFR, plus       %. The       floating rate notes will bear interest at a floating rate, reset quarterly on each Floating Rate Interest Payment Date, equal to Compounded SOFR, plus       %. In no event will the interest on either series of floating rate notes be (i) higher than the maximum rate permitted by New York law as the same may be modified by U.S. law of general application or (ii) lower than zero. Interest on the floating rate notes will be payable quarterly in arrears on      ,      ,      and      of each year, commencing on      , 2026, and at the respective maturity of each series of floating rate notes (each, a “Floating Rate Interest Payment Date”), to holders of record of the applicable series of floating rate notes as of the close of business on the date that is 15 calendar days prior to the applicable Floating Rate Interest Payment Date. Interest on the floating rate notes will accrue from and including the most recent Floating Rate Interest Payment Date for the applicable series of floating rate notes or, if no interest has been paid, from      , 2026. If      ,      ,      or       of any year is not a business day, then the next succeeding business day will be the applicable Floating Rate Interest Payment Date for the applicable series of floating rate notes and interest on such series of floating rate notes will be paid on such next succeeding business day (unless such next succeeding business day falls in the succeeding calendar month, in which case the applicable Floating Rate Interest Payment Date for such series of floating rate notes will be the business day immediately preceding such      ,      ,      or      , and interest on such series of floating rate notes will be paid on such immediately preceding business day). If the maturity date of either series of floating rate notes is not a business day, the payment of principal of, and interest on, such series of floating rate notes will be made on the next succeeding business day, and no interest will accrue for the period from and after such maturity date.</w:t>
      </w:r>
    </w:p>
    <w:p>
      <w:pPr>
        <w:spacing w:after="0" w:line="1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00"/>
          </w:cols>
          <w:pgMar w:left="320" w:top="446" w:right="47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r>
      <w:tr>
        <w:trPr>
          <w:trHeight w:val="529"/>
        </w:trPr>
        <w:tc>
          <w:tcPr>
            <w:tcW w:w="85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xml:space="preserve">The “initial Interest Period” for either series of floating rate notes means the period from and including        </w:t>
            </w:r>
          </w:p>
        </w:tc>
        <w:tc>
          <w:tcPr>
            <w:tcW w:w="2500" w:type="dxa"/>
            <w:vAlign w:val="bottom"/>
            <w:gridSpan w:val="3"/>
          </w:tcPr>
          <w:p>
            <w:pPr>
              <w:jc w:val="right"/>
              <w:ind w:right="84"/>
              <w:spacing w:after="0"/>
              <w:rPr>
                <w:sz w:val="20"/>
                <w:szCs w:val="20"/>
                <w:color w:val="auto"/>
              </w:rPr>
            </w:pPr>
            <w:r>
              <w:rPr>
                <w:rFonts w:ascii="Times New Roman" w:cs="Times New Roman" w:eastAsia="Times New Roman" w:hAnsi="Times New Roman"/>
                <w:sz w:val="18"/>
                <w:szCs w:val="18"/>
                <w:color w:val="auto"/>
                <w:w w:val="99"/>
              </w:rPr>
              <w:t>, 2026 to, but excluding, the first</w:t>
            </w:r>
          </w:p>
        </w:tc>
      </w:tr>
      <w:tr>
        <w:trPr>
          <w:trHeight w:val="216"/>
        </w:trPr>
        <w:tc>
          <w:tcPr>
            <w:tcW w:w="109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Floating Rate Interest Payment Date for such series of floating rate notes. Thereafter, each “Interest Period” means the period from and including the</w:t>
            </w:r>
          </w:p>
        </w:tc>
        <w:tc>
          <w:tcPr>
            <w:tcW w:w="180" w:type="dxa"/>
            <w:vAlign w:val="bottom"/>
          </w:tcPr>
          <w:p>
            <w:pPr>
              <w:spacing w:after="0"/>
              <w:rPr>
                <w:sz w:val="18"/>
                <w:szCs w:val="18"/>
                <w:color w:val="auto"/>
              </w:rPr>
            </w:pPr>
          </w:p>
        </w:tc>
      </w:tr>
      <w:tr>
        <w:trPr>
          <w:trHeight w:val="216"/>
        </w:trPr>
        <w:tc>
          <w:tcPr>
            <w:tcW w:w="109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applicable Floating Rate Interest Payment Date to, but excluding, the immediately succeeding Floating Rate Interest Payment Date for such series of</w:t>
            </w:r>
          </w:p>
        </w:tc>
        <w:tc>
          <w:tcPr>
            <w:tcW w:w="180" w:type="dxa"/>
            <w:vAlign w:val="bottom"/>
          </w:tcPr>
          <w:p>
            <w:pPr>
              <w:spacing w:after="0"/>
              <w:rPr>
                <w:sz w:val="18"/>
                <w:szCs w:val="18"/>
                <w:color w:val="auto"/>
              </w:rPr>
            </w:pPr>
          </w:p>
        </w:tc>
      </w:tr>
      <w:tr>
        <w:trPr>
          <w:trHeight w:val="216"/>
        </w:trPr>
        <w:tc>
          <w:tcPr>
            <w:tcW w:w="10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floating rate notes (such succeeding Floating Rate Interest Payment Date, the “Latter Floating Rate Interest Payment Date”); provided that the final</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0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Interest Period for either series of floating rate notes will be the period from and including the Floating Rate Interest Payment Date immediately</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09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w w:val="99"/>
              </w:rPr>
              <w:t>preceding the maturity date of such series of floating rate notes to, but excluding, the maturity date of such series of floating rate notes. Interest on the</w:t>
            </w:r>
          </w:p>
        </w:tc>
        <w:tc>
          <w:tcPr>
            <w:tcW w:w="180" w:type="dxa"/>
            <w:vAlign w:val="bottom"/>
          </w:tcPr>
          <w:p>
            <w:pPr>
              <w:spacing w:after="0"/>
              <w:rPr>
                <w:sz w:val="18"/>
                <w:szCs w:val="18"/>
                <w:color w:val="auto"/>
              </w:rPr>
            </w:pPr>
          </w:p>
        </w:tc>
      </w:tr>
      <w:tr>
        <w:trPr>
          <w:trHeight w:val="234"/>
        </w:trPr>
        <w:tc>
          <w:tcPr>
            <w:tcW w:w="10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floating rate notes will be computed on the basis of a 360-day year and the actual number of days in the Observation Period.</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4"/>
        </w:trPr>
        <w:tc>
          <w:tcPr>
            <w:tcW w:w="107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 xml:space="preserve">The interest rate for the initial Interest Period (x) with respect to the          floating rate notes will be Compounded SOFR determined on 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2026, plus          % and (y) with respect to the          floating rate notes will be Compounded SOFR determined on </w:t>
            </w:r>
          </w:p>
        </w:tc>
        <w:tc>
          <w:tcPr>
            <w:tcW w:w="21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      , 2026         , plus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4"/>
                <w:szCs w:val="4"/>
                <w:color w:val="auto"/>
                <w:w w:val="98"/>
              </w:rPr>
              <w:t> </w:t>
            </w:r>
          </w:p>
        </w:tc>
      </w:tr>
    </w:tbl>
    <w:p>
      <w:pPr>
        <w:ind w:left="120" w:right="180" w:hanging="4"/>
        <w:spacing w:after="0" w:line="265" w:lineRule="auto"/>
        <w:tabs>
          <w:tab w:leader="none" w:pos="3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Thereafter, the interest rate for any Interest Period will be Compounded SOFR, as determined on the applicable date that is the second U.S. Government Securities Business Day (as defined below) preceding such Floating Rate Interest Payment Date for such series of floating rate notes (the</w:t>
      </w:r>
    </w:p>
    <w:p>
      <w:pPr>
        <w:ind w:left="120" w:right="80"/>
        <w:spacing w:after="0" w:line="260" w:lineRule="auto"/>
        <w:rPr>
          <w:sz w:val="20"/>
          <w:szCs w:val="20"/>
          <w:color w:val="auto"/>
        </w:rPr>
      </w:pPr>
      <w:r>
        <w:rPr>
          <w:rFonts w:ascii="Times New Roman" w:cs="Times New Roman" w:eastAsia="Times New Roman" w:hAnsi="Times New Roman"/>
          <w:sz w:val="18"/>
          <w:szCs w:val="18"/>
          <w:color w:val="auto"/>
        </w:rPr>
        <w:t>“Interest Determination Date”), plus (x) with respect to the       floating rate notes, a margin of      % and (y) with respect to the      floating rate notes, a margin of       %.</w:t>
      </w:r>
    </w:p>
    <w:p>
      <w:pPr>
        <w:spacing w:after="0" w:line="181"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Deutsche Bank Trust Company Americas, or its successor appointed by us, will act as calculation agent. We may change the calculation agent with respect to any series of floating rate notes at any time without notice to the holders of either series of floating rate notes. The interest rate and amount of interest to be paid on the floating rate notes for each Interest Period will be determined by the calculation agent. All determinations made by the calculation agent shall, in the absence of manifest error, be conclusive for all purposes and binding on us and the holders of the floating rate notes.</w:t>
      </w:r>
    </w:p>
    <w:p>
      <w:pPr>
        <w:spacing w:after="0" w:line="16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amount of interest accrued and payable on either series of floating rate notes for each Interest Period will be equal to the product of (i) the outstanding principal amount of such series of floating rate notes multiplied by (ii) the product of (a) the Interest Rate for the relevant Interest Period for such series of floating rate notes multiplied by (b) the quotient of the actual number of calendar days in the Observation Period divided by 360.</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herein the following terms have the meanings assigned to them:</w:t>
      </w:r>
    </w:p>
    <w:p>
      <w:pPr>
        <w:spacing w:after="0" w:line="11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“Compounded SOFR” means, with respect to any Interest Period, the rate computed in accordance with the following formula set forth below (and the resulting percentage will be rounded, if necessary, to the nearest one hundred-thousandth of a percentage point (e.g., 9.753973% (or .09753973) being rounded down to 9.75397% (or .0975397) and 9.753978% (or .09753978) being rounded up to 9.75398% (or .0975398))):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140335</wp:posOffset>
            </wp:positionV>
            <wp:extent cx="1337310" cy="2825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3731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w:t>
      </w:r>
    </w:p>
    <w:p>
      <w:pPr>
        <w:spacing w:after="0" w:line="117"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“SOFR IndexStart” is the SOFR Index value for the day that is two U.S. Government Securities Business Days preceding the first date of the relevant Interest Period;</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“SOFR IndexEnd” is the SOFR Index value for the day that is two U.S. Government Securities Business Days preceding the applicable Latter Floating Rate Interest Payment Date relating to such Interest Period (or in the applicable final Interest Period, preceding the applicable maturity date); and</w:t>
      </w:r>
    </w:p>
    <w:p>
      <w:pPr>
        <w:spacing w:after="0" w:line="176"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“dc” is the actual number of calendar days from (and including) SOFR IndexStart to (but excluding) SOFR IndexEnd (the actual number of calendar days in the applicable Observation Period).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00"/>
          </w:cols>
          <w:pgMar w:left="320" w:top="446"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determining Compounded SOFR, “SOFR Index” means, with respect to any U.S. Government Securities Business Day:</w:t>
      </w:r>
    </w:p>
    <w:p>
      <w:pPr>
        <w:spacing w:after="0" w:line="117" w:lineRule="exact"/>
        <w:rPr>
          <w:sz w:val="20"/>
          <w:szCs w:val="20"/>
          <w:color w:val="auto"/>
        </w:rPr>
      </w:pPr>
    </w:p>
    <w:p>
      <w:pPr>
        <w:ind w:left="120" w:right="280" w:firstLine="436"/>
        <w:spacing w:after="0" w:line="282"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SOFR Index value as published by the New York Federal Reserve as such index appears on the New York Federal Reserve’s Website at 3:00 p.m. (New York City time) on such U.S. Government Securities Business Day (the “SOFR Determination Time”); provided that:</w:t>
      </w:r>
    </w:p>
    <w:p>
      <w:pPr>
        <w:spacing w:after="0" w:line="53"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SOFR Index value does not so appear as specified in clause (1) above at the SOFR Determination Time, then:</w:t>
      </w:r>
    </w:p>
    <w:p>
      <w:pPr>
        <w:spacing w:after="0" w:line="117" w:lineRule="exact"/>
        <w:rPr>
          <w:sz w:val="20"/>
          <w:szCs w:val="20"/>
          <w:color w:val="auto"/>
        </w:rPr>
      </w:pPr>
    </w:p>
    <w:p>
      <w:pPr>
        <w:ind w:left="120" w:right="500" w:firstLine="436"/>
        <w:spacing w:after="0" w:line="282" w:lineRule="auto"/>
        <w:tabs>
          <w:tab w:leader="none" w:pos="7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Benchmark Transition Event and its related Benchmark Replacement Date (each as defined below) have not occurred with respect to SOFR, then Compounded SOFR shall be the rate determined pursuant to the “SOFR Index Unavailable” provisions described below; or</w:t>
      </w:r>
    </w:p>
    <w:p>
      <w:pPr>
        <w:spacing w:after="0" w:line="161" w:lineRule="exact"/>
        <w:rPr>
          <w:rFonts w:ascii="Times New Roman" w:cs="Times New Roman" w:eastAsia="Times New Roman" w:hAnsi="Times New Roman"/>
          <w:sz w:val="18"/>
          <w:szCs w:val="18"/>
          <w:color w:val="auto"/>
        </w:rPr>
      </w:pPr>
    </w:p>
    <w:p>
      <w:pPr>
        <w:ind w:left="120" w:right="80" w:firstLine="436"/>
        <w:spacing w:after="0" w:line="282" w:lineRule="auto"/>
        <w:tabs>
          <w:tab w:leader="none" w:pos="82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Benchmark Transition Event and its related Benchmark Replacement Date have occurred with respect to SOFR, then Compounded SOFR shall be the rate determined pursuant to the “Effect of a Benchmark Transition Event” provisions described below.</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“New York Federal Reserve” means the Federal Reserve Bank of New York (or a successor administrator of the Secured Overnight Financing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Rate).</w:t>
      </w:r>
    </w:p>
    <w:p>
      <w:pPr>
        <w:spacing w:after="0" w:line="207"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“New York Federal Reserve’s Website” means the website of the New York Federal Reserve, currently at http://www.newyorkfed.org, or any successor source.</w:t>
      </w:r>
    </w:p>
    <w:p>
      <w:pPr>
        <w:spacing w:after="0" w:line="16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“Observation Period” means, in respect of each Interest Period, the period from and including two U.S. Government Securities Business Days preceding the first date of such relevant Interest Period to but excluding two U.S. Government Securities Business Days preceding the applicable Latter Floating Rate Interest Payment Date for such Interest Period (or in the applicable final Interest Period, preceding the applicable maturity date); provided that the first Observation Period for each series of floating rate notes shall be the period from and including two U.S. Government Securities Business Days preceding the settlement date of such series of floating rate notes to, but excluding, the two U.S. Government Securities Business Days preceding the first Floating Rate Interest Payment Date for such series of floating rate notes.</w:t>
      </w:r>
    </w:p>
    <w:p>
      <w:pPr>
        <w:spacing w:after="0" w:line="18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“Secured Overnight Financing Rate” or “SOFR” means the daily secured overnight financing rate as provided by the New York Federal Reserve on the New York Federal Reserve’s Website.</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“U.S. Government Securities Business Day” means any day except for a Saturday, a Sunday or a day on which the Securities Industry and Financial Markets Association recommends that the fixed income departments of its members be closed for the entire day for purposes of trading in U.S. government securities.</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in the documentation relating to the floating rate notes, if we or our designee determine on or prior to the relevant Reference Time (as defined below) that a Benchmark Transition Event and its related Benchmark Replacement Date have occurred with respect to determining Compounded SOFR for any series of floating rate notes, then the benchmark replacement provisions set forth below under “—Effect of a Benchmark Transition Event” will thereafter apply to all determinations of the rate of interest payable on such series of floating rate notes.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SOFR and the SOFR Index</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SOFR is published by the New York Federal Reserve and is intended to be a broad measure of the cost of borrowing cash overnight collateralized by U.S. Treasury securities.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SOFR Index is published by the New York Federal Reserve and measures the cumulative impact of compounding SOFR on a unit of investment over time, with the initial value set to 1.00000000 on April 2, 2018, the first value date of SOFR. The SOFR Index value reflects the effect of compounding SOFR each business day and allows the calculation of compounded SOFR averages over custom time periods.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New York Federal Reserve notes on its publication page for the SOFR Index that use of the SOFR Index is subject to important limitations, indemnification obligations and disclaimers, including that the New York Federal Reserve may alter the methods of calculation, publication schedule, rate revision practices or availability of the SOFR Index at any time without notice. The interest rate for any Interest Period will not be adjusted for any modifications or amendments to the SOFR Index or SOFR data that the New York Federal Reserve may publish after the interest rate for that Interest Period has been determined.</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SOFR Index Unavailable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a SOFR IndexStart or SOFR IndexEnd is not published on the associated Interest Determination Date and a Benchmark Transition Event and its related Benchmark Replacement Date have not occurred with respect to the Secured Overnight Financing Rate, “Compounded SOFR” shall mean, for the applicable Interest Period for which such index is not available, the rate of return on a daily compounded interest investment calculated in accordance with the formula for SOFR Averages, and definitions required for such formula, published on the New York Federal Reserve’s Website, initially located at https://www.newyorkfed.org/markets/treasury-repo-reference-rates-information. For the purposes of this provision, references in the SOFR Averages compounding formula and related definitions to “calculation period” shall be replaced with “Observation Period” and the words “that is, 30-, 90-, or 180- calendar days” shall be removed. If the daily Secured Overnight Financing Rate (“SOFRi”) does not so appear for any day, “i” in the Observation Period, SOFRi for such day “i” shall be SOFR published in respect of the first preceding U.S. Government Securities Business Day for which the Secured Overnight Financing Rate was published on the New York Federal Reserve’s Website.</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Effect of a Benchmark Transition Event</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we or our designee determine on or prior to the relevant Reference Time that a Benchmark Transition Event and its related Benchmark Replacement Date have occurred with respect to the then-current Benchmark, the Benchmark Replacement will replace the then-current Benchmark for all purposes relating to all or any series of floating rate notes, as applicable, in respect of all determinations on such date and for all determinations on all subsequent dates.</w:t>
      </w:r>
    </w:p>
    <w:p>
      <w:pPr>
        <w:spacing w:after="0" w:line="180"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implementation of a Benchmark Replacement, we or our designee will have the right to make Benchmark Replacement Conforming Changes from time to time.</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Any determination, decision or election that may be made by us or our designee pursuant to this section, including a determination with respect to a tenor, rate or adjustment or of the occurrence or non-occurrence of an event, circumstance or date and any decision to take or refrain from taking any action or any selection:</w:t>
      </w:r>
    </w:p>
    <w:p>
      <w:pPr>
        <w:spacing w:after="0" w:line="68" w:lineRule="exact"/>
        <w:rPr>
          <w:sz w:val="20"/>
          <w:szCs w:val="20"/>
          <w:color w:val="auto"/>
        </w:rPr>
      </w:pPr>
    </w:p>
    <w:p>
      <w:pPr>
        <w:ind w:left="820" w:hanging="264"/>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conclusive and binding absent manifest error;</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made by us, will be made in our sole discretion;</w:t>
      </w:r>
    </w:p>
    <w:p>
      <w:pPr>
        <w:spacing w:after="0" w:line="225" w:lineRule="exact"/>
        <w:rPr>
          <w:rFonts w:ascii="Times New Roman" w:cs="Times New Roman" w:eastAsia="Times New Roman" w:hAnsi="Times New Roman"/>
          <w:sz w:val="18"/>
          <w:szCs w:val="18"/>
          <w:color w:val="auto"/>
        </w:rPr>
      </w:pPr>
    </w:p>
    <w:p>
      <w:pPr>
        <w:ind w:left="120" w:right="40" w:firstLine="436"/>
        <w:spacing w:after="0" w:line="282"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made by our designee, will be made after consultation with us, and such designee will not make any such determination, decision or election to which we object; and</w:t>
      </w:r>
    </w:p>
    <w:p>
      <w:pPr>
        <w:spacing w:after="0" w:line="161" w:lineRule="exact"/>
        <w:rPr>
          <w:rFonts w:ascii="Times New Roman" w:cs="Times New Roman" w:eastAsia="Times New Roman" w:hAnsi="Times New Roman"/>
          <w:sz w:val="18"/>
          <w:szCs w:val="18"/>
          <w:color w:val="auto"/>
        </w:rPr>
      </w:pPr>
    </w:p>
    <w:p>
      <w:pPr>
        <w:jc w:val="both"/>
        <w:ind w:left="120" w:right="60" w:firstLine="436"/>
        <w:spacing w:after="0" w:line="266"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prospectus supplement and the accompanying prospectus or in the other documents relating to the floating rate notes, including the Indenture, any supplemental indenture or any other definitive documentation that will govern any series of floating rate notes, shall become effective without consent from the holders of any series of floating rate notes or any other party.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herein the following terms have the meanings assigned to them:</w:t>
      </w:r>
    </w:p>
    <w:p>
      <w:pPr>
        <w:spacing w:after="0" w:line="11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“Benchmark” means, initially, Compounded SOFR, as such term is defined above; provided that if we or our designee determine on or prior to the Reference Time that a Benchmark Transition Event and its related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Benchmark Replacement Date have occurred with respect to Compounded SOFR (or the published daily SOFR Index used in the calculation thereof) or the then-current Benchmark, then “Benchmark” means the applicable Benchmark Replacement.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“Benchmark Replacement” means the first alternative set forth in the order below that can be determined by us or our designee as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Benchmark Replacement Date:</w:t>
      </w:r>
    </w:p>
    <w:p>
      <w:pPr>
        <w:spacing w:after="0" w:line="99" w:lineRule="exact"/>
        <w:rPr>
          <w:sz w:val="20"/>
          <w:szCs w:val="20"/>
          <w:color w:val="auto"/>
        </w:rPr>
      </w:pPr>
    </w:p>
    <w:p>
      <w:pPr>
        <w:ind w:left="120" w:right="80" w:firstLine="436"/>
        <w:spacing w:after="0" w:line="282"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rate of interest that has been selected or recommended by the Relevant Governmental Body as the replacement for the then-current Benchmark and (b) the Benchmark Replacement Adjustment;</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ISDA Fallback Rate and (b) the Benchmark Replacement Adjustment; or</w:t>
      </w:r>
    </w:p>
    <w:p>
      <w:pPr>
        <w:spacing w:after="0" w:line="225" w:lineRule="exact"/>
        <w:rPr>
          <w:rFonts w:ascii="Times New Roman" w:cs="Times New Roman" w:eastAsia="Times New Roman" w:hAnsi="Times New Roman"/>
          <w:sz w:val="18"/>
          <w:szCs w:val="18"/>
          <w:color w:val="auto"/>
        </w:rPr>
      </w:pPr>
    </w:p>
    <w:p>
      <w:pPr>
        <w:ind w:left="120" w:right="80" w:firstLine="436"/>
        <w:spacing w:after="0" w:line="266"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rate of interest that has been selected by us or our designee as the replacement for the then-current Benchmark giving due consideration to any industry-accepted rate of interest as a replacement for the then-current Benchmark for U.S. dollar-denominated floating rate notes at such time and (b) the Benchmark Replacement Adjustment.</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“Benchmark Replacement Adjustment” means the first alternative set forth in the order below that can be determined by us or our designee as of the Benchmark Replacement Date:</w:t>
      </w:r>
    </w:p>
    <w:p>
      <w:pPr>
        <w:spacing w:after="0" w:line="54" w:lineRule="exact"/>
        <w:rPr>
          <w:sz w:val="20"/>
          <w:szCs w:val="20"/>
          <w:color w:val="auto"/>
        </w:rPr>
      </w:pPr>
    </w:p>
    <w:p>
      <w:pPr>
        <w:ind w:left="120" w:right="180" w:firstLine="436"/>
        <w:spacing w:after="0" w:line="282" w:lineRule="auto"/>
        <w:tabs>
          <w:tab w:leader="none" w:pos="8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spread adjustment (which may be a positive or negative value or zero), or method for calculating or determining such spread adjustment, that has been selected or recommended by the Relevant Governmental Body for the applicable Unadjusted Benchmark Replacement;</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applicable Unadjusted Benchmark Replacement is equivalent to the ISDA Fallback Rate, the ISDA Fallback Adjustment; or</w:t>
      </w:r>
    </w:p>
    <w:p>
      <w:pPr>
        <w:spacing w:after="0" w:line="225" w:lineRule="exact"/>
        <w:rPr>
          <w:rFonts w:ascii="Times New Roman" w:cs="Times New Roman" w:eastAsia="Times New Roman" w:hAnsi="Times New Roman"/>
          <w:sz w:val="18"/>
          <w:szCs w:val="18"/>
          <w:color w:val="auto"/>
        </w:rPr>
      </w:pPr>
    </w:p>
    <w:p>
      <w:pPr>
        <w:ind w:left="120" w:right="160" w:firstLine="436"/>
        <w:spacing w:after="0" w:line="266" w:lineRule="auto"/>
        <w:tabs>
          <w:tab w:leader="none" w:pos="8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spread adjustment (which may be a positive or negative value or zero) that has been selected by us or our designee giving due consideration to any industry-accepted spread adjustment, or method for calculating or determining such spread adjustment, for the replacement of the then-current Benchmark with the applicable Unadjusted Benchmark Replacement for U.S. dollar-denominated floating rate notes at such time.</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“Benchmark Replacement Conforming Changes” means, with respect to any Benchmark Replacement, any technical, administrative or operational changes (including changes to the definition or interpretation of the Interest Period, timing and frequency of determining rates and making payments of interest, rounding of amounts or tenors and other administrative matters) that we or our designee decide may be appropriate to reflect the adoption of such Benchmark Replacement in a manner substantially consistent with market practice (or, if we or our designee decide that adoption of any portion of such market practice is not administratively feasible or if we or our designee determine that no market practice for use of the Benchmark Replacement exists, in such other manner as we or our designee determine is reasonably practicable).</w:t>
      </w:r>
    </w:p>
    <w:p>
      <w:pPr>
        <w:spacing w:after="0" w:line="187"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“Benchmark Replacement Date” means the earliest to occur of the following events with respect to the then-current Benchmark (including any daily published component used in the calculation thereof):</w:t>
      </w:r>
    </w:p>
    <w:p>
      <w:pPr>
        <w:spacing w:after="0" w:line="54" w:lineRule="exact"/>
        <w:rPr>
          <w:sz w:val="20"/>
          <w:szCs w:val="20"/>
          <w:color w:val="auto"/>
        </w:rPr>
      </w:pPr>
    </w:p>
    <w:p>
      <w:pPr>
        <w:ind w:left="120" w:firstLine="436"/>
        <w:spacing w:after="0" w:line="266" w:lineRule="auto"/>
        <w:tabs>
          <w:tab w:leader="none" w:pos="8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or (2) of the definition of “Benchmark Transition Event,” the later of (a) the date of the public statement or publication of information referenced therein and (b) the date on which the administrator of the Benchmark permanently or indefinitely ceases to provide the Benchmark (or such component); or</w:t>
      </w:r>
    </w:p>
    <w:p>
      <w:pPr>
        <w:spacing w:after="0" w:line="175" w:lineRule="exact"/>
        <w:rPr>
          <w:rFonts w:ascii="Times New Roman" w:cs="Times New Roman" w:eastAsia="Times New Roman" w:hAnsi="Times New Roman"/>
          <w:sz w:val="18"/>
          <w:szCs w:val="18"/>
          <w:color w:val="auto"/>
        </w:rPr>
      </w:pPr>
    </w:p>
    <w:p>
      <w:pPr>
        <w:ind w:left="120" w:right="420" w:firstLine="436"/>
        <w:spacing w:after="0" w:line="282" w:lineRule="auto"/>
        <w:tabs>
          <w:tab w:leader="none" w:pos="8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(3) of the definition of “Benchmark Transition Event,” the date of the public statement or publication of information referenced therein.</w:t>
      </w:r>
    </w:p>
    <w:p>
      <w:pPr>
        <w:spacing w:after="0" w:line="162"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For the avoidance of doubt, if the event that gives rise to the Benchmark Replacement Date occurs on the same day as, but earlier than, the Reference Time in respect of any determination, the Benchmark Replacement Date will be deemed to have occurred prior to the Reference Time for such determination.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00"/>
          </w:cols>
          <w:pgMar w:left="320" w:top="455"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For the avoidance of doubt, for purposes of the definitions of Benchmark Replacement Date and Benchmark Transition Event, references to Benchmark also include any reference rate underlying such Benchmark.</w:t>
      </w:r>
    </w:p>
    <w:p>
      <w:pPr>
        <w:spacing w:after="0" w:line="162"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“Benchmark Transition Event” means the occurrence of one or more of the following events with respect to the then-current Benchmark (including the daily published component used in the calculation thereof):</w:t>
      </w:r>
    </w:p>
    <w:p>
      <w:pPr>
        <w:spacing w:after="0" w:line="54" w:lineRule="exact"/>
        <w:rPr>
          <w:sz w:val="20"/>
          <w:szCs w:val="20"/>
          <w:color w:val="auto"/>
        </w:rPr>
      </w:pPr>
    </w:p>
    <w:p>
      <w:pPr>
        <w:ind w:left="120" w:right="100" w:firstLine="436"/>
        <w:spacing w:after="0" w:line="266" w:lineRule="auto"/>
        <w:tabs>
          <w:tab w:leader="none" w:pos="8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the Benchmark (or such component) announcing that such administrator has ceased or will cease to provide the Benchmark (or such component), permanently or indefinitely; provided that, at the time of such statement or publication, there is no successor administrator that will continue to provide the Benchmark (or such component);</w:t>
      </w:r>
    </w:p>
    <w:p>
      <w:pPr>
        <w:spacing w:after="0" w:line="175" w:lineRule="exact"/>
        <w:rPr>
          <w:rFonts w:ascii="Times New Roman" w:cs="Times New Roman" w:eastAsia="Times New Roman" w:hAnsi="Times New Roman"/>
          <w:sz w:val="18"/>
          <w:szCs w:val="18"/>
          <w:color w:val="auto"/>
        </w:rPr>
      </w:pPr>
    </w:p>
    <w:p>
      <w:pPr>
        <w:ind w:left="120" w:firstLine="436"/>
        <w:spacing w:after="0" w:line="274" w:lineRule="auto"/>
        <w:tabs>
          <w:tab w:leader="none" w:pos="81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public statement or publication of information by the regulatory supervisor for the administrator of the Benchmark (or such component), the central bank for the currency of the Benchmark (or such component), an insolvency official with jurisdiction over the administrator for the Benchmark (or such component), a resolution authority with jurisdiction over the administrator for the Benchmark (or such component) or a court or an entity with similar insolvency or resolution authority over the administrator for the Benchmark (or such component), which states that the administrator of the Benchmark (or such component) has ceased or will cease to provide the Benchmark (or such component) permanently or indefinitely; provided that, at the time of such statement or publication, there is no successor administrator that will continue to provide the Benchmark (or such component); or</w:t>
      </w:r>
    </w:p>
    <w:p>
      <w:pPr>
        <w:spacing w:after="0" w:line="172" w:lineRule="exact"/>
        <w:rPr>
          <w:rFonts w:ascii="Times New Roman" w:cs="Times New Roman" w:eastAsia="Times New Roman" w:hAnsi="Times New Roman"/>
          <w:sz w:val="17"/>
          <w:szCs w:val="17"/>
          <w:color w:val="auto"/>
        </w:rPr>
      </w:pPr>
    </w:p>
    <w:p>
      <w:pPr>
        <w:ind w:left="120" w:right="380" w:firstLine="436"/>
        <w:spacing w:after="0" w:line="282" w:lineRule="auto"/>
        <w:tabs>
          <w:tab w:leader="none" w:pos="8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the Benchmark announcing that the Benchmark is no longer representative.</w:t>
      </w:r>
    </w:p>
    <w:p>
      <w:pPr>
        <w:spacing w:after="0" w:line="162" w:lineRule="exact"/>
        <w:rPr>
          <w:sz w:val="20"/>
          <w:szCs w:val="20"/>
          <w:color w:val="auto"/>
        </w:rPr>
      </w:pPr>
    </w:p>
    <w:p>
      <w:pPr>
        <w:jc w:val="both"/>
        <w:ind w:left="120" w:right="100" w:firstLine="440"/>
        <w:spacing w:after="0" w:line="312" w:lineRule="auto"/>
        <w:rPr>
          <w:sz w:val="20"/>
          <w:szCs w:val="20"/>
          <w:color w:val="auto"/>
        </w:rPr>
      </w:pPr>
      <w:r>
        <w:rPr>
          <w:rFonts w:ascii="Times New Roman" w:cs="Times New Roman" w:eastAsia="Times New Roman" w:hAnsi="Times New Roman"/>
          <w:sz w:val="17"/>
          <w:szCs w:val="17"/>
          <w:color w:val="auto"/>
        </w:rPr>
        <w:t>“ISDA Definitions” means the 2006 ISDA Definitions published by the International Swaps and Derivatives Association, Inc. or any successor thereto, as amended or supplemented from time to time, or any successor definitional booklet for interest rate derivatives published from time to time.</w:t>
      </w:r>
    </w:p>
    <w:p>
      <w:pPr>
        <w:spacing w:after="0" w:line="140" w:lineRule="exact"/>
        <w:rPr>
          <w:sz w:val="20"/>
          <w:szCs w:val="20"/>
          <w:color w:val="auto"/>
        </w:rPr>
      </w:pPr>
    </w:p>
    <w:p>
      <w:pPr>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“ISDA Fallback Adjustment” means the spread adjustment (which may be a positive or negative value or zero) that would apply for derivatives transactions referencing the ISDA Definitions to be determined upon the occurrence of an index cessation event with respect to the Benchmark.</w:t>
      </w:r>
    </w:p>
    <w:p>
      <w:pPr>
        <w:spacing w:after="0" w:line="140" w:lineRule="exact"/>
        <w:rPr>
          <w:sz w:val="20"/>
          <w:szCs w:val="20"/>
          <w:color w:val="auto"/>
        </w:rPr>
      </w:pPr>
    </w:p>
    <w:p>
      <w:pPr>
        <w:ind w:left="120" w:right="320" w:firstLine="440"/>
        <w:spacing w:after="0" w:line="312" w:lineRule="auto"/>
        <w:rPr>
          <w:sz w:val="20"/>
          <w:szCs w:val="20"/>
          <w:color w:val="auto"/>
        </w:rPr>
      </w:pPr>
      <w:r>
        <w:rPr>
          <w:rFonts w:ascii="Times New Roman" w:cs="Times New Roman" w:eastAsia="Times New Roman" w:hAnsi="Times New Roman"/>
          <w:sz w:val="17"/>
          <w:szCs w:val="17"/>
          <w:color w:val="auto"/>
        </w:rPr>
        <w:t>“ISDA Fallback Rate” means the rate that would apply for derivatives transactions referencing the ISDA Definitions to be effective upon the occurrence of an index cessation date with respect to the Benchmark for the applicable tenor excluding the applicable ISDA Fallback Adjustment.</w:t>
      </w:r>
    </w:p>
    <w:p>
      <w:pPr>
        <w:spacing w:after="0" w:line="140" w:lineRule="exact"/>
        <w:rPr>
          <w:sz w:val="20"/>
          <w:szCs w:val="20"/>
          <w:color w:val="auto"/>
        </w:rPr>
      </w:pPr>
    </w:p>
    <w:p>
      <w:pPr>
        <w:ind w:left="120" w:right="700" w:firstLine="440"/>
        <w:spacing w:after="0" w:line="266" w:lineRule="auto"/>
        <w:rPr>
          <w:sz w:val="20"/>
          <w:szCs w:val="20"/>
          <w:color w:val="auto"/>
        </w:rPr>
      </w:pPr>
      <w:r>
        <w:rPr>
          <w:rFonts w:ascii="Times New Roman" w:cs="Times New Roman" w:eastAsia="Times New Roman" w:hAnsi="Times New Roman"/>
          <w:sz w:val="18"/>
          <w:szCs w:val="18"/>
          <w:color w:val="auto"/>
        </w:rPr>
        <w:t>“Reference Time” with respect to any determination of the Benchmark means (1) if the Benchmark is Compounded SOFR, the SOFR Determination Time, and (2) if the Benchmark is not Compounded SOFR, the time determined by us or our designee after giving effect to the Benchmark Replacement Conforming Changes.</w:t>
      </w:r>
    </w:p>
    <w:p>
      <w:pPr>
        <w:spacing w:after="0" w:line="176"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“Relevant Governmental Body” means the Federal Reserve Board and/or the Federal Reserve Bank of New York, or a committee officially endorsed or convened by the Federal Reserve Board and/or the Federal Reserve Bank of New York or any successor thereto.</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“Unadjusted Benchmark Replacement” means the Benchmark Replacement excluding the Benchmark Replacement Adjustment.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Subject to “—Special Mandatory Redemption” with respect to the applicable series of notes, we may not redeem the floating rate notes of either series at our option prior to maturity.</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020"/>
          </w:cols>
          <w:pgMar w:left="320" w:top="455" w:right="5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Prior to the applicable Par Call Date, we may redeem the fixed rate notes of any series at our option, in whole or in part, at any time and from time to time, at a redemption price (expressed as a percentage of principal amount and rounded to three decimal places) equal to the greater of:</w:t>
      </w:r>
    </w:p>
    <w:p>
      <w:pPr>
        <w:spacing w:after="0" w:line="54" w:lineRule="exact"/>
        <w:rPr>
          <w:sz w:val="20"/>
          <w:szCs w:val="20"/>
          <w:color w:val="auto"/>
        </w:rPr>
      </w:pPr>
    </w:p>
    <w:p>
      <w:pPr>
        <w:ind w:left="820" w:hanging="264"/>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on the fixed rate notes being redeemed</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discounted to the redemption date (assuming the fixed rate notes being redeemed matured on the applicable Par Call Date) on a semi-annual basis</w:t>
      </w:r>
    </w:p>
    <w:p>
      <w:pPr>
        <w:spacing w:after="0" w:line="225" w:lineRule="exact"/>
        <w:rPr>
          <w:sz w:val="20"/>
          <w:szCs w:val="20"/>
          <w:color w:val="auto"/>
        </w:rPr>
      </w:pPr>
    </w:p>
    <w:p>
      <w:pPr>
        <w:ind w:left="120" w:right="280"/>
        <w:spacing w:after="0" w:line="257" w:lineRule="auto"/>
        <w:rPr>
          <w:sz w:val="20"/>
          <w:szCs w:val="20"/>
          <w:color w:val="auto"/>
        </w:rPr>
      </w:pPr>
      <w:r>
        <w:rPr>
          <w:rFonts w:ascii="Times New Roman" w:cs="Times New Roman" w:eastAsia="Times New Roman" w:hAnsi="Times New Roman"/>
          <w:sz w:val="18"/>
          <w:szCs w:val="18"/>
          <w:color w:val="auto"/>
        </w:rPr>
        <w:t>(assuming a 360-day year consisting of twelve 30-day months) at the applicable Treasury Rate, plus       basis points in the case of the      % notes,      basis points in the case of the      % notes,      basis points in the case of the      % notes,       basis points in the case of the      % notes,       basis points in the case of the      % notes or       basis points in the case of the       % notes, less (b) interest</w:t>
      </w:r>
    </w:p>
    <w:p>
      <w:pPr>
        <w:spacing w:after="0" w:line="1" w:lineRule="exact"/>
        <w:rPr>
          <w:sz w:val="20"/>
          <w:szCs w:val="20"/>
          <w:color w:val="auto"/>
        </w:rPr>
      </w:pPr>
    </w:p>
    <w:p>
      <w:pPr>
        <w:ind w:left="120" w:right="360"/>
        <w:spacing w:after="0" w:line="260" w:lineRule="auto"/>
        <w:rPr>
          <w:sz w:val="20"/>
          <w:szCs w:val="20"/>
          <w:color w:val="auto"/>
        </w:rPr>
      </w:pPr>
      <w:r>
        <w:rPr>
          <w:rFonts w:ascii="Times New Roman" w:cs="Times New Roman" w:eastAsia="Times New Roman" w:hAnsi="Times New Roman"/>
          <w:sz w:val="18"/>
          <w:szCs w:val="18"/>
          <w:color w:val="auto"/>
        </w:rPr>
        <w:t>accrued to the redemption date, and (2) 100% of the principal amount of the fixed rate notes being redeemed on such redemption date, plus, in each case, accrued and unpaid interest thereon to, but excluding, the redemption date.</w:t>
      </w:r>
    </w:p>
    <w:p>
      <w:pPr>
        <w:spacing w:after="0" w:line="18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addition, on or after the applicable Par Call Date, we may redeem the applicable series of fixed rate notes, in whole or in part, at any time and from time to time, at a redemption price equal to 100% of the principal amount of such series of fixed rate notes being redeemed plus accrued and unpaid interest thereon to, but excluding, the redemption date.</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64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w w:val="97"/>
              </w:rPr>
              <w:t>“Par Call Date” means, with respect to the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5"/>
              </w:rPr>
              <w:t>% notes,  </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      , 20 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1"/>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338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rPr>
              <w:t xml:space="preserve">months prior to the maturity date of the     </w:t>
            </w:r>
          </w:p>
        </w:tc>
        <w:tc>
          <w:tcPr>
            <w:tcW w:w="180" w:type="dxa"/>
            <w:vAlign w:val="bottom"/>
          </w:tcPr>
          <w:p>
            <w:pPr>
              <w:jc w:val="center"/>
              <w:ind w:right="78"/>
              <w:spacing w:after="0"/>
              <w:rPr>
                <w:sz w:val="20"/>
                <w:szCs w:val="20"/>
                <w:color w:val="auto"/>
              </w:rPr>
            </w:pPr>
            <w:r>
              <w:rPr>
                <w:rFonts w:ascii="Times New Roman" w:cs="Times New Roman" w:eastAsia="Times New Roman" w:hAnsi="Times New Roman"/>
                <w:sz w:val="4"/>
                <w:szCs w:val="4"/>
                <w:color w:val="auto"/>
                <w:w w:val="98"/>
              </w:rPr>
              <w:t> </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7"/>
              </w:rPr>
              <w:t>% notes),</w:t>
            </w:r>
          </w:p>
        </w:tc>
      </w:tr>
      <w:tr>
        <w:trPr>
          <w:trHeight w:val="216"/>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with respect to the 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notes,         , 20 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100"/>
              <w:spacing w:after="0"/>
              <w:rPr>
                <w:sz w:val="20"/>
                <w:szCs w:val="20"/>
                <w:color w:val="auto"/>
              </w:rPr>
            </w:pPr>
            <w:r>
              <w:rPr>
                <w:rFonts w:ascii="Times New Roman" w:cs="Times New Roman" w:eastAsia="Times New Roman" w:hAnsi="Times New Roman"/>
                <w:sz w:val="12"/>
                <w:szCs w:val="12"/>
                <w:color w:val="auto"/>
                <w:w w:val="74"/>
              </w:rPr>
              <w:t>( </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3000" w:type="dxa"/>
            <w:vAlign w:val="bottom"/>
            <w:gridSpan w:val="8"/>
          </w:tcPr>
          <w:p>
            <w:pPr>
              <w:ind w:left="60"/>
              <w:spacing w:after="0"/>
              <w:rPr>
                <w:sz w:val="20"/>
                <w:szCs w:val="20"/>
                <w:color w:val="auto"/>
              </w:rPr>
            </w:pPr>
            <w:r>
              <w:rPr>
                <w:rFonts w:ascii="Times New Roman" w:cs="Times New Roman" w:eastAsia="Times New Roman" w:hAnsi="Times New Roman"/>
                <w:sz w:val="18"/>
                <w:szCs w:val="18"/>
                <w:color w:val="auto"/>
                <w:w w:val="96"/>
              </w:rPr>
              <w:t>months prior to the maturity date of the 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7"/>
              </w:rPr>
              <w:t>   % notes), with respect to the 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 </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w w:val="85"/>
              </w:rPr>
              <w:t>notes, </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3"/>
              </w:rPr>
              <w:t>      , 20 </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80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(         months prior to the maturity date of the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236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rPr>
              <w:t xml:space="preserve">% notes), with respect to the    </w:t>
            </w:r>
          </w:p>
        </w:tc>
        <w:tc>
          <w:tcPr>
            <w:tcW w:w="1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9"/>
              </w:rPr>
              <w:t>% notes, 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      , 20 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 </w:t>
            </w:r>
          </w:p>
        </w:tc>
        <w:tc>
          <w:tcPr>
            <w:tcW w:w="400" w:type="dxa"/>
            <w:vAlign w:val="bottom"/>
          </w:tcPr>
          <w:p>
            <w:pPr>
              <w:spacing w:after="0"/>
              <w:rPr>
                <w:sz w:val="18"/>
                <w:szCs w:val="18"/>
                <w:color w:val="auto"/>
              </w:rPr>
            </w:pP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3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8"/>
              </w:rPr>
              <w:t>months prior to the maturity date of the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34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w w:val="90"/>
              </w:rPr>
              <w:t>   % notes), with respect to the </w:t>
            </w:r>
          </w:p>
        </w:tc>
        <w:tc>
          <w:tcPr>
            <w:tcW w:w="26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70"/>
              </w:rPr>
              <w:t> </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 </w:t>
            </w:r>
          </w:p>
        </w:tc>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2"/>
              </w:rPr>
              <w:t>% notes, 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0"/>
              </w:rPr>
              <w:t>   , 20 </w:t>
            </w:r>
          </w:p>
        </w:tc>
        <w:tc>
          <w:tcPr>
            <w:tcW w:w="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(       </w:t>
            </w: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months prior to the</w:t>
            </w:r>
          </w:p>
        </w:tc>
      </w:tr>
      <w:tr>
        <w:trPr>
          <w:trHeight w:val="216"/>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5"/>
              </w:rPr>
              <w:t>maturity date of the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7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w w:val="93"/>
              </w:rPr>
              <w:t>   % notes), and with respect to the </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2"/>
              </w:rPr>
              <w:t>% notes, 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w w:val="70"/>
              </w:rPr>
              <w:t>, 20 </w:t>
            </w: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(       </w:t>
            </w:r>
          </w:p>
        </w:tc>
        <w:tc>
          <w:tcPr>
            <w:tcW w:w="120" w:type="dxa"/>
            <w:vAlign w:val="bottom"/>
          </w:tcPr>
          <w:p>
            <w:pPr>
              <w:spacing w:after="0"/>
              <w:rPr>
                <w:sz w:val="18"/>
                <w:szCs w:val="18"/>
                <w:color w:val="auto"/>
              </w:rPr>
            </w:pPr>
          </w:p>
        </w:tc>
        <w:tc>
          <w:tcPr>
            <w:tcW w:w="29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w w:val="94"/>
              </w:rPr>
              <w:t>months prior to the maturity date of the  </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34"/>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notes).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r>
    </w:tbl>
    <w:p>
      <w:pPr>
        <w:spacing w:after="0" w:line="198"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“Treasury Rate” means, with respect to any redemption date for any series of fixed rate notes prior to the applicable Par Call Date, the yield determined by us in accordance with the following two paragraphs.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we shall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Treasury security maturing on, or with a maturity that is closest to, the applicable Par Call Date.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we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actions and determinations in determining the redemption price shall be conclusive and binding for all purposes, absent manifest error.</w:t>
      </w:r>
    </w:p>
    <w:p>
      <w:pPr>
        <w:spacing w:after="0" w:line="225"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installments of interest on fixed rate notes that are due and payable on an interest payment date falling on or prior to a redemption date will be payable on such interest payment date to the registered holders as of the close of business on the relevant record date immediately preceding such interest payment date.</w:t>
      </w:r>
    </w:p>
    <w:p>
      <w:pPr>
        <w:spacing w:after="0" w:line="176"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Notice of any redemption will be mailed (or otherwise transmitted in accordance with the depositary’s procedures) at least 10 days but not more than 60 days before the redemption date to each registered holder of the fixed rate notes being redeemed. Subject to any delay in the redemption date or rescission of the notice of redemption described below, once notice of redemption is mailed, the fixed rate notes called for redemption will become due and payable on the applicable redemption date. Any notice of redemption may, at our discretion, be subject to one or more conditions precedent, including completion of a corporate transaction. In such event, the related notice of redemption will describe each such condition and, if applicable, will state that, at our discretion, the redemption date may be delayed until such time (including more than 60 days after the notice of redemption was given) as any or all such conditions are satisfied (or waived by us in our sole discretion), or such redemption may not occur and such notice may be rescinded in the event that any or all such conditions have not been satisfied (or waived by us in our sole discretion) by the redemption date, or by the redemption date as so delayed. If any such redemption has been rescinded or delayed, we will provide written notice to the trustee prior to the close of business two business days before the redemption date and, upon receipt, the trustee will provide such notice to each registered holder.</w:t>
      </w:r>
    </w:p>
    <w:p>
      <w:pPr>
        <w:spacing w:after="0" w:line="19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If fewer than all of the fixed rate notes of a particular series are being redeemed, selection of the fixed rate notes being redeemed will be made pro rata, by lot or by such other method as the trustee in its sole discretion deems appropriate and fair. No fixed rate notes of a principal amount of $2,000 or less will be redeemed in part. If any fixed rate note is being redeemed in part only, the notice of redemption that relates to the fixed rate note will state the portion of the principal amount of the fixed rate note being redeemed. Except in the case of global notes, a new fixed rate note in a principal amount equal to the unredeemed portion of the fixed rate note will be issued in the name of the holder of the note upon surrender for cancellation of the original note. Notwithstanding the foregoing, for so long as the fixed rate notes are held by The Depository Trust Company (“DTC”) (or another depositary), the redemption of the notes shall be done in accordance with the policies and procedures of the depositary. Before any optional redemption date, we will deposit with a paying agent (or the trustee) money sufficient to pay the redemption price of the fixed rate notes of the particular series being redeemed on that date.</w:t>
      </w:r>
    </w:p>
    <w:p>
      <w:pPr>
        <w:spacing w:after="0" w:line="188"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Unless we default in payment of the redemption price therefor, on and after the redemption date, interest will cease to accrue on the fixed rate notes or any portions of the fixed rate notes called for redemption.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40"/>
          </w:cols>
          <w:pgMar w:left="320" w:top="455"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at any time purchase the notes by tender, in the open market or by private agreement, subject to applicable laws.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Mandatory Redemption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the event that (x) the Centessa Acquisition is not consummated on or prior to the date that is five (5) business days after the later of (i) March 31, 2027 or (ii) any later date as the parties to the Centessa Agreement may agree as the “Outside Date” thereunder or (y) we notify the trustee in writing that we will not pursue the consummation of the Centessa Acquisition (any such event being a “Centessa Special Mandatory Redemption Event”), we will be required to redeem the      floating rate notes, the      % notes, the      % notes, the      % notes and the       % notes (collectively, the “Centessa Mandatorily Redeemable Notes”) then outstanding (such redemption, the “Centessa Special Mandatory Redemption”) at a redemption price equal to 101% of the principal amount of such Centessa Mandatorily Redeemable Notes plus accrued and unpaid interest, if any, to, but excluding, the Centessa Special Mandatory Redemption Date (as defined below) (the “Centessa Special Mandatory Redemption Price”).</w:t>
      </w:r>
    </w:p>
    <w:p>
      <w:pPr>
        <w:spacing w:after="0" w:line="18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the event that we become obligated to redeem the Centessa Mandatorily Redeemable Notes pursuant to the Centessa Special Mandatory Redemption, we will promptly, and in any event not more than ten business days after the Centessa Special Mandatory Redemption Event, deliver written notice (the “Centessa Special Mandatory Redemption Notice”) to each registered holder of Centessa Mandatorily Redeemable Notes and the trustee of the Centessa Special Mandatory Redemption and the date upon which the Centessa Mandatorily Redeemable Notes will be redeemed (the “Centessa Special Mandatory Redemption Date,” which date shall be no earlier than five days and no later than thirty days following the date of such notice, unless some longer minimum period may be required by DTC (or any successor depositary)). The Centessa Special Mandatory Redemption Notice will, in accordance with the trustee’s (if applicable) and DTC’s (or any successor depositary’s) procedures, be mailed, electronically delivered, or otherwise transmitted, according to the procedures of DTC (or any successor depositary) to each registered holder of Centessa Mandatorily Redeemable Notes. Any Centessa Special Mandatory Redemption Notice may be given by us or may be given, at our written direction, by the trustee in our name and at our expense.</w:t>
      </w:r>
    </w:p>
    <w:p>
      <w:pPr>
        <w:spacing w:after="0" w:line="194"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Unless we default in payment of the Centessa Special Mandatory Redemption Price of the Centessa Mandatorily Redeemable Notes, on and after such Centessa Special Mandatory Redemption Date, interest will cease to accrue on the Centessa Mandatorily Redeemable Notes.</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installments of interest on any series of Centessa Mandatorily Redeemable Notes that are due and payable on an interest payment date falling on or prior to the Centessa Special Mandatory Redemption Date will be payable on such interest payment dates to the registered holders as of the close of business on the relevant record dates in accordance with the applicable series of notes and the indenture.</w:t>
      </w:r>
    </w:p>
    <w:p>
      <w:pPr>
        <w:spacing w:after="0" w:line="176"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floating rate notes, the      % notes and the      % notes do not constitute Centessa Mandatorily Redeemable Notes and will not be subject to the Centessa Special Mandatory Redemption. Accordingly, if a Centessa Special Mandatory Redemption is triggered, such series of notes will not be required to be redeemed and will remain outstanding in accordance with their terms, subject to our right to redeem certain of such series of notes, in whole or in part, at any time and from time to time, even if the Centessa Acquisition is not consummated.</w:t>
      </w:r>
    </w:p>
    <w:p>
      <w:pPr>
        <w:spacing w:after="0" w:line="180"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The proceeds from this offering will not be deposited into an escrow account pending completion of the Centessa Acquisition or the Centessa Special Mandatory Redemption, nor will we be required to grant any security interest or other lien on the proceeds to secure any redemption of the notes.</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Upon the consummation of the Centessa Acquisition, the foregoing provisions regarding the Centessa Special Mandatory Redemption will cease to apply. For purposes of the foregoing, the Centessa Acquisition will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be deemed consummated if the closing under the Centessa Agreement occurs, including after giving effect to any amendments, modifications or waivers to the Centessa Agreement.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in this prospectus supplement, the following definitions apply:</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“Centessa” means Centessa Pharmaceuticals plc, a public limited company registered in England and Wales.</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“Centessa Acquisition” means the acquisition by Eli Lilly and Company (including through the Purchaser (as defined below)) of Centessa and its subsidiaries pursuant to the Centessa Agreement.</w:t>
      </w:r>
    </w:p>
    <w:p>
      <w:pPr>
        <w:spacing w:after="0" w:line="162" w:lineRule="exact"/>
        <w:rPr>
          <w:sz w:val="20"/>
          <w:szCs w:val="20"/>
          <w:color w:val="auto"/>
        </w:rPr>
      </w:pPr>
    </w:p>
    <w:p>
      <w:pPr>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“Centessa Agreement” means the Transaction Agreement, dated as of March 31, 2026, by and among Eli Lilly and Company, an Indiana corporation, LDH XV Corporation, a Delaware corporation and direct wholly owned subsidiary of Eli Lilly and Company (the “Purchaser”), and Centessa, as amended, supplemented, renewed, modified or waived from time to time.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Notes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information in “Book-Entry Notes” concerning DTC and DTC’s book-entry system, as well as information regarding Euroclear and Clearstream (each as defined below), has been obtained from sources that we believe to be reliable, but we take no responsibility for its accuracy or completeness. This information is not intended to serve as a representation, warranty or contract modification of any kind. We assume no responsibility for the performance by DTC, Euroclear, Clearstream or their respective participants of their respective obligations, including obligations that they have under the rules and procedures that govern their operations.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 Depository Trust Company</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Except under the limited circumstances described below, all notes will be book-entry notes. This means that the actual purchasers of the notes will not be entitled to have the notes registered in their names and will not be entitled to receive physical delivery of the notes in definitive (paper) form. Instead, upon issuance, each series of notes will be represented by one or more fully registered global notes.</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Each global note will be deposited with, or on behalf of, DTC, a securities depositary, and will be registered in the name of Cede &amp; Co., as DTC’s nominee, or such other name as may be requested by an authorized representative of DTC. No global note representing book-entry notes may be transferred except as a whole by DTC to a nominee of DTC or by a nominee of DTC to DTC or another nominee of DTC. DTC will be the only owner and sole registered holder of the notes for purposes of the Indenture. Purchasers may elect to hold interests in the global notes through either DTC (in the United States) or through Clearstream Banking,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(“Clearstream”), or the Euroclear System (“Euroclear”) (outside the United States) if they are participants in such systems, or indirectly through organizations that are participants in such systems.</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Purchases of the notes under the DTC system must be made by or through direct participants, which will receive a credit for the notes in DTC’s records. The ownership interest of each actual purchaser of notes, which we refer to as the “beneficial owner,” will in turn be recorded in the direct and indirect participants’ records. The deposit of the global notes with DTC and their registration in the name of DTC’s nominee will not affect beneficial ownership and is performed merely to facilitate subsequent transfers of the notes. The book-entry system eliminates the need for physical movement of securities certificates. The laws of some jurisdictions, however, may require some purchasers to take physical delivery of notes in definitive form. These laws may impair the ability of holders to transfer book-entry notes.</w:t>
      </w:r>
    </w:p>
    <w:p>
      <w:pPr>
        <w:spacing w:after="0" w:line="18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“clearing agency” registered pursuant to the provisions of Section 17A of the Exchange Act. DTC holds securities that its participants deposit with it. DTC also facilitates the post-trade settlement among its participants of securities transactions, such as transfers and pledges, in deposited securities through electronic computerized book-entry changes in its participants’ accounts. DTC’s participants include underwriters, including the underwriters in this offering, securities brokers and dealers, banks, trust companies, clearing corporations and certain other organizations. Clearstream and Euroclear, which are discussed in more detail below, are indirect participants in the DTC system. The rules applicable to DTC and its participants are on file with the SEC.</w:t>
      </w:r>
    </w:p>
    <w:p>
      <w:pPr>
        <w:spacing w:after="0" w:line="187"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Because DTC or its nominee will be the only registered holder of the global notes, Clearstream and Euroclear will hold positions through their respective U.S. depositaries, which in turn will hold positions in the records of DTC. For information on how accounts of ownership of notes held through DTC are recorded, please refer to “Description of Securities—Description of Debt Securities—Global Securities” in the accompanying prospectus.</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this prospectus supplement, unless and until notes in definitive form are issued to the beneficial owners as described below, all references to “holders” of notes shall mean DTC or its nominee. We, the trustee and any paying agent, transfer agent or registrar may treat DTC or its nominee as the only owner and sole registered holder of the notes for all purposes.</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will make all payments of principal of and premium, if any, and interest on our notes to DTC or its nominee by wire transfer. We will send all required reports and notices solely to DTC or its nominee as long as DTC or its nominee is the sole registered holder of the notes. DTC and its participants are generally required by law to receive and transmit all payments, notices and directions from us and the trustee to beneficial owners of book-entry notes through a chain of intermediaries. Beneficial owners of book-entry notes will not receive written confirmation from DTC of their purchases. However, they are expected to receive written confirmations providing details of the transaction, as well as periodic statements of their holdings, from the participants or indirect participants through which they entered into the transaction.</w:t>
      </w:r>
    </w:p>
    <w:p>
      <w:pPr>
        <w:spacing w:after="0" w:line="187" w:lineRule="exact"/>
        <w:rPr>
          <w:sz w:val="20"/>
          <w:szCs w:val="20"/>
          <w:color w:val="auto"/>
        </w:rPr>
      </w:pPr>
    </w:p>
    <w:p>
      <w:pPr>
        <w:ind w:left="120" w:right="320" w:firstLine="440"/>
        <w:spacing w:after="0" w:line="256" w:lineRule="auto"/>
        <w:rPr>
          <w:sz w:val="20"/>
          <w:szCs w:val="20"/>
          <w:color w:val="auto"/>
        </w:rPr>
      </w:pPr>
      <w:r>
        <w:rPr>
          <w:rFonts w:ascii="Times New Roman" w:cs="Times New Roman" w:eastAsia="Times New Roman" w:hAnsi="Times New Roman"/>
          <w:sz w:val="18"/>
          <w:szCs w:val="18"/>
          <w:color w:val="auto"/>
        </w:rPr>
        <w:t>Similarly, we and the trustee will accept notices and directions solely from DTC or its nominee. Therefore, in order to exercise any rights as a holder of notes under the Indenture, each person owning a beneficial interest in the notes must rely on the procedures of DTC and, in some cases, Clearstream or Euroclear. If the beneficial owner is not a participant in the applicable system, then it must rely on the procedures of the participant through which that person owns its interest. DTC has advised us that it will take actions under the Indenture only at the direction of its participants, which in turn will act only at the direction of the beneficial owners. Some of these actions, however, may conflict with actions DTC takes at the direction of other participants and beneficial owners.</w:t>
      </w:r>
    </w:p>
    <w:p>
      <w:pPr>
        <w:spacing w:after="0" w:line="187" w:lineRule="exact"/>
        <w:rPr>
          <w:sz w:val="20"/>
          <w:szCs w:val="20"/>
          <w:color w:val="auto"/>
        </w:rPr>
      </w:pPr>
    </w:p>
    <w:p>
      <w:pPr>
        <w:jc w:val="both"/>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Notices and other communications by DTC to participants, by participants to indirect participants and by participants and indirect participants to beneficial owners will be governed by arrangements among them, subject to statutory or regulatory requirements as may be in effect from time to time.</w:t>
      </w:r>
    </w:p>
    <w:p>
      <w:pPr>
        <w:spacing w:after="0" w:line="14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Beneficial owners may experience delays in receiving payments in respect of their notes since such payments will initially be made to DTC and must then be transferred through the chain of intermediaries to each beneficial owner’s account. None of us, the trustee or any of our or their agents will be liable for the accuracy of, or responsible for maintaining, supervising or reviewing, the records of Clearstream or Euroclear or any participant’s records relating to book-entry notes. In addition, none of us, the trustee or any of our or their agents will be responsible or liable for payments made on account of the book-entry notes.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Clearstream</w:t>
      </w:r>
    </w:p>
    <w:p>
      <w:pPr>
        <w:spacing w:after="0" w:line="121"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Clearstream is incorporated under the laws of Luxembourg as a professional depositary. Clearstream holds securities for its participating organizations (“Clearstream participants”) and facilitates the clearance and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080"/>
          </w:cols>
          <w:pgMar w:left="320" w:top="455" w:right="4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settlement of securities transactions between Clearstream participants through electronic book-entry changes in accounts of Clearstream participants, thereby eliminating the need for physical movement of certificates. Clearstream provides to its participants, among other things, services for safekeeping, administration, clearance and settlement of internationally traded securities and securities lending and borrowing. Clearstream interfaces with domestic markets in several countries. Clearstream has also established an electronic bridge with Euroclear to facilitate settlement of trades between Clearstream and Euroclear.</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a licensed credit institution in Luxembourg and a securities settlement system in which the Luxembourg Central Bank participates, Clearstream is supervised by the Luxembourg Commission for the Supervision of the Financial Sector (</w:t>
      </w:r>
      <w:r>
        <w:rPr>
          <w:rFonts w:ascii="Times New Roman" w:cs="Times New Roman" w:eastAsia="Times New Roman" w:hAnsi="Times New Roman"/>
          <w:sz w:val="18"/>
          <w:szCs w:val="18"/>
          <w:i w:val="1"/>
          <w:iCs w:val="1"/>
          <w:color w:val="auto"/>
        </w:rPr>
        <w:t>Commission de Surveillance du Secteur Financier</w:t>
      </w:r>
      <w:r>
        <w:rPr>
          <w:rFonts w:ascii="Times New Roman" w:cs="Times New Roman" w:eastAsia="Times New Roman" w:hAnsi="Times New Roman"/>
          <w:sz w:val="18"/>
          <w:szCs w:val="18"/>
          <w:color w:val="auto"/>
        </w:rPr>
        <w:t>). Clearstream participants are recognized financial institutions around the world, including underwriters, securities brokers and dealers, banks, trust companies, clearing corporations and certain other organizations and may include the underwriters in this offering. Other institutions that clear through or that maintain a custodial relationship with a Clearstream participant may obtain indirect access to Clearstream.</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Euroclear</w:t>
      </w:r>
    </w:p>
    <w:p>
      <w:pPr>
        <w:spacing w:after="0" w:line="121" w:lineRule="exact"/>
        <w:rPr>
          <w:sz w:val="20"/>
          <w:szCs w:val="20"/>
          <w:color w:val="auto"/>
        </w:rPr>
      </w:pPr>
    </w:p>
    <w:p>
      <w:pPr>
        <w:jc w:val="both"/>
        <w:ind w:left="120" w:right="240" w:firstLine="440"/>
        <w:spacing w:after="0" w:line="281" w:lineRule="auto"/>
        <w:rPr>
          <w:sz w:val="20"/>
          <w:szCs w:val="20"/>
          <w:color w:val="auto"/>
        </w:rPr>
      </w:pPr>
      <w:r>
        <w:rPr>
          <w:rFonts w:ascii="Times New Roman" w:cs="Times New Roman" w:eastAsia="Times New Roman" w:hAnsi="Times New Roman"/>
          <w:sz w:val="17"/>
          <w:szCs w:val="17"/>
          <w:color w:val="auto"/>
        </w:rPr>
        <w:t>Euroclear was created in 1968 to hold securities for its participating organizations (“Euroclear participants”) and to clear and settle transactions between Euroclear participants and participants of certain other securities intermediaries through simultaneous electronic book-entry delivery against payment, thus eliminating the need for physical movement of certificates and the risk from lack of simultaneous transfers of securities and cash. Euroclear provides various other services, including securities lending and borrowing, and interfaces with domestic markets in several countries.</w:t>
      </w:r>
    </w:p>
    <w:p>
      <w:pPr>
        <w:spacing w:after="0" w:line="164"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Euroclear is operated by Euroclear Bank S.A./N.V. (the “Euroclear Operator”). All operations are conducted by the Euroclear Operator, and all Euroclear securities clearance accounts and Euroclear cash accounts are accounts with the Euroclear Operator.</w:t>
      </w:r>
    </w:p>
    <w:p>
      <w:pPr>
        <w:spacing w:after="0" w:line="16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Euroclear participants include banks (including central banks), securities brokers and dealers and other professional financial intermediaries and may include the underwriters in this offering. In addition, indirect access to Euroclear is available to other firms that clear through or maintain a custodial relationship with a Euroclear participant, either directly or indirectly.</w:t>
      </w:r>
    </w:p>
    <w:p>
      <w:pPr>
        <w:spacing w:after="0" w:line="176"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Securities clearance accounts and cash accounts with the Euroclear Operator are governed by the Terms and Conditions Governing Use of Euroclear and the related Operating Procedures of the Euroclear System and applicable Belgian law (collectively, the “Terms and Conditions”). The Terms and Conditions govern securities clearance accounts and cash accounts with Euroclear. Specifically, the Terms and Conditions govern:</w:t>
      </w:r>
    </w:p>
    <w:p>
      <w:pPr>
        <w:spacing w:after="0" w:line="81"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securities and cash within Euroclear;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securities and cash from Euroclear;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receipts of payments with respect to securities in Euroclear.</w:t>
      </w:r>
    </w:p>
    <w:p>
      <w:pPr>
        <w:spacing w:after="0" w:line="225" w:lineRule="exact"/>
        <w:rPr>
          <w:sz w:val="20"/>
          <w:szCs w:val="20"/>
          <w:color w:val="auto"/>
        </w:rPr>
      </w:pPr>
    </w:p>
    <w:p>
      <w:pPr>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All securities in Euroclear are held on a fungible basis without attribution of specific certificates to specific securities clearance accounts. Euroclear acts under the Terms and Conditions only on behalf of Euroclear participants and has no record of or relationship with persons holding securities through Euroclear participants.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Global Clearance and Settlement Procedures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Initial settlement for the notes will be made in immediately available funds. Secondary market trading between DTC participants will occur in the ordinary way, in accordance with DTC’s rules, and will be settled in immediately available funds using DTC’s same-day funds settlement system. Secondary market trading between Clearstream participants and Euroclear participants will occur in the ordinary way, in accordance with the applicable rules and operating procedures of Clearstream and Euroclear, and will be settled using the procedures applicable to conventional eurobonds in immediately available funds.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Cross-market transfers between persons holding directly or indirectly through DTC, on the one hand, and directly or indirectly through Clearstream or Euroclear participants, on the other, will be effected through DTC, in accordance with DTC’s rules, on behalf of the relevant European international clearing system by the U.S. depositaries. However, such cross-market transactions will require delivery of instructions to the relevant European international clearing system by the counterparty in this system in accordance with its rules and procedures and within its established deadlines in European time zones. The relevant European international clearing system will, if the transaction meets its settlement requirements, deliver instructions to its U.S. depositary to take action to effect final settlement on its behalf by delivering or receiving notes in DTC, and making or receiving payment in accordance with normal procedures for same-day funds settlement applicable to DTC. Clearstream participants and Euroclear participants may not deliver instructions directly to DTC.</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Because of time zone differences, credits of notes received in Clearstream or Euroclear as a result of a transaction with a DTC participant will be made during subsequent securities settlement processing and will be credited the business day following the DTC settlement date. These credits or any transactions in such notes settled during such processing will be reported to the relevant Euroclear or Clearstream participants on that business day. Cash received in Clearstream or Euroclear as a result of sales of notes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87"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Although we expect that DTC, Clearstream and Euroclear have agreed to the foregoing procedures to facilitate transfers of notes among participants of DTC, Clearstream and Euroclear, the information set forth in this section is subject to any changes or reinterpretations of the rules, regulations and procedures of DTC, Clearstream and Euroclear that are currently in effect. Investors wishing to use the facilities of any of DTC, Clearstream or Euroclear are advised to confirm the continued applicability of the rules, regulations and procedures of DTC, Clearstream or Euroclear.</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Payments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will make all payments of principal of and premium, if any, and interest on book-entry notes to DTC or its nominee. Upon receipt of any such payment, DTC will immediately credit the accounts of its participants on its book-entry registration and transfer system. DTC will credit those accounts in proportion to the participants’ respective beneficial interests in the principal amount of the global note as shown in the records of DTC. Payments by participants to beneficial owners of book-entry notes will be governed by standing instructions and customary practices, as is now the case with securities held for the accounts of customers in bearer form or registered in “street name,” and will be the responsibility of those participants.</w:t>
      </w:r>
    </w:p>
    <w:p>
      <w:pPr>
        <w:spacing w:after="0" w:line="183"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Payments on book-entry notes held beneficially through Clearstream or Euroclear will be credited to their respective participants in accordance with their respective rules and procedures, to the extent received by their respective U.S. depositaries.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Definitive Notes and Paying Agents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Under the circumstances described in the last paragraph under “Description of Securities—Description of Debt Securities—Global Securities” of the accompanying prospectus, beneficial owners of the notes will be notified through the chain of intermediaries that definitive notes are available. Beneficial owners of book-entry notes will then be entitled (1) to receive physical delivery of notes in definitive form equal in principal amount to their beneficial interest and (2) to have notes in definitive form registered in their names. The notes in definitive form will be issued in minimum denominations of $2,000 and integral multiples of $1,000 in excess of that amount.</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Notes in definitive form will be registered in the name or names of the person or persons DTC specifies in a written instruction to the registrar of the notes. DTC may base its written instruction upon directions it receives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from its participants. Thereafter, the holders of the notes in definitive form will be recognized as the “holders” of the notes under the Indenture. The Indenture provides for the replacement of a mutilated, lost, stolen or destroyed definitive note, so long as the applicant furnishes to us and the trustee such securities or indemnity and such evidence of ownership as we and the trustee may require.</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the event that notes in definitive form are issued, the holders of such notes will be able to receive payments of principal of and premium, if any, and interest on their notes at the office of our paying agent. Our paying agent will initially be Deutsche Bank Trust Company Americas, currently located at 1 Columbus Circle, 4th Floor, Mail Stop: NYC01-0417, New York, New York 10019, and Deutsche Bank Trust Company Americas will initially act as registrar for the notes. We may, at any time, designate additional paying agents or rescind the designations or approve a change in the offices where they act. Payments due on the maturity date of a note in definitive form may be made only against presentation and surrender of such note to one of our paying agents. We may make payments due on an interest payment date for a note in definitive form by mailing a check to the address of the holder of such note appearing in the register of note holders maintained by the registrar.</w:t>
      </w:r>
    </w:p>
    <w:p>
      <w:pPr>
        <w:spacing w:after="0" w:line="189"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In the event that notes in definitive form are issued, the holders of such notes will be able to transfer their notes, in whole or in part, by surrendering such notes for registration of transfer at the office of Deutsche Bank Trust Company Americas, duly endorsed by or accompanied by a written instrument of transfer in form satisfactory to us and the registrar. A form of such instrument of transfer will be obtainable at the offices of Deutsche Bank Trust Company Americas. Upon surrender, we will execute, and the trustee will authenticate and deliver, new notes of the same series and like tenor and terms to the designated transferee in the principal amount being transferred, and a new note of the same series and like tenor and terms for any principal amount not being transferred will be issued to the transferor. We will not charge any fee for the registration of transfer or exchange, except that we may require the payment of a sum sufficient to cover any applicable tax or other governmental charge payable in connection with the transfer.</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080"/>
          </w:cols>
          <w:pgMar w:left="320" w:top="455" w:right="4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following describes the material U.S. federal income tax consequences of acquiring, owning and disposing of our notes. This discussion is based on the Internal Revenue Code of 1986, as amended (the “Code”), Treasury regulations thereunder, and administrative and judicial interpretations thereof, in each case as in effect on the date hereof. These authorities may change or be subject to differing interpretations, possibly on a retroactive basis, so as to result in U.S. federal income tax consequences different from those discussed below. This discussion does not address any other U.S. federal tax considerations (such as gift or estate tax) or any state, local or non-U.S. tax considerations.</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have not sought, and will not seek, any ruling from the Internal Revenue Service (the “IRS”) with respect to the statements made and the conclusions reached in this summary. We cannot assure you that the IRS will agree with such statements and conclusions, or that the IRS will not assert, or that a court would not sustain, a challenge to one or more of the tax consequences described below.</w:t>
      </w:r>
    </w:p>
    <w:p>
      <w:pPr>
        <w:spacing w:after="0" w:line="176"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This discussion applies only to beneficial owners that acquire our notes upon original issuance at the initial offering price and that hold our notes as capital assets for U.S. federal income tax purposes. It assumes that the initial offering price is the “issue price” of our notes for U.S. federal income tax purposes. In addition, it does not address all U.S. federal income tax consequences that may be relevant to a particular holder subject to special rules, including, without limitation, banks, insurance companies and other financial institutions, real estate investment trusts, regulated investment companies, partnerships or other entities or arrangements treated as partnerships for U.S. federal income tax purposes, tax-exempt entities and governmental organizations, brokers, traders and dealers in securities that elect to use a mark-to-market method of tax accounting for their securities, U.S. expatriates, persons holding the notes as part of a hedging or conversion transaction or a straddle, tax-qualified retirement plans, persons subject to special tax accounting rules as a result of any item of gross income with respect to our notes being taken into account in an “applicable financial statement” (as defined in the Code), alternative minimum taxes, or U.S. Holders (as defined below) that have a functional currency other than the U.S. dollar.</w:t>
      </w:r>
    </w:p>
    <w:p>
      <w:pPr>
        <w:spacing w:after="0" w:line="173"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a partnership, including any entity or arrangement treated as a partnership for U.S. federal income tax purposes, is a beneficial owner of a note, the treatment of a partner in the partnership generally will depend on the status of the partner and the activities of the partnership. Such partnerships and their partners should consult their tax advisors about the U.S. federal income tax consequences of acquiring, owning and disposing of our notes.</w:t>
      </w:r>
    </w:p>
    <w:p>
      <w:pPr>
        <w:spacing w:after="0" w:line="172" w:lineRule="exact"/>
        <w:rPr>
          <w:sz w:val="20"/>
          <w:szCs w:val="20"/>
          <w:color w:val="auto"/>
        </w:rPr>
      </w:pPr>
    </w:p>
    <w:p>
      <w:pPr>
        <w:jc w:val="both"/>
        <w:ind w:left="120" w:righ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Prospective investors are urged to consult their own tax advisors as to the particular U.S. federal income and other tax consequences to them of the acquisition, ownership and disposition of the notes as well as any tax consequences under state, local and foreign tax laws, and the possible effects of changes in tax laws.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Certain Contingencies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a Centessa Special Mandatory Redemption, we will be obligated to pay amounts in excess of stated interest or principal, or prior to their scheduled payment dates, for certain series of notes. Our obligation to pay such excess amounts and such timing contingency may implicate the provisions of the Treasury regulations relating to “contingent payment debt obligations,” in which case the timing and amount of income inclusions and the character of income recognized may be different from the consequences described herein. Under these Treasury regulations, however, certain contingencies will not cause a debt instrument to be treated as a contingent payment debt instrument if, for example, as of the issue date, such contingencies in the aggregate are considered “remote” or “incidental.” Moreover, there is an exception from treatment as a contingent payment debt instrument if an alternative payment schedule is “significantly more likely than not” to occur.</w:t>
      </w:r>
    </w:p>
    <w:p>
      <w:pPr>
        <w:spacing w:after="0" w:line="18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Although the issue is not free from doubt, we believe and intend to take the position that the foregoing contingencies should not cause the notes to be treated as contingent payment debt instruments within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meaning of the applicable Treasury regulations. Our position is binding on a holder unless such holder discloses its contrary position to the IRS in the manner required by applicable Treasury regulations. Our position is not, however, binding on the IRS. This determination is inherently factual and we can give you no assurance that our position would be sustained if challenged by the IRS. If the IRS were to challenge this position successfully, a holder might be required to, among other things, accrue interest income based on a projected payment schedule and comparable yield determined at the time of the issuance of the applicable series of notes, which may be in excess of stated interest, and treat as ordinary income rather than capital gain any income realized on the taxable disposition of a note in such series. In the event a contingency described above occurs, it could affect the amount, timing and character of the income or loss recognized by a holder. Prospective holders should consult their tax advisors regarding the tax consequences if any series of notes were treated as contingent payment debt instruments. The remainder of this discussion assumes that no series of notes will be considered contingent payment debt instruments.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Federal Income Taxation of U.S. Holders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following describes the material U.S. federal income tax consequences to a U.S. Holder of acquiring, owning and disposing of our notes. As used herein, a “U.S. Holder” is a beneficial owner of a note that is, for U.S. federal income tax purposes, (1) an individual who is a citizen or resident of the United States, (2) a domestic corporation, (3) an estate the income of which is subject to U.S. federal income taxation regardless of its source or (4) a trust if (i) a court within the United States is able to exercise primary supervision over the administration of the trust and one or more United States persons have the authority to control all substantial decisions of the trust or (ii) the trust has a valid election in effect under applicable Treasury regulations to be treated as a United States person. If you are not a U.S. Holder, this subsection does not apply to you and you should refer to the subsection “—U.S. Federal Income Taxation of Non-U.S. Holders” below.</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Stated Interest</w:t>
      </w:r>
    </w:p>
    <w:p>
      <w:pPr>
        <w:spacing w:after="0" w:line="121"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It is expected, and the following discussion assumes, that the notes will be issued without original issue discount for U.S. federal income tax purposes. Accordingly, interest on the notes generally will be taxable to a U.S. Holder as ordinary income at the time it accrues or is actually or constructively received in accordance with the U.S. Holder’s method of accounting for U.S. federal income tax purposes.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Taxable Disposition of a Note</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Upon the sale, exchange, redemption, retirement at maturity or other taxable disposition of a note, a U.S. Holder generally will recognize gain or loss equal to the difference between (1) the sum of cash and the fair market value of other property received on such disposition (less such cash or property attributable to accrued but unpaid interest, which, to the extent not previously included in income, will be taxable as ordinary interest income), and (2) the U.S. Holder’s adjusted tax basis in the note. A U.S. Holder’s adjusted tax basis in a note generally will equal the U.S. Holder’s initial investment in the note. This gain or loss generally will be capital gain or loss, and will be long-term capital gain or loss if the U.S. Holder has a holding period of more than one year. Long-term capital gain of a non-corporate U.S. Holder generally is taxed at a lower maximum marginal tax rate than that applicable to ordinary income. The deductibility of capital losses is subject to limitations.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U.S. Holders generally will be required to supply a social security number or other taxpayer identification number along with certain certifications under penalties of perjury in order to avoid backup withholding with respect to interest paid on a note and the proceeds of a sale or other disposition of a note. In addition, such payments generally will be subject to information reporting.</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The amount of any backup withholding from a payment to a U.S. Holder will be allowed as a credit against such U.S. Holder’s federal income tax liability and may entitle such U.S. Holder to a refund, provided that the required information is timely furnished to the IRS.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 Tax</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Additional net investment income tax (commonly referred to as a “Medicare tax”) at a rate of 3.8% is imposed on the net investment income of certain individuals, estates and trusts. For these purposes, “net investment income” generally includes interest on and capital gains from the sale or other disposition of securities like the notes, subject to certain exceptions. A U.S. Holder that is an individual, estate or trust is urged to consult its tax advisor regarding the applicability of the net investment income tax to its income and gains in respect of the notes.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Taxation of Non-U.S. Holders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describes the material U.S. federal income tax consequences to a Non-U.S. Holder of acquiring, owning and disposing of our notes. A “Non-U.S. Holder” is a beneficial owner of a note that is, for U.S. federal income tax purposes, a nonresident alien individual, a foreign corporation or a foreign trust or estate. If you are a U.S. Holder, this subsection does not apply to you, and you should refer to the subsection “—U.S. Federal Income Taxation of U.S. Holders” above.</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on the Notes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Except in the circumstances described below under “—Information Reporting and Backup Withholding” and “—FATCA Withholding,” a Non-U.S. Holder generally will not be subject to U.S. federal income tax or withholding tax on payments of interest on our notes, if the interest is not effectively connected with the Non-U.S. Holder’s conduct of a trade or business in the United States and the Non-U.S. Holder (1) does not own, actually or constructively, 10% or more of the total combined voting power of all classes of our stock entitled to vote, (2) is not, for U.S. federal income tax purposes, a controlled foreign corporation that is related to us through stock ownership, and (3) certifies under penalty of perjury (usually by providing an IRS Form W-8BEN or W-8BEN-E) that it is not a United States person.</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a Non-U.S. Holder does not satisfy the requirements described in the preceding paragraph, payments of interest on our notes will be subject to U.S. federal withholding tax at a rate of 30% (or, if appropriate certification is provided, a lower rate if so specified in an applicable tax treaty), unless the holder provides a properly executed IRS Form W-8ECI stating that interest paid on the note is not subject to withholding tax because it is effectively connected with the holder’s conduct of a trade or business in the United States (and, if an income tax treaty applies, is attributable to a permanent establishment or fixed base maintained by the Non-U.S. Holder in the United States).</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If a Non-U.S. Holder is engaged in a trade or business in the United States, and if interest on the note is effectively connected with the conduct of this trade or business (and, if an income tax treaty applies, is attributable to a permanent establishment or fixed base maintained by the Non-U.S. Holder in the United States), the Non-U.S. Holder, although exempt from U.S. federal withholding tax, will generally be taxed on a net income basis in the same manner as a U.S. Holder. In addition, effectively connected interest of a corporate Non-U.S. Holder may also be subject to an additional branch profits tax at a rate of 30% (or a lower rate if so specified by an applicable tax treaty).</w:t>
      </w:r>
    </w:p>
    <w:p>
      <w:pPr>
        <w:spacing w:after="0" w:line="183"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Non-U.S. Holders are urged to consult their own tax advisors with respect to the U.S. federal, state and local tax consequences of the acquisition, ownership and disposition of our notes.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the Notes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Except in the circumstances described below under “—Information Reporting and Backup Withholding” and “—FATCA Withholding” and except with respect to accrued and unpaid interest, a Non-U.S. Holder generally will not be subject to U.S. federal income tax or withholding tax on any gain recognized on the sale, exchange, redemption, retirement or other taxable disposition of a note, unless:</w:t>
      </w:r>
    </w:p>
    <w:p>
      <w:pPr>
        <w:spacing w:after="0" w:line="81" w:lineRule="exact"/>
        <w:rPr>
          <w:sz w:val="20"/>
          <w:szCs w:val="20"/>
          <w:color w:val="auto"/>
        </w:rPr>
      </w:pPr>
    </w:p>
    <w:p>
      <w:pPr>
        <w:ind w:left="1080" w:right="40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in the United States (and, if an income tax treaty applies, is attributable to a permanent establishment or fixed base maintained by the Non-U.S. Holder in the United States); or</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the disposition, and certain other conditions are met.</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 Non-U.S. Holder described in the first bullet point above will generally be required to pay U.S. federal income tax on a net income basis, and if the holder is a foreign corporation, it may also be required to pay a branch profits tax at a rate of 30% (or a lower rate if so specified by an applicable tax treaty). A Non-U.S. Holder that is subject to the 183-day rule described above generally will be subject to U.S. federal income tax at a flat rate of 30% (or a reduced rate under an applicable tax treaty) on the amount by which capital gains allocable to U.S. sources (including gains from the sale, exchange, retirement or other disposition of the note) exceed capital losses allocable to U.S. sources, even though the Non-U.S. Holder is not considered a resident alien under the Code.</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Except as described below, payments of interest on notes owned by a Non-U.S. Holder, and gross proceeds from the sale or redemption of such notes within the United States or through certain U.S.-related financial intermediaries, generally are subject to information reporting and backup withholding unless the Non-U.S. Holder, as a beneficial owner, certifies under penalty of perjury that it is not a United States person (usually by providing an IRS Form W-8BEN or W-8BEN-E) or otherwise establishes an exemption and the applicable withholding agent does not have actual knowledge or reason to know that such holder is a “United States person.”</w:t>
      </w:r>
    </w:p>
    <w:p>
      <w:pPr>
        <w:spacing w:after="0" w:line="183"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such Non-U.S. Holder’s U.S. federal income tax liability, provided that the required information is timely furnished to the IRS.</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Payments of interest on a note to a Non-U.S. Holder and the amount of any U.S. federal tax withheld from such payments generally must be reported annually to the IRS and to such Non-U.S. Holder, regardless of whether withholding is required. Copies of the information returns reporting such interest payments and any withholding may also be made available to the tax authorities in the country in which the Non-U.S. Holder resides under provisions of an applicable income tax treaty or other intergovernmental agreement.</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FATCA Withholding</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Sections 1471 through 1474 of the Code and applicable Treasury regulations thereunder (commonly referred to as “FATCA”) impose a 30% withholding tax on “withholdable payments” made to a foreign entity unless the foreign entity is:</w:t>
      </w:r>
    </w:p>
    <w:p>
      <w:pPr>
        <w:spacing w:after="0" w:line="67" w:lineRule="exact"/>
        <w:rPr>
          <w:sz w:val="20"/>
          <w:szCs w:val="20"/>
          <w:color w:val="auto"/>
        </w:rPr>
      </w:pPr>
    </w:p>
    <w:p>
      <w:pPr>
        <w:ind w:left="1080" w:right="180" w:hanging="424"/>
        <w:spacing w:after="0" w:line="258"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financial institution” (as defined under FATCA) that furnishes proper documentation, typically on IRS Form W-8BEN-E, evidencing either (i) an exemption from FATCA withholding, (ii) its compliance (or deemed compliance) with specified due diligence, reporting, withholding and certification obligations under FATCA or (iii) its residence in a jurisdiction that has entered into an intergovernmental agreement with the United States relating to FATCA and its compliance with the diligence and reporting requirements of the intergovernmental agreement and local implementing rules; or</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“non-financial foreign entity” (as defined under FATCA) that provides sufficient documentation, typically on IRS Form W-8BEN-E, evidencing either (i) an exemption from FATCA or (ii) adequate information regarding substantial U.S. beneficial owners of such entity (if any).</w:t>
      </w:r>
    </w:p>
    <w:p>
      <w:pPr>
        <w:spacing w:after="0" w:line="176"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Withholdable payments include interest paid with respect to the notes and the gross proceeds of the sale or other taxable disposition of the notes. However, proposed Treasury regulations have been issued that, if finalized, would eliminate the 30% withholding tax that would have applied to payments of gross proceeds from the sale, exchange or other disposition of the notes. According to the preamble to the proposed regulations, taxpayers may rely upon the relevant provisions of the proposed regulations until the issuance of final regulations. A withholding agent such as a broker, and not Eli Lilly, will generally determine whether or not to implement gross proceeds FATCA withholding.</w:t>
      </w:r>
    </w:p>
    <w:p>
      <w:pPr>
        <w:spacing w:after="0" w:line="179"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Prospective investors are urged to consult with their own tax advisors regarding the consequences, including the certification requirements, of FATCA and any applicable intergovernmental agreement with respect to FATCA in light of their particular circumstances.</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080"/>
          </w:cols>
          <w:pgMar w:left="320" w:top="455"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Morgan Stanley &amp; Co. LLC, Citigroup Global Markets Inc., Deutsche Bank Securities Inc. and Goldman Sachs &amp; Co. LLC are acting as representatives of the underwriters named below.</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stated in the underwriting agreement dated the date of this prospectus supplement, each underwriter named below has severally agreed to purchase, and we have agreed to sell to that underwriter, the principal amount of the notes of each series set forth opposite such underwriter’s name.</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6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w w:val="97"/>
              </w:rPr>
              <w:t>Principal</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w w:val="97"/>
              </w:rPr>
              <w:t>Principal</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8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amount of</w:t>
            </w:r>
          </w:p>
        </w:tc>
        <w:tc>
          <w:tcPr>
            <w:tcW w:w="260" w:type="dxa"/>
            <w:vAlign w:val="bottom"/>
          </w:tcPr>
          <w:p>
            <w:pPr>
              <w:spacing w:after="0"/>
              <w:rPr>
                <w:sz w:val="11"/>
                <w:szCs w:val="11"/>
                <w:color w:val="auto"/>
              </w:rPr>
            </w:pPr>
          </w:p>
        </w:tc>
        <w:tc>
          <w:tcPr>
            <w:tcW w:w="68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amount of</w:t>
            </w:r>
          </w:p>
        </w:tc>
        <w:tc>
          <w:tcPr>
            <w:tcW w:w="260" w:type="dxa"/>
            <w:vAlign w:val="bottom"/>
          </w:tcPr>
          <w:p>
            <w:pPr>
              <w:spacing w:after="0"/>
              <w:rPr>
                <w:sz w:val="11"/>
                <w:szCs w:val="11"/>
                <w:color w:val="auto"/>
              </w:rPr>
            </w:pPr>
          </w:p>
        </w:tc>
        <w:tc>
          <w:tcPr>
            <w:tcW w:w="62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Principal</w:t>
            </w:r>
          </w:p>
        </w:tc>
        <w:tc>
          <w:tcPr>
            <w:tcW w:w="240" w:type="dxa"/>
            <w:vAlign w:val="bottom"/>
          </w:tcPr>
          <w:p>
            <w:pPr>
              <w:spacing w:after="0"/>
              <w:rPr>
                <w:sz w:val="11"/>
                <w:szCs w:val="11"/>
                <w:color w:val="auto"/>
              </w:rPr>
            </w:pPr>
          </w:p>
        </w:tc>
        <w:tc>
          <w:tcPr>
            <w:tcW w:w="62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Principal</w:t>
            </w:r>
          </w:p>
        </w:tc>
        <w:tc>
          <w:tcPr>
            <w:tcW w:w="260" w:type="dxa"/>
            <w:vAlign w:val="bottom"/>
          </w:tcPr>
          <w:p>
            <w:pPr>
              <w:spacing w:after="0"/>
              <w:rPr>
                <w:sz w:val="11"/>
                <w:szCs w:val="11"/>
                <w:color w:val="auto"/>
              </w:rPr>
            </w:pPr>
          </w:p>
        </w:tc>
        <w:tc>
          <w:tcPr>
            <w:tcW w:w="60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Principal</w:t>
            </w:r>
          </w:p>
        </w:tc>
        <w:tc>
          <w:tcPr>
            <w:tcW w:w="260" w:type="dxa"/>
            <w:vAlign w:val="bottom"/>
          </w:tcPr>
          <w:p>
            <w:pPr>
              <w:spacing w:after="0"/>
              <w:rPr>
                <w:sz w:val="11"/>
                <w:szCs w:val="11"/>
                <w:color w:val="auto"/>
              </w:rPr>
            </w:pPr>
          </w:p>
        </w:tc>
        <w:tc>
          <w:tcPr>
            <w:tcW w:w="60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Principal</w:t>
            </w:r>
          </w:p>
        </w:tc>
        <w:tc>
          <w:tcPr>
            <w:tcW w:w="260" w:type="dxa"/>
            <w:vAlign w:val="bottom"/>
          </w:tcPr>
          <w:p>
            <w:pPr>
              <w:spacing w:after="0"/>
              <w:rPr>
                <w:sz w:val="11"/>
                <w:szCs w:val="11"/>
                <w:color w:val="auto"/>
              </w:rPr>
            </w:pPr>
          </w:p>
        </w:tc>
        <w:tc>
          <w:tcPr>
            <w:tcW w:w="60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Principal</w:t>
            </w:r>
          </w:p>
        </w:tc>
        <w:tc>
          <w:tcPr>
            <w:tcW w:w="260" w:type="dxa"/>
            <w:vAlign w:val="bottom"/>
          </w:tcPr>
          <w:p>
            <w:pPr>
              <w:spacing w:after="0"/>
              <w:rPr>
                <w:sz w:val="11"/>
                <w:szCs w:val="11"/>
                <w:color w:val="auto"/>
              </w:rPr>
            </w:pPr>
          </w:p>
        </w:tc>
        <w:tc>
          <w:tcPr>
            <w:tcW w:w="660" w:type="dxa"/>
            <w:vAlign w:val="bottom"/>
            <w:gridSpan w:val="4"/>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Principal</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ind w:left="12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400" w:type="dxa"/>
            <w:vAlign w:val="bottom"/>
          </w:tcPr>
          <w:p>
            <w:pPr>
              <w:jc w:val="center"/>
              <w:ind w:right="186"/>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ind w:left="14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400" w:type="dxa"/>
            <w:vAlign w:val="bottom"/>
          </w:tcPr>
          <w:p>
            <w:pPr>
              <w:jc w:val="center"/>
              <w:ind w:right="186"/>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260" w:type="dxa"/>
            <w:vAlign w:val="bottom"/>
          </w:tcPr>
          <w:p>
            <w:pPr>
              <w:spacing w:after="0"/>
              <w:rPr>
                <w:sz w:val="11"/>
                <w:szCs w:val="11"/>
                <w:color w:val="auto"/>
              </w:rPr>
            </w:pPr>
          </w:p>
        </w:tc>
        <w:tc>
          <w:tcPr>
            <w:tcW w:w="62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amount of</w:t>
            </w:r>
          </w:p>
        </w:tc>
        <w:tc>
          <w:tcPr>
            <w:tcW w:w="240" w:type="dxa"/>
            <w:vAlign w:val="bottom"/>
          </w:tcPr>
          <w:p>
            <w:pPr>
              <w:spacing w:after="0"/>
              <w:rPr>
                <w:sz w:val="11"/>
                <w:szCs w:val="11"/>
                <w:color w:val="auto"/>
              </w:rPr>
            </w:pPr>
          </w:p>
        </w:tc>
        <w:tc>
          <w:tcPr>
            <w:tcW w:w="62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amount of</w:t>
            </w:r>
          </w:p>
        </w:tc>
        <w:tc>
          <w:tcPr>
            <w:tcW w:w="260" w:type="dxa"/>
            <w:vAlign w:val="bottom"/>
          </w:tcPr>
          <w:p>
            <w:pPr>
              <w:spacing w:after="0"/>
              <w:rPr>
                <w:sz w:val="11"/>
                <w:szCs w:val="11"/>
                <w:color w:val="auto"/>
              </w:rPr>
            </w:pPr>
          </w:p>
        </w:tc>
        <w:tc>
          <w:tcPr>
            <w:tcW w:w="60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amount of</w:t>
            </w:r>
          </w:p>
        </w:tc>
        <w:tc>
          <w:tcPr>
            <w:tcW w:w="260" w:type="dxa"/>
            <w:vAlign w:val="bottom"/>
          </w:tcPr>
          <w:p>
            <w:pPr>
              <w:spacing w:after="0"/>
              <w:rPr>
                <w:sz w:val="11"/>
                <w:szCs w:val="11"/>
                <w:color w:val="auto"/>
              </w:rPr>
            </w:pPr>
          </w:p>
        </w:tc>
        <w:tc>
          <w:tcPr>
            <w:tcW w:w="60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amount of</w:t>
            </w:r>
          </w:p>
        </w:tc>
        <w:tc>
          <w:tcPr>
            <w:tcW w:w="260" w:type="dxa"/>
            <w:vAlign w:val="bottom"/>
          </w:tcPr>
          <w:p>
            <w:pPr>
              <w:spacing w:after="0"/>
              <w:rPr>
                <w:sz w:val="11"/>
                <w:szCs w:val="11"/>
                <w:color w:val="auto"/>
              </w:rPr>
            </w:pPr>
          </w:p>
        </w:tc>
        <w:tc>
          <w:tcPr>
            <w:tcW w:w="60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amount of</w:t>
            </w:r>
          </w:p>
        </w:tc>
        <w:tc>
          <w:tcPr>
            <w:tcW w:w="260" w:type="dxa"/>
            <w:vAlign w:val="bottom"/>
          </w:tcPr>
          <w:p>
            <w:pPr>
              <w:spacing w:after="0"/>
              <w:rPr>
                <w:sz w:val="11"/>
                <w:szCs w:val="11"/>
                <w:color w:val="auto"/>
              </w:rPr>
            </w:pPr>
          </w:p>
        </w:tc>
        <w:tc>
          <w:tcPr>
            <w:tcW w:w="660" w:type="dxa"/>
            <w:vAlign w:val="bottom"/>
            <w:gridSpan w:val="4"/>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amount of</w:t>
            </w:r>
          </w:p>
        </w:tc>
        <w:tc>
          <w:tcPr>
            <w:tcW w:w="0" w:type="dxa"/>
            <w:vAlign w:val="bottom"/>
          </w:tcPr>
          <w:p>
            <w:pPr>
              <w:spacing w:after="0"/>
              <w:rPr>
                <w:sz w:val="1"/>
                <w:szCs w:val="1"/>
                <w:color w:val="auto"/>
              </w:rPr>
            </w:pPr>
          </w:p>
        </w:tc>
      </w:tr>
      <w:tr>
        <w:trPr>
          <w:trHeight w:val="135"/>
        </w:trPr>
        <w:tc>
          <w:tcPr>
            <w:tcW w:w="6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4"/>
              </w:rPr>
              <w:t>Underwriter</w:t>
            </w:r>
          </w:p>
        </w:tc>
        <w:tc>
          <w:tcPr>
            <w:tcW w:w="2380" w:type="dxa"/>
            <w:vAlign w:val="bottom"/>
            <w:vMerge w:val="restart"/>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center"/>
              <w:ind w:right="6"/>
              <w:spacing w:after="0" w:line="135" w:lineRule="exact"/>
              <w:rPr>
                <w:sz w:val="20"/>
                <w:szCs w:val="20"/>
                <w:color w:val="auto"/>
              </w:rPr>
            </w:pPr>
            <w:r>
              <w:rPr>
                <w:rFonts w:ascii="Times New Roman" w:cs="Times New Roman" w:eastAsia="Times New Roman" w:hAnsi="Times New Roman"/>
                <w:sz w:val="13"/>
                <w:szCs w:val="13"/>
                <w:b w:val="1"/>
                <w:bCs w:val="1"/>
                <w:color w:val="auto"/>
                <w:w w:val="93"/>
              </w:rPr>
              <w:t>floating</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floating</w:t>
            </w:r>
          </w:p>
        </w:tc>
        <w:tc>
          <w:tcPr>
            <w:tcW w:w="260" w:type="dxa"/>
            <w:vAlign w:val="bottom"/>
          </w:tcPr>
          <w:p>
            <w:pPr>
              <w:spacing w:after="0"/>
              <w:rPr>
                <w:sz w:val="11"/>
                <w:szCs w:val="11"/>
                <w:color w:val="auto"/>
              </w:rPr>
            </w:pPr>
          </w:p>
        </w:tc>
        <w:tc>
          <w:tcPr>
            <w:tcW w:w="160" w:type="dxa"/>
            <w:vAlign w:val="bottom"/>
          </w:tcPr>
          <w:p>
            <w:pPr>
              <w:ind w:left="12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300" w:type="dxa"/>
            <w:vAlign w:val="bottom"/>
          </w:tcPr>
          <w:p>
            <w:pPr>
              <w:jc w:val="right"/>
              <w:ind w:right="76"/>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1"/>
                <w:szCs w:val="11"/>
                <w:color w:val="auto"/>
              </w:rPr>
            </w:pPr>
          </w:p>
        </w:tc>
        <w:tc>
          <w:tcPr>
            <w:tcW w:w="160" w:type="dxa"/>
            <w:vAlign w:val="bottom"/>
          </w:tcPr>
          <w:p>
            <w:pPr>
              <w:ind w:left="12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w w:val="79"/>
              </w:rPr>
              <w:t> </w:t>
            </w:r>
          </w:p>
        </w:tc>
        <w:tc>
          <w:tcPr>
            <w:tcW w:w="280" w:type="dxa"/>
            <w:vAlign w:val="bottom"/>
          </w:tcPr>
          <w:p>
            <w:pPr>
              <w:jc w:val="right"/>
              <w:ind w:right="76"/>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1"/>
                <w:szCs w:val="11"/>
                <w:color w:val="auto"/>
              </w:rPr>
            </w:pP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280" w:type="dxa"/>
            <w:vAlign w:val="bottom"/>
          </w:tcPr>
          <w:p>
            <w:pPr>
              <w:jc w:val="right"/>
              <w:ind w:right="76"/>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1"/>
                <w:szCs w:val="11"/>
                <w:color w:val="auto"/>
              </w:rPr>
            </w:pPr>
          </w:p>
        </w:tc>
        <w:tc>
          <w:tcPr>
            <w:tcW w:w="160" w:type="dxa"/>
            <w:vAlign w:val="bottom"/>
          </w:tcPr>
          <w:p>
            <w:pPr>
              <w:ind w:left="12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280" w:type="dxa"/>
            <w:vAlign w:val="bottom"/>
          </w:tcPr>
          <w:p>
            <w:pPr>
              <w:jc w:val="right"/>
              <w:ind w:right="76"/>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1"/>
                <w:szCs w:val="11"/>
                <w:color w:val="auto"/>
              </w:rPr>
            </w:pPr>
          </w:p>
        </w:tc>
        <w:tc>
          <w:tcPr>
            <w:tcW w:w="160" w:type="dxa"/>
            <w:vAlign w:val="bottom"/>
          </w:tcPr>
          <w:p>
            <w:pPr>
              <w:ind w:left="12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280" w:type="dxa"/>
            <w:vAlign w:val="bottom"/>
          </w:tcPr>
          <w:p>
            <w:pPr>
              <w:jc w:val="right"/>
              <w:ind w:right="56"/>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1"/>
                <w:szCs w:val="11"/>
                <w:color w:val="auto"/>
              </w:rPr>
            </w:pPr>
          </w:p>
        </w:tc>
        <w:tc>
          <w:tcPr>
            <w:tcW w:w="160" w:type="dxa"/>
            <w:vAlign w:val="bottom"/>
          </w:tcPr>
          <w:p>
            <w:pPr>
              <w:ind w:left="12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300" w:type="dxa"/>
            <w:vAlign w:val="bottom"/>
          </w:tcPr>
          <w:p>
            <w:pPr>
              <w:jc w:val="right"/>
              <w:ind w:right="76"/>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80" w:type="dxa"/>
            <w:vAlign w:val="bottom"/>
            <w:tcBorders>
              <w:bottom w:val="single" w:sz="8" w:color="auto"/>
            </w:tcBorders>
            <w:vMerge w:val="continue"/>
          </w:tcPr>
          <w:p>
            <w:pPr>
              <w:spacing w:after="0"/>
              <w:rPr>
                <w:sz w:val="14"/>
                <w:szCs w:val="14"/>
                <w:color w:val="auto"/>
              </w:rPr>
            </w:pPr>
          </w:p>
        </w:tc>
        <w:tc>
          <w:tcPr>
            <w:tcW w:w="238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68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rate notes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ind w:right="26"/>
              <w:spacing w:after="0" w:line="142" w:lineRule="exact"/>
              <w:rPr>
                <w:sz w:val="20"/>
                <w:szCs w:val="20"/>
                <w:color w:val="auto"/>
              </w:rPr>
            </w:pPr>
            <w:r>
              <w:rPr>
                <w:rFonts w:ascii="Times New Roman" w:cs="Times New Roman" w:eastAsia="Times New Roman" w:hAnsi="Times New Roman"/>
                <w:sz w:val="13"/>
                <w:szCs w:val="13"/>
                <w:b w:val="1"/>
                <w:bCs w:val="1"/>
                <w:color w:val="auto"/>
                <w:w w:val="95"/>
              </w:rPr>
              <w:t>rate notes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2"/>
          </w:tcPr>
          <w:p>
            <w:pPr>
              <w:jc w:val="center"/>
              <w:ind w:right="136"/>
              <w:spacing w:after="0" w:line="142" w:lineRule="exact"/>
              <w:rPr>
                <w:sz w:val="20"/>
                <w:szCs w:val="20"/>
                <w:color w:val="auto"/>
              </w:rPr>
            </w:pPr>
            <w:r>
              <w:rPr>
                <w:rFonts w:ascii="Times New Roman" w:cs="Times New Roman" w:eastAsia="Times New Roman" w:hAnsi="Times New Roman"/>
                <w:sz w:val="13"/>
                <w:szCs w:val="13"/>
                <w:b w:val="1"/>
                <w:bCs w:val="1"/>
                <w:color w:val="auto"/>
                <w:w w:val="96"/>
              </w:rPr>
              <w:t>notes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2"/>
          </w:tcPr>
          <w:p>
            <w:pPr>
              <w:jc w:val="center"/>
              <w:ind w:right="96"/>
              <w:spacing w:after="0" w:line="142" w:lineRule="exact"/>
              <w:rPr>
                <w:sz w:val="20"/>
                <w:szCs w:val="20"/>
                <w:color w:val="auto"/>
              </w:rPr>
            </w:pPr>
            <w:r>
              <w:rPr>
                <w:rFonts w:ascii="Times New Roman" w:cs="Times New Roman" w:eastAsia="Times New Roman" w:hAnsi="Times New Roman"/>
                <w:sz w:val="13"/>
                <w:szCs w:val="13"/>
                <w:b w:val="1"/>
                <w:bCs w:val="1"/>
                <w:color w:val="auto"/>
                <w:w w:val="96"/>
              </w:rPr>
              <w:t>notes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tcPr>
          <w:p>
            <w:pPr>
              <w:jc w:val="center"/>
              <w:ind w:right="96"/>
              <w:spacing w:after="0" w:line="142" w:lineRule="exact"/>
              <w:rPr>
                <w:sz w:val="20"/>
                <w:szCs w:val="20"/>
                <w:color w:val="auto"/>
              </w:rPr>
            </w:pPr>
            <w:r>
              <w:rPr>
                <w:rFonts w:ascii="Times New Roman" w:cs="Times New Roman" w:eastAsia="Times New Roman" w:hAnsi="Times New Roman"/>
                <w:sz w:val="13"/>
                <w:szCs w:val="13"/>
                <w:b w:val="1"/>
                <w:bCs w:val="1"/>
                <w:color w:val="auto"/>
                <w:w w:val="96"/>
              </w:rPr>
              <w:t>notes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tcPr>
          <w:p>
            <w:pPr>
              <w:jc w:val="center"/>
              <w:ind w:right="116"/>
              <w:spacing w:after="0" w:line="142" w:lineRule="exact"/>
              <w:rPr>
                <w:sz w:val="20"/>
                <w:szCs w:val="20"/>
                <w:color w:val="auto"/>
              </w:rPr>
            </w:pPr>
            <w:r>
              <w:rPr>
                <w:rFonts w:ascii="Times New Roman" w:cs="Times New Roman" w:eastAsia="Times New Roman" w:hAnsi="Times New Roman"/>
                <w:sz w:val="13"/>
                <w:szCs w:val="13"/>
                <w:b w:val="1"/>
                <w:bCs w:val="1"/>
                <w:color w:val="auto"/>
                <w:w w:val="96"/>
              </w:rPr>
              <w:t>notes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tcPr>
          <w:p>
            <w:pPr>
              <w:jc w:val="center"/>
              <w:ind w:right="116"/>
              <w:spacing w:after="0" w:line="142" w:lineRule="exact"/>
              <w:rPr>
                <w:sz w:val="20"/>
                <w:szCs w:val="20"/>
                <w:color w:val="auto"/>
              </w:rPr>
            </w:pPr>
            <w:r>
              <w:rPr>
                <w:rFonts w:ascii="Times New Roman" w:cs="Times New Roman" w:eastAsia="Times New Roman" w:hAnsi="Times New Roman"/>
                <w:sz w:val="13"/>
                <w:szCs w:val="13"/>
                <w:b w:val="1"/>
                <w:bCs w:val="1"/>
                <w:color w:val="auto"/>
                <w:w w:val="96"/>
              </w:rPr>
              <w:t>notes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6"/>
              </w:rPr>
              <w:t>notes</w:t>
            </w:r>
          </w:p>
        </w:tc>
        <w:tc>
          <w:tcPr>
            <w:tcW w:w="0" w:type="dxa"/>
            <w:vAlign w:val="bottom"/>
          </w:tcPr>
          <w:p>
            <w:pPr>
              <w:spacing w:after="0"/>
              <w:rPr>
                <w:sz w:val="1"/>
                <w:szCs w:val="1"/>
                <w:color w:val="auto"/>
              </w:rPr>
            </w:pPr>
          </w:p>
        </w:tc>
      </w:tr>
      <w:tr>
        <w:trPr>
          <w:trHeight w:val="189"/>
        </w:trPr>
        <w:tc>
          <w:tcPr>
            <w:tcW w:w="30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Morgan Stanley &amp; Co. LLC</w:t>
            </w:r>
          </w:p>
        </w:tc>
        <w:tc>
          <w:tcPr>
            <w:tcW w:w="1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Citigroup Global Markets Inc.</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Deutsche Bank Securities Inc.</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Goldman Sachs &amp; Co. LLC</w:t>
            </w:r>
          </w:p>
        </w:tc>
        <w:tc>
          <w:tcPr>
            <w:tcW w:w="1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    </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    </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30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5"/>
                <w:szCs w:val="5"/>
                <w:color w:val="auto"/>
                <w:w w:val="79"/>
              </w:rPr>
              <w:t> </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shd w:val="clear" w:color="auto" w:fill="CCEEFF"/>
          </w:tcPr>
          <w:p>
            <w:pPr>
              <w:jc w:val="center"/>
              <w:ind w:right="36"/>
              <w:spacing w:after="0"/>
              <w:rPr>
                <w:sz w:val="20"/>
                <w:szCs w:val="20"/>
                <w:color w:val="auto"/>
              </w:rPr>
            </w:pPr>
            <w:r>
              <w:rPr>
                <w:rFonts w:ascii="Times New Roman" w:cs="Times New Roman" w:eastAsia="Times New Roman" w:hAnsi="Times New Roman"/>
                <w:sz w:val="5"/>
                <w:szCs w:val="5"/>
                <w:color w:val="auto"/>
                <w:w w:val="79"/>
              </w:rPr>
              <w:t> </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shd w:val="clear" w:color="auto" w:fill="CCEEFF"/>
          </w:tcPr>
          <w:p>
            <w:pPr>
              <w:jc w:val="center"/>
              <w:ind w:right="36"/>
              <w:spacing w:after="0"/>
              <w:rPr>
                <w:sz w:val="20"/>
                <w:szCs w:val="20"/>
                <w:color w:val="auto"/>
              </w:rPr>
            </w:pPr>
            <w:r>
              <w:rPr>
                <w:rFonts w:ascii="Times New Roman" w:cs="Times New Roman" w:eastAsia="Times New Roman" w:hAnsi="Times New Roman"/>
                <w:sz w:val="5"/>
                <w:szCs w:val="5"/>
                <w:color w:val="auto"/>
                <w:w w:val="79"/>
              </w:rPr>
              <w:t> </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shd w:val="clear" w:color="auto" w:fill="CCEEFF"/>
          </w:tcPr>
          <w:p>
            <w:pPr>
              <w:jc w:val="center"/>
              <w:ind w:right="36"/>
              <w:spacing w:after="0"/>
              <w:rPr>
                <w:sz w:val="20"/>
                <w:szCs w:val="20"/>
                <w:color w:val="auto"/>
              </w:rPr>
            </w:pPr>
            <w:r>
              <w:rPr>
                <w:rFonts w:ascii="Times New Roman" w:cs="Times New Roman" w:eastAsia="Times New Roman" w:hAnsi="Times New Roman"/>
                <w:sz w:val="5"/>
                <w:szCs w:val="5"/>
                <w:color w:val="auto"/>
                <w:w w:val="79"/>
              </w:rPr>
              <w:t> </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shd w:val="clear" w:color="auto" w:fill="CCEEFF"/>
          </w:tcPr>
          <w:p>
            <w:pPr>
              <w:jc w:val="center"/>
              <w:ind w:right="36"/>
              <w:spacing w:after="0"/>
              <w:rPr>
                <w:sz w:val="20"/>
                <w:szCs w:val="20"/>
                <w:color w:val="auto"/>
              </w:rPr>
            </w:pPr>
            <w:r>
              <w:rPr>
                <w:rFonts w:ascii="Times New Roman" w:cs="Times New Roman" w:eastAsia="Times New Roman" w:hAnsi="Times New Roman"/>
                <w:sz w:val="5"/>
                <w:szCs w:val="5"/>
                <w:color w:val="auto"/>
                <w:w w:val="79"/>
              </w:rPr>
              <w:t> </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3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5"/>
                <w:szCs w:val="5"/>
                <w:color w:val="auto"/>
                <w:w w:val="79"/>
              </w:rPr>
              <w:t> </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underwriters to purchase the notes included in this offering are subject to approval of legal matters by counsel and to other conditions. The underwriters are obligated to purchase all of the notes if they purchase any of the notes. The underwriters reserve the right to withdraw, cancel or modify offers to the public and to reject orders of notes in whole or in part.</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underwriters may offer some of the notes directly to the public at the respective public offering prices set forth on the cover page of this prospectus supplement and some of the notes to dealers at the respective public offering price less a concession not to exceed the rates (as a percentage of the principal amount) in the table immediately below. The underwriters may allow, and dealers may reallow, a concession not to exceed the rates (as a percentage of the principal amount) set forth in the table below, on sales to other dealers. After the initial offering of the notes of a particular series to the public, the representatives may change the related public offering price and concession.</w:t>
      </w:r>
    </w:p>
    <w:p>
      <w:pPr>
        <w:spacing w:after="0" w:line="19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Maximum Concession</w:t>
            </w:r>
          </w:p>
        </w:tc>
        <w:tc>
          <w:tcPr>
            <w:tcW w:w="1260" w:type="dxa"/>
            <w:vAlign w:val="bottom"/>
          </w:tcPr>
          <w:p>
            <w:pPr>
              <w:spacing w:after="0"/>
              <w:rPr>
                <w:sz w:val="13"/>
                <w:szCs w:val="13"/>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Concession</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260" w:type="dxa"/>
            <w:vAlign w:val="bottom"/>
          </w:tcPr>
          <w:p>
            <w:pPr>
              <w:spacing w:after="0"/>
              <w:rPr>
                <w:sz w:val="12"/>
                <w:szCs w:val="12"/>
                <w:color w:val="auto"/>
              </w:rPr>
            </w:pPr>
          </w:p>
        </w:tc>
        <w:tc>
          <w:tcPr>
            <w:tcW w:w="13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on Sales to Other</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38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w w:val="99"/>
              </w:rPr>
              <w:t>to Dealers</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rPr>
              <w:t>Dealers</w:t>
            </w: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1"/>
              </w:rPr>
              <w:t>Per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floating rate note</w:t>
            </w:r>
          </w:p>
        </w:tc>
        <w:tc>
          <w:tcPr>
            <w:tcW w:w="1220" w:type="dxa"/>
            <w:vAlign w:val="bottom"/>
            <w:shd w:val="clear" w:color="auto" w:fill="CCEEFF"/>
          </w:tcPr>
          <w:p>
            <w:pPr>
              <w:spacing w:after="0"/>
              <w:rPr>
                <w:sz w:val="18"/>
                <w:szCs w:val="18"/>
                <w:color w:val="auto"/>
              </w:rPr>
            </w:pPr>
          </w:p>
        </w:tc>
        <w:tc>
          <w:tcPr>
            <w:tcW w:w="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126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79"/>
              </w:rPr>
              <w:t>%</w:t>
            </w:r>
          </w:p>
        </w:tc>
        <w:tc>
          <w:tcPr>
            <w:tcW w:w="9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w w:val="81"/>
              </w:rPr>
              <w:t>Per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floating rate note</w:t>
            </w:r>
          </w:p>
        </w:tc>
        <w:tc>
          <w:tcPr>
            <w:tcW w:w="1220" w:type="dxa"/>
            <w:vAlign w:val="bottom"/>
          </w:tcPr>
          <w:p>
            <w:pPr>
              <w:spacing w:after="0"/>
              <w:rPr>
                <w:sz w:val="18"/>
                <w:szCs w:val="18"/>
                <w:color w:val="auto"/>
              </w:rPr>
            </w:pPr>
          </w:p>
        </w:tc>
        <w:tc>
          <w:tcPr>
            <w:tcW w:w="98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126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79"/>
              </w:rPr>
              <w:t>%</w:t>
            </w:r>
          </w:p>
        </w:tc>
        <w:tc>
          <w:tcPr>
            <w:tcW w:w="960" w:type="dxa"/>
            <w:vAlign w:val="bottom"/>
          </w:tcPr>
          <w:p>
            <w:pPr>
              <w:ind w:left="82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1"/>
              </w:rPr>
              <w:t>Per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note</w:t>
            </w:r>
          </w:p>
        </w:tc>
        <w:tc>
          <w:tcPr>
            <w:tcW w:w="1220" w:type="dxa"/>
            <w:vAlign w:val="bottom"/>
            <w:shd w:val="clear" w:color="auto" w:fill="CCEEFF"/>
          </w:tcPr>
          <w:p>
            <w:pPr>
              <w:spacing w:after="0"/>
              <w:rPr>
                <w:sz w:val="18"/>
                <w:szCs w:val="18"/>
                <w:color w:val="auto"/>
              </w:rPr>
            </w:pPr>
          </w:p>
        </w:tc>
        <w:tc>
          <w:tcPr>
            <w:tcW w:w="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126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79"/>
              </w:rPr>
              <w:t>%</w:t>
            </w:r>
          </w:p>
        </w:tc>
        <w:tc>
          <w:tcPr>
            <w:tcW w:w="9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w w:val="81"/>
              </w:rPr>
              <w:t>Per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note</w:t>
            </w:r>
          </w:p>
        </w:tc>
        <w:tc>
          <w:tcPr>
            <w:tcW w:w="1220" w:type="dxa"/>
            <w:vAlign w:val="bottom"/>
          </w:tcPr>
          <w:p>
            <w:pPr>
              <w:spacing w:after="0"/>
              <w:rPr>
                <w:sz w:val="18"/>
                <w:szCs w:val="18"/>
                <w:color w:val="auto"/>
              </w:rPr>
            </w:pPr>
          </w:p>
        </w:tc>
        <w:tc>
          <w:tcPr>
            <w:tcW w:w="98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126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79"/>
              </w:rPr>
              <w:t>%</w:t>
            </w:r>
          </w:p>
        </w:tc>
        <w:tc>
          <w:tcPr>
            <w:tcW w:w="960" w:type="dxa"/>
            <w:vAlign w:val="bottom"/>
          </w:tcPr>
          <w:p>
            <w:pPr>
              <w:ind w:left="82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1"/>
              </w:rPr>
              <w:t>Per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note</w:t>
            </w:r>
          </w:p>
        </w:tc>
        <w:tc>
          <w:tcPr>
            <w:tcW w:w="1220" w:type="dxa"/>
            <w:vAlign w:val="bottom"/>
            <w:shd w:val="clear" w:color="auto" w:fill="CCEEFF"/>
          </w:tcPr>
          <w:p>
            <w:pPr>
              <w:spacing w:after="0"/>
              <w:rPr>
                <w:sz w:val="18"/>
                <w:szCs w:val="18"/>
                <w:color w:val="auto"/>
              </w:rPr>
            </w:pPr>
          </w:p>
        </w:tc>
        <w:tc>
          <w:tcPr>
            <w:tcW w:w="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126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79"/>
              </w:rPr>
              <w:t>%</w:t>
            </w:r>
          </w:p>
        </w:tc>
        <w:tc>
          <w:tcPr>
            <w:tcW w:w="9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w w:val="81"/>
              </w:rPr>
              <w:t>Per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note</w:t>
            </w:r>
          </w:p>
        </w:tc>
        <w:tc>
          <w:tcPr>
            <w:tcW w:w="1220" w:type="dxa"/>
            <w:vAlign w:val="bottom"/>
          </w:tcPr>
          <w:p>
            <w:pPr>
              <w:spacing w:after="0"/>
              <w:rPr>
                <w:sz w:val="18"/>
                <w:szCs w:val="18"/>
                <w:color w:val="auto"/>
              </w:rPr>
            </w:pPr>
          </w:p>
        </w:tc>
        <w:tc>
          <w:tcPr>
            <w:tcW w:w="98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126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79"/>
              </w:rPr>
              <w:t>%</w:t>
            </w:r>
          </w:p>
        </w:tc>
        <w:tc>
          <w:tcPr>
            <w:tcW w:w="960" w:type="dxa"/>
            <w:vAlign w:val="bottom"/>
          </w:tcPr>
          <w:p>
            <w:pPr>
              <w:ind w:left="82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1"/>
              </w:rPr>
              <w:t>Per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note</w:t>
            </w:r>
          </w:p>
        </w:tc>
        <w:tc>
          <w:tcPr>
            <w:tcW w:w="1220" w:type="dxa"/>
            <w:vAlign w:val="bottom"/>
            <w:shd w:val="clear" w:color="auto" w:fill="CCEEFF"/>
          </w:tcPr>
          <w:p>
            <w:pPr>
              <w:spacing w:after="0"/>
              <w:rPr>
                <w:sz w:val="18"/>
                <w:szCs w:val="18"/>
                <w:color w:val="auto"/>
              </w:rPr>
            </w:pPr>
          </w:p>
        </w:tc>
        <w:tc>
          <w:tcPr>
            <w:tcW w:w="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126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79"/>
              </w:rPr>
              <w:t>%</w:t>
            </w:r>
          </w:p>
        </w:tc>
        <w:tc>
          <w:tcPr>
            <w:tcW w:w="9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w w:val="81"/>
              </w:rPr>
              <w:t>Per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note</w:t>
            </w:r>
          </w:p>
        </w:tc>
        <w:tc>
          <w:tcPr>
            <w:tcW w:w="1220" w:type="dxa"/>
            <w:vAlign w:val="bottom"/>
          </w:tcPr>
          <w:p>
            <w:pPr>
              <w:spacing w:after="0"/>
              <w:rPr>
                <w:sz w:val="20"/>
                <w:szCs w:val="20"/>
                <w:color w:val="auto"/>
              </w:rPr>
            </w:pPr>
          </w:p>
        </w:tc>
        <w:tc>
          <w:tcPr>
            <w:tcW w:w="98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126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79"/>
              </w:rPr>
              <w:t>%</w:t>
            </w:r>
          </w:p>
        </w:tc>
        <w:tc>
          <w:tcPr>
            <w:tcW w:w="960" w:type="dxa"/>
            <w:vAlign w:val="bottom"/>
          </w:tcPr>
          <w:p>
            <w:pPr>
              <w:ind w:left="82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346"/>
        </w:trPr>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2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S-31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shows the underwriting discount that we have agreed to pay to the underwriters in connection with this offering.</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a Percentage of</w:t>
            </w: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 Amount</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2"/>
              </w:rPr>
              <w:t>Per  </w:t>
            </w:r>
          </w:p>
        </w:tc>
        <w:tc>
          <w:tcPr>
            <w:tcW w:w="2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46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floating rate note</w:t>
            </w:r>
          </w:p>
        </w:tc>
        <w:tc>
          <w:tcPr>
            <w:tcW w:w="72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600" w:type="dxa"/>
            <w:vAlign w:val="bottom"/>
            <w:tcBorders>
              <w:top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93"/>
              </w:rPr>
              <w:t>%</w:t>
            </w:r>
          </w:p>
        </w:tc>
        <w:tc>
          <w:tcPr>
            <w:tcW w:w="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7"/>
                <w:szCs w:val="17"/>
                <w:color w:val="auto"/>
                <w:w w:val="72"/>
              </w:rPr>
              <w:t>Per  </w:t>
            </w: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floating rate note</w:t>
            </w:r>
          </w:p>
        </w:tc>
        <w:tc>
          <w:tcPr>
            <w:tcW w:w="720" w:type="dxa"/>
            <w:vAlign w:val="bottom"/>
          </w:tcPr>
          <w:p>
            <w:pPr>
              <w:ind w:left="60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6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3"/>
              </w:rPr>
              <w:t>%</w:t>
            </w:r>
          </w:p>
        </w:tc>
        <w:tc>
          <w:tcPr>
            <w:tcW w:w="6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2"/>
              </w:rPr>
              <w:t>Per  </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4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note</w:t>
            </w:r>
          </w:p>
        </w:tc>
        <w:tc>
          <w:tcPr>
            <w:tcW w:w="7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6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93"/>
              </w:rPr>
              <w:t>%</w:t>
            </w: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7"/>
                <w:szCs w:val="17"/>
                <w:color w:val="auto"/>
                <w:w w:val="72"/>
              </w:rPr>
              <w:t>Per  </w:t>
            </w: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4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note</w:t>
            </w:r>
          </w:p>
        </w:tc>
        <w:tc>
          <w:tcPr>
            <w:tcW w:w="720" w:type="dxa"/>
            <w:vAlign w:val="bottom"/>
          </w:tcPr>
          <w:p>
            <w:pPr>
              <w:ind w:left="60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6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3"/>
              </w:rPr>
              <w:t>%</w:t>
            </w:r>
          </w:p>
        </w:tc>
        <w:tc>
          <w:tcPr>
            <w:tcW w:w="6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2"/>
              </w:rPr>
              <w:t>Per  </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4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note</w:t>
            </w:r>
          </w:p>
        </w:tc>
        <w:tc>
          <w:tcPr>
            <w:tcW w:w="7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6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93"/>
              </w:rPr>
              <w:t>%</w:t>
            </w: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7"/>
                <w:szCs w:val="17"/>
                <w:color w:val="auto"/>
                <w:w w:val="72"/>
              </w:rPr>
              <w:t>Per  </w:t>
            </w: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4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note</w:t>
            </w:r>
          </w:p>
        </w:tc>
        <w:tc>
          <w:tcPr>
            <w:tcW w:w="720" w:type="dxa"/>
            <w:vAlign w:val="bottom"/>
          </w:tcPr>
          <w:p>
            <w:pPr>
              <w:ind w:left="60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6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3"/>
              </w:rPr>
              <w:t>%</w:t>
            </w:r>
          </w:p>
        </w:tc>
        <w:tc>
          <w:tcPr>
            <w:tcW w:w="6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2"/>
              </w:rPr>
              <w:t>Per  </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4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note</w:t>
            </w:r>
          </w:p>
        </w:tc>
        <w:tc>
          <w:tcPr>
            <w:tcW w:w="7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6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93"/>
              </w:rPr>
              <w:t>%</w:t>
            </w: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20"/>
                <w:szCs w:val="20"/>
                <w:color w:val="auto"/>
              </w:rPr>
            </w:pPr>
            <w:r>
              <w:rPr>
                <w:rFonts w:ascii="Times New Roman" w:cs="Times New Roman" w:eastAsia="Times New Roman" w:hAnsi="Times New Roman"/>
                <w:sz w:val="17"/>
                <w:szCs w:val="17"/>
                <w:color w:val="auto"/>
                <w:w w:val="72"/>
              </w:rPr>
              <w:t>Per  </w:t>
            </w: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4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note</w:t>
            </w:r>
          </w:p>
        </w:tc>
        <w:tc>
          <w:tcPr>
            <w:tcW w:w="720" w:type="dxa"/>
            <w:vAlign w:val="bottom"/>
          </w:tcPr>
          <w:p>
            <w:pPr>
              <w:ind w:left="60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6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3"/>
              </w:rPr>
              <w:t>%</w:t>
            </w:r>
          </w:p>
        </w:tc>
        <w:tc>
          <w:tcPr>
            <w:tcW w:w="44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In connection with this offering, the representatives, on behalf of the underwriters, may purchase and sell notes in the open market. These transactions may include over-allotment, syndicate covering transactions and stabilizing transactions. Over-allotment involves syndicate sales of notes of a particular series in excess of the principal amount of notes of such series to be purchased by the underwriters in this offering, which creates a syndicate short position. Syndicate covering transactions involve purchases of notes of a particular series in the open market after the distribution of such notes has been completed in order to cover syndicate short positions. Stabilizing transactions consist of certain bids or purchases of notes of a particular series made for the purpose of preventing or retarding a decline in the market price of the notes of such series while this offering is in progress.</w:t>
      </w:r>
    </w:p>
    <w:p>
      <w:pPr>
        <w:spacing w:after="0" w:line="173"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underwriters also may impose a penalty bid.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Any of these activities may have the effect of preventing or retarding a decline in the market prices of the notes. They may also cause the prices of the notes to be higher than the prices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estimate that our total expenses for this offering (not including the underwriting discount) will be approximately $         .</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and their controlling persons against certain liabilities, including liabilities under the Securities Act, or to contribute to payments they may be required to make because of any of those liabilities.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Relationships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Certain of the underwriters and their affiliates have engaged in, and may in the future engage in, investment banking and other commercial dealings in the ordinary course of business with us or our affiliates. They have received, and may in the future receive, customary fees and commissions for these transactions. Certain of the underwriters have acted as our financial advisor in connection with the Acquisitions. Additionally, Deutsche Bank Securities Inc. is an affiliate of Deutsche Bank Trust Company Americas, the trustee for these notes.</w:t>
      </w:r>
    </w:p>
    <w:p>
      <w:pPr>
        <w:spacing w:after="0" w:line="180"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140"/>
          </w:cols>
          <w:pgMar w:left="320" w:top="455"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Such investments and securities activities may involve securities or instruments of ours or our affiliates. Certain of the underwriters or their affiliates that have a lending relationship with us routinely hedge, and certain other of the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 publish or express independent research views in respect of such securities or financial instruments and may hold, or recommend to clients that they acquire, long or short positions in such securities and instruments.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Certain of the underwriters or their respective affiliates may be holders of our commercial paper. If any of the underwriters, together with their respective affiliates, receives at least 5% of the net proceeds from this offering, not including underwriting compensation, as a result of our intended use of the net proceeds from the sale of the notes as described in “Use of Proceeds,” such underwriters will be deemed to have a “conflict of interest” within the meaning of Rule 5121 of the Financial Industry Regulatory Authority, Inc. (“FINRA Rule 5121”). However, pursuant to FINRA Rule 5121, the appointment of a qualified independent underwriter is not necessary in connection with this offering because the notes are “investment grade rated” as defined by FINRA Rule 5121.</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Extended Settlement</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expect that delivery of the notes will be made to investors on or about     , 2026, which will be the     business day following the date of this prospectus supplement (such settlement being referred to as “T+    ”). Pursuant to Rule 15c6-1 under the Exchange Act, trades in the secondary market generally are required to settle in one business day unless the parties to any such trade expressly agree otherwise. Accordingly, purchasers of the notes who wish to trade the notes before the date of delivery of the notes will be required, by virtue of the fact that the notes initially will settle in T+    , to specify an alternative settlement cycle at the time of any such trade to prevent failed settlement and should consult their own advisors.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 are being offered for sale in jurisdictions where it is lawful to make such offers and sales.</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Each of the underwriters has represented and agreed that it has not and will not offer, sell or deliver any of the notes directly or indirectly, or distribute this prospectus supplement or the prospectus or any other offering material relating to the notes, in or from any jurisdiction except under circumstances that will result in compliance with the applicable laws and regulations thereof and that will not impose any obligations on us except as set forth in the underwriting agreement.</w:t>
      </w:r>
    </w:p>
    <w:p>
      <w:pPr>
        <w:spacing w:after="0" w:line="18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Sales of notes in the United States by any underwriter that is not a broker-dealer registered with the SEC will be made only through one or more SEC-registered broker-dealers in compliance with applicable securities laws and the rules of the Financial Industry Regulatory Authority, Inc.</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100"/>
          </w:cols>
          <w:pgMar w:left="320" w:top="455"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purchaser should refer to any applicable provisions of the securities legislation of the purchaser’s province or territory for particulars of these rights or consult with a legal advisor.</w:t>
      </w:r>
    </w:p>
    <w:p>
      <w:pPr>
        <w:spacing w:after="0" w:line="162" w:lineRule="exact"/>
        <w:rPr>
          <w:sz w:val="20"/>
          <w:szCs w:val="20"/>
          <w:color w:val="auto"/>
        </w:rPr>
      </w:pPr>
    </w:p>
    <w:p>
      <w:pPr>
        <w:jc w:val="both"/>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21" w:lineRule="exact"/>
        <w:rPr>
          <w:sz w:val="20"/>
          <w:szCs w:val="20"/>
          <w:color w:val="auto"/>
        </w:rPr>
      </w:pPr>
    </w:p>
    <w:p>
      <w:pPr>
        <w:jc w:val="both"/>
        <w:ind w:left="120" w:right="140" w:firstLine="440"/>
        <w:spacing w:after="0" w:line="272" w:lineRule="auto"/>
        <w:rPr>
          <w:sz w:val="20"/>
          <w:szCs w:val="20"/>
          <w:color w:val="auto"/>
        </w:rPr>
      </w:pPr>
      <w:r>
        <w:rPr>
          <w:rFonts w:ascii="Times New Roman" w:cs="Times New Roman" w:eastAsia="Times New Roman" w:hAnsi="Times New Roman"/>
          <w:sz w:val="17"/>
          <w:szCs w:val="17"/>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(ii) a customer within the meaning of Directive (EU)</w:t>
      </w:r>
    </w:p>
    <w:p>
      <w:pPr>
        <w:spacing w:after="0" w:line="2"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87"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United Kingdom (“UK”). For these purposes, a retail investor means a person who is neither: (i) a professional client, as defined in point (8) of Article 2(1) of Regulation (EU) 600/2014 as it forms part of domestic law by virtue of the European Union (Withdrawal) Act 2018 (as amended, the “EUWA”); nor (ii) a qualified investor as defined in paragraph 15 of Schedule 1 to the Public Offers and Admissions to Trading Regulations 2024 (the “POATRs”). Consequently, no key information document required by Regulation (EU) 1286/2014 as it forms part of domestic law by virtue of the EUWA (as amended,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has been prepared on the basis that any offer of notes in the UK will be made pursuant to an exemption under the POATRs from the prohibition on public offers.</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080"/>
          </w:cols>
          <w:pgMar w:left="320" w:top="455"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Financial Services and Markets Act 2000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21" w:lineRule="exact"/>
        <w:rPr>
          <w:sz w:val="20"/>
          <w:szCs w:val="20"/>
          <w:color w:val="auto"/>
        </w:rPr>
      </w:pPr>
    </w:p>
    <w:p>
      <w:pPr>
        <w:jc w:val="both"/>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This prospectus supplement is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notes may not be offered or sold by means of any document other than: (1) in circumstances which do not constitute an offer to the public within the meaning of the Companies Ordinance (Cap.32, Laws of Hong Kong), (2) to “professional investors” within the meaning of the Securities and Futures Ordinance (Cap.571, Laws of Hong Kong) and any rules made thereunder or (3) in other circumstances which do not result in the document being a “prospectus” within the meaning of the Companies Ordinance (Cap.32,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Financial Instruments and Exchange Law of Japan (the “Financial Instruments and Exchange Law”) and each underwriter has agreed that it will not offer or 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21"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This prospectus supplement and the accompanying prospectus have not been registered as a prospectus with the Monetary Authority of Singapore. Accordingly, the notes may not be offered or sold, or made the subject of an invitation for subscription or purchase, nor may this prospectus supplement, the accompanying prospectus or any other document or material in connection with the offer or sale, or invitation for subscription or purchase of the notes be circulated, whether directly or indirectly, to any person in Singapore other than (i) to an institutional investor (as defined in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validity of the notes will be passed upon for us by Kirkland &amp; Ellis LLP, New York, New York. Davis Polk &amp; Wardwell LLP, New York, New York, will pass on certain legal matters for the underwriters. Kirkland &amp; Ellis LLP and Davis Polk &amp; Wardwell LLP will rely on the opinion of Jamie Burnett, our Associate Vice President—Assistant General Counsel—Finance and Corporate Governance, with respect to matters of Indiana law. Ms. Burnett beneficially owns, or has rights to acquire, an aggregate of less than 1% of our outstanding common stock.</w:t>
      </w:r>
    </w:p>
    <w:p>
      <w:pPr>
        <w:spacing w:after="0" w:line="11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2025, and the effectiveness of our internal control over financial reporting as of December 31, 2025, as set forth in their reports, which are incorporated by reference in this prospectus supplement, the accompanying prospectus and elsewhere in the registration statement. Our financial statements are incorporated by reference in reliance on Ernst &amp; Young LLP’s reports, given on their authority as experts in accounting and auditing.</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060"/>
          </w:cols>
          <w:pgMar w:left="320" w:top="455" w:right="5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 INTO THIS PROSPECTUS SUPPLEMENT</w:t>
      </w:r>
    </w:p>
    <w:p>
      <w:pPr>
        <w:spacing w:after="0" w:line="20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file annual, quarterly and periodic reports, proxy statements and other information with the SEC. The SEC allows us to “incorporate by reference” into this prospectus supplement information which we file with it. This means that we can disclose important information to you by referring you to the documents containing that information and that such information will be regarded as an important part of this prospectus supplement. We encourage you to read the SEC filings incorporated by reference into this prospectus supplement before investing in the notes. Our SEC filings are available to the public on the SEC’s website (www.sec.gov). We make available free of charge most of our SEC filings through our website (www.lilly.com) as soon as reasonably practical after they are filed with the SEC. The information contained in, or that can be accessed through, our website is not a part of, or incorporated by reference in, this prospectus supplement.</w:t>
      </w:r>
    </w:p>
    <w:p>
      <w:pPr>
        <w:spacing w:after="0" w:line="18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incorporate by reference the following documents that we previously filed with the SEC (other than information in such documents that is deemed furnished and not filed):</w:t>
      </w:r>
    </w:p>
    <w:p>
      <w:pPr>
        <w:spacing w:after="0" w:line="67" w:lineRule="exact"/>
        <w:rPr>
          <w:sz w:val="20"/>
          <w:szCs w:val="20"/>
          <w:color w:val="auto"/>
        </w:rPr>
      </w:pPr>
    </w:p>
    <w:p>
      <w:pPr>
        <w:ind w:left="1080" w:right="42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2025, filed with the SEC on February 12, 2026 (including the information incorporated by reference therein from our definitive proxy statement on </w:t>
      </w:r>
      <w:hyperlink r:id="rId54">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March 20, 2026);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55">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2026, filed with the SEC on April 30, 2026.</w:t>
      </w:r>
    </w:p>
    <w:p>
      <w:pPr>
        <w:spacing w:after="0" w:line="225" w:lineRule="exact"/>
        <w:rPr>
          <w:rFonts w:ascii="Times New Roman" w:cs="Times New Roman" w:eastAsia="Times New Roman" w:hAnsi="Times New Roman"/>
          <w:sz w:val="18"/>
          <w:szCs w:val="18"/>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also incorporate by reference any future filings we make with the SEC under Sections 13(a), 13(c), 14 or 15(d) of the Exchange Act on or after the date of this prospectus supplement until the date we have sold all of the notes offered pursuant to this prospectus supplement or this offering is otherwise terminated (other than any such filings or portions thereof, including any corresponding exhibits, that are not deemed filed with the SEC, including any information furnished under Item 2.02 or Item 7.01 of a Current Report on Form 8-K, unless otherwise indicated therein). Our future filings with the SEC will automatically update and supersede any inconsistent information in this prospectus supplement and in our other SEC filings, and such outdated or inconsistent information will no longer be regarded as part of this prospectus supplement.</w:t>
      </w:r>
    </w:p>
    <w:p>
      <w:pPr>
        <w:spacing w:after="0" w:line="187"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You may also obtain a free copy of these filings by telephoning or writing to us at the following address and telephone number:</w:t>
      </w:r>
    </w:p>
    <w:p>
      <w:pPr>
        <w:spacing w:after="0" w:line="252"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Eli Lilly and Company</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Lilly Corporate Center</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Indianapolis, Indiana 46285</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Telephone: (317) 276-2000</w:t>
      </w:r>
    </w:p>
    <w:p>
      <w:pPr>
        <w:spacing w:after="0" w:line="13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S-38</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173990</wp:posOffset>
            </wp:positionV>
            <wp:extent cx="994410" cy="540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99441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43"/>
          <w:szCs w:val="43"/>
          <w:b w:val="1"/>
          <w:bCs w:val="1"/>
          <w:color w:val="auto"/>
        </w:rPr>
        <w:t>Eli Lilly and Company</w:t>
      </w:r>
    </w:p>
    <w:p>
      <w:pPr>
        <w:spacing w:after="0" w:line="24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Depositary Shares</w:t>
      </w:r>
    </w:p>
    <w:p>
      <w:pPr>
        <w:spacing w:after="0" w:line="1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Stock Purchase Contracts</w:t>
      </w:r>
    </w:p>
    <w:p>
      <w:pPr>
        <w:spacing w:after="0" w:line="1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Stock Purchase Units</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You should read this prospectus and the applicable prospectus supplement carefully before you invest in any of our securities.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this prospectus, we may offer and sell, from time to time, in one or more offerings:</w:t>
      </w:r>
    </w:p>
    <w:p>
      <w:pPr>
        <w:spacing w:after="0" w:line="131"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depositary shares representing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purchase contracts;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purchase units.</w:t>
      </w:r>
    </w:p>
    <w:p>
      <w:pPr>
        <w:spacing w:after="0" w:line="225"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“LLY”. Our principal executive offices are located at Lilly Corporate Center, Indianapolis, Indiana 46285, and our telephone number is (317) 276-2000.</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contain the specific terms of the securities being offered thereby. This prospectus may not be used to sell securities unless accompanied by a prospectus supplement.</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may sell these securities to or through underwriters, dealers or agents. We may also sell these securities directly or through our subsidiaries to purchasers.</w:t>
      </w:r>
    </w:p>
    <w:p>
      <w:pPr>
        <w:spacing w:after="0" w:line="148" w:lineRule="exact"/>
        <w:rPr>
          <w:sz w:val="20"/>
          <w:szCs w:val="20"/>
          <w:color w:val="auto"/>
        </w:rPr>
      </w:pPr>
    </w:p>
    <w:p>
      <w:pPr>
        <w:jc w:val="both"/>
        <w:ind w:left="120" w:right="480" w:firstLine="44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securities involves risks.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2 of this prospectus, as well as any risk factors contained in any prospectus supplement and the documents incorporated by reference herein and therein, before you make your investment decision.</w:t>
      </w:r>
    </w:p>
    <w:p>
      <w:pPr>
        <w:spacing w:after="0" w:line="176"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207010</wp:posOffset>
            </wp:positionV>
            <wp:extent cx="1474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The date of this prospectus is February 19, 2025.</w:t>
      </w:r>
    </w:p>
    <w:p>
      <w:pPr>
        <w:sectPr>
          <w:pgSz w:w="11900" w:h="16838" w:orient="portrait"/>
          <w:cols w:equalWidth="0" w:num="1">
            <w:col w:w="11020"/>
          </w:cols>
          <w:pgMar w:left="320" w:top="455" w:right="5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10280" w:type="dxa"/>
            <w:vAlign w:val="bottom"/>
            <w:gridSpan w:val="11"/>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6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22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060" w:type="dxa"/>
            <w:vAlign w:val="bottom"/>
            <w:gridSpan w:val="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02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 DOCUMENTS INCORPORATED BY REFERENCE INTO THIS PROSPECTUS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988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ELI LILLY AND COMPANY</w:t>
            </w:r>
          </w:p>
        </w:tc>
        <w:tc>
          <w:tcPr>
            <w:tcW w:w="40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02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5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5"/>
          </w:tcPr>
          <w:p>
            <w:pPr>
              <w:spacing w:after="0"/>
              <w:rPr>
                <w:sz w:val="17"/>
                <w:szCs w:val="17"/>
                <w:color w:val="auto"/>
              </w:rPr>
            </w:pPr>
          </w:p>
        </w:tc>
        <w:tc>
          <w:tcPr>
            <w:tcW w:w="4960" w:type="dxa"/>
            <w:vAlign w:val="bottom"/>
            <w:gridSpan w:val="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02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250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778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8240" w:type="dxa"/>
            <w:vAlign w:val="bottom"/>
            <w:gridSpan w:val="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102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that we filed with the Securities and Exchange Commission, or SEC, as a “well-known seasoned issuer,” as defined under Rule 405 under the Securities Act of 1933, as amended, or the Securities Act. Under this shelf registration process, we may, from time to time, in one or more offerings, offer and sell any of the securities described in this prospectus.</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offer any of these securities, we will prepare a prospectus supplement that will contain certain specific information about the terms of that offering and the securities being offered thereby. The applicable prospectus supplement may also add, update or change information contained in this prospectus. You should read this prospectus and the applicable prospectus supplement together with the additional information described under the heading “Where You Can Find More Information; Documents Incorporated by Reference into this Prospectus” in this prospectus in their entirety before investing in any of our securities.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registration statement that contains this prospectus, and the exhibits to the registration statement, contain additional information about us and the securities that we may offer under this prospectus. Statements contained in this prospectus as to the contents of any contract or other document are not necessarily complete, and in each instance reference is made to the copy of that contract or other document filed as an exhibit to the registration statement, each such statement being qualified in all respects by that reference and the exhibits and schedules thereto. The registration statement and exhibits can be read at the SEC’s website mentioned under the heading “Where You Can Find More Information; Documents Incorporated by Reference into this Prospectus” in this prospectus.</w:t>
      </w:r>
    </w:p>
    <w:p>
      <w:pPr>
        <w:spacing w:after="0" w:line="187" w:lineRule="exact"/>
        <w:rPr>
          <w:sz w:val="20"/>
          <w:szCs w:val="20"/>
          <w:color w:val="auto"/>
        </w:rPr>
      </w:pPr>
    </w:p>
    <w:p>
      <w:pPr>
        <w:ind w:left="120" w:right="140" w:firstLine="440"/>
        <w:spacing w:after="0" w:line="281" w:lineRule="auto"/>
        <w:rPr>
          <w:sz w:val="20"/>
          <w:szCs w:val="20"/>
          <w:color w:val="auto"/>
        </w:rPr>
      </w:pPr>
      <w:r>
        <w:rPr>
          <w:rFonts w:ascii="Times New Roman" w:cs="Times New Roman" w:eastAsia="Times New Roman" w:hAnsi="Times New Roman"/>
          <w:sz w:val="17"/>
          <w:szCs w:val="17"/>
          <w:color w:val="auto"/>
        </w:rPr>
        <w:t>We may include agreements as exhibits to the registration statement of which this prospectus forms a part. In reviewing such agreements, please remember they are included to provide you with information regarding their terms and are not intended to provide any other factual or disclosure information about us or the other parties to the agreements. The agreements may contain representations and warranties by each of the parties to the applicable agreement. These representations and warranties have been made solely for the benefit of the other parties to the applicable agreement and:</w:t>
      </w:r>
    </w:p>
    <w:p>
      <w:pPr>
        <w:spacing w:after="0" w:line="70" w:lineRule="exact"/>
        <w:rPr>
          <w:sz w:val="20"/>
          <w:szCs w:val="20"/>
          <w:color w:val="auto"/>
        </w:rPr>
      </w:pPr>
    </w:p>
    <w:p>
      <w:pPr>
        <w:ind w:left="1080" w:right="30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not be treated as categorical statements of fact, but rather as a way of allocating the risk to one of the parties if those statements prove to be inaccurate;</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been qualified by disclosures that were made to the other party in connection with the negotiation of the applicable agreement, which disclosures would not necessarily be reflected in the agreement;</w:t>
      </w:r>
    </w:p>
    <w:p>
      <w:pPr>
        <w:spacing w:after="0" w:line="67"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apply standards of materiality in a way that is different from what may be viewed as material to you or other investors in our securities; and</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made only as of the date of the applicable agreement or such other date or dates as may be specified in the agreement, are subject to more recent developments, and therefore may no longer be accurate.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80"/>
          </w:cols>
          <w:pgMar w:left="320" w:top="455" w:right="4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business is subject to uncertainties and risks, and an investment in our securities involves risks. You should carefully consider and evaluate all of the information included and incorporated by reference in this prospectus, including the risk factors incorporated by reference from our most recent Annual Report on Form 10-K, as updated by our Quarterly Reports on Form 10-Q and other SEC filings, before investing in our securities. We may include additional risks related to the securities being offered in the prospectus supplement relating to that offering. It is possible that our business, financial condition, liquidity, cash flows, results of operations, reputation and prospects could be materially adversely affected by any of these risks or additional risks and uncertainties not presently known to us or that we currently believe to be immaterial.</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 INTO THIS PROSPECTUS</w:t>
      </w:r>
    </w:p>
    <w:p>
      <w:pPr>
        <w:spacing w:after="0" w:line="20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file annual, quarterly and periodic reports, proxy statements and other information with the SEC. The SEC allows us to “incorporate by reference” into this prospectus information which we file with it. This means that we can disclose important information to you by referring you to the documents containing that information and that such information will be regarded as an important part of this prospectus. We encourage you to read the SEC filings incorporated by reference into this prospectus before investing in any of our securities. Our SEC filings are available to the public on the SEC’s website (www.sec.gov). We make available free of charge most of our SEC filings through our website (www.lilly.com) as soon as reasonably practical after they are filed with the SEC. The information contained in, or that can be accessed through, our website is not a part of, or incorporated by reference in, this prospectus.</w:t>
      </w:r>
    </w:p>
    <w:p>
      <w:pPr>
        <w:spacing w:after="0" w:line="18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incorporate by reference the following documents that we previously filed with the SEC (other than information in such documents that is deemed furnished and not filed):</w:t>
      </w:r>
    </w:p>
    <w:p>
      <w:pPr>
        <w:spacing w:after="0" w:line="67"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6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February 19, 2025;</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w:t>
      </w:r>
      <w:hyperlink r:id="rId64">
        <w:r>
          <w:rPr>
            <w:rFonts w:ascii="Times New Roman" w:cs="Times New Roman" w:eastAsia="Times New Roman" w:hAnsi="Times New Roman"/>
            <w:sz w:val="18"/>
            <w:szCs w:val="18"/>
            <w:u w:val="single" w:color="auto"/>
            <w:color w:val="0000EE"/>
          </w:rPr>
          <w:t>Form 8-K</w:t>
        </w:r>
      </w:hyperlink>
      <w:r>
        <w:rPr>
          <w:rFonts w:ascii="Times New Roman" w:cs="Times New Roman" w:eastAsia="Times New Roman" w:hAnsi="Times New Roman"/>
          <w:sz w:val="18"/>
          <w:szCs w:val="18"/>
          <w:color w:val="auto"/>
        </w:rPr>
        <w:t>, filed with the SEC on February 12, 2025; and</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0"/>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our common stock contained in our registration statement under the Securities Exchange Act of 1934, as amended, or the Exchange Act, with respect to that common stock filed with the SEC, as amended by the description of our common stock contained in </w:t>
      </w:r>
      <w:hyperlink r:id="rId65">
        <w:r>
          <w:rPr>
            <w:rFonts w:ascii="Times New Roman" w:cs="Times New Roman" w:eastAsia="Times New Roman" w:hAnsi="Times New Roman"/>
            <w:sz w:val="18"/>
            <w:szCs w:val="18"/>
            <w:u w:val="single" w:color="auto"/>
            <w:color w:val="0000EE"/>
          </w:rPr>
          <w:t>Exhibit 4.3</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our Annual Report on Form 10-K for the year ended December 31, 2023 and as amended by any subsequent amendments 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reports filed for the purpose of updating such description.</w:t>
      </w:r>
    </w:p>
    <w:p>
      <w:pPr>
        <w:spacing w:after="0" w:line="180" w:lineRule="exact"/>
        <w:rPr>
          <w:rFonts w:ascii="Times New Roman" w:cs="Times New Roman" w:eastAsia="Times New Roman" w:hAnsi="Times New Roman"/>
          <w:sz w:val="18"/>
          <w:szCs w:val="18"/>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also incorporate by reference any future filings we make with the SEC under Sections 13(a), 13(c), 14 or 15(d) of the Exchange Act on or after the date of this prospectus and, in the case of any particular offering of securities, until such offering of securities is terminated (other than any such filings or portions thereof, including any corresponding exhibits, that are not deemed filed with the SEC, including any information furnished under Item 2.02 or Item 7.01 of a Current Report on Form 8-K, unless otherwise indicated therein). Our future filings with the SEC will automatically update and supersede any inconsistent information in this prospectus and in our other SEC filings, and such outdated or inconsistent information will no longer be regarded as part of this prospectus.</w:t>
      </w:r>
    </w:p>
    <w:p>
      <w:pPr>
        <w:spacing w:after="0" w:line="187"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You may also obtain a free copy of these filings by telephoning or writing to us at the following address and telephone number:</w:t>
      </w:r>
    </w:p>
    <w:p>
      <w:pPr>
        <w:spacing w:after="0" w:line="225"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Eli Lilly and Company</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Lilly Corporate Center</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Indianapolis, Indiana 46285</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Telephone: (317) 276-2000</w:t>
      </w:r>
    </w:p>
    <w:p>
      <w:pPr>
        <w:spacing w:after="0" w:line="207" w:lineRule="exact"/>
        <w:rPr>
          <w:rFonts w:ascii="Times New Roman" w:cs="Times New Roman" w:eastAsia="Times New Roman" w:hAnsi="Times New Roman"/>
          <w:sz w:val="18"/>
          <w:szCs w:val="18"/>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not making an offer to sell, or the solicitation of an offer to buy, any of these securities in any jurisdiction where an offer or sale is not permitted. You should not assume that the information contained in this prospectus or the applicable prospectus supplement is accurate as of any date other than the date on the front cover of this prospectus or the applicable prospectus supplement, as the case may be, or that the information incorporated by reference herein and therein is accurate as of any date other than the date of the relevant report or other document in which such information is contained.</w:t>
      </w:r>
    </w:p>
    <w:p>
      <w:pPr>
        <w:spacing w:after="0" w:line="116"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ELI LILLY AND COMPANY</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are a worldwide research-based pharmaceutical company. We were incorporated in 1901 in Indiana to succeed to the drug manufacturing business founded in Indianapolis, Indiana, in 1876 by Colonel Eli Lilly. We discover, develop, manufacture and market products in a single business segment—human pharmaceutical products. Our purpose is to unite caring with discovery to create medicines that make life better for people around the world. Our long-term success depends on our ability to continually discover or acquire, develop and commercialize innovative medicines. We manufacture and distribute our products through facilities in the United States, including Puerto Rico, and in Europe and Asia. Our products are sold in approximately 95 countries.</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corporate offices are located at Lilly Corporate Center, Indianapolis, Indiana 46285, our telephone number is (317) 276-2000 and our website is www.lilly.com. We have included our website address in this prospectus solely as an inactive textual reference and the information contained in, or that can be accessed through, our website is not a part of, or incorporated by reference in, this prospectus.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60"/>
          </w:cols>
          <w:pgMar w:left="320" w:top="455" w:right="5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This prospectus and the information included or incorporated by reference herein and therein include forward-looking statements within the meaning of Section 27A of the Securities Act and Section 21E of the Exchange Act, and are subject to the safe harbor created thereby under the Private Securities Litigation Reform Act of 1995. Forward-looking statements include all statements that do not relate solely to historical or current facts, and generally can be identified by the use of words such as “may,” “could,” “aim,” “seek,” “believe,” “will,” “expect,” “project,” “estimate,” “intend,” “target,” “anticipate,” “plan,” “continue,” or similar expressions or future or conditional verbs.</w:t>
      </w:r>
    </w:p>
    <w:p>
      <w:pPr>
        <w:spacing w:after="0" w:line="183"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Forward-looking statements inherently involve many risks and uncertainties that could cause actual results to differ materially from those expressed in forward-looking statements. Forward-looking statements are based on management’s current plans and expectations, expressed in good faith and believed to have a reasonable basis. However, we can give no assurance that any expectation or belief will result or will be achieved or accomplished. Investors therefore should not place undue reliance on forward-looking statements. The following include some but not all of the factors that could cause actual results or events to differ materially from those anticipated:</w:t>
      </w:r>
    </w:p>
    <w:p>
      <w:pPr>
        <w:spacing w:after="0" w:line="89" w:lineRule="exact"/>
        <w:rPr>
          <w:sz w:val="20"/>
          <w:szCs w:val="20"/>
          <w:color w:val="auto"/>
        </w:rPr>
      </w:pPr>
    </w:p>
    <w:p>
      <w:pPr>
        <w:ind w:left="1080" w:right="2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costs and uncertainties in the pharmaceutical research and development process, including with respect to the timing and process of obtaining regulatory approvals;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uncertain outcome of acquisitions and business development transactions and related costs;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affecting our products, pipeline or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uptake of launched products and indications;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pricing pressures and the impact of actions of governmental and private payers affecting pricing of, reimbursement for and patient access to pharmaceuticals, or reporting obligations related thereto;</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or efficacy concerns associated with our or competitive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relatively few products or product classes for a significant percentage of our total revenue and a consolidated supply chain;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intellectual property protection for certain of our products and competition from generic and biosimilar products;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patents and other intellectual property and changes in patent law or regulations related to data package exclusivity;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system inadequacies, inadequate controls or procedures, security breaches or operating failures;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access, disclosure, misappropriation or compromise of confidential information or other data stored in our information technology systems, networks and facilities, or those of third parties with whom we share our data and violations of data protection laws or regulations;</w:t>
      </w:r>
    </w:p>
    <w:p>
      <w:pPr>
        <w:spacing w:after="0" w:line="81"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with product supply and regulatory approvals stemming from manufacturing difficulties, disruptions or shortages, including as a result of unpredictability and variability in demand, labor shortages, third-party performance, quality, cyber-attacks or regulatory actions related to our and third-party facilities;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third-party relationships and outsourcing arrangements;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artificial intelligence or other emerging technologies in various facets of our operations may exacerbate competitive, regulatory, litigation, cybersecurity and other risks;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320" w:top="455"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400" w:hanging="424"/>
        <w:spacing w:after="0" w:line="312" w:lineRule="auto"/>
        <w:tabs>
          <w:tab w:leader="none" w:pos="10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global macroeconomic conditions, including uneven economic growth or downturns or uncertainty, trade disruptions, international tension, conflicts, regional dependencies or other costs, uncertainties and risks related to engaging in business globally;</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devaluations in foreign currency exchange rates, changes in interest rates and inflation or deflation;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sudden declines or volatility in the trading price of our common stock and market capitalization;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investigations or other similar proceedings involving past, current or future products or activities;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 and regulation, tax rates or events that differ from our assumptions related to tax positions;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and developments;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oversight and actions regarding our operations and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compliance problems or government investigations;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from the proliferation of counterfeit, misbranded, adulterated or illegally compounded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deviation from environmental-, social- or governance-related requirements or expectations;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impairments and restructuring charges;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and reporting standards;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factors that are discussed in this prospectus and any applicable prospectus supplement.</w:t>
      </w:r>
    </w:p>
    <w:p>
      <w:pPr>
        <w:spacing w:after="0" w:line="225"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You should also carefully read the factors described under “Risk Factors” and in other cautionary statements in this prospectus and in our Annual Report on Form 10-K for the year ended December 31, 2024 and our other filings with the SEC that are incorporated by reference into this prospectus for a description of certain risks that could, among other things, cause our actual results to differ from those expressed in forward-looking statements.</w:t>
      </w:r>
    </w:p>
    <w:p>
      <w:pPr>
        <w:spacing w:after="0" w:line="15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All forward-looking statements speak only as of the date of this prospectus and are expressly qualified in their entirety by the risk factors and cautionary statements included in, or incorporated by reference into, this prospectus. Except as is required by law, we expressly disclaim any obligation to publicly release any revisions to forward-looking statements to reflect events after the date of this prospectus.</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320" w:top="455" w:right="5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the sale of the securities for general corporate purposes, unless otherwise specified in the applicable prospectus supplement.</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80"/>
          </w:cols>
          <w:pgMar w:left="320" w:top="455"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This prospectus contains a summary of the common stock, preferred stock, depositary shares, debt securities, warrants, stock purchase contracts and stock purchase units that we may offer, from time to time, in future securities offerings. These summaries are not meant to be a complete description of each security. Certain specific terms of any security to be issued pursuant hereto will be set forth in a related prospectus supplement.</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DESCRIPTION OF CAPITAL STOCK</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As of the date hereof, our authorized capital stock consists of 3,205,000,000 shares, of which 3,200,000,000 shares are common stock, without par value, and 5,000,000 shares are preferred stock, without par value. As of February 14, 2025, there were 948,169,999 shares of our common stock outstanding. None of our preferred stock was issued and outstanding as of February 14, 2025. All of our issued and outstanding shares of common stock are fully paid and non-assessable.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9" w:lineRule="exact"/>
        <w:rPr>
          <w:sz w:val="20"/>
          <w:szCs w:val="20"/>
          <w:color w:val="auto"/>
        </w:rPr>
      </w:pPr>
    </w:p>
    <w:p>
      <w:pPr>
        <w:ind w:left="120" w:right="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Dividend Rights</w:t>
      </w:r>
      <w:r>
        <w:rPr>
          <w:rFonts w:ascii="Times New Roman" w:cs="Times New Roman" w:eastAsia="Times New Roman" w:hAnsi="Times New Roman"/>
          <w:sz w:val="18"/>
          <w:szCs w:val="18"/>
          <w:color w:val="auto"/>
        </w:rPr>
        <w:t>. Subject to the dividend rights of the holders of any outstanding shares of preferred stock, the holders of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entitled to receive ratably dividends as may be lawfully declared at any time by our board of directors.</w:t>
      </w:r>
    </w:p>
    <w:p>
      <w:pPr>
        <w:spacing w:after="0" w:line="158" w:lineRule="exact"/>
        <w:rPr>
          <w:sz w:val="20"/>
          <w:szCs w:val="20"/>
          <w:color w:val="auto"/>
        </w:rPr>
      </w:pPr>
    </w:p>
    <w:p>
      <w:pPr>
        <w:ind w:left="120" w:right="3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Rights Upon Liquidation</w:t>
      </w:r>
      <w:r>
        <w:rPr>
          <w:rFonts w:ascii="Times New Roman" w:cs="Times New Roman" w:eastAsia="Times New Roman" w:hAnsi="Times New Roman"/>
          <w:sz w:val="18"/>
          <w:szCs w:val="18"/>
          <w:color w:val="auto"/>
        </w:rPr>
        <w:t>. Upon liquidation, dissolution or winding up of our affairs, after payment to the holders of any outstanding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of the full amount to which they are entitled, the holders of shares of common stock are entitled, to the exclusion of any holders of preferred stock, to share ratably in our remaining assets that are legally available for distribution after satisfaction of our liabilities.</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No Conversion, Redemption or Preemptive Rights. </w:t>
      </w:r>
      <w:r>
        <w:rPr>
          <w:rFonts w:ascii="Times New Roman" w:cs="Times New Roman" w:eastAsia="Times New Roman" w:hAnsi="Times New Roman"/>
          <w:sz w:val="18"/>
          <w:szCs w:val="18"/>
          <w:color w:val="auto"/>
        </w:rPr>
        <w:t>Holders of our common stock have no conversion, redemption, preemptive or similar rights.</w:t>
      </w:r>
    </w:p>
    <w:p>
      <w:pPr>
        <w:spacing w:after="0" w:line="225" w:lineRule="exact"/>
        <w:rPr>
          <w:sz w:val="20"/>
          <w:szCs w:val="20"/>
          <w:color w:val="auto"/>
        </w:rPr>
      </w:pPr>
    </w:p>
    <w:p>
      <w:pPr>
        <w:ind w:left="120" w:right="3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Each outstanding share of common stock is entitled to one vote on all matters submitted to a vote of shareholders. Our amended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articles of incorporation do not provide for cumulative voting in the election of directors.</w:t>
      </w:r>
    </w:p>
    <w:p>
      <w:pPr>
        <w:spacing w:after="0" w:line="158" w:lineRule="exact"/>
        <w:rPr>
          <w:sz w:val="20"/>
          <w:szCs w:val="20"/>
          <w:color w:val="auto"/>
        </w:rPr>
      </w:pPr>
    </w:p>
    <w:p>
      <w:pPr>
        <w:ind w:left="120" w:right="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Provisions. </w:t>
      </w:r>
      <w:r>
        <w:rPr>
          <w:rFonts w:ascii="Times New Roman" w:cs="Times New Roman" w:eastAsia="Times New Roman" w:hAnsi="Times New Roman"/>
          <w:sz w:val="18"/>
          <w:szCs w:val="18"/>
          <w:color w:val="auto"/>
        </w:rPr>
        <w:t>No shares of any class of our capital stock are subject to any sinking fund provisions or to calls, assessments by, or liabilities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company.</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amended articles of incorporation authorize our board of directors, without further shareholder action, to provide for the issuance of up to 5,000,000 shares of preferred stock, in one or more series, and to fix, by the adoption and filing in accordance with the Indiana Business Corporation Law, or the IBCL, of an amendment or amendments to our amended articles of incorporation, the designations, terms and relative rights and preferences, including the dividend rate, voting rights, conversion rights, redemption and sinking fund provisions and liquidation preferences, of each of these series. We may amend from time to time our amended articles of incorporation to increase the number of authorized shares of preferred stock. Any such amendment would be approved if the votes cast favoring the amendment exceed the votes cast opposing the amendment.</w:t>
      </w:r>
    </w:p>
    <w:p>
      <w:pPr>
        <w:spacing w:after="0" w:line="18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Certain specific terms of any preferred stock that we offer in the future will be described in the applicable prospectus supplement relating to that preferred stock. Investors are urged to carefully review the terms contained in such prospectus supplement, as well as the articles of amendment establishing such terms that we file with the Secretary of State of the State of Indiana and the SEC. Those terms may include:</w:t>
      </w:r>
    </w:p>
    <w:p>
      <w:pPr>
        <w:spacing w:after="0" w:line="81" w:lineRule="exact"/>
        <w:rPr>
          <w:sz w:val="20"/>
          <w:szCs w:val="20"/>
          <w:color w:val="auto"/>
        </w:rPr>
      </w:pPr>
    </w:p>
    <w:p>
      <w:pPr>
        <w:ind w:left="5580" w:right="2800" w:hanging="4924"/>
        <w:spacing w:after="0" w:line="454" w:lineRule="auto"/>
        <w:tabs>
          <w:tab w:leader="none" w:pos="108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liquidation preference per share of the preferred stock and the number of shares offered; 8</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aggregate offering price of the preferred stock;</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(or method of calculation), the dates on which dividends will be payable, whether dividends shall be cumulative and, if so, the date from which the dividends will begin to accumulate;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sinking fund provisions of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rights applicable to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federal income tax considerations;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dividend, liquidation, conversion and other rights, preferences, privileges, limitations and restrictions of the preferred stock.</w:t>
      </w:r>
    </w:p>
    <w:p>
      <w:pPr>
        <w:spacing w:after="0" w:line="22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Dividend Rights</w:t>
      </w:r>
      <w:r>
        <w:rPr>
          <w:rFonts w:ascii="Times New Roman" w:cs="Times New Roman" w:eastAsia="Times New Roman" w:hAnsi="Times New Roman"/>
          <w:sz w:val="18"/>
          <w:szCs w:val="18"/>
          <w:color w:val="auto"/>
        </w:rPr>
        <w:t>. The preferred stock will have a preference over the common stock as to the payment of dividends. Before any dividends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distributions (other than dividends or distributions payable in common stock or other stock ranking junior to that series of preferred stock as to dividends and upon liquidation) on the common stock or other stock ranking junior to that series of preferred stock as to dividends and upon liquidation shall be declared and set apart for payment or paid, the holders of shares of each series of preferred stock (unless otherwise set forth in the applicable prospectus supplement) will be entitled to receive dividends when, as and if declared by our board of directors or, if dividends are cumulative, full cumulative dividends for the current and all prior dividend periods. We will pay those dividends either in cash, shares of preferred stock, or otherwise, at the rate and on the date or dates set forth in the applicable prospectus supplement. With respect to each series of preferred stock that has cumulative dividends, the dividends on each share of the series will be cumulative from the date of issue of the share unless some other date is set forth in the prospectus supplement relating to the series. Accruals of dividends will not bear interest. The applicable prospectus supplement will indicate the relative ranking of the particular series of the preferred stock as to the payment of dividends, as compared with then-existing and future series of preferred stock.</w:t>
      </w:r>
    </w:p>
    <w:p>
      <w:pPr>
        <w:spacing w:after="0" w:line="18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Rights Upon Liquidation</w:t>
      </w:r>
      <w:r>
        <w:rPr>
          <w:rFonts w:ascii="Times New Roman" w:cs="Times New Roman" w:eastAsia="Times New Roman" w:hAnsi="Times New Roman"/>
          <w:sz w:val="18"/>
          <w:szCs w:val="18"/>
          <w:color w:val="auto"/>
        </w:rPr>
        <w:t>. The preferred stock of each series will be preferred over the common stock and other stock ranking junior to that series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preferred stock as to assets, so that the holders of that series of preferred stock (unless otherwise set forth in the applicable prospectus supplement) will be entitled to be paid, upon our voluntary or involuntary liquidation, dissolution or winding up, and before any distribution is made to the holders of common stock and other stock ranking junior to that series of preferred stock, the amount set forth in the applicable prospectus supplement. However, in this case the holders of preferred stock of that series will not be entitled to any other or further payment. If upon any liquidation, dissolution or winding up, our net assets are insufficient to permit the payment in full of the respective amounts to which the holders of all outstanding preferred stock are entitled, our entire remaining net assets will be distributed among the holders of each series of preferred stock in amounts proportional to the full amounts to which the holders of each series are entitled, subject to any provisions of any series of preferred stock that rank it junior or senior to other series of preferred stock upon liquidation. The applicable prospectus supplement will indicate the relative ranking of the particular series of the preferred stock upon liquidation, as compared with then-existing and future series of preferred stock.</w:t>
      </w:r>
    </w:p>
    <w:p>
      <w:pPr>
        <w:spacing w:after="0" w:line="185" w:lineRule="exact"/>
        <w:rPr>
          <w:sz w:val="20"/>
          <w:szCs w:val="20"/>
          <w:color w:val="auto"/>
        </w:rPr>
      </w:pPr>
    </w:p>
    <w:p>
      <w:pPr>
        <w:ind w:left="120" w:righ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Conversion, Redemption or Exchange Rights</w:t>
      </w:r>
      <w:r>
        <w:rPr>
          <w:rFonts w:ascii="Times New Roman" w:cs="Times New Roman" w:eastAsia="Times New Roman" w:hAnsi="Times New Roman"/>
          <w:sz w:val="18"/>
          <w:szCs w:val="18"/>
          <w:color w:val="auto"/>
        </w:rPr>
        <w:t>. The shares of a series of preferred stock will be convertible at the option of the holder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redeemable at our option or the option of the holder, as applicable, or exchangeable at our option, into another security, in each case, to the extent set forth in the applicable prospectus supplement.</w:t>
      </w:r>
    </w:p>
    <w:p>
      <w:pPr>
        <w:spacing w:after="0" w:line="1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Except as indicated in the applicable prospectus supplement or as otherwise from time to time required by law, the holders of</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preferred stock will have no voting rights other than those fixed by the board of directors pursuant to Article 7 of our amended articles of incorporation.</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Provisions of our Amended Articles of Incorporation and our Bylaws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Our amended articles of incorporation and our bylaws, as currently in effect, contain certain provisions that may be deemed to have an anti-takeover effect and may delay, deter or prevent a tender offer or takeover attempt that a shareholder might consider in its best interest, including those attempts that might result in a premium over the market price for the shares held by shareholders.</w:t>
      </w:r>
    </w:p>
    <w:p>
      <w:pPr>
        <w:spacing w:after="0" w:line="176"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Our bylaws provide that special meetings of holders of common stock may be called only by our board of directors or the Chair of the board of directors. Holders of our common stock are not permitted to call a special meeting or to require that our board of directors call a special meeting of shareholders.</w:t>
      </w:r>
    </w:p>
    <w:p>
      <w:pPr>
        <w:spacing w:after="0" w:line="176" w:lineRule="exact"/>
        <w:rPr>
          <w:sz w:val="20"/>
          <w:szCs w:val="20"/>
          <w:color w:val="auto"/>
        </w:rPr>
      </w:pPr>
    </w:p>
    <w:p>
      <w:pPr>
        <w:ind w:left="120" w:right="60" w:firstLine="440"/>
        <w:spacing w:after="0" w:line="232" w:lineRule="auto"/>
        <w:rPr>
          <w:sz w:val="20"/>
          <w:szCs w:val="20"/>
          <w:color w:val="auto"/>
        </w:rPr>
      </w:pPr>
      <w:r>
        <w:rPr>
          <w:rFonts w:ascii="Times New Roman" w:cs="Times New Roman" w:eastAsia="Times New Roman" w:hAnsi="Times New Roman"/>
          <w:sz w:val="17"/>
          <w:szCs w:val="17"/>
          <w:color w:val="auto"/>
        </w:rPr>
        <w:t>Our bylaws establish an advance notice procedure for the nomination, other than by or at the direction of our board of directors, of candidates for election as directors as well as for other shareholder proposals to be considered at annual meetings of shareholders. In general, notice of intent to nominate a director or raise business at such meetings must be received by us no later than the close of business on the 120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calendar day and no earlier than the close of business on the 180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calendar day in advance of the anniversary of the date on which our proxy statement was released to shareholders in connection with the previous year’s annual meeting of shareholders, subject to certain exceptions, and must contain certain specified information concerning the person to be nominated or the matters to be brought before the meeting and concerning the shareholder submitting the proposal.</w:t>
      </w:r>
    </w:p>
    <w:p>
      <w:pPr>
        <w:spacing w:after="0" w:line="20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bylaws further establish an advance notice procedure for a shareholder or group of shareholders meeting certain requirements to nominate and include in our annual meeting proxy materials director candidates constituting up to the greater of (i) two directors or (ii) 20% of the number of directors serving on our board of directors, subject to certain conditions specified in our bylaws.</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amended articles of incorporation provide for our board of directors to be divided into three classes of directors, as nearly equal in number as possible, serving staggered terms of office. Approximately one-third of our board of directors is elected each year to three-year terms of office. In addition, our directors (other than directors appointed by holders of preferred stock) may be removed only for cause and only upon the affirmative vote of holders of at least 80% of our outstanding voting stock, voting together as a single class.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amended articles of incorporation provide that, in addition to any affirmative vote required by law, the affirmative vote of holders of at least 80% of our outstanding voting stock, voting together as a single class, shall be necessary to (i) approve certain major business transactions (such as mergers or asset sales with an interested shareholder or our liquidation), unless approved by our board of directors in the manner prescribed in the articles, (ii) amend certain provisions of our amended articles of incorporation relating to the number and terms of office of our directors and (iii) modify or eliminate these supermajority voting provisions.</w:t>
      </w:r>
    </w:p>
    <w:p>
      <w:pPr>
        <w:spacing w:after="0" w:line="183"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Under Section 23-1-39-1 of the IBCL and our amended articles of incorporation and bylaws, our bylaws may be adopted, repealed, altered or amended by either our board of directors or our shareholders, in each case, as set forth in our amended articles of incorporation and bylaws.</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foregoing summary is qualified in its entirety by the provisions of our amended articles of incorporation and our bylaws, as currently in effect, copies of which have been filed with the SEC.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Provisions of the IBCL</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As an Indiana corporation, we are governed by the IBCL. Under specified circumstances, the following provisions of the IBCL may delay, prevent or make more difficult certain unsolicited acquisitions or changes in control of us. These provisions also may have the effect of preventing changes in our management. It is possible that these provisions could make it more difficult to accomplish transactions which shareholders may otherwise deem to be in their best interest.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455"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Unanimous Written Consent of Shareholders</w:t>
      </w:r>
      <w:r>
        <w:rPr>
          <w:rFonts w:ascii="Times New Roman" w:cs="Times New Roman" w:eastAsia="Times New Roman" w:hAnsi="Times New Roman"/>
          <w:sz w:val="18"/>
          <w:szCs w:val="18"/>
          <w:color w:val="auto"/>
        </w:rPr>
        <w:t>. Under Chapter 29 of the IBCL, any action required or permitted to be taken by the 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may be effected only at an annual meeting or special meeting of such holders, and shareholders may act in lieu of such meetings only by unanimous written consent.</w:t>
      </w:r>
    </w:p>
    <w:p>
      <w:pPr>
        <w:spacing w:after="0" w:line="173"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Control Share Acquisitions</w:t>
      </w:r>
      <w:r>
        <w:rPr>
          <w:rFonts w:ascii="Times New Roman" w:cs="Times New Roman" w:eastAsia="Times New Roman" w:hAnsi="Times New Roman"/>
          <w:sz w:val="18"/>
          <w:szCs w:val="18"/>
          <w:color w:val="auto"/>
        </w:rPr>
        <w:t>. Under Chapter 42 of the IBCL, an acquiring person or group who makes a “control share acquisition” in an “issuing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corporation” may not exercise voting rights on any “control shares” unless these voting rights are conferred by a majority vote of the disinterested shareholders of the issuing public corporation at a special meeting of those shareholders held upon the request and at the expense of the acquiring person. If control shares acquired in a control share acquisition are accorded full voting rights and the acquiring person has acquired control shares with a majority or more of all voting power, all shareholders of the issuing public corporation have dissenters’ rights to receive the fair value of their shares pursuant to Chapter 44 of the IBCL.</w:t>
      </w:r>
    </w:p>
    <w:p>
      <w:pPr>
        <w:spacing w:after="0" w:line="184"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Under the IBCL, “control shares” means shares acquired by a person that, when added to all other shares of the issuing public corporation owned by that person or in respect to which that person may exercise or direct the exercise of voting power, would otherwise entitle that person (directly or indirectly, alone or as part of a group) to exercise or direct the exercise of the voting power of the issuing public corporation in the election of directors within any of the following ranges:</w:t>
      </w:r>
    </w:p>
    <w:p>
      <w:pPr>
        <w:spacing w:after="0" w:line="85"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one-fifth or more but less than one-third;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or more but less than a majority;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or more.</w:t>
      </w:r>
    </w:p>
    <w:p>
      <w:pPr>
        <w:spacing w:after="0" w:line="225"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“Control share acquisition” means, subject to specified exceptions, the acquisition, directly or indirectly, by any person of ownership of, or the power to direct the exercise of voting power with respect to, issued and outstanding control shares. For the purposes of determining whether an acquisition constitutes a control share acquisition, shares acquired within 90 days or under a plan to make a control share acquisition are considered to have been acquired in the same acquisition. “Issuing public corporation” means a corporation which has (i) 100 or more shareholders, (ii) its principal place of business or its principal office in Indiana, or that owns or controls assets within Indiana having a fair market value of greater than $1,000,000, and (iii) (A) more than 10% of its shareholders resident in Indiana, (B) more than 10% of its shares owned of record or owned beneficially by Indiana residents or (C) 1,000 shareholders resident in Indiana.</w:t>
      </w:r>
    </w:p>
    <w:p>
      <w:pPr>
        <w:spacing w:after="0" w:line="18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above provisions do not apply if, before a control share acquisition is made, the corporation’s articles of incorporation or bylaws, including a bylaw adopted by the corporation’s board of directors, provide that they do not apply. Our amended articles of incorporation and our bylaws do not currently exclude us from Chapter 42.</w:t>
      </w:r>
    </w:p>
    <w:p>
      <w:pPr>
        <w:spacing w:after="0" w:line="174"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Certain Business Combinations</w:t>
      </w:r>
      <w:r>
        <w:rPr>
          <w:rFonts w:ascii="Times New Roman" w:cs="Times New Roman" w:eastAsia="Times New Roman" w:hAnsi="Times New Roman"/>
          <w:sz w:val="18"/>
          <w:szCs w:val="18"/>
          <w:color w:val="auto"/>
        </w:rPr>
        <w:t>. Chapter 43 of the IBCL restricts the ability of a “resident domestic corporation” to engage in any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combinations with an “interested shareholder” for five years after the date the interested shareholder became such, unless the business combination or the purchase of shares by the interested shareholder on the interested shareholder’s date of acquiring shares is approved by the board of directors of the resident domestic corporation before that date. If the business combination was not previously approved, the interested shareholder may effect a business combination after the five-year period only if that shareholder receives approval from a majority of the disinterested shareholders or the offer meets specified fair price criteria. For purposes of the above provisions, “resident domestic corporation” means an Indiana corporation that has 100 or more shareholders. “Interested shareholder” means any person, other than the resident domestic corporation or its subsidiaries, who is (1) the beneficial owner, directly or indirectly, of 10% or more of the voting power of the outstanding voting shares of the resident domestic corporation or (2) an affiliate or associate of the resident domestic corporation, which at any time within the five-year period immediately before the date in question, was the beneficial owner, directly or indirectly, of 10% or more of the voting power of the then outstanding shares of the resident domestic corporation.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definition of “beneficial owner” for purposes of Chapter 43, means a person who individually or with or through any of its affiliates or associates, directly or indirectly, owns or has the right to acquire or vote the subject shares (excluding voting rights under revocable proxies made in accordance with federal law), has any agreement, arrangement or understanding for the purpose of acquiring, holding or voting or disposing of the subject shares, or holds any “derivative instrument” that includes the opportunity to profit or share in any profit derived from any increase in the value of the subject shares.</w:t>
      </w:r>
    </w:p>
    <w:p>
      <w:pPr>
        <w:spacing w:after="0" w:line="183" w:lineRule="exact"/>
        <w:rPr>
          <w:sz w:val="20"/>
          <w:szCs w:val="20"/>
          <w:color w:val="auto"/>
        </w:rPr>
      </w:pPr>
    </w:p>
    <w:p>
      <w:pPr>
        <w:jc w:val="both"/>
        <w:ind w:left="120" w:right="380" w:firstLine="440"/>
        <w:spacing w:after="0" w:line="289" w:lineRule="auto"/>
        <w:rPr>
          <w:sz w:val="20"/>
          <w:szCs w:val="20"/>
          <w:color w:val="auto"/>
        </w:rPr>
      </w:pPr>
      <w:r>
        <w:rPr>
          <w:rFonts w:ascii="Times New Roman" w:cs="Times New Roman" w:eastAsia="Times New Roman" w:hAnsi="Times New Roman"/>
          <w:sz w:val="17"/>
          <w:szCs w:val="17"/>
          <w:color w:val="auto"/>
        </w:rPr>
        <w:t>The above provisions do not apply to corporations that elect not to be subject to Chapter 43 in an amendment to their articles of incorporation approved by a majority of the disinterested shareholders. That amendment, however, cannot become effective until 18 months after its passage and would apply only to share acquisitions occurring after its effective date. Our amended articles of incorporation do not exclude us from Chapter 43.</w:t>
      </w:r>
    </w:p>
    <w:p>
      <w:pPr>
        <w:spacing w:after="0" w:line="15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Directors’ Duties and Liability</w:t>
      </w:r>
      <w:r>
        <w:rPr>
          <w:rFonts w:ascii="Times New Roman" w:cs="Times New Roman" w:eastAsia="Times New Roman" w:hAnsi="Times New Roman"/>
          <w:sz w:val="18"/>
          <w:szCs w:val="18"/>
          <w:color w:val="auto"/>
        </w:rPr>
        <w:t>. Under Chapter 35 of the IBCL, directors are required to discharge their duties:</w:t>
      </w:r>
    </w:p>
    <w:p>
      <w:pPr>
        <w:spacing w:after="0" w:line="133"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good faith;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care an ordinarily prudent person in a like position would exercise under similar circumstances;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manner the directors reasonably believe to be in the best interests of the corporation.</w:t>
      </w:r>
    </w:p>
    <w:p>
      <w:pPr>
        <w:spacing w:after="0" w:line="225"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However, the IBCL also provides that a director is not liable for any action taken as a director, or any failure to act, regardless of the nature of the alleged breach of duty (including breaches of the duty of care, the duty of loyalty, and the duty of good faith) unless the director has breached or failed to perform the duties of the director’s office and the action or failure to act constitutes willful misconduct or recklessness.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exoneration from liability under the IBCL does not affect the liability of directors for violations of the federal securities laws.</w:t>
      </w:r>
    </w:p>
    <w:p>
      <w:pPr>
        <w:spacing w:after="0" w:line="225"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Chapter 35 of the IBCL also provides that a board of directors, in discharging its duties, may consider, in its discretion, both the long-term and short-term best interests of the corporation, taking into account, and weighing as the directors deem appropriate, the effects of an action on the corporation’s shareholders, employees, suppliers and customers and the communities in which offices or other facilities of the corporation are located and any other factors the directors consider pertinent. Directors are not required to consider the effects of a proposed corporate action on any particular corporate constituent group or interest as a dominant or controlling factor. If a determination is made with the approval of a majority of the disinterested directors of the board, that determination is conclusively presumed to be valid unless it can be demonstrated that the determination was not made in good faith after reasonable investigation. Chapter 35 specifically provides that specified judicial decisions in Delaware and other jurisdictions, which might otherwise be looked upon for guidance in interpreting Indiana corporate law, including decisions that impose a higher or different degree of scrutiny on actions taken by directors in response to a proposed acquisition of control of the corporation, are inconsistent with the proper application of the business judgment rule under that section.</w:t>
      </w:r>
    </w:p>
    <w:p>
      <w:pPr>
        <w:spacing w:after="0" w:line="192" w:lineRule="exact"/>
        <w:rPr>
          <w:sz w:val="20"/>
          <w:szCs w:val="20"/>
          <w:color w:val="auto"/>
        </w:rPr>
      </w:pPr>
    </w:p>
    <w:p>
      <w:pPr>
        <w:ind w:left="120" w:right="80" w:firstLine="440"/>
        <w:spacing w:after="0" w:line="275" w:lineRule="auto"/>
        <w:rPr>
          <w:sz w:val="20"/>
          <w:szCs w:val="20"/>
          <w:color w:val="auto"/>
        </w:rPr>
      </w:pPr>
      <w:r>
        <w:rPr>
          <w:rFonts w:ascii="Times New Roman" w:cs="Times New Roman" w:eastAsia="Times New Roman" w:hAnsi="Times New Roman"/>
          <w:sz w:val="17"/>
          <w:szCs w:val="17"/>
          <w:i w:val="1"/>
          <w:iCs w:val="1"/>
          <w:color w:val="auto"/>
        </w:rPr>
        <w:t>Mandatory Classified Board of Directors</w:t>
      </w:r>
      <w:r>
        <w:rPr>
          <w:rFonts w:ascii="Times New Roman" w:cs="Times New Roman" w:eastAsia="Times New Roman" w:hAnsi="Times New Roman"/>
          <w:sz w:val="17"/>
          <w:szCs w:val="17"/>
          <w:color w:val="auto"/>
        </w:rPr>
        <w:t>. Under Chapter 33 of the IBCL, a corporation with a class of voting shares registered with the SEC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 Section 12 of the Exchange Act must have a classified board of directors unless the corporation adopts a bylaw expressly electing not to be governed by this provision by the later of July 31, 2009 or 30 days after the corporation’s voting shares are registered under Section 12 of the Exchange Act. Although our amended articles of incorporation provide for a classified board of directors (and that provision can only be amended upon the affirmative vote of holders of at least 80% of our outstanding voting stock), we adopted an amendment to our bylaws electing not to be subject to this mandatory requirement effective July 13, 2009; however, the IBCL permits this election to be rescinded by subsequent action of our board of directors.</w:t>
      </w:r>
    </w:p>
    <w:p>
      <w:pPr>
        <w:spacing w:after="0" w:line="1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Effects of Authorized But Unissued Stock</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Our authorized but unissued shares of common stock and preferred stock may be issued without additional shareholder approval and may be utilized for a variety of corporate purposes, including future offerings to raise additional capital or to facilitate corporate acquisitions.</w:t>
      </w:r>
    </w:p>
    <w:p>
      <w:pPr>
        <w:spacing w:after="0" w:line="162" w:lineRule="exact"/>
        <w:rPr>
          <w:sz w:val="20"/>
          <w:szCs w:val="20"/>
          <w:color w:val="auto"/>
        </w:rPr>
      </w:pPr>
    </w:p>
    <w:p>
      <w:pPr>
        <w:jc w:val="both"/>
        <w:ind w:left="120" w:right="240" w:firstLine="440"/>
        <w:spacing w:after="0" w:line="289" w:lineRule="auto"/>
        <w:rPr>
          <w:sz w:val="20"/>
          <w:szCs w:val="20"/>
          <w:color w:val="auto"/>
        </w:rPr>
      </w:pPr>
      <w:r>
        <w:rPr>
          <w:rFonts w:ascii="Times New Roman" w:cs="Times New Roman" w:eastAsia="Times New Roman" w:hAnsi="Times New Roman"/>
          <w:sz w:val="17"/>
          <w:szCs w:val="17"/>
          <w:color w:val="auto"/>
        </w:rPr>
        <w:t>The issuance of preferred stock could have the effect of delaying or preventing a change in control of our company. The issuance of preferred stock could decrease the amount available for distribution to holders of our common stock or could adversely affect the rights and powers, including voting rights, of such holders. In certain circumstances, such issuance could have the effect of decreasing the market price of our common stock.</w:t>
      </w:r>
    </w:p>
    <w:p>
      <w:pPr>
        <w:spacing w:after="0" w:line="158"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or preferred stock may be to enable our board of directors to issue shares to persons friendly to current management, which could render more difficult or discourage an attempt to obtain control of us by means of a merger, tender offer, proxy contest or otherwise, and thereby protect the continuity of management. Such additional shares also could be used to dilute the stock ownership of persons seeking to obtain control of us.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plan to issue additional shares of common stock in connection with our employee benefit plans.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EQ Shareowner Services acts as transfer agent and registrar of our common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“LLY”.</w:t>
      </w:r>
    </w:p>
    <w:p>
      <w:pPr>
        <w:spacing w:after="0" w:line="200" w:lineRule="exact"/>
        <w:rPr>
          <w:sz w:val="20"/>
          <w:szCs w:val="20"/>
          <w:color w:val="auto"/>
        </w:rPr>
      </w:pPr>
    </w:p>
    <w:p>
      <w:pPr>
        <w:spacing w:after="0" w:line="23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i w:val="1"/>
          <w:iCs w:val="1"/>
          <w:color w:val="auto"/>
        </w:rPr>
        <w:t>DESCRIPTION OF DEPOSITARY SHARES</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following description of depositary shares does not purport to be complete and is subject to, and qualified in its entirety by, (i) the deposit agreement to be entered into between us and a bank or trust company selected by us and (ii) the depositary receipt relating to the preferred stock that is attached to such deposit agreement. You should read these documents as they, and not this description, define your rights as a holder of depositary shares. Forms of these documents will be deemed filed with the SEC as exhibits to the registration statement of which this prospectus forms a part.</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we elect to offer fractional interests in shares of preferred stock, we will provide for the issuance by a depositary of depositary receipts for depositary shares. Each depositary share will represent fractional interests of preferred stock. We will deposit the shares of preferred stock underlying the depositary shares under the deposit agreement. The bank or trust company must have its principal office in the United States and a combined capital and surplus of at least $50 million. The depositary receipts will evidence the depositary shares issued under the deposit agreement.</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deposit agreement will contain terms applicable to the holders of depositary shares in addition to the terms stated in the depositary receipts. Each holder of depositary shares will be entitled to all the rights and preferences of the preferred stock underlying the depositary shares in proportion to the applicable fractional interest in the underlying shares of preferred stock. The depositary will issue depositary receipts to individuals purchasing the fractional interests in shares of the related preferred stock according to the terms of the offering described in the applicable prospectus supplement.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depositary will distribute all cash dividends or other cash distributions received for the preferred stock to the holders of depositary shares in proportion to the number of depositary shares that they own on the relevant</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40"/>
          </w:cols>
          <w:pgMar w:left="320" w:top="455" w:right="5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record date. The depositary will distribute only an amount that can be distributed without attributing to any holder of depositary shares a fraction of one cent. The depositary will add any undistributed balance to, and treat it as part of, the next sum received by the depositary for distribution to holders of depositary shares.</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there is a non-cash distribution, the depositary will distribute property received by it to the holders of depositary shares in proportion, insofar as possible, to the number of depositary shares owned by them, unless the depositary determines, after consultation with us, that it is not feasible to make such distribution. If this occurs, the depositary may, with our approval, sell such property and distribute the net proceeds from the sale to the holders. The deposit agreement also will contain provisions relating to how any subscription or similar rights that we may offer to holders of the preferred stock will be available to the holders of the depositary shares.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Exchange and Redemption</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If the preferred stock underlying the depositary shares may be converted or exchanged, each holder of depositary receipts will have the right or obligation, as applicable, to convert or exchange the depositary shares represented by the depositary receipts.</w:t>
      </w:r>
    </w:p>
    <w:p>
      <w:pPr>
        <w:spacing w:after="0" w:line="16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Whenever we redeem shares of preferred stock held by the depositary, the depositary will redeem, at the same time, the number of depositary shares representing the preferred stock. The depositary will redeem the depositary shares from the proceeds it receives from the corresponding redemption, in whole or in part, of the underlying preferred stock. The depositary will send notice of redemption to the holders of the depositary shares that are to be redeemed between 30 and 60 days before the date fixed for redemption. The redemption price per depositary share will be equal to the applicable fraction of the redemption price per share on the underlying preferred stock. If less than all the depositary shares are to be redeemed, the depositary will select which shares to be redeemed by lot, proportionate allocation or any other method.</w:t>
      </w:r>
    </w:p>
    <w:p>
      <w:pPr>
        <w:spacing w:after="0" w:line="18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After the date fixed for redemption, the depositary shares called for redemption will no longer be outstanding. When the depositary shares are no longer outstanding, all rights of the holders will end, except the right to receive money, securities or other property payable upon redemption.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When the depositary receives notice of a meeting at which the holders of the preferred stock are entitled to vote, the depositary will send the particulars of the meeting to the holders of the depositary shares. Each holder of depositary shares on the record date may instruct the depositary on how to vote the shares of preferred stock underlying the holder’s depositary shares. The depositary will try, if practical, to vote the number of shares of preferred stock underlying the depositary shares according to the instructions. The depositary will abstain from voting shares of the preferred stock to the extent it does not receive specific instructions from the holders of depositary shares representing such preferred stock. We will agree to take all reasonable action requested by the depositary to enable it to vote as instructed.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Whenever (1) any cash dividend or other cash distribution shall become payable, any distribution other than cash shall be made, or any rights, preferences or privileges shall be offered with respect to the underlying preferred stock, or (2) the depositary shall receive notice of any meeting at which holders of the underlying preferred stock are entitled to vote or of which holders of the underlying preferred stock are entitled to notice, or of the mandatory conversion of or any election on our part to call for the redemption of any of the underlying preferred stock, the depositary shall in each such instance fix a record date (which shall be the same as the record date for the underlying preferred stock) for the determination of the holders (x) who shall be entitled to receive such dividend, distribution, rights, preferences or privileges or the net proceeds of the sale thereof or (y) who shall be entitled to give instructions for the exercise of voting rights at any such meeting or to receive notice of such meeting or of such redemption or conversion, subject to the provisions of the deposit agreement.</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80"/>
          </w:cols>
          <w:pgMar w:left="320" w:top="455" w:right="4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121" w:lineRule="exact"/>
        <w:rPr>
          <w:sz w:val="20"/>
          <w:szCs w:val="20"/>
          <w:color w:val="auto"/>
        </w:rPr>
      </w:pPr>
    </w:p>
    <w:p>
      <w:pPr>
        <w:ind w:left="120" w:right="80" w:firstLine="440"/>
        <w:spacing w:after="0" w:line="276" w:lineRule="auto"/>
        <w:rPr>
          <w:sz w:val="20"/>
          <w:szCs w:val="20"/>
          <w:color w:val="auto"/>
        </w:rPr>
      </w:pPr>
      <w:r>
        <w:rPr>
          <w:rFonts w:ascii="Times New Roman" w:cs="Times New Roman" w:eastAsia="Times New Roman" w:hAnsi="Times New Roman"/>
          <w:sz w:val="17"/>
          <w:szCs w:val="17"/>
          <w:color w:val="auto"/>
        </w:rPr>
        <w:t>We and the depositary may agree to amend the deposit agreement and the depositary receipt evidencing the depositary shares. Any amendment that (a) imposes or increases certain fees, taxes or other charges payable by the holders of the depositary shares as described in the deposit agreement or</w:t>
      </w:r>
    </w:p>
    <w:p>
      <w:pPr>
        <w:spacing w:after="0" w:line="1" w:lineRule="exact"/>
        <w:rPr>
          <w:sz w:val="20"/>
          <w:szCs w:val="20"/>
          <w:color w:val="auto"/>
        </w:rPr>
      </w:pPr>
    </w:p>
    <w:p>
      <w:pPr>
        <w:ind w:left="120" w:right="300" w:hanging="4"/>
        <w:spacing w:after="0" w:line="255" w:lineRule="auto"/>
        <w:tabs>
          <w:tab w:leader="none" w:pos="3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prejudices any substantial existing right of holders of depositary shares will not take effect until 30 days after the depositary has sent notice of the amendment to the record holders of depositary shares. Any holder of depositary shares that continues to hold its shares at the end of the 30-day period will be deemed to have agreed to the amendment.</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may, at our option, direct the depositary to terminate the deposit agreement by sending a notice of termination to holders of depositary shares at least 30 days prior to termination. In addition, a deposit agreement will automatically terminate if:</w:t>
      </w:r>
    </w:p>
    <w:p>
      <w:pPr>
        <w:spacing w:after="0" w:line="67"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has redeemed all related outstanding depositary shares, or</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liquidated, terminated or wound up our business and the depositary has distributed the underlying preferred stock to the holders of the related depositary shares.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depositary may likewise terminate the deposit agreement if at any time 60 days shall have expired after the depositary shall have delivered to us a written notice of its election to resign and a successor depositary shall not have been appointed and accepted its appointment. If any depositary receipts remain outstanding after the date of termination, the depositary thereafter will discontinue the transfer of depositary receipts, will suspend the distribution of dividends to the holders thereof and will not give any further notices (other than notice of such termination) or perform any further acts under the deposit agreement except that the depositary will continue (1) to collect dividends on the underlying preferred stock and any other distributions with respect thereto and (2) to deliver the underlying preferred stock together with such dividends and distributions and the net proceeds of any sales of rights, preferences, privileges or other property, without liability for interest thereon, in exchange for depositary receipts surrendered. At any time after the expiration of two years from the date of termination, the depositary may sell any underlying preferred stock then held by it at public or private sales, at such place or places and upon such terms as it deems proper and may thereafter hold the net proceeds of any such sale, together with any money and other property then held by it, without liability for interest thereon, for the pro rata benefit of the holders of depositary receipts which have not been surrendered.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of Fees and Expenses</w:t>
      </w:r>
    </w:p>
    <w:p>
      <w:pPr>
        <w:spacing w:after="0" w:line="121"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We will pay all fees, charges and expenses of the depositary, including the initial deposit of the preferred stock and any redemption of the preferred stock. Holders of depositary shares will pay transfer and other taxes and governmental charges and any other charges as are stated in the deposit agreement for their accounts.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Resignation and Removal of Depositary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At any time, the depositary may resign by delivering written notice to us, and we may remove the depositary. Resignations or removals will take effect upon the appointment of a successor depositary and its acceptance of the appointment. The successor depositary must be appointed within 60 days after delivery of the notice of resignation or removal and must be a bank or trust company having its principal office in the United States and having a combined capital and surplus of at least $50 million.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Reports</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depositary will forward to the holders of depositary shares all reports and communications from us that are delivered to the depositary and that we are required by law, the rules of an applicable securities exchange or our amended articles of incorporation to furnish to the holders of the preferred stock. The depositary will not be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liable if it is prevented or delayed by law or any circumstances beyond its control in performing its obligations under the deposit agreement. The deposit agreement limits our obligations and the depositary’s obligations to performance in good faith of the duties stated in the deposit agreement. The depositary will not be obligated to prosecute or defend any legal proceeding connected with any depositary shares or preferred stock unless the holders of depositary shares requesting the depositary to do so furnish it with satisfactory indemnity. In performing our obligations, we and the depositary may rely upon the written advice of our counsel or accountants, on any information that competent people provide to us and on documents that we believe are genuine.</w:t>
      </w:r>
    </w:p>
    <w:p>
      <w:pPr>
        <w:spacing w:after="0" w:line="3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DESCRIPTION OF DEBT SECURITIES</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may offer and issue our debt securities from time to time in one or more series. The debt securities are to be issued under an indenture, dated as of February 1, 1991, between us and Deutsche Bank Trust Company Americas (as successor to Citibank, N.A.), as trustee. The indenture does not limit the aggregate principal amount of the debt securities that may be issued thereunder. The indenture, which incorporates our standard multiple-series indenture provisions as Annex A thereto, is an exhibit to the registration statement of which this prospectus is a part. The following information summarizes certain general terms of the debt securities as described in the indenture. The indenture is subject to and governed by the Trust Indenture Act of 1939, as amended, or the Trust Indenture Act.</w:t>
      </w:r>
    </w:p>
    <w:p>
      <w:pPr>
        <w:spacing w:after="0" w:line="187"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We will summarize in the applicable prospectus supplement certain specific terms of the debt securities, any modifications of or additions to the general terms of the debt securities described herein and any applicable material federal income tax considerations. Accordingly, please read both this prospectus and the applicable prospectus supplement for a summary of the terms of the debt securities of any particular series. Any such summary does not purport to be complete and is subject to, and is qualified in its entirety by reference to, the actual provisions of the indenture and the debt securities.</w:t>
      </w:r>
    </w:p>
    <w:p>
      <w:pPr>
        <w:spacing w:after="0" w:line="164"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summary, the terms the “company,” “we,” “our” and “us” refer only to Eli Lilly and Company and not to any of its subsidiaries, unless we specify otherwise.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debt securities will be our unsecured general obligations. The indebtedness represented by the debt securities will rank equally with all other unsecured and unsubordinated indebtedness of our company. The debt securities may be issued in one or more series, and unless otherwise provided, a series may be reopened for the issuance of additional debt securities of such series. Also, a single series may be issued at various times with different maturity dates, different interest rates and different dates from which interest accrues. One or more series of debt securities may be issued with the same or various maturities at par or at a discount. Debt securities bearing no interest or interest at a rate which at the time of issuance is below the market rate (“original issue discount securities”) will be sold at a discount below their stated principal amount. This discount may be substantial. We will provide information regarding material federal income tax consequences and other special considerations applicable to any original issue discount securities in the applicable prospectus supplement.</w:t>
      </w:r>
    </w:p>
    <w:p>
      <w:pPr>
        <w:spacing w:after="0" w:line="19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if the principal of or premium, if any, or interest on any series of debt securities is payable in a foreign currency or currencies, we will include in the applicable prospectus supplement information on the restrictions, elections, material federal income tax considerations, specific terms and other information with respect to that issue of debt securities and the foreign currency or currencies.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prospectus supplement relating to a series of debt securities will include certain specific terms, including some or all of the following:</w:t>
      </w:r>
    </w:p>
    <w:p>
      <w:pPr>
        <w:spacing w:after="0" w:line="131"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80"/>
          </w:cols>
          <w:pgMar w:left="320" w:top="455" w:right="4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and any limit thereon;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debt securities will be sold;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or periods during which such debt securities may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and premium, if any, are payable or the method of determining the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 by which principal and premium, if any, will be determined;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interest bearing:</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 by which the interest rate will be determined;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from which interest will accrue;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payment dates;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regular record date for the interest payable on any interest payment 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premium, if any, and interest, if any, shall be payable;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series of debt securities may be redeemed in whole or in part, at our option, the period or periods within which, the price or prices at which and the terms and conditions upon which we may redeem such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if other than $1,000, in which any registered securities of the series shall be issuable;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if other than $5,000, in which any bearer securities of the series shall be issuable;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issued as original issue discount securities: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discount;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federal income tax consequences and other special considerations applicable to original issue discount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debt securities will be issued as registered securities or bearer securities or both, and, if bearer securities are issued: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bearer securities are also to be issued as registered securities;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bearer securities are to be dated;</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payment of additional amounts, if any, and whether we will have the option to redeem such debt securities rather than pay the additional amounts and the terms of that option;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denominated or payable in a foreign currency:</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of denomination;</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or currencies in which payment of principal, premium, if any, and interest, if any, will be made;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dollar determination agent, if any;</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use a global security, the name of the depositary for the global security and, if such debt securities are issuable only as registered securities, the terms, if any, upon which interests in the global security may be exchanged for definitive debt securities;</w:t>
      </w:r>
    </w:p>
    <w:p>
      <w:pPr>
        <w:spacing w:after="0" w:line="2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320" w:top="455" w:right="5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30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or the manner in which, any interest payable on any such debt security in temporary global form on an interest payment date will be paid and the extent to which, or the manner in which, any interest payable on any such debt security in permanent global form on an interest payment date will be paid;</w:t>
      </w:r>
    </w:p>
    <w:p>
      <w:pPr>
        <w:spacing w:after="0" w:line="81" w:lineRule="exact"/>
        <w:rPr>
          <w:rFonts w:ascii="Times New Roman" w:cs="Times New Roman" w:eastAsia="Times New Roman" w:hAnsi="Times New Roman"/>
          <w:sz w:val="18"/>
          <w:szCs w:val="18"/>
          <w:color w:val="auto"/>
        </w:rPr>
      </w:pPr>
    </w:p>
    <w:p>
      <w:pPr>
        <w:ind w:left="1080" w:right="86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the principal amount thereof, the portion of the principal amount of such debt securities payable upon declaration of acceleration of their maturity;</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the cancellation and satisfaction of the indenture or certain covenants of the indenture prior to the maturity of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modifications of or additions to the events of default in the indenture; and</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or conditions not specified in the indenture. Any such other terms must not conflict with the requirements of the Trust Indenture Act and the provisions of the indenture and must not adversely affect the rights of the holders of any other series of debt securities then outstanding.</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may authorize the issuance and provide for the terms of a series of debt securities pursuant to a resolution of our board of directors or any duly authorized committee of our board of directors or pursuant to a supplemental indenture.</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may issue the debt securities as registered securities, bearer securities or both. We may issue the debt securities in whole or in part in the form of one or more global securities. One or more global securities will be issued in a denomination or aggregate denominations equal to the aggregate principal amount of outstanding debt securities of the series to be represented by such global security or global securities.</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If we issue bearer securities, we will describe the limitations on the issuance of the bearer securities as well as certain material federal income tax consequences and other special considerations applicable to bearer securities in an applicable prospectus supplement.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Registration and Transfer</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A holder of debt securities in bearer form may, upon written request in accordance with the terms of the indenture, exchange the bearer securities for (1) registered securities (with all unmatured coupons, except as provided below) of the same series, with the same interest rate and maturity date (if the debt securities of such series are to be issued as registered securities) or (2) bearer securities (if bearer securities of such series are to be issued in more than one denomination) of the same series with the same interest rate and maturity date. However, no bearer security will be delivered in or to the United States, and registered securities of any series (other than a global security, except as set forth below) will be exchangeable into an equal aggregate principal amount of registered securities of the same series (with the same interest rate and maturity date) of different authorized denominations. If a holder surrenders bearer securities between a record date and the relevant interest payment date, such holder will not be required to surrender the coupon relating to such interest payment date. Registered securities may not be exchanged for bearer securities.</w:t>
      </w:r>
    </w:p>
    <w:p>
      <w:pPr>
        <w:spacing w:after="0" w:line="19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Bearer or registered securities may be presented for exchange, and registered securities, other than a global security, may be presented for transfer, at the office of any transfer agent or at the office of the security registrar, without service charge and upon payment of any taxes and other governmental charges as provided in the indenture. The transfer or exchange will be completed upon the transfer agent or the security registrar’s satisfaction with the documents of title and identity of the person making the request. Bearer securities, and the coupons, if any, relating to the bearer securities, shall be transferred by delivery of the bearer securities.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We may issue debt securities of a series in whole or in part in the form of one or more global securities. The global securities will be deposited with, or on behalf of, the depositary named in the applicable prospectus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supplement. Global securities may be issued in either registered or bearer form and in either temporary or permanent form. Unless and until the global security is exchanged in whole or in part for debt securities in definitive registered form, a global security may not be transferred except as a whole by the depositary (or its nominee) for such global security. If transferred in whole, the following are types of transfers which are allowed for global securities:</w:t>
      </w:r>
    </w:p>
    <w:p>
      <w:pPr>
        <w:spacing w:after="0" w:line="85"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transfer the global security to a nominee of that depositary;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nominee of the depositary may transfer the global security to the depositary or another nominee of that depositary; and</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or any nominee of that depositary may transfer the global security to a successor depositary or a nominee of that successor depositary.</w:t>
      </w:r>
    </w:p>
    <w:p>
      <w:pPr>
        <w:spacing w:after="0" w:line="162"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specific terms of the depositary arrangement with respect to any debt securities of a series will be described in the applicable prospectus supplement. We anticipate that the following provisions will apply to all depositary arrangements.</w:t>
      </w:r>
    </w:p>
    <w:p>
      <w:pPr>
        <w:spacing w:after="0" w:line="162" w:lineRule="exact"/>
        <w:rPr>
          <w:sz w:val="20"/>
          <w:szCs w:val="20"/>
          <w:color w:val="auto"/>
        </w:rPr>
      </w:pPr>
    </w:p>
    <w:p>
      <w:pPr>
        <w:ind w:left="120" w:right="220" w:firstLine="440"/>
        <w:spacing w:after="0" w:line="255" w:lineRule="auto"/>
        <w:rPr>
          <w:sz w:val="20"/>
          <w:szCs w:val="20"/>
          <w:color w:val="auto"/>
        </w:rPr>
      </w:pPr>
      <w:r>
        <w:rPr>
          <w:rFonts w:ascii="Times New Roman" w:cs="Times New Roman" w:eastAsia="Times New Roman" w:hAnsi="Times New Roman"/>
          <w:sz w:val="18"/>
          <w:szCs w:val="18"/>
          <w:color w:val="auto"/>
        </w:rPr>
        <w:t>Upon the issuance of a global security, the depositary for such global security will credit, on its book-entry registration and transfer system, the respective principal amounts of the debt securities represented by the global security to the accounts of participant institutions that have accounts with the depositary. We or the underwriters, if the debt securities were sold by underwriters, shall designate the accounts to be credited. We will limit ownership of beneficial interests in a global security to participants or persons that may hold interests through participants. Ownership of beneficial interests in the global security will be shown on records maintained by the depositary. The transfer of the ownership of the global security will be effected only through the records maintained by the depositary. The laws of some states require that certain purchasers of debt securities take physical delivery of such debt securities in definitive form. These laws may impair your ability to transfer beneficial interests in a global security.</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So long as the depositary for a global security, or its nominee, is the owner of the global security, that depositary or nominee will be considered the sole owner or holder of the debt securities represented by such global security for all purposes under the indenture. Except as set forth below, owners of beneficial interests in a global security (1) will not be entitled to have debt securities of the series represented by the global security registered in their names, (2) will not receive or be entitled to receive physical delivery of debt securities of the series in definitive form, and (3) will not be considered the owners or holders thereof under the indenture governing the debt securities.</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Subject to certain limitations on the issuance of bearer securities which will be described in the applicable prospectus supplement, payments of principal of, premium, if any, and interest, if any, on debt securities registered in the name of or held by a depositary or its nominee will be made to the depositary or its nominee, as the registered owner or the holder of the global security representing those debt securities. None of the company, the applicable trustee, any paying agent or the applicable security registrar will have any responsibility or liability for any aspect of the records relating to or payments made on account of beneficial ownership interests in a global security for the debt securities or for maintaining, supervising or reviewing any records relating to such beneficial ownership interests.</w:t>
      </w:r>
    </w:p>
    <w:p>
      <w:pPr>
        <w:spacing w:after="0" w:line="187"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debt securities of a series, upon receipt of any payment of principal, premium, if any, or interest, if any, in respect of a permanent global security, will credit participants’ accounts with payments in amounts proportionate to their respective beneficial interests in the principal amount of the global security as shown on the records of the depositary. We also expect that payments by participants to owners of beneficial interests in the global security held through the participants will be governed by standing instructions and customary practices, as is now the case with debt securities held for the accounts of customers in bearer form or registered in “street name,” and will be the responsibility of those participants. There may be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55"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restrictions on receipt by owners of beneficial interests in a temporary global security of payments in respect of such temporary global security. We will describe any such restrictions in the applicable prospectus supplement.</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a depositary for debt securities of a series is at any time unwilling or unable to continue as depositary, or is ineligible to act as depositary, and we do not appoint a successor depositary within 90 days, we will issue debt securities of that series in definitive form in exchange for the global security or securities representing the debt securities of that series. In addition, we may at any time and in our sole discretion determine not to have any debt securities of a series represented by one or more global securities. If we decide not to have any debt securities of a series represented by a global security, we will issue debt securities of that series in definitive form in exchange for the global security or securities representing such debt securities. Further, if we so provide with respect to the debt securities of a series, each person specified by the depositary of the global security representing debt securities of such series may, on terms acceptable to us and the depositary for such global security, receive debt securities of such series in definitive form. In any such instance, each person so specified by the depositary of the global security will be entitled to physical delivery in definitive form of debt securities of the series represented by the global security equal in principal amount to the person’s beneficial interest in the global security. Debt securities of that series so issued in definitive form will be issued (1) as registered securities if the debt securities of that series are to be issued as registered securities, (2) as bearer securities if the debt securities of that series are to be issued as bearer securities or (3) as either registered securities or bearer securities if the debt securities of that series are to be issued in either form. A description of certain restrictions on the issuance of a bearer security in definitive form in exchange for an interest in a global security will, if applicable, be contained in the applicable prospectus supplement.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Bearer Securities</w:t>
      </w:r>
    </w:p>
    <w:p>
      <w:pPr>
        <w:spacing w:after="0" w:line="121" w:lineRule="exact"/>
        <w:rPr>
          <w:sz w:val="20"/>
          <w:szCs w:val="20"/>
          <w:color w:val="auto"/>
        </w:rPr>
      </w:pPr>
    </w:p>
    <w:p>
      <w:pPr>
        <w:jc w:val="both"/>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will pay the principal, interest, if any, and premium, if any, on bearer securities in the currency or currency unit designated in the prospectus supplement, subject to any applicable laws and regulations, at such paying agencies outside the United States as we may appoint from time to time. At the option of a holder, we will make such payment by a check in the designated currency or currency unit or by transfer to an account in the designated currency or currency unit maintained by the payee with a bank located outside the United States. We will make no payment with respect to any bearer security:</w:t>
      </w:r>
    </w:p>
    <w:p>
      <w:pPr>
        <w:spacing w:after="0" w:line="89" w:lineRule="exact"/>
        <w:rPr>
          <w:sz w:val="20"/>
          <w:szCs w:val="20"/>
          <w:color w:val="auto"/>
        </w:rPr>
      </w:pPr>
    </w:p>
    <w:p>
      <w:pPr>
        <w:ind w:left="1080" w:right="44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principal corporate trust office of the trustee or any other paying agency maintained by us in the United States by transfer to an account with a bank located in the United States;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check mailed to an address in the United States.</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However, we may pay principal, interest, if any, and premium, if any, on bearer securities in U.S. dollars at the principal corporate trust office of the trustee in the Borough of Manhattan, The City of New York, if payment of the full amount thereof at all paying agencies outside the United States is illegal or effectively precluded by exchange controls or other similar restrictions.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Registered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otherwise set forth in the applicable prospectus supplement,</w:t>
      </w:r>
    </w:p>
    <w:p>
      <w:pPr>
        <w:spacing w:after="0" w:line="131" w:lineRule="exact"/>
        <w:rPr>
          <w:sz w:val="20"/>
          <w:szCs w:val="20"/>
          <w:color w:val="auto"/>
        </w:rPr>
      </w:pPr>
    </w:p>
    <w:p>
      <w:pPr>
        <w:ind w:left="10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the principal and premium, if any, on registered securities in the designated currency or currency unit against surrender of such registered securities at the principal corporate trust office of the trustee in the Borough of Manhattan, The City of New York,</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any installment of interest, if any, on registered securities to the person in whose name the registered security is registered at the close of business on the regular record date for any such interest,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080" w:right="50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any installment of interest, if any, at our option, (1) at the principal corporate trust office of the trustee in the Borough of Manhattan, The City of New York or (2) by a check in the designated currency or currency unit mailed to each holder of a registered security at such holder’s registered address.</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name in the prospectus supplement the paying agents, if any, outside the United States initially appointed by us for a series of debt securities. We may terminate the appointment of any of the paying agents from time to time, except that we will maintain at least one paying agent in the Borough of Manhattan, The City of New York, for payments with respect to registered securities. We will also maintain at least one paying agent in a city in Europe so long as any bearer securities are outstanding where bearer securities may be presented for payment and may be surrendered for exchange. However, so long as any series of debt securities is listed on any stock exchange located outside the United States and such stock exchange shall so require, we will maintain a paying agent in any required city located outside the United States for those series of debt securities.</w:t>
      </w:r>
    </w:p>
    <w:p>
      <w:pPr>
        <w:spacing w:after="0" w:line="18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All moneys we pay to the trustee or a paying agent for the payment of principal of or premium, if any, or interest, if any, on any debt security that remain unclaimed at the end of two years after such principal, premium or interest shall have become due and payable will be repaid to us, and the holder of such debt security entitled to receive such payment will thereafter look only to us for payment thereof.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Deutsche Bank Trust Company Americas is the current trustee under the indenture. The trustee shall, prior to the occurrence of any event of default with respect to the debt securities of any series and after the curing or waiving of all events of default with respect to such series which have occurred, perform only such duties as are specifically set forth in such indenture. During the existence of any event of default with respect to the debt securities of any series, the trustee shall exercise such of the rights and powers vested in it under the indenture with respect to such series and use the same degree of care and skill in their exercise as a prudent person would exercise or use under the circumstances in the conduct of his or her own affairs.</w:t>
      </w:r>
    </w:p>
    <w:p>
      <w:pPr>
        <w:spacing w:after="0" w:line="168"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The trustee may acquire and hold debt securities and, subject to certain conditions, otherwise deal with us as if it were not trustee under the indenture.</w:t>
      </w:r>
    </w:p>
    <w:p>
      <w:pPr>
        <w:spacing w:after="0" w:line="16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trustee and its affiliates have in the past provided, and may from time to time in the future provide, trustee, commercial banking, investment banking and other services to us in the ordinary course of their respective businesses for which they have received, and will receive, customary compensation.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the Indenture</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indenture contains provisions permitting us and the trustee, without the consent of the holders of the debt securities, to establish, among other things, the form and terms of any series of debt securities issuable under the indenture by one or more supplemental indentures, to add covenants and to provide for security for the debt securities.</w:t>
      </w:r>
    </w:p>
    <w:p>
      <w:pPr>
        <w:spacing w:after="0" w:line="176"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With the consent of the holders of not less than a majority of the aggregate principal amount of the debt securities of any series at the time outstanding, we and the trustee may execute supplemental indentures adding any provisions to or changing in any manner or eliminating any of the provisions of the indenture or of any supplemental indenture with respect to the debt securities of such series or modifying in any manner the rights of the holders of the debt securities of such series. However, without the consent of the holders of each debt security so affected, we and the trustee may not (1) extend the fixed maturity, or the earlier optional date of maturity, if any, of any debt security of such series, (2) reduce the principal amount of any debt security of such series, (3) reduce the premium of any debt security of such series, if any, (4) reduce the rate or extend the time of payment of interest, if any, of any debt security of such series, or (5) make the principal thereof or premium, if</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any, or interest, if any, of any debt security of such series payable in any currency other than as provided therein or pursuant to the indenture. Also, without the consent of the holders of all debt securities of such series outstanding thereunder, we and the trustee may not reduce the percentage of debt securities of such series, the holders of which are required to consent to any such supplemental indenture.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Covenants of Debt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contains, among other things, the following covenants:</w:t>
      </w:r>
    </w:p>
    <w:p>
      <w:pPr>
        <w:spacing w:after="0" w:line="223"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Limitation on Liens</w:t>
      </w:r>
      <w:r>
        <w:rPr>
          <w:rFonts w:ascii="Times New Roman" w:cs="Times New Roman" w:eastAsia="Times New Roman" w:hAnsi="Times New Roman"/>
          <w:sz w:val="18"/>
          <w:szCs w:val="18"/>
          <w:color w:val="auto"/>
        </w:rPr>
        <w:t>. We will not, and will not permit any of our subsidiaries to, create, assume or suffer to exist any lien on restricted property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secure any of our debt, any debt of any of our subsidiaries or any debt of any other person unless we also secure the debt securities of any series having the benefit of this covenant by a lien equally and ratably with such other debt for so long as such other debt shall be so secured. The indenture contains the following exceptions to the foregoing prohibition:</w:t>
      </w:r>
    </w:p>
    <w:p>
      <w:pPr>
        <w:spacing w:after="0" w:line="87" w:lineRule="exact"/>
        <w:rPr>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date of issuance of the first debt security of the particular series;</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property owned or leased by a corporation existing when such corporation becomes a subsidiary;</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property when the property was acquired by us or any of our subsidiaries;</w:t>
      </w:r>
    </w:p>
    <w:p>
      <w:pPr>
        <w:spacing w:after="0" w:line="130" w:lineRule="exact"/>
        <w:rPr>
          <w:rFonts w:ascii="Times New Roman" w:cs="Times New Roman" w:eastAsia="Times New Roman" w:hAnsi="Times New Roman"/>
          <w:sz w:val="18"/>
          <w:szCs w:val="18"/>
          <w:color w:val="auto"/>
        </w:rPr>
      </w:pPr>
    </w:p>
    <w:p>
      <w:pPr>
        <w:ind w:left="1300" w:hanging="644"/>
        <w:spacing w:after="0" w:line="261"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debt incurred prior to, at the time of or within 12 months after the acquisition of restricted property or the completion of the construction, alteration, repair or improvement of restricted property, as the case may be, for the purpose of financing all or a part of the purchase price or cost thereof and liens to the extent they secure debt in excess of such purchase price or cost and for the payment of which recourse may be had only against such restricted property;</w:t>
      </w:r>
    </w:p>
    <w:p>
      <w:pPr>
        <w:spacing w:after="0" w:line="85" w:lineRule="exact"/>
        <w:rPr>
          <w:rFonts w:ascii="Times New Roman" w:cs="Times New Roman" w:eastAsia="Times New Roman" w:hAnsi="Times New Roman"/>
          <w:sz w:val="18"/>
          <w:szCs w:val="18"/>
          <w:color w:val="auto"/>
        </w:rPr>
      </w:pPr>
    </w:p>
    <w:p>
      <w:pPr>
        <w:ind w:left="1300" w:right="600" w:hanging="644"/>
        <w:spacing w:after="0" w:line="282"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liens in favor of governmental entities that are required by the provisions of any contract or statute, or any liens securing industrial development, pollution control or similar revenue bonds;</w:t>
      </w:r>
    </w:p>
    <w:p>
      <w:pPr>
        <w:spacing w:after="0" w:line="6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securing debt of a subsidiary owing to us or to another subsidiary;</w:t>
      </w:r>
    </w:p>
    <w:p>
      <w:pPr>
        <w:spacing w:after="0" w:line="130" w:lineRule="exact"/>
        <w:rPr>
          <w:rFonts w:ascii="Times New Roman" w:cs="Times New Roman" w:eastAsia="Times New Roman" w:hAnsi="Times New Roman"/>
          <w:sz w:val="18"/>
          <w:szCs w:val="18"/>
          <w:color w:val="auto"/>
        </w:rPr>
      </w:pPr>
    </w:p>
    <w:p>
      <w:pPr>
        <w:ind w:left="1300" w:hanging="644"/>
        <w:spacing w:after="0" w:line="256"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or replacement (or successive extensions, renewals or replacements) in whole or in part of any lien referred to in clauses (i) through (vi) above, inclusive, so long as (1) the principal amount of the debt secured thereby does not exceed the principal amount of debt so secured at the time of the extension, renewal or replacement (except that, where an additional principal amount of debt is incurred to provide funds for the completion of a specific project, the additional principal amount, and any related financing costs, may be secured by the lien as well) and (2) the lien is limited to the same property subject to the lien so extended, renewed or replaced (and improvements on the property); and</w:t>
      </w:r>
    </w:p>
    <w:p>
      <w:pPr>
        <w:spacing w:after="0" w:line="9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that would not otherwise be permitted by clauses (i) through (vii) above, inclusive, securing debt which, together with:</w:t>
      </w:r>
    </w:p>
    <w:p>
      <w:pPr>
        <w:spacing w:after="0" w:line="130" w:lineRule="exact"/>
        <w:rPr>
          <w:rFonts w:ascii="Times New Roman" w:cs="Times New Roman" w:eastAsia="Times New Roman" w:hAnsi="Times New Roman"/>
          <w:sz w:val="18"/>
          <w:szCs w:val="18"/>
          <w:color w:val="auto"/>
        </w:rPr>
      </w:pPr>
    </w:p>
    <w:p>
      <w:pPr>
        <w:ind w:left="1740" w:right="80" w:hanging="315"/>
        <w:spacing w:after="0" w:line="282" w:lineRule="auto"/>
        <w:tabs>
          <w:tab w:leader="none" w:pos="17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outstanding principal amount of all other debt of ours and our subsidiaries owning restricted property which would otherwise be subject to the foregoing restrictions, and</w:t>
      </w:r>
    </w:p>
    <w:p>
      <w:pPr>
        <w:spacing w:after="0" w:line="67" w:lineRule="exact"/>
        <w:rPr>
          <w:rFonts w:ascii="Times New Roman" w:cs="Times New Roman" w:eastAsia="Times New Roman" w:hAnsi="Times New Roman"/>
          <w:sz w:val="18"/>
          <w:szCs w:val="18"/>
          <w:color w:val="auto"/>
        </w:rPr>
      </w:pPr>
    </w:p>
    <w:p>
      <w:pPr>
        <w:ind w:left="1740" w:right="260" w:hanging="315"/>
        <w:spacing w:after="0" w:line="282" w:lineRule="auto"/>
        <w:tabs>
          <w:tab w:leader="none" w:pos="17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value of existing sale and leaseback transactions which would be subject to the foregoing restrictions absent this clause (viii), does not exceed 15% of our consolidated net tangible assets.</w:t>
      </w:r>
    </w:p>
    <w:p>
      <w:pPr>
        <w:spacing w:after="0" w:line="160"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Limitation on Sale and Leaseback Transactions. </w:t>
      </w:r>
      <w:r>
        <w:rPr>
          <w:rFonts w:ascii="Times New Roman" w:cs="Times New Roman" w:eastAsia="Times New Roman" w:hAnsi="Times New Roman"/>
          <w:sz w:val="18"/>
          <w:szCs w:val="18"/>
          <w:color w:val="auto"/>
        </w:rPr>
        <w:t>We will not, and will not permit any of our subsidiaries owning restricted property to, enter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sale and leaseback transaction unless:</w:t>
      </w:r>
    </w:p>
    <w:p>
      <w:pPr>
        <w:spacing w:after="0" w:line="66" w:lineRule="exact"/>
        <w:rPr>
          <w:sz w:val="20"/>
          <w:szCs w:val="20"/>
          <w:color w:val="auto"/>
        </w:rPr>
      </w:pPr>
    </w:p>
    <w:p>
      <w:pPr>
        <w:ind w:left="1080" w:right="180" w:hanging="532"/>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company or such subsidiary could incur debt, in a principal amount at least equal to the value of such sale and leaseback transaction, secured by a lien on the property to be leased (without equally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400"/>
        <w:spacing w:after="0" w:line="282" w:lineRule="auto"/>
        <w:rPr>
          <w:sz w:val="20"/>
          <w:szCs w:val="20"/>
          <w:color w:val="auto"/>
        </w:rPr>
      </w:pPr>
      <w:r>
        <w:rPr>
          <w:rFonts w:ascii="Times New Roman" w:cs="Times New Roman" w:eastAsia="Times New Roman" w:hAnsi="Times New Roman"/>
          <w:sz w:val="18"/>
          <w:szCs w:val="18"/>
          <w:color w:val="auto"/>
        </w:rPr>
        <w:t>ratably securing the outstanding debt securities) because such lien would be of a character that no violation of the covenant described under “Limitations on Liens” above would result; or</w:t>
      </w:r>
    </w:p>
    <w:p>
      <w:pPr>
        <w:spacing w:after="0" w:line="67" w:lineRule="exact"/>
        <w:rPr>
          <w:sz w:val="20"/>
          <w:szCs w:val="20"/>
          <w:color w:val="auto"/>
        </w:rPr>
      </w:pPr>
    </w:p>
    <w:p>
      <w:pPr>
        <w:ind w:left="1080" w:right="80" w:hanging="532"/>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apply, during the six months following the effective date of the sale and leaseback transaction, an amount equal to the value of the sale and leaseback transaction to the voluntary retirement of funded debt (whether by redemption, defeasance, repurchase, or otherwise) or to the acquisition of restricted property.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Definitions of Certain Terms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are the meanings of terms that are important in understanding the covenants previously described:</w:t>
      </w:r>
    </w:p>
    <w:p>
      <w:pPr>
        <w:spacing w:after="0" w:line="131" w:lineRule="exact"/>
        <w:rPr>
          <w:sz w:val="20"/>
          <w:szCs w:val="20"/>
          <w:color w:val="auto"/>
        </w:rPr>
      </w:pPr>
    </w:p>
    <w:p>
      <w:pPr>
        <w:ind w:left="1080" w:right="60" w:hanging="424"/>
        <w:spacing w:after="0" w:line="258"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net tangible assets” means the total assets (less applicable reserves and other properly deductible items) less current liabilities (excluding the amount of those which are by their terms extendable or renewable at the option of the obligor to a date more than 12 months after the date as of which the amount is being determined) and all goodwill, tradenames, trademarks, patents, unamortized debt discount and expense and other like intangible assets, all as set forth on our most recent consolidated balance sheet determined in accordance with generally accepted accounting principles.</w:t>
      </w:r>
    </w:p>
    <w:p>
      <w:pPr>
        <w:spacing w:after="0" w:line="88"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“funded debt” means our indebtedness or the indebtedness of a subsidiary owning restricted property maturing by its terms more than one year after its creation and indebtedness classified as long-term debt under generally accepted accounting principles and in each case ranking at least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debt securities.</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 security” means any debt security which provides for an amount less than the principal amount thereof to be due and payable upon a declaration of acceleration of maturity thereof pursuant to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property” means</w:t>
      </w:r>
    </w:p>
    <w:p>
      <w:pPr>
        <w:spacing w:after="0" w:line="130" w:lineRule="exact"/>
        <w:rPr>
          <w:rFonts w:ascii="Times New Roman" w:cs="Times New Roman" w:eastAsia="Times New Roman" w:hAnsi="Times New Roman"/>
          <w:sz w:val="18"/>
          <w:szCs w:val="18"/>
          <w:color w:val="auto"/>
        </w:rPr>
      </w:pPr>
    </w:p>
    <w:p>
      <w:pPr>
        <w:ind w:left="1540" w:right="40" w:hanging="331"/>
        <w:spacing w:after="0" w:line="258" w:lineRule="auto"/>
        <w:tabs>
          <w:tab w:leader="none" w:pos="15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manufacturing facility (or portion thereof) owned or leased by us or any of our subsidiaries and located within the continental United States which, in the opinion of our board of directors (or a committee thereof), is of material importance to our business and the business of our subsidiaries taken as a whole, but no such manufacturing facility (or portion thereof) shall be deemed of material importance if its gross book value, before deducting accumulated depreciation, is less than 2% of our consolidated net tangible assets; or</w:t>
      </w:r>
    </w:p>
    <w:p>
      <w:pPr>
        <w:spacing w:after="0" w:line="8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capital stock or indebtedness of any subsidiary owning any such manufacturing facility.</w:t>
      </w:r>
    </w:p>
    <w:p>
      <w:pPr>
        <w:spacing w:after="0" w:line="130" w:lineRule="exact"/>
        <w:rPr>
          <w:rFonts w:ascii="Times New Roman" w:cs="Times New Roman" w:eastAsia="Times New Roman" w:hAnsi="Times New Roman"/>
          <w:sz w:val="18"/>
          <w:szCs w:val="18"/>
          <w:color w:val="auto"/>
        </w:rPr>
      </w:pPr>
    </w:p>
    <w:p>
      <w:pPr>
        <w:ind w:left="1080" w:hanging="424"/>
        <w:spacing w:after="0" w:line="272" w:lineRule="auto"/>
        <w:tabs>
          <w:tab w:leader="none" w:pos="10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 and leaseback transaction” means any arrangement with any person providing for the leasing by us or any subsidiary of any restricted property which has been or is to be sold or transferred by us or such subsidiary to such person, excluding (1) temporary leases for a term, including renewals at the option of the lessee, of not more than three years, (2) leases between us and a subsidiary or between subsidiaries,</w:t>
      </w:r>
    </w:p>
    <w:p>
      <w:pPr>
        <w:spacing w:after="0" w:line="1" w:lineRule="exact"/>
        <w:rPr>
          <w:rFonts w:ascii="Times New Roman" w:cs="Times New Roman" w:eastAsia="Times New Roman" w:hAnsi="Times New Roman"/>
          <w:sz w:val="17"/>
          <w:szCs w:val="17"/>
          <w:color w:val="auto"/>
        </w:rPr>
      </w:pPr>
    </w:p>
    <w:p>
      <w:pPr>
        <w:ind w:left="1080" w:right="1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 leases of a restricted property executed by the time of, or within 12 months after the latest of, the acquisition, the completion of construction or improvement, or the commencement of commercial operation of the restricted property, and (4) arrangements pursuant to any provision of law with an effect similar to the former Section 168(f)(8) of the Internal Revenue Code of 1954, as amended.</w:t>
      </w:r>
    </w:p>
    <w:p>
      <w:pPr>
        <w:spacing w:after="0" w:line="91" w:lineRule="exact"/>
        <w:rPr>
          <w:rFonts w:ascii="Times New Roman" w:cs="Times New Roman" w:eastAsia="Times New Roman" w:hAnsi="Times New Roman"/>
          <w:sz w:val="17"/>
          <w:szCs w:val="17"/>
          <w:color w:val="auto"/>
        </w:rPr>
      </w:pPr>
    </w:p>
    <w:p>
      <w:pPr>
        <w:ind w:left="1080" w:right="20" w:hanging="424"/>
        <w:spacing w:after="0" w:line="258"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means any corporation more than 50% of the voting stock of which shall at the time be owned by us or by one or more subsidiaries or by us and one or more subsidiaries, but shall not include any corporation of which we and/or one or more subsidiaries owns directly or indirectly, less than 50% of the outstanding stock of all classes having ordinary voting power for the election of directors but more than 50% of the outstanding shares of stock of a class having by its terms ordinary voting power as a class to elect a majority of the board of directors of such corporation.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00" w:hanging="424"/>
        <w:spacing w:after="0" w:line="258"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means, with respect to a sale and leaseback transaction, an amount equal to the net present value of the lease payments with respect to the term of the lease remaining on the date as of which the amount is being determined, without regard to any renewal or extension options contained in the lease, discounted at the weighted average interest rate on the debt securities of all series (including the yield to maturity on any original issue discount securities) which are outstanding on the effective date of such sale and leaseback transaction.</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Because the covenants described above cover only manufacturing facilities in the continental United States, our manufacturing facilities in Puerto Rico and elsewhere in the world are excluded from the operation of the covenants described above.</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Except as described in “Merger or Consolidation” below, there are no other restrictive covenants contained in the indenture. The indenture does not contain any provision which restricts us from incurring, assuming or becoming liable with respect to any indebtedness or other obligations, whether secured or unsecured, or from paying dividends or making other distributions on our capital stock or purchasing or redeeming our capital stock. The indenture does not contain any financial ratios, or specified levels of net worth or liquidity to which we must adhere. In addition, the indenture does not contain any provision which would require that we repurchase or redeem or otherwise modify the terms of any of our debt securities upon a change in control or other events involving us which may adversely affect the creditworthiness of the debt securities.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provides that, with respect to any series of debt securities, an event of default consists of:</w:t>
      </w:r>
    </w:p>
    <w:p>
      <w:pPr>
        <w:spacing w:after="0" w:line="131"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interest when due on any debt securities of such series that continues for 30 days;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or premium, if any, when due (whether at maturity, upon redemption, by declaration or otherwise) on any debt securities of such series;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observe or perform the covenant in the indenture described below under “Merger or Consolidation” after written notice from the trustee or holders of 25% or more in aggregate principal amount of debt securities of such series outstanding thereunder;</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observe or perform any of our covenants in the indenture or the debt securities of such series (other than a covenant included in the indenture or the debt securities solely for the benefit of a series of debt securities other than such series), continued for 60 days (except in the case of a violation of the covenant described below under “Merger or Consolidation”) after written notice from the trustee or the holders of 25% or more in aggregate principal amount, of debt securities of such series outstanding thereunder;</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our bankruptcy, insolvency or reorganization;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as may be specified for such series.</w:t>
      </w:r>
    </w:p>
    <w:p>
      <w:pPr>
        <w:spacing w:after="0" w:line="225"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indenture provides that if an event of default with respect to any series of debt securities at the time outstanding occurs and is continuing, either the trustee or the holders of 25% or more in aggregate principal amount (or, if the debt securities of that series are original issue discount securities, such portion of the principal amount as may be specified in the terms of that series) of debt securities of such series outstanding may declare the principal amount of all debt securities of such series to be due and payable immediately. At any time after a declaration of acceleration with respect to the debt securities of any series has been made and before there has been a sale of property under a judgment or decree for the payment of moneys due, the holders of a majority in aggregate principal amount of the debt securities of such series outstanding may waive the default and rescind the declaration and its consequences if:</w:t>
      </w:r>
    </w:p>
    <w:p>
      <w:pPr>
        <w:spacing w:after="0" w:line="94" w:lineRule="exact"/>
        <w:rPr>
          <w:sz w:val="20"/>
          <w:szCs w:val="20"/>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deposited with the trustee a sum sufficient to pay:</w:t>
      </w:r>
    </w:p>
    <w:p>
      <w:pPr>
        <w:spacing w:after="0" w:line="130" w:lineRule="exact"/>
        <w:rPr>
          <w:rFonts w:ascii="Times New Roman" w:cs="Times New Roman" w:eastAsia="Times New Roman" w:hAnsi="Times New Roman"/>
          <w:sz w:val="18"/>
          <w:szCs w:val="18"/>
          <w:color w:val="auto"/>
        </w:rPr>
      </w:pPr>
    </w:p>
    <w:p>
      <w:pPr>
        <w:ind w:left="5540" w:right="3980" w:hanging="4433"/>
        <w:spacing w:after="0" w:line="3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all matured installments of interest upon all the debt securities of such series; 24</w:t>
      </w:r>
    </w:p>
    <w:p>
      <w:pPr>
        <w:sectPr>
          <w:pgSz w:w="11900" w:h="16838" w:orient="portrait"/>
          <w:cols w:equalWidth="0" w:num="1">
            <w:col w:w="11060"/>
          </w:cols>
          <w:pgMar w:left="320" w:top="455" w:right="5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hanging="439"/>
        <w:spacing w:after="0"/>
        <w:tabs>
          <w:tab w:leader="none" w:pos="15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premium, if any, on any and all debt securities of such series which have become due other than by declaration;</w:t>
      </w:r>
    </w:p>
    <w:p>
      <w:pPr>
        <w:spacing w:after="0" w:line="130" w:lineRule="exact"/>
        <w:rPr>
          <w:rFonts w:ascii="Times New Roman" w:cs="Times New Roman" w:eastAsia="Times New Roman" w:hAnsi="Times New Roman"/>
          <w:sz w:val="18"/>
          <w:szCs w:val="18"/>
          <w:color w:val="auto"/>
        </w:rPr>
      </w:pPr>
    </w:p>
    <w:p>
      <w:pPr>
        <w:ind w:left="1540" w:right="20" w:hanging="439"/>
        <w:spacing w:after="0" w:line="266" w:lineRule="auto"/>
        <w:tabs>
          <w:tab w:leader="none" w:pos="15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overdue installments of interest, to the extent legally enforceable under applicable law, and on such principal of and premium, if any, on each debt security of such series at the rate borne by such debt security to the date of such payment or deposit or yield to maturity (in the case of an original issue discount security); and</w:t>
      </w:r>
    </w:p>
    <w:p>
      <w:pPr>
        <w:spacing w:after="0" w:line="81"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of the trustee, and reasonable compensation to the trustee, agents, attorneys and counsel; and</w:t>
      </w:r>
    </w:p>
    <w:p>
      <w:pPr>
        <w:spacing w:after="0" w:line="130" w:lineRule="exact"/>
        <w:rPr>
          <w:rFonts w:ascii="Times New Roman" w:cs="Times New Roman" w:eastAsia="Times New Roman" w:hAnsi="Times New Roman"/>
          <w:sz w:val="18"/>
          <w:szCs w:val="18"/>
          <w:color w:val="auto"/>
        </w:rPr>
      </w:pPr>
    </w:p>
    <w:p>
      <w:pPr>
        <w:ind w:left="1080" w:right="460" w:hanging="532"/>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defaults under the indenture, other than the nonpayment of principal on the debt securities of such series which may have become due by declaration, have been remedied.</w:t>
      </w:r>
    </w:p>
    <w:p>
      <w:pPr>
        <w:spacing w:after="0" w:line="16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indenture provides that the holders of a majority in aggregate principal amount of the debt securities of any series outstanding under the indenture may, subject to certain exceptions, direct the trustee as to the time, method and place of conducting any proceeding for any remedy available to the trustee, or exercising any power or trust conferred upon the trustee. The holders of a majority in aggregate principal amount of the debt securities of any series outstanding may on behalf of all holders of debt securities of such series waive any past default and its consequences with respect to debt securities of such series, except a default in the payment of the principal of, premium, if any, or interest, if any, on any of the debt securities of such series.</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Holders of any debt securities of any series may not institute any proceeding to enforce the indenture or any remedy thereunder unless the trustee shall have failed to act for 60 days after a request and offer of reasonable indemnity by the holders of 25% or more in aggregate principal amount of the debt securities of such series outstanding. However, the right of any holder of any security of any series to enforce payment of the principal of or premium, if any, or interest, if any, on its debt securities when due shall not be impaired without the consent of such holder.</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trustee is required to give the holders of any debt security of any series notice of default with respect to such series known to it within 90 days after the happening of the default, unless cured before the giving of such notice. However, except for defaults in payments of the principal of or premium, if any, or interest, if any, on the debt securities of such series, the trustee may withhold notice if and so long as it determines in good faith that the withholding of such notice is in the interests of the holders of the debt securities of such series.</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are required to deliver to the trustee each year an officers’ certificate stating whether such officers have obtained knowledge of any default by our company in the performance of all covenants and, if so, specifying the nature of such default.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or Consolidation</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indenture provides that without the consent of the holders of any of the outstanding debt securities under the indenture, we may consolidate with or merge into, or transfer or lease substantially all of our assets to, any domestic corporation, association, company or business trust (as used in this subsection, a “corporation”), provided:</w:t>
      </w:r>
    </w:p>
    <w:p>
      <w:pPr>
        <w:spacing w:after="0" w:line="81" w:lineRule="exact"/>
        <w:rPr>
          <w:sz w:val="20"/>
          <w:szCs w:val="20"/>
          <w:color w:val="auto"/>
        </w:rPr>
      </w:pPr>
    </w:p>
    <w:p>
      <w:pPr>
        <w:ind w:left="1080" w:right="68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corporation assumes all of our payment obligations under the debt securities and the performance of all of our other covenants under the indenture;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conditions described in the indenture are met.</w:t>
      </w:r>
    </w:p>
    <w:p>
      <w:pPr>
        <w:spacing w:after="0" w:line="225"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Although there is a limited body of case law interpreting the phrase “substantially all,” there is no precise established definition of the phrase under applicable law. As a result of this uncertainty:</w:t>
      </w:r>
    </w:p>
    <w:p>
      <w:pPr>
        <w:spacing w:after="0" w:line="67" w:lineRule="exact"/>
        <w:rPr>
          <w:sz w:val="20"/>
          <w:szCs w:val="20"/>
          <w:color w:val="auto"/>
        </w:rPr>
      </w:pPr>
    </w:p>
    <w:p>
      <w:pPr>
        <w:ind w:left="1080" w:right="40" w:hanging="532"/>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could be a disagreement between us and the holders of debt securities over whether, as a condition to a transfer or lease of our assets, the successor entity is required to assume our obligations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55" w:right="4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under the indenture and, consequently, whether a failure to assume such obligations would result in an event of default under the indenture;</w:t>
      </w:r>
    </w:p>
    <w:p>
      <w:pPr>
        <w:spacing w:after="0" w:line="142" w:lineRule="exact"/>
        <w:rPr>
          <w:sz w:val="20"/>
          <w:szCs w:val="20"/>
          <w:color w:val="auto"/>
        </w:rPr>
      </w:pPr>
    </w:p>
    <w:p>
      <w:pPr>
        <w:ind w:left="1080" w:right="80" w:hanging="532"/>
        <w:spacing w:after="0" w:line="266"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holders of debt securities attempt to declare an event of default and exercise their acceleration rights under the indenture in such circumstances and we contest such action, there can be no assurance as to how a court interpreting applicable law would interpret the phrase “substantially all”; and</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be difficult for holders to debt securities to declare an event of default and exercise their acceleration rights.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 Legal Defeasance and Covenant Defeasance</w:t>
      </w:r>
    </w:p>
    <w:p>
      <w:pPr>
        <w:spacing w:after="0" w:line="121"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We may discharge certain obligations to holders of any series of debt securities that have not already been delivered to the trustee for cancellation and that either have become due and payable or will become due and payable within one year (or are to be called for redemption within one year under arrangements satisfactory to the trustee for the giving of notice) by irrevocably depositing with the trustee, in trust, funds in the currency or currencies in which those debt securities are payable in an amount sufficient to pay the entire indebtedness on those debt securities in respect of principal, premium, if any, and interest, if any, to the date of that deposit (if those debt securities have become due and payable) or to the maturity date, as the case may be.</w:t>
      </w:r>
    </w:p>
    <w:p>
      <w:pPr>
        <w:spacing w:after="0" w:line="168"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At our option, we may be discharged, subject to certain terms and conditions, from any and all obligations in respect of the debt securities of any series (except for certain obligations to register the transfer and exchange of debt securities, replace, stolen, lost or mutilated debt securities and coupons, maintain paying agencies and hold moneys for payment in trust) or need not comply with certain restrictive covenants of the indenture if:</w:t>
      </w:r>
    </w:p>
    <w:p>
      <w:pPr>
        <w:spacing w:after="0" w:line="81" w:lineRule="exact"/>
        <w:rPr>
          <w:sz w:val="20"/>
          <w:szCs w:val="20"/>
          <w:color w:val="auto"/>
        </w:rPr>
      </w:pPr>
    </w:p>
    <w:p>
      <w:pPr>
        <w:ind w:left="1080" w:right="40" w:hanging="532"/>
        <w:spacing w:after="0" w:line="256"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deposited with the trustee, in trust, money, and in the case of debt securities and coupons denominated in U.S. dollars, U.S. government obligations or, in the case of debt securities and coupons denominated in a foreign currency, foreign currency government securities, which through the payment of interest thereon and principal thereof in accordance with their terms will provide money or a combination of money, and either U.S. government securities or foreign currency government securities, as the case may be, in an amount sufficient to pay in the currency in which the debt securities are payable all the principal of and premium, if any, and interest, if any, on the debt securities on the date such payments are due in accordance with the debt securities;</w:t>
      </w:r>
    </w:p>
    <w:p>
      <w:pPr>
        <w:spacing w:after="0" w:line="92" w:lineRule="exact"/>
        <w:rPr>
          <w:rFonts w:ascii="Times New Roman" w:cs="Times New Roman" w:eastAsia="Times New Roman" w:hAnsi="Times New Roman"/>
          <w:sz w:val="18"/>
          <w:szCs w:val="18"/>
          <w:color w:val="auto"/>
        </w:rPr>
      </w:pPr>
    </w:p>
    <w:p>
      <w:pPr>
        <w:ind w:left="1080" w:right="60" w:hanging="532"/>
        <w:spacing w:after="0" w:line="257"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 event of default or event which with notice or lapse of time would become an event of default shall have occurred and be continuing on the date of such deposit, (ii) no event of default relating to our bankruptcy, insolvency or reorganization, or event which with notice or lapse of time or both would become such an event of default, shall have occurred within 90 days after the date of such deposit, and</w:t>
      </w:r>
    </w:p>
    <w:p>
      <w:pPr>
        <w:spacing w:after="0" w:line="1" w:lineRule="exact"/>
        <w:rPr>
          <w:rFonts w:ascii="Times New Roman" w:cs="Times New Roman" w:eastAsia="Times New Roman" w:hAnsi="Times New Roman"/>
          <w:sz w:val="18"/>
          <w:szCs w:val="18"/>
          <w:color w:val="auto"/>
        </w:rPr>
      </w:pPr>
    </w:p>
    <w:p>
      <w:pPr>
        <w:ind w:left="1080" w:right="7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such deposit and discharge will not result in any default or event of default under any material indenture, agreement or other instrument binding upon us or any of our properties;</w:t>
      </w:r>
    </w:p>
    <w:p>
      <w:pPr>
        <w:spacing w:after="0" w:line="86" w:lineRule="exact"/>
        <w:rPr>
          <w:rFonts w:ascii="Times New Roman" w:cs="Times New Roman" w:eastAsia="Times New Roman" w:hAnsi="Times New Roman"/>
          <w:sz w:val="18"/>
          <w:szCs w:val="18"/>
          <w:color w:val="auto"/>
        </w:rPr>
      </w:pPr>
    </w:p>
    <w:p>
      <w:pPr>
        <w:ind w:left="1080" w:right="180" w:hanging="532"/>
        <w:spacing w:after="0" w:line="266"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opinion of counsel to the effect that such deposit and discharge will not cause the holders of the debt securities of such series to recognize income, gain or loss for federal income tax purposes and that such holders will be subject to federal income tax in the same amounts, manner and time had such deposit and discharge not occurred; and</w:t>
      </w:r>
    </w:p>
    <w:p>
      <w:pPr>
        <w:spacing w:after="0" w:line="81" w:lineRule="exact"/>
        <w:rPr>
          <w:rFonts w:ascii="Times New Roman" w:cs="Times New Roman" w:eastAsia="Times New Roman" w:hAnsi="Times New Roman"/>
          <w:sz w:val="18"/>
          <w:szCs w:val="18"/>
          <w:color w:val="auto"/>
        </w:rPr>
      </w:pPr>
    </w:p>
    <w:p>
      <w:pPr>
        <w:jc w:val="both"/>
        <w:ind w:left="1080" w:right="160" w:hanging="532"/>
        <w:spacing w:after="0" w:line="266"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from our counsel stating that we have complied with all conditions precedent set forth in the indenture or the applicable supplemental indenture relating to the satisfaction and discharge of the indebtedness of the series of debt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and the debt securities for all purposes will be governed by and construed in accordance with the laws of the State of New York.</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DESCRIPTION OF WARRANTS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issue debt warrants for the purchase of debt securities or stock warrants for the purchase of preferred stock or common stock.</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warrants will be issued under warrant agreements to be entered into between us and a bank or trust company, as warrant agent, all to be set forth in the applicable prospectus supplement relating to any or all warrants in respect of which this prospectus is being delivered. Copies of the form of agreement for each warrant, including the forms of certificates representing the warrants reflecting the provisions to be included in such agreements that will be entered into with respect to the particular offerings of each type of warrant, will be filed as exhibits to the registration statement of which this prospectus forms a part.</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following description sets forth certain general terms and provisions of the warrants to which any prospectus supplement may relate. The particular terms of the warrants to which any prospectus supplement may relate and the extent, if any, to which such general provisions may apply to the warrants so offered will be described in the applicable prospectus supplement. The following summary of certain provisions of the warrants, warrant agreements and warrant certificates does not purport to be complete and is subject to, and is qualified in its entirety by reference to, all the provisions of the warrant agreements and warrant certificates, including the definitions therein of certain terms.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Debt Warrants</w:t>
      </w:r>
    </w:p>
    <w:p>
      <w:pPr>
        <w:spacing w:after="0" w:line="119" w:lineRule="exact"/>
        <w:rPr>
          <w:sz w:val="20"/>
          <w:szCs w:val="20"/>
          <w:color w:val="auto"/>
        </w:rPr>
      </w:pPr>
    </w:p>
    <w:p>
      <w:pPr>
        <w:ind w:left="120" w:right="2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Reference is made to the applicable prospectus supplement for the terms of debt warrants in respect of which this prospectus is being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delivered, the debt securities warrant agreement relating to such debt warrants and the debt warrant certificates representing such debt warrants, including the following:</w:t>
      </w:r>
    </w:p>
    <w:p>
      <w:pPr>
        <w:spacing w:after="0" w:line="81" w:lineRule="exact"/>
        <w:rPr>
          <w:sz w:val="20"/>
          <w:szCs w:val="20"/>
          <w:color w:val="auto"/>
        </w:rPr>
      </w:pPr>
    </w:p>
    <w:p>
      <w:pPr>
        <w:ind w:left="1080" w:right="46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and terms of the debt securities purchasable upon exercise of such debt warrants and the procedures and conditions relating to the exercise of such debt warrants;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related debt securities with which such debt warrants are issued and the number of such debt warrants issued with each such debt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such debt warrants and any related debt securities will be separately transferable;</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purchasable upon exercise of each debt warrant and the price at which such principal amount of debt securities may be purchased upon such exercise;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of such debt warrants, if any;</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price at which such debt securities may be purchased upon exercise of debt warrants and any provision with respect to the adjustment thereof;</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of such debt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debt warrants shall commence and the date on which such right shall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the material U.S. federal income tax considerations applicable to the ownership or exercise of debt warrants;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warrants represented by the debt warrant certificates will be issued in registered or bearer form, and, if registered, where they may be transferred and registered;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provisions of such debt warrants, if any;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warrants.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debt warrant certificates will be exchangeable for new debt warrant certificates of different denominations and debt warrants may be exercised at the corporate trust office of the warrant agent or any other office indicated in the applicable prospectus supplement. Prior to the exercise of their debt warrants, holders of debt warrants will not have any of the rights of holders of the debt securities purchasable upon such exercise and will not be entitled to any payments of principal and premium, if any, and interest, if any, on the debt securities purchasable upon such exercise.</w:t>
      </w:r>
    </w:p>
    <w:p>
      <w:pPr>
        <w:spacing w:after="0" w:line="17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Exercise of Debt Warrants</w:t>
      </w:r>
      <w:r>
        <w:rPr>
          <w:rFonts w:ascii="Times New Roman" w:cs="Times New Roman" w:eastAsia="Times New Roman" w:hAnsi="Times New Roman"/>
          <w:sz w:val="18"/>
          <w:szCs w:val="18"/>
          <w:color w:val="auto"/>
        </w:rPr>
        <w:t>. Each debt warrant will entitle the holder to purchase for cash such principal amount of debt securities at such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as shall in each case be set forth in, or be determinable as set forth in, the applicable prospectus supplement relating to the debt warrants offered thereby. Unless otherwise specified in the applicable prospectus supplement, debt warrants may be exercised at any time up to 5:00 p.m., New York City time, on the expiration date set forth in the applicable prospectus supplement. After 5:00 p.m., New York City time, on the expiration date, unexercised debt warrants will become void.</w:t>
      </w:r>
    </w:p>
    <w:p>
      <w:pPr>
        <w:spacing w:after="0" w:line="18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Debt warrants may be exercised as set forth in the applicable prospectus supplement relating to the debt warrants. Upon receipt of payment and the debt warrant certificate properly completed and duly executed at the corporate trust office of the warrant agent or any other office indicated in the applicable prospectus supplement, we will, as soon as practicable, forward the debt securities purchasable upon such exercise. If less than all of the debt warrants represented by such debt warrant certificate are exercised, a new debt warrant certificate will be issued for the remaining amount of debt warrants.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 Warrants</w:t>
      </w:r>
    </w:p>
    <w:p>
      <w:pPr>
        <w:spacing w:after="0" w:line="119" w:lineRule="exact"/>
        <w:rPr>
          <w:sz w:val="20"/>
          <w:szCs w:val="20"/>
          <w:color w:val="auto"/>
        </w:rPr>
      </w:pPr>
    </w:p>
    <w:p>
      <w:pPr>
        <w:ind w:left="120" w:right="1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Reference is made to the applicable prospectus supplement for the terms of stock warrants in respect of which this prospectus is being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delivered, the stock warrant agreement relating to such stock warrants and the stock warrant certificates representing such stock warrants, including the following:</w:t>
      </w:r>
    </w:p>
    <w:p>
      <w:pPr>
        <w:spacing w:after="0" w:line="81" w:lineRule="exact"/>
        <w:rPr>
          <w:sz w:val="20"/>
          <w:szCs w:val="20"/>
          <w:color w:val="auto"/>
        </w:rPr>
      </w:pPr>
    </w:p>
    <w:p>
      <w:pPr>
        <w:ind w:left="1080" w:right="22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and number of shares of preferred stock or common stock purchasable upon exercise of such stock warrants and the procedures and conditions relating to the exercise of such stock warrants;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such stock warrants and related preferred stock or common stock will be separately tradeable;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of such stock warrants, if any;</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price at which such shares may be purchased upon exercise of stock warrants and any provision with respect to the adjustment thereof;</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of such stock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stock warrants shall commence and the date on which such right shall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the material U.S. federal income tax considerations applicable to the ownership or exercise of stock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provisions of such stock warrants,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stock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anti-dilution provisions of the stock warrants, if any;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information relating to any capital stock purchasable upon exercise of such stock warrants.</w:t>
      </w:r>
    </w:p>
    <w:p>
      <w:pPr>
        <w:spacing w:after="0" w:line="22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stock warrant certificates will be exchangeable for new stock warrant certificates of different denominations and stock warrants may be exercised at the corporate trust office of the warrant agent or any other office indicated in the applicable prospectus supplement. Prior to the exercise of their stock warrants, holders 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55" w:right="4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stock warrants will not have any of the rights of holders of shares of capital stock purchasable upon such exercise and will not be entitled to any dividend or other distribution payments on such capital stock purchasable upon such exercise.</w:t>
      </w:r>
    </w:p>
    <w:p>
      <w:pPr>
        <w:spacing w:after="0" w:line="160"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Exercise of Stock Warrants</w:t>
      </w:r>
      <w:r>
        <w:rPr>
          <w:rFonts w:ascii="Times New Roman" w:cs="Times New Roman" w:eastAsia="Times New Roman" w:hAnsi="Times New Roman"/>
          <w:sz w:val="18"/>
          <w:szCs w:val="18"/>
          <w:color w:val="auto"/>
        </w:rPr>
        <w:t>. Each stock warrant will entitle the holder to purchase for cash such number of shares of preferred stock or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as the case may be, at such exercise price as shall in each case be set forth in, or be determinable as set forth in, the applicable prospectus supplement relating to the stock warrants offered thereby. Unless otherwise specified in the applicable prospectus supplement, stock warrants may be exercised at any time up to 5:00 p.m., New York City time, on the expiration date set forth in the applicable prospectus supplement. After 5:00 p.m., New York City time, on the expiration date, unexercised stock warrants will become void.</w:t>
      </w:r>
    </w:p>
    <w:p>
      <w:pPr>
        <w:spacing w:after="0" w:line="18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Stock warrants may be exercised as set forth in the applicable prospectus supplement relating thereto. Upon receipt of payment and the stock warrant certificates properly completed and duly executed at the corporate trust office of the warrant agent or any other office indicated in the applicable prospectus supplement, we will, as soon as practicable, forward a certificate representing the number of shares of capital stock purchasable upon such exercise. If less than all of the stock warrants represented by such stock warrant certificate are exercised, a new stock warrant certificate will be issued for the remaining amount of stock warrants.</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DESCRIPTION OF STOCK PURCHASE CONTRACTS AND STOCK PURCHASE UNITS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may issue stock purchase contracts, representing contracts obligating holders to purchase from us, and requiring us to sell to the holders, a specified number of shares of common stock at a future date or dates. The price per share of common stock may be fixed at the time the stock purchase contracts are issued or may be determined by reference to a specific formula set forth in the stock purchase contracts. The stock purchase contracts may be issued separately or as a part of units, or stock purchase units, consisting of a stock purchase contract and either (x) senior debt securities, senior subordinated debt securities, subordinated debt securities or junior subordinated debt securities, or (y) debt obligations of third parties, including U.S. Treasury securities, in each case, securing the holder’s obligations to purchase the common stock under the stock purchase contracts. The stock purchase contracts may require us to make periodic payments to the holders of the stock purchase contracts or vice versa, and such payments may be unsecured or prefunded on some basis. The stock purchase contracts may require holders to secure their obligations thereunder in a specified manner and in certain circumstances we may deliver newly issued prepaid stock purchase contracts, or prepaid securities, upon release to a holder of any collateral securing such holder’s obligations under the original stock purchase contract.</w:t>
      </w:r>
    </w:p>
    <w:p>
      <w:pPr>
        <w:spacing w:after="0" w:line="194"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applicable prospectus supplement will describe the terms of any stock purchase contracts or stock purchase units and, if applicable, prepaid securities. The description in the prospectus supplement will not purport to be complete and will be qualified in its entirety by reference to the stock purchase contracts, the collateral arrangements and depositary arrangements, if applicable, relating to such stock purchase contracts or stock purchase units and, if applicable, the prepaid securities and the document pursuant to which such prepaid securities will be issued.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may sell the offered securities in five ways: (1) to or through underwriters; (2) to or through dealers; (3) through agents; (4) directly or through our subsidiaries to purchasers; and (5) through a combination of the foregoing methods.</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may distribute the offered securities from time to time in one or more transactions at (1) a fixed price or prices, which may be changed, (2) at market prices prevailing at the time of sale, (3) at prices related to such market prices, or (4) at negotiated prices.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underwriters are used in the offering of the offered securities, the names of the managing underwriter or underwriters and any other underwriters and certain terms of the offering, including compensation of the underwriters and dealers, if any, will be set forth in the applicable prospectus supplement. Only underwriters named in the applicable prospectus supplement will be deemed to be underwriters in connection with the offered securities described in that prospectus supplement. Firms not so named will have no direct or indirect participation in the underwriting of such securities, although such a firm may participate in the distribution of those securities under circumstances entitling that firm to a dealer’s commission. It is anticipated that any underwriting agreement pertaining to any offered securities will (i) entitle the underwriters to indemnification by us against certain civil liabilities, including liabilities under the Securities Act, or to contribution for payments which the underwriters may be required to make in respect thereof, (ii) provide that the obligations of the underwriters will be subject to certain conditions precedent and (iii) provide that the underwriters generally will be obligated to purchase all of the offered securities if any are purchased.</w:t>
      </w:r>
    </w:p>
    <w:p>
      <w:pPr>
        <w:spacing w:after="0" w:line="188"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also may sell the offered securities to a dealer as principal. If we sell the offered securities to a dealer as a principal, then the dealer may resell those securities to the public at varying prices to be determined by such dealer at the time of resale. The name of the dealer and the terms of the transactions will be set forth in the applicable prospectus supplement.</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offered securities also may be offered through agents we may designate from time to time. The applicable prospectus supplement will contain the name of any such agent and the terms of its agency. Unless otherwise indicated in the prospectus supplement, any such agent will act on a best efforts basis for the period of its appointment.</w:t>
      </w:r>
    </w:p>
    <w:p>
      <w:pPr>
        <w:spacing w:after="0" w:line="176"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As one of the means of direct issuance of the offered securities, we may utilize the services of any available electronic auction system to conduct an electronic “Dutch auction” of the offered securities among potential purchasers who are eligible to participate in the auction of such securities, if so described in the prospectus supplement.</w:t>
      </w:r>
    </w:p>
    <w:p>
      <w:pPr>
        <w:spacing w:after="0" w:line="176"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Dealers and agents named in a prospectus supplement may be deemed to be underwriters (within the meaning of the Securities Act) of the securities described in the prospectus supplement and, under agreements which may be entered into with us, may be entitled to indemnification by us against certain civil liabilities, including liabilities under the Securities Act, or to contribution for payments which they may be required to make in respect of those liabilities.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Underwriters, dealers and agents may engage in transactions with us or perform services for us in the ordinary course of business.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Offers to purchase the offered securities may be solicited directly by us or through our subsidiaries and sales thereof may be made by us directly to institutional investors or others. The terms of any such sales will be described in the applicable prospectus supplement.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620" w:firstLine="440"/>
        <w:spacing w:after="0" w:line="312" w:lineRule="auto"/>
        <w:rPr>
          <w:sz w:val="20"/>
          <w:szCs w:val="20"/>
          <w:color w:val="auto"/>
        </w:rPr>
      </w:pPr>
      <w:r>
        <w:rPr>
          <w:rFonts w:ascii="Times New Roman" w:cs="Times New Roman" w:eastAsia="Times New Roman" w:hAnsi="Times New Roman"/>
          <w:sz w:val="17"/>
          <w:szCs w:val="17"/>
          <w:color w:val="auto"/>
        </w:rPr>
        <w:t>The legality of the securities will be passed upon for us by Kirkland &amp; Ellis LLP, New York, New York, and Barnes &amp; Thornburg LLP, Indianapolis, Indiana, and for any underwriters, dealers or agents by counsel as may be specified in the applicable prospectus supplement.</w:t>
      </w:r>
    </w:p>
    <w:p>
      <w:pPr>
        <w:spacing w:after="0" w:line="35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2024, and the effectiveness of our internal control over financial reporting as of December 31, 2024,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200" w:lineRule="exact"/>
        <w:rPr>
          <w:sz w:val="20"/>
          <w:szCs w:val="20"/>
          <w:color w:val="auto"/>
        </w:rPr>
      </w:pPr>
    </w:p>
    <w:p>
      <w:pPr>
        <w:spacing w:after="0" w:line="27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00"/>
          </w:cols>
          <w:pgMar w:left="320" w:top="455" w:right="6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5"/>
          <w:szCs w:val="25"/>
          <w:b w:val="1"/>
          <w:bCs w:val="1"/>
          <w:color w:val="auto"/>
        </w:rPr>
        <w:t xml:space="preserve">$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5"/>
          <w:szCs w:val="25"/>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178435</wp:posOffset>
            </wp:positionV>
            <wp:extent cx="994410" cy="548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99441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3460" w:type="dxa"/>
        <w:tblCellMar>
          <w:top w:w="0" w:type="dxa"/>
          <w:left w:w="0" w:type="dxa"/>
          <w:bottom w:w="0" w:type="dxa"/>
          <w:right w:w="0" w:type="dxa"/>
        </w:tblCellMar>
      </w:tblPr>
      <w:tr>
        <w:trPr>
          <w:trHeight w:val="297"/>
        </w:trPr>
        <w:tc>
          <w:tcPr>
            <w:tcW w:w="280" w:type="dxa"/>
            <w:vAlign w:val="bottom"/>
          </w:tcPr>
          <w:p>
            <w:pPr>
              <w:spacing w:after="0"/>
              <w:rPr>
                <w:sz w:val="20"/>
                <w:szCs w:val="20"/>
                <w:color w:val="auto"/>
              </w:rPr>
            </w:pPr>
            <w:r>
              <w:rPr>
                <w:rFonts w:ascii="Times New Roman" w:cs="Times New Roman" w:eastAsia="Times New Roman" w:hAnsi="Times New Roman"/>
                <w:sz w:val="25"/>
                <w:szCs w:val="25"/>
                <w:b w:val="1"/>
                <w:bCs w:val="1"/>
                <w:color w:val="auto"/>
              </w:rPr>
              <w:t xml:space="preserve">$ </w:t>
            </w:r>
          </w:p>
        </w:tc>
        <w:tc>
          <w:tcPr>
            <w:tcW w:w="26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300" w:type="dxa"/>
            <w:vAlign w:val="bottom"/>
          </w:tcPr>
          <w:p>
            <w:pPr>
              <w:jc w:val="right"/>
              <w:spacing w:after="0"/>
              <w:rPr>
                <w:sz w:val="20"/>
                <w:szCs w:val="20"/>
                <w:color w:val="auto"/>
              </w:rPr>
            </w:pPr>
            <w:r>
              <w:rPr>
                <w:rFonts w:ascii="Times New Roman" w:cs="Times New Roman" w:eastAsia="Times New Roman" w:hAnsi="Times New Roman"/>
                <w:sz w:val="25"/>
                <w:szCs w:val="25"/>
                <w:b w:val="1"/>
                <w:bCs w:val="1"/>
                <w:color w:val="auto"/>
                <w:w w:val="79"/>
              </w:rPr>
              <w:t> </w:t>
            </w:r>
          </w:p>
        </w:tc>
        <w:tc>
          <w:tcPr>
            <w:tcW w:w="26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3040" w:type="dxa"/>
            <w:vAlign w:val="bottom"/>
            <w:gridSpan w:val="3"/>
          </w:tcPr>
          <w:p>
            <w:pPr>
              <w:ind w:left="100"/>
              <w:spacing w:after="0"/>
              <w:rPr>
                <w:sz w:val="20"/>
                <w:szCs w:val="20"/>
                <w:color w:val="auto"/>
              </w:rPr>
            </w:pPr>
            <w:r>
              <w:rPr>
                <w:rFonts w:ascii="Times New Roman" w:cs="Times New Roman" w:eastAsia="Times New Roman" w:hAnsi="Times New Roman"/>
                <w:sz w:val="25"/>
                <w:szCs w:val="25"/>
                <w:b w:val="1"/>
                <w:bCs w:val="1"/>
                <w:color w:val="auto"/>
              </w:rPr>
              <w:t>Floating Rate Notes Due 20</w:t>
            </w:r>
          </w:p>
        </w:tc>
      </w:tr>
      <w:tr>
        <w:trPr>
          <w:trHeight w:val="297"/>
        </w:trPr>
        <w:tc>
          <w:tcPr>
            <w:tcW w:w="280" w:type="dxa"/>
            <w:vAlign w:val="bottom"/>
          </w:tcPr>
          <w:p>
            <w:pPr>
              <w:spacing w:after="0"/>
              <w:rPr>
                <w:sz w:val="20"/>
                <w:szCs w:val="20"/>
                <w:color w:val="auto"/>
              </w:rPr>
            </w:pPr>
            <w:r>
              <w:rPr>
                <w:rFonts w:ascii="Times New Roman" w:cs="Times New Roman" w:eastAsia="Times New Roman" w:hAnsi="Times New Roman"/>
                <w:sz w:val="25"/>
                <w:szCs w:val="25"/>
                <w:b w:val="1"/>
                <w:bCs w:val="1"/>
                <w:color w:val="auto"/>
              </w:rPr>
              <w:t xml:space="preserve">$ </w:t>
            </w:r>
          </w:p>
        </w:tc>
        <w:tc>
          <w:tcPr>
            <w:tcW w:w="26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300" w:type="dxa"/>
            <w:vAlign w:val="bottom"/>
          </w:tcPr>
          <w:p>
            <w:pPr>
              <w:jc w:val="right"/>
              <w:spacing w:after="0"/>
              <w:rPr>
                <w:sz w:val="20"/>
                <w:szCs w:val="20"/>
                <w:color w:val="auto"/>
              </w:rPr>
            </w:pPr>
            <w:r>
              <w:rPr>
                <w:rFonts w:ascii="Times New Roman" w:cs="Times New Roman" w:eastAsia="Times New Roman" w:hAnsi="Times New Roman"/>
                <w:sz w:val="25"/>
                <w:szCs w:val="25"/>
                <w:b w:val="1"/>
                <w:bCs w:val="1"/>
                <w:color w:val="auto"/>
                <w:w w:val="79"/>
              </w:rPr>
              <w:t> </w:t>
            </w:r>
          </w:p>
        </w:tc>
        <w:tc>
          <w:tcPr>
            <w:tcW w:w="26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3040" w:type="dxa"/>
            <w:vAlign w:val="bottom"/>
            <w:gridSpan w:val="3"/>
          </w:tcPr>
          <w:p>
            <w:pPr>
              <w:ind w:left="100"/>
              <w:spacing w:after="0"/>
              <w:rPr>
                <w:sz w:val="20"/>
                <w:szCs w:val="20"/>
                <w:color w:val="auto"/>
              </w:rPr>
            </w:pPr>
            <w:r>
              <w:rPr>
                <w:rFonts w:ascii="Times New Roman" w:cs="Times New Roman" w:eastAsia="Times New Roman" w:hAnsi="Times New Roman"/>
                <w:sz w:val="25"/>
                <w:szCs w:val="25"/>
                <w:b w:val="1"/>
                <w:bCs w:val="1"/>
                <w:color w:val="auto"/>
              </w:rPr>
              <w:t>Floating Rate Notes Due 20</w:t>
            </w:r>
          </w:p>
        </w:tc>
      </w:tr>
      <w:tr>
        <w:trPr>
          <w:trHeight w:val="297"/>
        </w:trPr>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5"/>
                <w:szCs w:val="25"/>
                <w:b w:val="1"/>
                <w:bCs w:val="1"/>
                <w:color w:val="auto"/>
              </w:rPr>
              <w:t xml:space="preserve">$ </w:t>
            </w:r>
          </w:p>
        </w:tc>
        <w:tc>
          <w:tcPr>
            <w:tcW w:w="26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6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540" w:type="dxa"/>
            <w:vAlign w:val="bottom"/>
          </w:tcPr>
          <w:p>
            <w:pPr>
              <w:ind w:left="80"/>
              <w:spacing w:after="0"/>
              <w:rPr>
                <w:sz w:val="20"/>
                <w:szCs w:val="20"/>
                <w:color w:val="auto"/>
              </w:rPr>
            </w:pPr>
            <w:r>
              <w:rPr>
                <w:rFonts w:ascii="Times New Roman" w:cs="Times New Roman" w:eastAsia="Times New Roman" w:hAnsi="Times New Roman"/>
                <w:sz w:val="25"/>
                <w:szCs w:val="25"/>
                <w:b w:val="1"/>
                <w:bCs w:val="1"/>
                <w:color w:val="auto"/>
              </w:rPr>
              <w:t>% Notes Due 20</w:t>
            </w:r>
          </w:p>
        </w:tc>
      </w:tr>
      <w:tr>
        <w:trPr>
          <w:trHeight w:val="297"/>
        </w:trPr>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5"/>
                <w:szCs w:val="25"/>
                <w:b w:val="1"/>
                <w:bCs w:val="1"/>
                <w:color w:val="auto"/>
              </w:rPr>
              <w:t xml:space="preserve">$ </w:t>
            </w:r>
          </w:p>
        </w:tc>
        <w:tc>
          <w:tcPr>
            <w:tcW w:w="26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6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540" w:type="dxa"/>
            <w:vAlign w:val="bottom"/>
          </w:tcPr>
          <w:p>
            <w:pPr>
              <w:ind w:left="80"/>
              <w:spacing w:after="0"/>
              <w:rPr>
                <w:sz w:val="20"/>
                <w:szCs w:val="20"/>
                <w:color w:val="auto"/>
              </w:rPr>
            </w:pPr>
            <w:r>
              <w:rPr>
                <w:rFonts w:ascii="Times New Roman" w:cs="Times New Roman" w:eastAsia="Times New Roman" w:hAnsi="Times New Roman"/>
                <w:sz w:val="25"/>
                <w:szCs w:val="25"/>
                <w:b w:val="1"/>
                <w:bCs w:val="1"/>
                <w:color w:val="auto"/>
              </w:rPr>
              <w:t>% Notes Due 20</w:t>
            </w:r>
          </w:p>
        </w:tc>
      </w:tr>
      <w:tr>
        <w:trPr>
          <w:trHeight w:val="297"/>
        </w:trPr>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5"/>
                <w:szCs w:val="25"/>
                <w:b w:val="1"/>
                <w:bCs w:val="1"/>
                <w:color w:val="auto"/>
              </w:rPr>
              <w:t xml:space="preserve">$ </w:t>
            </w:r>
          </w:p>
        </w:tc>
        <w:tc>
          <w:tcPr>
            <w:tcW w:w="26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6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540" w:type="dxa"/>
            <w:vAlign w:val="bottom"/>
          </w:tcPr>
          <w:p>
            <w:pPr>
              <w:ind w:left="80"/>
              <w:spacing w:after="0"/>
              <w:rPr>
                <w:sz w:val="20"/>
                <w:szCs w:val="20"/>
                <w:color w:val="auto"/>
              </w:rPr>
            </w:pPr>
            <w:r>
              <w:rPr>
                <w:rFonts w:ascii="Times New Roman" w:cs="Times New Roman" w:eastAsia="Times New Roman" w:hAnsi="Times New Roman"/>
                <w:sz w:val="25"/>
                <w:szCs w:val="25"/>
                <w:b w:val="1"/>
                <w:bCs w:val="1"/>
                <w:color w:val="auto"/>
              </w:rPr>
              <w:t>% Notes Due 20</w:t>
            </w:r>
          </w:p>
        </w:tc>
      </w:tr>
      <w:tr>
        <w:trPr>
          <w:trHeight w:val="297"/>
        </w:trPr>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5"/>
                <w:szCs w:val="25"/>
                <w:b w:val="1"/>
                <w:bCs w:val="1"/>
                <w:color w:val="auto"/>
              </w:rPr>
              <w:t xml:space="preserve">$ </w:t>
            </w:r>
          </w:p>
        </w:tc>
        <w:tc>
          <w:tcPr>
            <w:tcW w:w="26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6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540" w:type="dxa"/>
            <w:vAlign w:val="bottom"/>
          </w:tcPr>
          <w:p>
            <w:pPr>
              <w:ind w:left="80"/>
              <w:spacing w:after="0"/>
              <w:rPr>
                <w:sz w:val="20"/>
                <w:szCs w:val="20"/>
                <w:color w:val="auto"/>
              </w:rPr>
            </w:pPr>
            <w:r>
              <w:rPr>
                <w:rFonts w:ascii="Times New Roman" w:cs="Times New Roman" w:eastAsia="Times New Roman" w:hAnsi="Times New Roman"/>
                <w:sz w:val="25"/>
                <w:szCs w:val="25"/>
                <w:b w:val="1"/>
                <w:bCs w:val="1"/>
                <w:color w:val="auto"/>
              </w:rPr>
              <w:t>% Notes Due 20</w:t>
            </w:r>
          </w:p>
        </w:tc>
      </w:tr>
      <w:tr>
        <w:trPr>
          <w:trHeight w:val="297"/>
        </w:trPr>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5"/>
                <w:szCs w:val="25"/>
                <w:b w:val="1"/>
                <w:bCs w:val="1"/>
                <w:color w:val="auto"/>
              </w:rPr>
              <w:t xml:space="preserve">$ </w:t>
            </w:r>
          </w:p>
        </w:tc>
        <w:tc>
          <w:tcPr>
            <w:tcW w:w="26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6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540" w:type="dxa"/>
            <w:vAlign w:val="bottom"/>
          </w:tcPr>
          <w:p>
            <w:pPr>
              <w:ind w:left="80"/>
              <w:spacing w:after="0"/>
              <w:rPr>
                <w:sz w:val="20"/>
                <w:szCs w:val="20"/>
                <w:color w:val="auto"/>
              </w:rPr>
            </w:pPr>
            <w:r>
              <w:rPr>
                <w:rFonts w:ascii="Times New Roman" w:cs="Times New Roman" w:eastAsia="Times New Roman" w:hAnsi="Times New Roman"/>
                <w:sz w:val="25"/>
                <w:szCs w:val="25"/>
                <w:b w:val="1"/>
                <w:bCs w:val="1"/>
                <w:color w:val="auto"/>
              </w:rPr>
              <w:t>% Notes Due 20</w:t>
            </w:r>
          </w:p>
        </w:tc>
      </w:tr>
      <w:tr>
        <w:trPr>
          <w:trHeight w:val="334"/>
        </w:trPr>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5"/>
                <w:szCs w:val="25"/>
                <w:b w:val="1"/>
                <w:bCs w:val="1"/>
                <w:color w:val="auto"/>
              </w:rPr>
              <w:t xml:space="preserve">$ </w:t>
            </w:r>
          </w:p>
        </w:tc>
        <w:tc>
          <w:tcPr>
            <w:tcW w:w="26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6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540" w:type="dxa"/>
            <w:vAlign w:val="bottom"/>
          </w:tcPr>
          <w:p>
            <w:pPr>
              <w:ind w:left="80"/>
              <w:spacing w:after="0"/>
              <w:rPr>
                <w:sz w:val="20"/>
                <w:szCs w:val="20"/>
                <w:color w:val="auto"/>
              </w:rPr>
            </w:pPr>
            <w:r>
              <w:rPr>
                <w:rFonts w:ascii="Times New Roman" w:cs="Times New Roman" w:eastAsia="Times New Roman" w:hAnsi="Times New Roman"/>
                <w:sz w:val="25"/>
                <w:szCs w:val="25"/>
                <w:b w:val="1"/>
                <w:bCs w:val="1"/>
                <w:color w:val="auto"/>
              </w:rPr>
              <w:t>% Notes Due 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217805</wp:posOffset>
            </wp:positionV>
            <wp:extent cx="1474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i w:val="1"/>
          <w:iCs w:val="1"/>
          <w:color w:val="auto"/>
        </w:rPr>
        <w:t>Joint Book-Running Managers</w:t>
      </w:r>
    </w:p>
    <w:p>
      <w:pPr>
        <w:spacing w:after="0" w:line="9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Morgan Stanley</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Citigroup</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Deutsche Bank Securities</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249555</wp:posOffset>
            </wp:positionV>
            <wp:extent cx="14744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457200</wp:posOffset>
            </wp:positionV>
            <wp:extent cx="69951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525780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lowerRoman"/>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1)"/>
      <w:numFmt w:val="lowerRoman"/>
      <w:start w:val="1"/>
    </w:lvl>
  </w:abstractNum>
  <w:abstractNum w:abstractNumId="6">
    <w:nsid w:val="836C40E"/>
    <w:multiLevelType w:val="hybridMultilevel"/>
    <w:lvl w:ilvl="0">
      <w:lvlJc w:val="left"/>
      <w:lvlText w:val="(%1)"/>
      <w:numFmt w:val="decimal"/>
      <w:start w:val="1"/>
    </w:lvl>
  </w:abstractNum>
  <w:abstractNum w:abstractNumId="7">
    <w:nsid w:val="2901D82"/>
    <w:multiLevelType w:val="hybridMultilevel"/>
    <w:lvl w:ilvl="0">
      <w:lvlJc w:val="left"/>
      <w:lvlText w:val="(%1)"/>
      <w:numFmt w:val="decimal"/>
      <w:start w:val="1"/>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1)"/>
      <w:numFmt w:val="decimal"/>
      <w:start w:val="1"/>
    </w:lvl>
  </w:abstractNum>
  <w:abstractNum w:abstractNumId="10">
    <w:nsid w:val="1E7FF521"/>
    <w:multiLevelType w:val="hybridMultilevel"/>
    <w:lvl w:ilvl="0">
      <w:lvlJc w:val="left"/>
      <w:lvlText w:val="(%1)"/>
      <w:numFmt w:val="decimal"/>
      <w:start w:val="1"/>
    </w:lvl>
  </w:abstractNum>
  <w:abstractNum w:abstractNumId="11">
    <w:nsid w:val="7C3DBD3D"/>
    <w:multiLevelType w:val="hybridMultilevel"/>
    <w:lvl w:ilvl="0">
      <w:lvlJc w:val="left"/>
      <w:lvlText w:val="(%1)"/>
      <w:numFmt w:val="decimal"/>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1)"/>
      <w:numFmt w:val="lowerLetter"/>
      <w:start w:val="2"/>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lvl w:ilvl="1">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1)"/>
      <w:numFmt w:val="lowerRoman"/>
      <w:start w:val="1"/>
    </w:lvl>
    <w:lvl w:ilvl="1">
      <w:lvlJc w:val="left"/>
      <w:lvlText w:val="•"/>
      <w:numFmt w:val="bullet"/>
      <w:start w:val="1"/>
    </w:lvl>
  </w:abstractNum>
  <w:abstractNum w:abstractNumId="36">
    <w:nsid w:val="1D4ED43B"/>
    <w:multiLevelType w:val="hybridMultilevel"/>
    <w:lvl w:ilvl="0">
      <w:lvlJc w:val="left"/>
      <w:lvlText w:val="(%1)"/>
      <w:numFmt w:val="decimal"/>
      <w:start w:val="1"/>
    </w:lvl>
  </w:abstractNum>
  <w:abstractNum w:abstractNumId="37">
    <w:nsid w:val="725A06FB"/>
    <w:multiLevelType w:val="hybridMultilevel"/>
    <w:lvl w:ilvl="0">
      <w:lvlJc w:val="left"/>
      <w:lvlText w:val="(%1)"/>
      <w:numFmt w:val="decimal"/>
      <w:start w:val="2"/>
    </w:lvl>
  </w:abstractNum>
  <w:abstractNum w:abstractNumId="38">
    <w:nsid w:val="2CD89A32"/>
    <w:multiLevelType w:val="hybridMultilevel"/>
    <w:lvl w:ilvl="0">
      <w:lvlJc w:val="left"/>
      <w:lvlText w:val="•"/>
      <w:numFmt w:val="bullet"/>
      <w:start w:val="1"/>
    </w:lvl>
    <w:lvl w:ilvl="1">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1."/>
      <w:numFmt w:val="decimal"/>
      <w:start w:val="1"/>
    </w:lvl>
    <w:lvl w:ilvl="1">
      <w:lvlJc w:val="left"/>
      <w:lvlText w:val="%2"/>
      <w:numFmt w:val="lowerLetter"/>
      <w:start w:val="1"/>
    </w:lvl>
  </w:abstractNum>
  <w:abstractNum w:abstractNumId="42">
    <w:nsid w:val="542289EC"/>
    <w:multiLevelType w:val="hybridMultilevel"/>
    <w:lvl w:ilvl="0">
      <w:lvlJc w:val="left"/>
      <w:lvlText w:val="%1"/>
      <w:numFmt w:val="decimal"/>
      <w:start w:val="1"/>
    </w:lvl>
    <w:lvl w:ilvl="1">
      <w:lvlJc w:val="left"/>
      <w:lvlText w:val="%2."/>
      <w:numFmt w:val="lowerLetter"/>
      <w:start w:val="2"/>
    </w:lvl>
  </w:abstractNum>
  <w:abstractNum w:abstractNumId="43">
    <w:nsid w:val="6DE91B18"/>
    <w:multiLevelType w:val="hybridMultilevel"/>
    <w:lvl w:ilvl="0">
      <w:lvlJc w:val="left"/>
      <w:lvlText w:val="%1."/>
      <w:numFmt w:val="decimal"/>
      <w:start w:val="2"/>
    </w:lvl>
    <w:lvl w:ilvl="1">
      <w:lvlJc w:val="left"/>
      <w:lvlText w:val="%2"/>
      <w:numFmt w:val="lowerLetter"/>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1."/>
      <w:numFmt w:val="lowerRoman"/>
      <w:start w:val="1"/>
    </w:lvl>
  </w:abstractNum>
  <w:abstractNum w:abstractNumId="46">
    <w:nsid w:val="32FFF902"/>
    <w:multiLevelType w:val="hybridMultilevel"/>
    <w:lvl w:ilvl="0">
      <w:lvlJc w:val="left"/>
      <w:lvlText w:val="%1."/>
      <w:numFmt w:val="lowerRoman"/>
      <w:start w:val="2"/>
    </w:lvl>
  </w:abstractNum>
  <w:abstractNum w:abstractNumId="47">
    <w:nsid w:val="684A481A"/>
    <w:multiLevelType w:val="hybridMultilevel"/>
    <w:lvl w:ilvl="0">
      <w:lvlJc w:val="left"/>
      <w:lvlText w:val="(%1)"/>
      <w:numFmt w:val="decimal"/>
      <w:start w:val="1"/>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jpe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jpe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53" Type="http://schemas.openxmlformats.org/officeDocument/2006/relationships/hyperlink" Target="http://www.sec.gov/ix?doc=/Archives/edgar/data/0000059478/000005947826000013/lly-20251231.htm" TargetMode="External"/><Relationship Id="rId54" Type="http://schemas.openxmlformats.org/officeDocument/2006/relationships/hyperlink" Target="http://www.sec.gov/ix?doc=/Archives/edgar/data/0000059478/000005947826000029/lly-20260317.htm" TargetMode="External"/><Relationship Id="rId55" Type="http://schemas.openxmlformats.org/officeDocument/2006/relationships/hyperlink" Target="http://www.sec.gov/ix?doc=/Archives/edgar/data/59478/000005947826000045/lly-20260331.htm" TargetMode="External"/><Relationship Id="rId63" Type="http://schemas.openxmlformats.org/officeDocument/2006/relationships/hyperlink" Target="http://www.sec.gov/ix?doc=/Archives/edgar/data/59478/000005947825000067/lly-20241231.htm" TargetMode="External"/><Relationship Id="rId64" Type="http://schemas.openxmlformats.org/officeDocument/2006/relationships/hyperlink" Target="http://www.sec.gov/ix?doc=/Archives/edgar/data/59478/000119312525025057/d868986d8k.htm" TargetMode="External"/><Relationship Id="rId65" Type="http://schemas.openxmlformats.org/officeDocument/2006/relationships/hyperlink" Target="http://www.sec.gov/Archives/edgar/data/59478/000005947824000065/lly-20231231x10kexhibit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2026-05-06T07:07:20Z</dcterms:created>
  <dcterms:modified xsi:type="dcterms:W3CDTF">2026-05-06T07:07:20Z</dcterms:modified>
</cp:coreProperties>
</file>