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2025</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001-06351</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1900" w:type="dxa"/>
        <w:tblCellMar>
          <w:top w:w="0" w:type="dxa"/>
          <w:left w:w="0" w:type="dxa"/>
          <w:bottom w:w="0" w:type="dxa"/>
          <w:right w:w="0" w:type="dxa"/>
        </w:tblCellMar>
      </w:tblPr>
      <w:tr>
        <w:trPr>
          <w:trHeight w:val="190"/>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Indiana</w:t>
            </w:r>
          </w:p>
        </w:tc>
        <w:tc>
          <w:tcPr>
            <w:tcW w:w="3000" w:type="dxa"/>
            <w:vAlign w:val="bottom"/>
          </w:tcPr>
          <w:p>
            <w:pPr>
              <w:ind w:left="1900"/>
              <w:spacing w:after="0"/>
              <w:rPr>
                <w:sz w:val="20"/>
                <w:szCs w:val="20"/>
                <w:color w:val="auto"/>
              </w:rPr>
            </w:pPr>
            <w:r>
              <w:rPr>
                <w:rFonts w:ascii="Arial" w:cs="Arial" w:eastAsia="Arial" w:hAnsi="Arial"/>
                <w:sz w:val="14"/>
                <w:szCs w:val="14"/>
                <w:color w:val="auto"/>
              </w:rPr>
              <w:t>35-0470950</w:t>
            </w:r>
          </w:p>
        </w:tc>
      </w:tr>
      <w:tr>
        <w:trPr>
          <w:trHeight w:val="203"/>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(State or other jurisdiction of</w:t>
            </w:r>
          </w:p>
        </w:tc>
        <w:tc>
          <w:tcPr>
            <w:tcW w:w="3000" w:type="dxa"/>
            <w:vAlign w:val="bottom"/>
          </w:tcPr>
          <w:p>
            <w:pPr>
              <w:ind w:left="1920"/>
              <w:spacing w:after="0"/>
              <w:rPr>
                <w:sz w:val="20"/>
                <w:szCs w:val="20"/>
                <w:color w:val="auto"/>
              </w:rPr>
            </w:pPr>
            <w:r>
              <w:rPr>
                <w:rFonts w:ascii="Arial" w:cs="Arial" w:eastAsia="Arial" w:hAnsi="Arial"/>
                <w:sz w:val="14"/>
                <w:szCs w:val="14"/>
                <w:color w:val="auto"/>
              </w:rPr>
              <w:t>(I.R.S. Employer</w:t>
            </w:r>
          </w:p>
        </w:tc>
      </w:tr>
      <w:tr>
        <w:trPr>
          <w:trHeight w:val="203"/>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incorporation or organization)</w:t>
            </w:r>
          </w:p>
        </w:tc>
        <w:tc>
          <w:tcPr>
            <w:tcW w:w="3000" w:type="dxa"/>
            <w:vAlign w:val="bottom"/>
          </w:tcPr>
          <w:p>
            <w:pPr>
              <w:ind w:left="1880"/>
              <w:spacing w:after="0"/>
              <w:rPr>
                <w:sz w:val="20"/>
                <w:szCs w:val="20"/>
                <w:color w:val="auto"/>
              </w:rPr>
            </w:pPr>
            <w:r>
              <w:rPr>
                <w:rFonts w:ascii="Arial" w:cs="Arial" w:eastAsia="Arial" w:hAnsi="Arial"/>
                <w:sz w:val="14"/>
                <w:szCs w:val="14"/>
                <w:color w:val="auto"/>
              </w:rPr>
              <w:t>Identification No.)</w:t>
            </w:r>
          </w:p>
        </w:tc>
      </w:tr>
    </w:tbl>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Lilly Corporate Center, Indianapolis, Indiana 46285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120" w:type="dxa"/>
            <w:vAlign w:val="bottom"/>
            <w:gridSpan w:val="3"/>
          </w:tcPr>
          <w:p>
            <w:pPr>
              <w:ind w:left="1060"/>
              <w:spacing w:after="0"/>
              <w:rPr>
                <w:sz w:val="20"/>
                <w:szCs w:val="20"/>
                <w:color w:val="auto"/>
              </w:rPr>
            </w:pPr>
            <w:r>
              <w:rPr>
                <w:rFonts w:ascii="Arial" w:cs="Arial" w:eastAsia="Arial" w:hAnsi="Arial"/>
                <w:sz w:val="14"/>
                <w:szCs w:val="14"/>
                <w:b w:val="1"/>
                <w:bCs w:val="1"/>
                <w:color w:val="auto"/>
              </w:rPr>
              <w:t>Trading Symbol(s)</w:t>
            </w:r>
          </w:p>
        </w:tc>
        <w:tc>
          <w:tcPr>
            <w:tcW w:w="3980" w:type="dxa"/>
            <w:vAlign w:val="bottom"/>
            <w:gridSpan w:val="2"/>
          </w:tcPr>
          <w:p>
            <w:pPr>
              <w:ind w:left="8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15"/>
        </w:trPr>
        <w:tc>
          <w:tcPr>
            <w:tcW w:w="30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LLY30</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2"/>
        </w:trPr>
        <w:tc>
          <w:tcPr>
            <w:tcW w:w="3000" w:type="dxa"/>
            <w:vAlign w:val="bottom"/>
            <w:gridSpan w:val="2"/>
          </w:tcPr>
          <w:p>
            <w:pPr>
              <w:spacing w:after="0"/>
              <w:rPr>
                <w:sz w:val="20"/>
                <w:szCs w:val="20"/>
                <w:color w:val="auto"/>
              </w:rPr>
            </w:pPr>
            <w:r>
              <w:rPr>
                <w:rFonts w:ascii="Arial" w:cs="Arial" w:eastAsia="Arial" w:hAnsi="Arial"/>
                <w:sz w:val="14"/>
                <w:szCs w:val="14"/>
                <w:color w:val="auto"/>
              </w:rPr>
              <w:t>0.500% Notes due 2033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2043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LLY49A</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1.125% Notes due 2051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LLY51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1.375% Notes due 2061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LLY61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bl>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Exchange Act: </w:t>
      </w:r>
      <w:r>
        <w:rPr>
          <w:rFonts w:ascii="Arial" w:cs="Arial" w:eastAsia="Arial" w:hAnsi="Arial"/>
          <w:sz w:val="14"/>
          <w:szCs w:val="14"/>
          <w:color w:val="auto"/>
        </w:rPr>
        <w:t>None</w:t>
      </w:r>
    </w:p>
    <w:p>
      <w:pPr>
        <w:spacing w:after="0" w:line="35" w:lineRule="exact"/>
        <w:rPr>
          <w:sz w:val="24"/>
          <w:szCs w:val="24"/>
          <w:color w:val="auto"/>
        </w:rPr>
      </w:pPr>
    </w:p>
    <w:p>
      <w:pPr>
        <w:ind w:right="3680"/>
        <w:spacing w:after="0" w:line="199"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ind w:right="8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right="40"/>
        <w:spacing w:after="0" w:line="258"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8" w:lineRule="exact"/>
        <w:rPr>
          <w:sz w:val="24"/>
          <w:szCs w:val="24"/>
          <w:color w:val="auto"/>
        </w:rPr>
      </w:pPr>
    </w:p>
    <w:p>
      <w:pPr>
        <w:ind w:right="100"/>
        <w:spacing w:after="0" w:line="25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80" w:type="dxa"/>
        <w:tblCellMar>
          <w:top w:w="0" w:type="dxa"/>
          <w:left w:w="0" w:type="dxa"/>
          <w:bottom w:w="0" w:type="dxa"/>
          <w:right w:w="0" w:type="dxa"/>
        </w:tblCellMar>
      </w:tblPr>
      <w:tr>
        <w:trPr>
          <w:trHeight w:val="170"/>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w w:val="94"/>
              </w:rPr>
              <w:t xml:space="preserve">Large accelerated filer </w:t>
            </w:r>
            <w:r>
              <w:rPr>
                <w:rFonts w:ascii="MS PGothic" w:cs="MS PGothic" w:eastAsia="MS PGothic" w:hAnsi="MS PGothic"/>
                <w:sz w:val="13"/>
                <w:szCs w:val="13"/>
                <w:color w:val="auto"/>
                <w:w w:val="94"/>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Accelerated filer</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Smaller reporting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4940" w:type="dxa"/>
            <w:vAlign w:val="bottom"/>
          </w:tcPr>
          <w:p>
            <w:pPr>
              <w:spacing w:after="0"/>
              <w:rPr>
                <w:sz w:val="18"/>
                <w:szCs w:val="18"/>
                <w:color w:val="auto"/>
              </w:rPr>
            </w:pP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Emerging growth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73" w:lineRule="exact"/>
        <w:rPr>
          <w:sz w:val="24"/>
          <w:szCs w:val="24"/>
          <w:color w:val="auto"/>
        </w:rPr>
      </w:pPr>
    </w:p>
    <w:p>
      <w:pPr>
        <w:ind w:right="36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right="34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ind w:right="580"/>
        <w:spacing w:after="0" w:line="17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240"/>
        <w:spacing w:after="0" w:line="281" w:lineRule="auto"/>
        <w:rPr>
          <w:sz w:val="20"/>
          <w:szCs w:val="20"/>
          <w:color w:val="auto"/>
        </w:rPr>
      </w:pPr>
      <w:r>
        <w:rPr>
          <w:rFonts w:ascii="Arial" w:cs="Arial" w:eastAsia="Arial" w:hAnsi="Arial"/>
          <w:sz w:val="13"/>
          <w:szCs w:val="13"/>
          <w:color w:val="auto"/>
        </w:rPr>
        <w:t>Aggregate market value of the common equity held by non-affiliates computed by reference to the price at which the common equity was last sold as of the last business day of the Registrant's most recently completed second fiscal quarter: approximately $807,887,000,000.</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Number of shares of common stock outstanding as of February 9, 2026: 943,357,420</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Proxy Statement for the 2026 Annual Meeting of Shareholders have been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2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rPr>
              <w:t>Eli Lilly and Company</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8"/>
              </w:rPr>
              <w:t>Form 10-K</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540" w:type="dxa"/>
            <w:vAlign w:val="bottom"/>
            <w:gridSpan w:val="12"/>
          </w:tcPr>
          <w:p>
            <w:pPr>
              <w:jc w:val="center"/>
              <w:ind w:right="2420"/>
              <w:spacing w:after="0"/>
              <w:rPr>
                <w:sz w:val="20"/>
                <w:szCs w:val="20"/>
                <w:color w:val="auto"/>
              </w:rPr>
            </w:pPr>
            <w:r>
              <w:rPr>
                <w:rFonts w:ascii="Arial" w:cs="Arial" w:eastAsia="Arial" w:hAnsi="Arial"/>
                <w:sz w:val="18"/>
                <w:szCs w:val="18"/>
                <w:b w:val="1"/>
                <w:bCs w:val="1"/>
                <w:color w:val="auto"/>
                <w:w w:val="99"/>
              </w:rPr>
              <w:t>For the Year Ended December 31, 2025</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80" w:type="dxa"/>
            <w:vAlign w:val="bottom"/>
            <w:gridSpan w:val="10"/>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 w:type="dxa"/>
            <w:vAlign w:val="bottom"/>
          </w:tcPr>
          <w:p>
            <w:pPr>
              <w:spacing w:after="0"/>
              <w:rPr>
                <w:sz w:val="24"/>
                <w:szCs w:val="24"/>
                <w:color w:val="auto"/>
              </w:rPr>
            </w:pPr>
          </w:p>
        </w:tc>
        <w:tc>
          <w:tcPr>
            <w:tcW w:w="1260" w:type="dxa"/>
            <w:vAlign w:val="bottom"/>
            <w:gridSpan w:val="6"/>
            <w:vMerge w:val="restart"/>
          </w:tcPr>
          <w:p>
            <w:pPr>
              <w:spacing w:after="0"/>
              <w:rPr>
                <w:sz w:val="20"/>
                <w:szCs w:val="20"/>
                <w:color w:val="auto"/>
              </w:rPr>
            </w:pPr>
            <w:r>
              <w:rPr>
                <w:rFonts w:ascii="Arial" w:cs="Arial" w:eastAsia="Arial" w:hAnsi="Arial"/>
                <w:sz w:val="18"/>
                <w:szCs w:val="18"/>
                <w:color w:val="0000FF"/>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9"/>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1.</w:t>
            </w:r>
          </w:p>
        </w:tc>
        <w:tc>
          <w:tcPr>
            <w:tcW w:w="700" w:type="dxa"/>
            <w:vAlign w:val="bottom"/>
            <w:gridSpan w:val="2"/>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0000FF"/>
                <w:w w:val="98"/>
              </w:rPr>
              <w:t>Business</w:t>
            </w:r>
          </w:p>
        </w:tc>
        <w:tc>
          <w:tcPr>
            <w:tcW w:w="8060" w:type="dxa"/>
            <w:vAlign w:val="bottom"/>
            <w:gridSpan w:val="22"/>
          </w:tcPr>
          <w:p>
            <w:pPr>
              <w:spacing w:after="0"/>
              <w:rPr>
                <w:sz w:val="24"/>
                <w:szCs w:val="24"/>
                <w:color w:val="auto"/>
              </w:rPr>
            </w:pPr>
          </w:p>
        </w:tc>
        <w:tc>
          <w:tcPr>
            <w:tcW w:w="720" w:type="dxa"/>
            <w:vAlign w:val="bottom"/>
            <w:gridSpan w:val="6"/>
          </w:tcPr>
          <w:p>
            <w:pPr>
              <w:jc w:val="center"/>
              <w:ind w:left="450"/>
              <w:spacing w:after="0"/>
              <w:rPr>
                <w:sz w:val="20"/>
                <w:szCs w:val="20"/>
                <w:color w:val="auto"/>
              </w:rPr>
            </w:pPr>
            <w:r>
              <w:rPr>
                <w:rFonts w:ascii="Arial" w:cs="Arial" w:eastAsia="Arial" w:hAnsi="Arial"/>
                <w:sz w:val="18"/>
                <w:szCs w:val="18"/>
                <w:color w:val="0000FF"/>
                <w:w w:val="99"/>
              </w:rPr>
              <w:t>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1A.</w:t>
            </w:r>
          </w:p>
        </w:tc>
        <w:tc>
          <w:tcPr>
            <w:tcW w:w="620" w:type="dxa"/>
            <w:vAlign w:val="bottom"/>
          </w:tcPr>
          <w:p>
            <w:pPr>
              <w:spacing w:after="0"/>
              <w:rPr>
                <w:sz w:val="18"/>
                <w:szCs w:val="18"/>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1B.</w:t>
            </w:r>
          </w:p>
        </w:tc>
        <w:tc>
          <w:tcPr>
            <w:tcW w:w="62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540" w:type="dxa"/>
            <w:vAlign w:val="bottom"/>
            <w:gridSpan w:val="12"/>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8"/>
              </w:rPr>
              <w:t>Item 1C.</w:t>
            </w:r>
          </w:p>
        </w:tc>
        <w:tc>
          <w:tcPr>
            <w:tcW w:w="62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0000FF"/>
              </w:rPr>
              <w:t>Cybersecurity</w:t>
            </w:r>
          </w:p>
        </w:tc>
        <w:tc>
          <w:tcPr>
            <w:tcW w:w="6540" w:type="dxa"/>
            <w:vAlign w:val="bottom"/>
            <w:gridSpan w:val="12"/>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rPr>
              <w:t>Item 2.</w:t>
            </w:r>
          </w:p>
        </w:tc>
        <w:tc>
          <w:tcPr>
            <w:tcW w:w="62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0000FF"/>
              </w:rPr>
              <w:t>Properties</w:t>
            </w:r>
          </w:p>
        </w:tc>
        <w:tc>
          <w:tcPr>
            <w:tcW w:w="7700" w:type="dxa"/>
            <w:vAlign w:val="bottom"/>
            <w:gridSpan w:val="18"/>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40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Item 3.</w:t>
            </w:r>
          </w:p>
        </w:tc>
        <w:tc>
          <w:tcPr>
            <w:tcW w:w="62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300" w:type="dxa"/>
            <w:vAlign w:val="bottom"/>
            <w:gridSpan w:val="16"/>
          </w:tcPr>
          <w:p>
            <w:pPr>
              <w:spacing w:after="0"/>
              <w:rPr>
                <w:sz w:val="18"/>
                <w:szCs w:val="18"/>
                <w:color w:val="auto"/>
              </w:rPr>
            </w:pP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40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880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40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5"/>
              </w:rPr>
              <w:t>Part II</w:t>
            </w:r>
          </w:p>
        </w:tc>
        <w:tc>
          <w:tcPr>
            <w:tcW w:w="80" w:type="dxa"/>
            <w:vAlign w:val="bottom"/>
            <w:tcBorders>
              <w:top w:val="single" w:sz="8" w:color="0000FF"/>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8800" w:type="dxa"/>
            <w:vAlign w:val="bottom"/>
            <w:gridSpan w:val="23"/>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 Equity</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8"/>
              </w:rPr>
              <w:t>Securities</w:t>
            </w:r>
          </w:p>
        </w:tc>
        <w:tc>
          <w:tcPr>
            <w:tcW w:w="7560" w:type="dxa"/>
            <w:vAlign w:val="bottom"/>
            <w:tcBorders>
              <w:top w:val="single" w:sz="8" w:color="0000FF"/>
            </w:tcBorders>
            <w:gridSpan w:val="20"/>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6.</w:t>
            </w:r>
          </w:p>
        </w:tc>
        <w:tc>
          <w:tcPr>
            <w:tcW w:w="700" w:type="dxa"/>
            <w:vAlign w:val="bottom"/>
            <w:gridSpan w:val="2"/>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[Reserved]</w:t>
            </w:r>
          </w:p>
        </w:tc>
        <w:tc>
          <w:tcPr>
            <w:tcW w:w="7920" w:type="dxa"/>
            <w:vAlign w:val="bottom"/>
            <w:gridSpan w:val="20"/>
          </w:tcPr>
          <w:p>
            <w:pPr>
              <w:spacing w:after="0"/>
              <w:rPr>
                <w:sz w:val="19"/>
                <w:szCs w:val="19"/>
                <w:color w:val="auto"/>
              </w:rPr>
            </w:pPr>
          </w:p>
        </w:tc>
        <w:tc>
          <w:tcPr>
            <w:tcW w:w="520" w:type="dxa"/>
            <w:vAlign w:val="bottom"/>
            <w:gridSpan w:val="3"/>
          </w:tcPr>
          <w:p>
            <w:pPr>
              <w:spacing w:after="0"/>
              <w:rPr>
                <w:sz w:val="19"/>
                <w:szCs w:val="19"/>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43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7.</w:t>
            </w:r>
          </w:p>
        </w:tc>
        <w:tc>
          <w:tcPr>
            <w:tcW w:w="700" w:type="dxa"/>
            <w:vAlign w:val="bottom"/>
            <w:gridSpan w:val="2"/>
          </w:tcPr>
          <w:p>
            <w:pPr>
              <w:spacing w:after="0"/>
              <w:rPr>
                <w:sz w:val="18"/>
                <w:szCs w:val="18"/>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Results of Operations and Financial Condition</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7A.</w:t>
            </w:r>
          </w:p>
        </w:tc>
        <w:tc>
          <w:tcPr>
            <w:tcW w:w="880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56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rPr>
              <w:t>Financial Statements and Supplementary Data</w:t>
            </w:r>
          </w:p>
        </w:tc>
        <w:tc>
          <w:tcPr>
            <w:tcW w:w="4080" w:type="dxa"/>
            <w:vAlign w:val="bottom"/>
            <w:gridSpan w:val="7"/>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57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9.</w:t>
            </w:r>
          </w:p>
        </w:tc>
        <w:tc>
          <w:tcPr>
            <w:tcW w:w="700" w:type="dxa"/>
            <w:vAlign w:val="bottom"/>
            <w:gridSpan w:val="2"/>
          </w:tcPr>
          <w:p>
            <w:pPr>
              <w:spacing w:after="0"/>
              <w:rPr>
                <w:sz w:val="18"/>
                <w:szCs w:val="18"/>
                <w:color w:val="auto"/>
              </w:rPr>
            </w:pPr>
          </w:p>
        </w:tc>
        <w:tc>
          <w:tcPr>
            <w:tcW w:w="7140" w:type="dxa"/>
            <w:vAlign w:val="bottom"/>
            <w:gridSpan w:val="2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660" w:type="dxa"/>
            <w:vAlign w:val="bottom"/>
            <w:gridSpan w:val="3"/>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98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9A.</w:t>
            </w:r>
          </w:p>
        </w:tc>
        <w:tc>
          <w:tcPr>
            <w:tcW w:w="620" w:type="dxa"/>
            <w:vAlign w:val="bottom"/>
          </w:tcPr>
          <w:p>
            <w:pPr>
              <w:spacing w:after="0"/>
              <w:rPr>
                <w:sz w:val="18"/>
                <w:szCs w:val="18"/>
                <w:color w:val="auto"/>
              </w:rPr>
            </w:pP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3"/>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98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9B.</w:t>
            </w:r>
          </w:p>
        </w:tc>
        <w:tc>
          <w:tcPr>
            <w:tcW w:w="620" w:type="dxa"/>
            <w:vAlign w:val="bottom"/>
          </w:tcPr>
          <w:p>
            <w:pPr>
              <w:spacing w:after="0"/>
              <w:rPr>
                <w:sz w:val="18"/>
                <w:szCs w:val="18"/>
                <w:color w:val="auto"/>
              </w:rPr>
            </w:pPr>
          </w:p>
        </w:tc>
        <w:tc>
          <w:tcPr>
            <w:tcW w:w="2000" w:type="dxa"/>
            <w:vAlign w:val="bottom"/>
            <w:gridSpan w:val="10"/>
          </w:tcPr>
          <w:p>
            <w:pPr>
              <w:spacing w:after="0"/>
              <w:rPr>
                <w:sz w:val="20"/>
                <w:szCs w:val="20"/>
                <w:color w:val="auto"/>
              </w:rPr>
            </w:pPr>
            <w:r>
              <w:rPr>
                <w:rFonts w:ascii="Arial" w:cs="Arial" w:eastAsia="Arial" w:hAnsi="Arial"/>
                <w:sz w:val="18"/>
                <w:szCs w:val="18"/>
                <w:color w:val="0000FF"/>
              </w:rPr>
              <w:t>Other Information</w:t>
            </w:r>
          </w:p>
        </w:tc>
        <w:tc>
          <w:tcPr>
            <w:tcW w:w="6800" w:type="dxa"/>
            <w:vAlign w:val="bottom"/>
            <w:gridSpan w:val="13"/>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98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8"/>
              </w:rPr>
              <w:t>Item 9C.</w:t>
            </w:r>
          </w:p>
        </w:tc>
        <w:tc>
          <w:tcPr>
            <w:tcW w:w="620" w:type="dxa"/>
            <w:vAlign w:val="bottom"/>
          </w:tcPr>
          <w:p>
            <w:pPr>
              <w:spacing w:after="0"/>
              <w:rPr>
                <w:sz w:val="19"/>
                <w:szCs w:val="19"/>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98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6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Part III</w:t>
            </w:r>
          </w:p>
        </w:tc>
        <w:tc>
          <w:tcPr>
            <w:tcW w:w="6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10.</w:t>
            </w:r>
          </w:p>
        </w:tc>
        <w:tc>
          <w:tcPr>
            <w:tcW w:w="880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Item 11.</w:t>
            </w:r>
          </w:p>
        </w:tc>
        <w:tc>
          <w:tcPr>
            <w:tcW w:w="620" w:type="dxa"/>
            <w:vAlign w:val="bottom"/>
          </w:tcPr>
          <w:p>
            <w:pPr>
              <w:spacing w:after="0"/>
              <w:rPr>
                <w:sz w:val="18"/>
                <w:szCs w:val="18"/>
                <w:color w:val="auto"/>
              </w:rPr>
            </w:pP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Executive Compensation</w:t>
            </w:r>
          </w:p>
        </w:tc>
        <w:tc>
          <w:tcPr>
            <w:tcW w:w="2560" w:type="dxa"/>
            <w:vAlign w:val="bottom"/>
            <w:gridSpan w:val="5"/>
          </w:tcPr>
          <w:p>
            <w:pPr>
              <w:spacing w:after="0"/>
              <w:rPr>
                <w:sz w:val="18"/>
                <w:szCs w:val="18"/>
                <w:color w:val="auto"/>
              </w:rPr>
            </w:pPr>
          </w:p>
        </w:tc>
        <w:tc>
          <w:tcPr>
            <w:tcW w:w="4240" w:type="dxa"/>
            <w:vAlign w:val="bottom"/>
            <w:gridSpan w:val="8"/>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99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12.</w:t>
            </w:r>
          </w:p>
        </w:tc>
        <w:tc>
          <w:tcPr>
            <w:tcW w:w="880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13.</w:t>
            </w:r>
          </w:p>
        </w:tc>
        <w:tc>
          <w:tcPr>
            <w:tcW w:w="880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14.</w:t>
            </w:r>
          </w:p>
        </w:tc>
        <w:tc>
          <w:tcPr>
            <w:tcW w:w="880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15.</w:t>
            </w:r>
          </w:p>
        </w:tc>
        <w:tc>
          <w:tcPr>
            <w:tcW w:w="880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16.</w:t>
            </w:r>
          </w:p>
        </w:tc>
        <w:tc>
          <w:tcPr>
            <w:tcW w:w="8800" w:type="dxa"/>
            <w:vAlign w:val="bottom"/>
            <w:gridSpan w:val="23"/>
          </w:tcPr>
          <w:p>
            <w:pPr>
              <w:spacing w:after="0"/>
              <w:rPr>
                <w:sz w:val="20"/>
                <w:szCs w:val="20"/>
                <w:color w:val="auto"/>
              </w:rPr>
            </w:pPr>
            <w:r>
              <w:rPr>
                <w:rFonts w:ascii="Arial" w:cs="Arial" w:eastAsia="Arial" w:hAnsi="Arial"/>
                <w:sz w:val="18"/>
                <w:szCs w:val="18"/>
                <w:color w:val="0000FF"/>
              </w:rPr>
              <w:t>Form 10-K Summary</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9"/>
        </w:trPr>
        <w:tc>
          <w:tcPr>
            <w:tcW w:w="4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Borders>
              <w:top w:val="single" w:sz="8" w:color="0000FF"/>
            </w:tcBorders>
            <w:gridSpan w:val="8"/>
          </w:tcPr>
          <w:p>
            <w:pPr>
              <w:spacing w:after="0"/>
              <w:rPr>
                <w:sz w:val="24"/>
                <w:szCs w:val="24"/>
                <w:color w:val="auto"/>
              </w:rPr>
            </w:pPr>
          </w:p>
        </w:tc>
        <w:tc>
          <w:tcPr>
            <w:tcW w:w="2880" w:type="dxa"/>
            <w:vAlign w:val="bottom"/>
            <w:gridSpan w:val="7"/>
          </w:tcPr>
          <w:p>
            <w:pPr>
              <w:jc w:val="center"/>
              <w:ind w:left="233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Annual Report on Form 10-K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 and the ability of the company's clinical trials to meet expectations;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actors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negotiation and implementation of our voluntary agreement with the U.S. government related to drug pricing and access;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or uncertainties related to our or competitive products, including as may relate to safety or efficacy concerns;</w:t>
      </w:r>
    </w:p>
    <w:p>
      <w:pPr>
        <w:spacing w:after="0" w:line="63" w:lineRule="exact"/>
        <w:rPr>
          <w:rFonts w:ascii="Arial" w:cs="Arial" w:eastAsia="Arial" w:hAnsi="Arial"/>
          <w:sz w:val="18"/>
          <w:szCs w:val="18"/>
          <w:color w:val="auto"/>
        </w:rPr>
      </w:pPr>
    </w:p>
    <w:p>
      <w:pPr>
        <w:ind w:left="340" w:right="4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 consolidated supply chain;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w:t>
      </w:r>
    </w:p>
    <w:p>
      <w:pPr>
        <w:spacing w:after="0" w:line="63"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32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regulatory approvals, or other negative outcomes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including partnerships related to the use of, or the sharing of, such technologies with third parties, which may exacerbate competitive, regulatory, litigation, cybersecurity, and other risks;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changes in interest rates, and inflation or deflation;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and sudden declines or volatility in the trading price of our common stock and market capitalization;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activities, or intellectual property;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changes, developments, and uncertainty;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oversight and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from the proliferation of counterfeit, misbranded, adulterated, or illegally compounded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Investors should also carefully read the factors described under Item 1A, "Risk Factors" in this Annual Report on Form 10-K for a description of certain risks that could, among other things, cause our actual results to differ from those expressed in forward-looking statements. Investors should understand that it is not possible to predict or identify all such factors and should not consider the risks described above and under Item 1A, "Risk Factors" to be a complete statement of all potential risks and uncertainties.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forward-looking statements speak only as of the date of this Annual Report and are expressly qualified in their entirety by the risk factors and cautionary statements included in this Annual Report. Except as is required by law, we expressly disclaim any obligation to publicly release any revisions to forward-looking statements to reflect events after the date of this Annual Report.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All trademarks or trade names referred to in this Annual Report on Form 10-K are the property of the company, or, to the extent trademarks or trade names belonging to other companies are referenced in this Annual Report on Form 10-K, the property of their respective owners. Solely for convenience, the trademarks and trade names in this Annual Report on Form 10-K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Business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Eli Lilly and Company (referred to as the company, Lilly, we, or us) was incorporated in 1901 in Indiana to succeed to the drug manufacturing business founded in Indianapolis, Indiana, in 1876 by Colonel Eli Lilly. We discover, develop, manufacture, and market products in a single business segment—human pharmaceutical products.</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depends on our ability to continually discover or acquire, develop, and commercialize innovative medicines.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manufacture and distribute our products through facilities in the United States (U.S.), including Puerto Rico, and in Europe and Asia. Our products are sold in approximately 90 countries.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include:</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r>
      <w:tr>
        <w:trPr>
          <w:trHeight w:val="20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Cardiometabolic</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Basaglar</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Boehringer Ingelheim, a long-acting human insulin analog for the</w:t>
            </w:r>
          </w:p>
        </w:tc>
      </w:tr>
      <w:tr>
        <w:trPr>
          <w:trHeight w:val="252"/>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Health products</w:t>
            </w:r>
          </w:p>
        </w:tc>
        <w:tc>
          <w:tcPr>
            <w:tcW w:w="2340" w:type="dxa"/>
            <w:vAlign w:val="bottom"/>
            <w:tcBorders>
              <w:bottom w:val="single" w:sz="8" w:color="auto"/>
              <w:right w:val="single" w:sz="8" w:color="auto"/>
            </w:tcBorders>
          </w:tcPr>
          <w:p>
            <w:pPr>
              <w:spacing w:after="0"/>
              <w:rPr>
                <w:sz w:val="21"/>
                <w:szCs w:val="21"/>
                <w:color w:val="auto"/>
              </w:rPr>
            </w:pP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treatment of diabetes.</w:t>
            </w:r>
          </w:p>
        </w:tc>
      </w:tr>
      <w:tr>
        <w:trPr>
          <w:trHeight w:val="220"/>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Humalog, Humalog Mix</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Human insulin analogs for the treatment of diabetes.</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75/25, Humalog U-100,</w:t>
            </w:r>
          </w:p>
        </w:tc>
        <w:tc>
          <w:tcPr>
            <w:tcW w:w="6900" w:type="dxa"/>
            <w:vAlign w:val="bottom"/>
            <w:tcBorders>
              <w:right w:val="single" w:sz="8" w:color="auto"/>
            </w:tcBorders>
          </w:tcPr>
          <w:p>
            <w:pPr>
              <w:spacing w:after="0"/>
              <w:rPr>
                <w:sz w:val="18"/>
                <w:szCs w:val="18"/>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Humalog U-200, Humalog</w:t>
            </w:r>
          </w:p>
        </w:tc>
        <w:tc>
          <w:tcPr>
            <w:tcW w:w="6900" w:type="dxa"/>
            <w:vAlign w:val="bottom"/>
            <w:tcBorders>
              <w:right w:val="single" w:sz="8" w:color="auto"/>
            </w:tcBorders>
          </w:tcPr>
          <w:p>
            <w:pPr>
              <w:spacing w:after="0"/>
              <w:rPr>
                <w:sz w:val="18"/>
                <w:szCs w:val="18"/>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Mix 50/50, insulin lispro,</w:t>
            </w:r>
          </w:p>
        </w:tc>
        <w:tc>
          <w:tcPr>
            <w:tcW w:w="6900" w:type="dxa"/>
            <w:vAlign w:val="bottom"/>
            <w:tcBorders>
              <w:right w:val="single" w:sz="8" w:color="auto"/>
            </w:tcBorders>
          </w:tcPr>
          <w:p>
            <w:pPr>
              <w:spacing w:after="0"/>
              <w:rPr>
                <w:sz w:val="18"/>
                <w:szCs w:val="18"/>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insulin lispro protamine, and</w:t>
            </w:r>
          </w:p>
        </w:tc>
        <w:tc>
          <w:tcPr>
            <w:tcW w:w="6900" w:type="dxa"/>
            <w:vAlign w:val="bottom"/>
            <w:tcBorders>
              <w:right w:val="single" w:sz="8" w:color="auto"/>
            </w:tcBorders>
          </w:tcPr>
          <w:p>
            <w:pPr>
              <w:spacing w:after="0"/>
              <w:rPr>
                <w:sz w:val="18"/>
                <w:szCs w:val="18"/>
                <w:color w:val="auto"/>
              </w:rPr>
            </w:pPr>
          </w:p>
        </w:tc>
      </w:tr>
      <w:tr>
        <w:trPr>
          <w:trHeight w:val="237"/>
        </w:trPr>
        <w:tc>
          <w:tcPr>
            <w:tcW w:w="180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insulin lispro mix 75/25</w:t>
            </w:r>
          </w:p>
        </w:tc>
        <w:tc>
          <w:tcPr>
            <w:tcW w:w="6900" w:type="dxa"/>
            <w:vAlign w:val="bottom"/>
            <w:tcBorders>
              <w:right w:val="single" w:sz="8" w:color="auto"/>
            </w:tcBorders>
          </w:tcPr>
          <w:p>
            <w:pPr>
              <w:spacing w:after="0"/>
              <w:rPr>
                <w:sz w:val="20"/>
                <w:szCs w:val="20"/>
                <w:color w:val="auto"/>
              </w:rPr>
            </w:pPr>
          </w:p>
        </w:tc>
      </w:tr>
      <w:tr>
        <w:trPr>
          <w:trHeight w:val="441"/>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18"/>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18"/>
                <w:szCs w:val="18"/>
                <w:color w:val="auto"/>
              </w:rPr>
              <w:t>,</w:t>
            </w:r>
            <w:r>
              <w:rPr>
                <w:rFonts w:ascii="Arial" w:cs="Arial" w:eastAsia="Arial" w:hAnsi="Arial"/>
                <w:sz w:val="18"/>
                <w:szCs w:val="18"/>
                <w:i w:val="1"/>
                <w:iCs w:val="1"/>
                <w:color w:val="auto"/>
              </w:rPr>
              <w:t xml:space="preserve"> Humulin 70/30,</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Human insulins of recombinant DNA origin for the treatment of diabetes.</w:t>
            </w:r>
          </w:p>
        </w:tc>
      </w:tr>
      <w:tr>
        <w:trPr>
          <w:trHeight w:val="218"/>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 xml:space="preserve">Humulin N, Humulin R, </w:t>
            </w:r>
            <w:r>
              <w:rPr>
                <w:rFonts w:ascii="Arial" w:cs="Arial" w:eastAsia="Arial" w:hAnsi="Arial"/>
                <w:sz w:val="18"/>
                <w:szCs w:val="18"/>
                <w:color w:val="auto"/>
              </w:rPr>
              <w:t>and</w:t>
            </w:r>
          </w:p>
        </w:tc>
        <w:tc>
          <w:tcPr>
            <w:tcW w:w="6900" w:type="dxa"/>
            <w:vAlign w:val="bottom"/>
            <w:tcBorders>
              <w:right w:val="single" w:sz="8" w:color="auto"/>
            </w:tcBorders>
          </w:tcPr>
          <w:p>
            <w:pPr>
              <w:spacing w:after="0"/>
              <w:rPr>
                <w:sz w:val="18"/>
                <w:szCs w:val="18"/>
                <w:color w:val="auto"/>
              </w:rPr>
            </w:pPr>
          </w:p>
        </w:tc>
      </w:tr>
      <w:tr>
        <w:trPr>
          <w:trHeight w:val="237"/>
        </w:trPr>
        <w:tc>
          <w:tcPr>
            <w:tcW w:w="180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Humulin U-500</w:t>
            </w:r>
          </w:p>
        </w:tc>
        <w:tc>
          <w:tcPr>
            <w:tcW w:w="6900" w:type="dxa"/>
            <w:vAlign w:val="bottom"/>
            <w:tcBorders>
              <w:right w:val="single" w:sz="8" w:color="auto"/>
            </w:tcBorders>
          </w:tcPr>
          <w:p>
            <w:pPr>
              <w:spacing w:after="0"/>
              <w:rPr>
                <w:sz w:val="20"/>
                <w:szCs w:val="20"/>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Jardiance</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Boehringer Ingelheim, for the treatment of type 2 diabetes; to reduce</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the risk of cardiovascular death in adult patients with type 2 diabetes and established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cardiovascular disease; to reduce the risk of cardiovascular death and hospitalizations for</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heart failure in adults; and to reduce the risk of sustained decline in estimated glomerular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filtration rate (eGFR), end-stage kidney disease, cardiovascular death and hospitalization</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adults with chronic kidney disease (CKD) at risk of progression.</w:t>
            </w:r>
          </w:p>
        </w:tc>
      </w:tr>
      <w:tr>
        <w:trPr>
          <w:trHeight w:val="445"/>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Mounjaro</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 glucose-dependent insulinotropic polypeptide and glucagon-like peptide-1 receptor</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agonist, for the treatment of adults with type 2 diabetes in combination with diet and</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exercise to improve glycemic control.</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Trulicit</w:t>
            </w:r>
            <w:r>
              <w:rPr>
                <w:rFonts w:ascii="Arial" w:cs="Arial" w:eastAsia="Arial" w:hAnsi="Arial"/>
                <w:sz w:val="18"/>
                <w:szCs w:val="18"/>
                <w:color w:val="auto"/>
              </w:rPr>
              <w:t>y</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type 2 diabetes in adults and pediatric patients 10 years of age and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older; and to reduce the risk of major adverse cardiovascular events in adult patients with</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type 2 diabetes and established cardiovascular disease or multiple cardiovascular risk</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factors.</w:t>
            </w:r>
          </w:p>
        </w:tc>
      </w:tr>
      <w:tr>
        <w:trPr>
          <w:trHeight w:val="229"/>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Zepbound</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adults with obesity or overweight with at least one weight-related</w:t>
            </w:r>
          </w:p>
        </w:tc>
      </w:tr>
      <w:tr>
        <w:trPr>
          <w:trHeight w:val="202"/>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comorbid condition in combination with a reduced-calorie diet and increased physical</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activity; and for the treatment of moderate to severe obstructive sleep apnea in adults with</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obesity in combination with a reduced-calorie diet and increased physical activity (relevant</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indications marketed under Mounjaro in various markets outside the U.S.).</w:t>
            </w:r>
          </w:p>
        </w:tc>
      </w:tr>
      <w:tr>
        <w:trPr>
          <w:trHeight w:val="446"/>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80"/>
          </w:cols>
          <w:pgMar w:left="320" w:top="877" w:right="39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c>
          <w:tcPr>
            <w:tcW w:w="200" w:type="dxa"/>
            <w:vAlign w:val="bottom"/>
          </w:tcPr>
          <w:p>
            <w:pPr>
              <w:spacing w:after="0"/>
              <w:rPr>
                <w:sz w:val="24"/>
                <w:szCs w:val="24"/>
                <w:color w:val="auto"/>
              </w:rPr>
            </w:pPr>
          </w:p>
        </w:tc>
      </w:tr>
      <w:tr>
        <w:trPr>
          <w:trHeight w:val="20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Oncology products</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Cyramza</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use as monotherapy or in combination with another agent as a second-line treatment</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of advanced or metastatic gastric cancer or gastro-esophageal junction adenocarcinoma;</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combination with another agent as a second-line treatment of metastatic non-small cell</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lung cancer (NSCLC); in combination with another agent as a second-line treatment of</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metastatic colorectal cancer; as a monotherapy as a second-line treatment of</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hepatocellular carcinoma; and in combination with another agent as a first-line treatment</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of adult patients with metastatic NSCLC with activating epidermal growth factor receptor</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(EGFR) mutations.</w:t>
            </w:r>
          </w:p>
        </w:tc>
        <w:tc>
          <w:tcPr>
            <w:tcW w:w="200" w:type="dxa"/>
            <w:vAlign w:val="bottom"/>
          </w:tcPr>
          <w:p>
            <w:pPr>
              <w:spacing w:after="0"/>
              <w:rPr>
                <w:sz w:val="19"/>
                <w:szCs w:val="19"/>
                <w:color w:val="auto"/>
              </w:rPr>
            </w:pPr>
          </w:p>
        </w:tc>
      </w:tr>
      <w:tr>
        <w:trPr>
          <w:trHeight w:val="432"/>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Erbitux</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Indicated both as monotherapy and in combination with another agent for the treatment of</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certain types of colorectal cancers; and as monotherapy, in combination with</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chemotherapy, or in combination with radiation therapy for the treatment of certain types of</w:t>
            </w:r>
          </w:p>
        </w:tc>
        <w:tc>
          <w:tcPr>
            <w:tcW w:w="200" w:type="dxa"/>
            <w:vAlign w:val="bottom"/>
          </w:tcPr>
          <w:p>
            <w:pPr>
              <w:spacing w:after="0"/>
              <w:rPr>
                <w:sz w:val="18"/>
                <w:szCs w:val="18"/>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head and neck cancers.</w:t>
            </w:r>
          </w:p>
        </w:tc>
        <w:tc>
          <w:tcPr>
            <w:tcW w:w="200" w:type="dxa"/>
            <w:vAlign w:val="bottom"/>
          </w:tcPr>
          <w:p>
            <w:pPr>
              <w:spacing w:after="0"/>
              <w:rPr>
                <w:sz w:val="19"/>
                <w:szCs w:val="19"/>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Inluriyo</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adults with ER-positive HER2-negative, ESR1-mutated advanced or</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metastatic breast cancer whose disease progressed after at least one line of endocrine</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therapy.</w:t>
            </w:r>
          </w:p>
        </w:tc>
        <w:tc>
          <w:tcPr>
            <w:tcW w:w="200" w:type="dxa"/>
            <w:vAlign w:val="bottom"/>
          </w:tcPr>
          <w:p>
            <w:pPr>
              <w:spacing w:after="0"/>
              <w:rPr>
                <w:sz w:val="19"/>
                <w:szCs w:val="19"/>
                <w:color w:val="auto"/>
              </w:rPr>
            </w:pPr>
          </w:p>
        </w:tc>
      </w:tr>
      <w:tr>
        <w:trPr>
          <w:trHeight w:val="40"/>
        </w:trPr>
        <w:tc>
          <w:tcPr>
            <w:tcW w:w="1800" w:type="dxa"/>
            <w:vAlign w:val="bottom"/>
            <w:tcBorders>
              <w:left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right w:val="single" w:sz="8" w:color="auto"/>
            </w:tcBorders>
          </w:tcPr>
          <w:p>
            <w:pPr>
              <w:spacing w:after="0"/>
              <w:rPr>
                <w:sz w:val="3"/>
                <w:szCs w:val="3"/>
                <w:color w:val="auto"/>
              </w:rPr>
            </w:pPr>
          </w:p>
        </w:tc>
        <w:tc>
          <w:tcPr>
            <w:tcW w:w="200" w:type="dxa"/>
            <w:vAlign w:val="bottom"/>
          </w:tcPr>
          <w:p>
            <w:pPr>
              <w:spacing w:after="0"/>
              <w:rPr>
                <w:sz w:val="3"/>
                <w:szCs w:val="3"/>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Jaypirca</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patients with relapsed or refractory chronic lymphocytic</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leukemia or small lymphocytic lymphoma (CLL/SLL) who have previously been treated</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with a covalent BTK inhibitor; and for the treatment of adult patients with relapsed or</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refractory mantle cell lymphoma (MCL) after at least two lines of systemic therapy,</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including a BTK inhibitor.</w:t>
            </w:r>
          </w:p>
        </w:tc>
        <w:tc>
          <w:tcPr>
            <w:tcW w:w="200" w:type="dxa"/>
            <w:vAlign w:val="bottom"/>
          </w:tcPr>
          <w:p>
            <w:pPr>
              <w:spacing w:after="0"/>
              <w:rPr>
                <w:sz w:val="19"/>
                <w:szCs w:val="19"/>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Retevmo</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metastatic NSCLC with a rearranged during transfection (RET) gene</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fusion in adult patients; for the treatment of advanced metastatic medullary thyroid cancer</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with a RET mutation who require systemic therapy in adult and pediatric patients; for the</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advanced or metastatic thyroid cancer with a RET gene fusion in adult and</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pediatric patients who require systemic therapy and are radioactive iodine-refractory; and</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patients with locally advanced or metastatic solid tumors with a</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RET gene fusion who have progressed on or following prior systemic treatment or who</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have no satisfactory alternative treatment options.</w:t>
            </w:r>
          </w:p>
        </w:tc>
        <w:tc>
          <w:tcPr>
            <w:tcW w:w="200" w:type="dxa"/>
            <w:vAlign w:val="bottom"/>
          </w:tcPr>
          <w:p>
            <w:pPr>
              <w:spacing w:after="0"/>
              <w:rPr>
                <w:sz w:val="19"/>
                <w:szCs w:val="19"/>
                <w:color w:val="auto"/>
              </w:rPr>
            </w:pPr>
          </w:p>
        </w:tc>
      </w:tr>
      <w:tr>
        <w:trPr>
          <w:trHeight w:val="432"/>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Tyvyt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Innovent Biologics, Inc., for the treatment of relapsed or refractory</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classic Hodgkin's lymphoma; for the first-line treatment of non-squamous NSCLC in</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combination with Alimta and another agent; for the first-line treatment of squamous</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NSCLC in combination with two other agents; for the first-line treatment of hepatocellular</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carcinoma in combination with another agent; for the first-line treatment of esophageal</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squamous cell carcinoma in combination with certain other agents; for the first-line</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gastric cancer in combination with two other agents; and, in combination with</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two other agents, for patients with EGFR-mutated non-squamous NSCLC that progressed</w:t>
            </w:r>
          </w:p>
        </w:tc>
        <w:tc>
          <w:tcPr>
            <w:tcW w:w="200" w:type="dxa"/>
            <w:vAlign w:val="bottom"/>
          </w:tcPr>
          <w:p>
            <w:pPr>
              <w:spacing w:after="0"/>
              <w:rPr>
                <w:sz w:val="18"/>
                <w:szCs w:val="18"/>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after EGFR-tyrosine kinase inhibitor therapy, each in China.</w:t>
            </w:r>
          </w:p>
        </w:tc>
        <w:tc>
          <w:tcPr>
            <w:tcW w:w="200" w:type="dxa"/>
            <w:vAlign w:val="bottom"/>
          </w:tcPr>
          <w:p>
            <w:pPr>
              <w:spacing w:after="0"/>
              <w:rPr>
                <w:sz w:val="19"/>
                <w:szCs w:val="19"/>
                <w:color w:val="auto"/>
              </w:rPr>
            </w:pPr>
          </w:p>
        </w:tc>
      </w:tr>
      <w:tr>
        <w:trPr>
          <w:trHeight w:val="634"/>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Verzenio</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use as monotherapy or in combination with endocrine therapy for the treatment of</w:t>
            </w:r>
          </w:p>
        </w:tc>
        <w:tc>
          <w:tcPr>
            <w:tcW w:w="200" w:type="dxa"/>
            <w:vAlign w:val="bottom"/>
          </w:tcPr>
          <w:p>
            <w:pPr>
              <w:spacing w:after="0"/>
              <w:rPr>
                <w:sz w:val="17"/>
                <w:szCs w:val="17"/>
                <w:color w:val="auto"/>
              </w:rPr>
            </w:pPr>
          </w:p>
        </w:tc>
      </w:tr>
      <w:tr>
        <w:trPr>
          <w:trHeight w:val="202"/>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HR+, HER2- metastatic breast cancer, and in combination with endocrine therapy for</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HR+, HER2-, node positive, early breast cancer at high risk of recurrence.</w:t>
            </w:r>
          </w:p>
        </w:tc>
        <w:tc>
          <w:tcPr>
            <w:tcW w:w="200" w:type="dxa"/>
            <w:vAlign w:val="bottom"/>
          </w:tcPr>
          <w:p>
            <w:pPr>
              <w:spacing w:after="0"/>
              <w:rPr>
                <w:sz w:val="19"/>
                <w:szCs w:val="19"/>
                <w:color w:val="auto"/>
              </w:rPr>
            </w:pPr>
          </w:p>
        </w:tc>
      </w:tr>
      <w:tr>
        <w:trPr>
          <w:trHeight w:val="256"/>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c>
          <w:tcPr>
            <w:tcW w:w="690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r>
      <w:tr>
        <w:trPr>
          <w:trHeight w:val="969"/>
        </w:trPr>
        <w:tc>
          <w:tcPr>
            <w:tcW w:w="18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900" w:type="dxa"/>
            <w:vAlign w:val="bottom"/>
          </w:tcPr>
          <w:p>
            <w:pPr>
              <w:ind w:left="14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r>
      <w:tr>
        <w:trPr>
          <w:trHeight w:val="111"/>
        </w:trPr>
        <w:tc>
          <w:tcPr>
            <w:tcW w:w="18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6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r>
      <w:tr>
        <w:trPr>
          <w:trHeight w:val="207"/>
        </w:trPr>
        <w:tc>
          <w:tcPr>
            <w:tcW w:w="18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Immunology</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Ebglyss</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and adolescent patients 12 years or older with moderate to</w:t>
            </w:r>
          </w:p>
        </w:tc>
      </w:tr>
      <w:tr>
        <w:trPr>
          <w:trHeight w:val="256"/>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products</w:t>
            </w:r>
          </w:p>
        </w:tc>
        <w:tc>
          <w:tcPr>
            <w:tcW w:w="2340" w:type="dxa"/>
            <w:vAlign w:val="bottom"/>
            <w:tcBorders>
              <w:right w:val="single" w:sz="8" w:color="auto"/>
            </w:tcBorders>
          </w:tcPr>
          <w:p>
            <w:pPr>
              <w:spacing w:after="0"/>
              <w:rPr>
                <w:sz w:val="22"/>
                <w:szCs w:val="22"/>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 atopic dermatitis (in Europe, in collaboration with Almirall S.A.).</w:t>
            </w:r>
          </w:p>
        </w:tc>
      </w:tr>
      <w:tr>
        <w:trPr>
          <w:trHeight w:val="212"/>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Olumiant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Incyte Corporation, for the treatment of adults with moderately to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severely active rheumatoid arthritis after treatment with one or more tumor necrosis factor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(TNF) blockers that did not work well enough or could not be tolerated; moderate to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 atopic dermatitis; severe alopecia areata; and for the treatment of hospitalized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adults with COVID-19 who require supplemental oxygen, mechanical ventilation, or</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extracorporeal membrane oxygenation.</w:t>
            </w:r>
          </w:p>
        </w:tc>
      </w:tr>
      <w:tr>
        <w:trPr>
          <w:trHeight w:val="229"/>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Omvoh</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moderately to severely active ulcerative colitis in adults and for the</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moderately to severely active Crohn's disease in adults.</w:t>
            </w:r>
          </w:p>
        </w:tc>
      </w:tr>
      <w:tr>
        <w:trPr>
          <w:trHeight w:val="243"/>
        </w:trPr>
        <w:tc>
          <w:tcPr>
            <w:tcW w:w="1800" w:type="dxa"/>
            <w:vAlign w:val="bottom"/>
            <w:tcBorders>
              <w:left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c>
          <w:tcPr>
            <w:tcW w:w="6900" w:type="dxa"/>
            <w:vAlign w:val="bottom"/>
            <w:tcBorders>
              <w:bottom w:val="single" w:sz="8" w:color="auto"/>
              <w:right w:val="single" w:sz="8" w:color="auto"/>
            </w:tcBorders>
          </w:tcPr>
          <w:p>
            <w:pPr>
              <w:spacing w:after="0"/>
              <w:rPr>
                <w:sz w:val="21"/>
                <w:szCs w:val="21"/>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Taltz</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adults and pediatric patients aged 6 years or older with moderate to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 plaque psoriasis; adults with active psoriatic arthritis; adults with ankylosing</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spondylitis; and adults with active non-radiographic axial spondyloarthritis.</w:t>
            </w:r>
          </w:p>
        </w:tc>
      </w:tr>
      <w:tr>
        <w:trPr>
          <w:trHeight w:val="216"/>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18"/>
        </w:trPr>
        <w:tc>
          <w:tcPr>
            <w:tcW w:w="18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Neuroscience</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Emgality</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migraine prevention and the treatment of episodic cluster headache in adults.</w:t>
            </w:r>
          </w:p>
        </w:tc>
      </w:tr>
      <w:tr>
        <w:trPr>
          <w:trHeight w:val="23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products</w:t>
            </w:r>
          </w:p>
        </w:tc>
        <w:tc>
          <w:tcPr>
            <w:tcW w:w="2340" w:type="dxa"/>
            <w:vAlign w:val="bottom"/>
            <w:tcBorders>
              <w:right w:val="single" w:sz="8" w:color="auto"/>
            </w:tcBorders>
          </w:tcPr>
          <w:p>
            <w:pPr>
              <w:spacing w:after="0"/>
              <w:rPr>
                <w:sz w:val="20"/>
                <w:szCs w:val="20"/>
                <w:color w:val="auto"/>
              </w:rPr>
            </w:pPr>
          </w:p>
        </w:tc>
        <w:tc>
          <w:tcPr>
            <w:tcW w:w="6900" w:type="dxa"/>
            <w:vAlign w:val="bottom"/>
            <w:tcBorders>
              <w:right w:val="single" w:sz="8" w:color="auto"/>
            </w:tcBorders>
          </w:tcPr>
          <w:p>
            <w:pPr>
              <w:spacing w:after="0"/>
              <w:rPr>
                <w:sz w:val="20"/>
                <w:szCs w:val="20"/>
                <w:color w:val="auto"/>
              </w:rPr>
            </w:pPr>
          </w:p>
        </w:tc>
      </w:tr>
      <w:tr>
        <w:trPr>
          <w:trHeight w:val="50"/>
        </w:trPr>
        <w:tc>
          <w:tcPr>
            <w:tcW w:w="1800" w:type="dxa"/>
            <w:vAlign w:val="bottom"/>
            <w:tcBorders>
              <w:left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Kisunla</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adults with early symptomatic Alzheimer's disease with confirmed amyloid pathology</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and with mild cognitive impairment or mild dementia stage of disease.</w:t>
            </w:r>
          </w:p>
        </w:tc>
      </w:tr>
      <w:tr>
        <w:trPr>
          <w:trHeight w:val="256"/>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c>
          <w:tcPr>
            <w:tcW w:w="6900" w:type="dxa"/>
            <w:vAlign w:val="bottom"/>
            <w:tcBorders>
              <w:bottom w:val="single" w:sz="8" w:color="auto"/>
              <w:right w:val="single" w:sz="8" w:color="auto"/>
            </w:tcBorders>
          </w:tcPr>
          <w:p>
            <w:pPr>
              <w:spacing w:after="0"/>
              <w:rPr>
                <w:sz w:val="22"/>
                <w:szCs w:val="2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 and comply with local regulations.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products we market and their distribution vary from country to country depending on the market and applicable regulations. As applicable, we educate healthcare providers about our products in various ways, including via promotion in online and other channels, distributing information and samples of certain products to physicians, and exhibiting at medical meetings. In addition, we advertise certain products directly to consumers in the U.S., and we maintain websites and other media channels (e.g., social media) with information about our major products. Promotion of our major products in the U.S. includes engagement by employee or contracted sales representatives with physicians and other healthcare professionals.</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Our account managers service wholesalers, pharmacy benefit managers, insurers, plan sponsors, employers, managed care organizations, group purchasing organizations, government and long-term care institutions, hospitals, and certain retail pharmacies. Our arrangements with these organizations often include discounts or rebates on our products.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U.S., most of our products are distributed through wholesalers that serve pharmacies, physicians and other healthcare professionals, and hospitals. In 2025, 2024, and 2023, three wholesale distributors in the U.S.—McKesson Corporation, Cencora, Inc., and Cardinal Health, Inc.—each accounted for a significant percentage of our consolidated revenue. No other customer accounted for more than 10 percent of our consolidated revenue in any of these years. For additional information, see Item 8, "Financial Statements and Supplementary Data—Note 2: Revenue."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7" w:name="page8"/>
    <w:bookmarkEnd w:id="7"/>
    <w:p>
      <w:pPr>
        <w:ind w:right="140"/>
        <w:spacing w:after="0" w:line="255" w:lineRule="auto"/>
        <w:rPr>
          <w:sz w:val="20"/>
          <w:szCs w:val="20"/>
          <w:color w:val="auto"/>
        </w:rPr>
      </w:pPr>
      <w:r>
        <w:rPr>
          <w:rFonts w:ascii="Arial" w:cs="Arial" w:eastAsia="Arial" w:hAnsi="Arial"/>
          <w:sz w:val="18"/>
          <w:szCs w:val="18"/>
          <w:color w:val="auto"/>
        </w:rPr>
        <w:t>In certain jurisdictions, we utilize LillyDirect, our direct-to-patient digital health care platform, to provide delivery of select Lilly medicines dispensed by third-party pharmacies to patients. Tools to help patients access care from independent healthcare providers and programs to assist patients in adhering to treatment plans are also available on the platform where applicable. Sales through LillyDirect represented a growing portion of our business in 2025 and we have launched, and continue to explore, new partnerships and tools, including through LillyDirect, to further expand access to our medicines. New initiatives may expose us to new risks or exacerbate existing risks. See, for examples, Item 1A, "Risk Factors—Risks Related to Our Operations—Failure, inadequacy, breach of, or unauthorized access to, our IT systems or those of our third-party service providers, unauthorized access to our confidential information, or violations of data protection laws, could result in material harm to our business and reputation" and "Risk Factors—Risks Related to Litigation and Government Regulation—Regulatory compliance problems could be damaging to the company."</w:t>
      </w:r>
    </w:p>
    <w:p>
      <w:pPr>
        <w:spacing w:after="0" w:line="7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Outside the U.S., we promote our products to healthcare providers through sales representatives and other channels. We maintain our own sales organizations in many countries. We also often utilize third parties for commercial sales operations, some of which are engaged through distribution and promotion arrangements. We provide disease-state information directly to consumers via websites, social channels, and local activations.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products are marketed in arrangements with other pharmaceutical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Item 8, "Financial Statements and Supplementary Data—Note 3: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products compete globally with many other pharmaceutical products in highly competitive markets.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Important competitive factors include effectiveness, safety, availability, ease of use, patient preference, and overall experience; formulary placement, price, payer coverage and reimbursement rates, and demonstrated cost-effectiveness; regulatory approvals; marketing effectiveness; and research and development of new products, processes, modalities, indications, and uses. Early market entry and rapid patient access can also be important to achieve product acceptance and success. Barriers to reimbursable patient access in some cases include default payer coverage restrictions for our medicines. For example, in the U.S. self-insured employers must generally opt in for coverage of anti-obesity medicines. Payers in various international markets also do not cover anti-obesity medicines for weight loss. Our anti-obesity medicines comprise a significant portion of our revenues, and barriers to reimbursable patient access impact our sales volumes, business, and results of operations.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Most new products or uses that we introduce must compete with other branded, biosimilar, or generic products already on the market or that are later developed. When new products, uses, or delivery systems with therapeutic, convenience, or cost advantages are introduced, including by developing new modalities, our existing products become subject to decreased sales volumes, progressive price reductions, or both.</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our long-term competitive success depends on discovering and developing or acquiring and further developing innovative, cost-effective products that provide improved outcomes for patients and deliver value to payers, and continuously improving the productivity of our operations in a highly competitive and global environment. We face intensifying competition worldwide, including from China and other markets that have significantly expanded and accelerated research and development capabilities. Companies in these markets are increasingly licensing products to multinational pharmaceutical companies, entering into strategic partnerships, and competing directly in major markets. Our ability to compete effectively depends on our capacity to innovate at the pace of global scientific advancement, to access innovation through strategic partnerships and licensing arrangements across geographies, and to efficiently bring differentiated products to market. There can be no assurance that our efforts will result in commercially successful products, and it is possible that our products or indications will be, or will become, uncompetitive from time to time. See also "—Competition—U.S. Private Sector Dynamics."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Generic Pharmaceuticals and Biosimilars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Generic pharmaceuticals and biosimilars can pose major competitive challenges to our business. In most major jurisdictions, the regulatory approval process for pharmaceuticals (other than biological products (biologics)) exempts generics from costly and time-consuming clinical trials to demonstrate their safety and efficacy, allowing generic manufacturers to rely on the safety and efficacy of the innovator product. As a result, generic manufacturers generally invest far fewer resources in research and development than we do for our branded products and can price their products significantly lower than branded products. Accordingly, when a branded non-biologic pharmaceutical loses its market exclusivity, it normally faces intense price competition from generic forms of the product, which can result in the loss of a significant portion of the branded product's revenue in a very short period of time. Loss of market exclusivity for competitive products may also shift market conditions for other branded products in the same therapeutic class. Moreover, governments in some countries leverage generic entrants to drive price concessions through the utilization of volume-based procurement bidding and other measures.</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public and private payers typically encourage the use of generics as alternatives to branded products. Laws in the U.S. generally allow, and in many cases require, pharmacists to substitute generics that have been rated under government procedures to be essentially equivalent to a branded product. Where substitution is mandatory, it must be made unless the prescribing physician expressly forbids it. In certain countries, intellectual property protection is weak, and we must compete with generic versions of our products at or relatively shortly after launch.</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competition for our biologics, which constitute a substantial portion of our products and pipeline, may be affected by the approval of follow-on biologics, also known as biosimilars. A biosimilar is a subsequent version of an approved innovator biologic that, due to its analytical and clinical similarity to the innovator biologic, may be approved based on an abbreviated data package that relies in part on the full testing required of the innovator biologic.</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Globally, most governments have developed abbreviated regulatory pathways to approve biosimilars as follow-ons to innovator biologics, including the Biologics Price Competition and Innovation Act of 2009 (the BPCIA) in the U.S. A number of biosimilars have been licensed under the BPCIA, as well as in Europe and Japan. Regulatory interpretation of important aspects of the laws regulating biosimilars continues to evolve. In the U.S., for example, the U.S. Food and Drug Administration (FDA) has proposed changes in policy that could streamline the process of, and accelerate the timeline for, biosimilar development, including potentially minimizing the requirement for comparative clinical efficacy studies. The impact of these laws and guidance on our business remains subject to substantial uncertainty.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Compounding</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continue to see the production, marketing, and sale of counterfeit, misbranded, adulterated, and mass-compounded incretins in the U.S. and other markets. These practices may impact patient safety, undermine regulatory drug approval processes, and present market risks. If inadequately regulated, these practices could materially impact our business and reputation, including by creating consumer confusion or misperceptions about the safety and efficacy of our genuine products, diversion of potential sales, and potential net price erosion for our products. See "—Government Regulation of Our Operations and Products," for additional information on market risks related to counterfeit, misbranded, adulterated, and mass-compounded medicines.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Dynamics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U.S. private sector, consolidated and integrated healthcare organizations significantly affect the competitive marketplace for pharmaceuticals. Health plans, managed care organizations, pharmacy benefit managers, wholesalers, pharmacies, and other supply chain entities have consolidated into fewer, larger entities, thus enhancing their market power and importance. Private third-party insurers, as well as governments, typically maintain formularies that specify coverage (the conditions under which drugs are included on a plan's formulary) and reimbursement (the associated out-of-pocket cost to the consumer) to control costs by negotiating discounts or rebates in exchange for formulary inclusion and placement.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 w:name="page10"/>
    <w:bookmarkEnd w:id="9"/>
    <w:p>
      <w:pPr>
        <w:spacing w:after="0" w:line="252" w:lineRule="auto"/>
        <w:rPr>
          <w:sz w:val="20"/>
          <w:szCs w:val="20"/>
          <w:color w:val="auto"/>
        </w:rPr>
      </w:pPr>
      <w:r>
        <w:rPr>
          <w:rFonts w:ascii="Arial" w:cs="Arial" w:eastAsia="Arial" w:hAnsi="Arial"/>
          <w:sz w:val="18"/>
          <w:szCs w:val="18"/>
          <w:color w:val="auto"/>
        </w:rPr>
        <w:t>Unfavorable formulary placement can lead to reduced usage of a product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face increased pressure in negotiations, and compete fiercely for formulary placement, not only on the basis of product attributes such as efficacy, safety profile, or patient ease of use, but also by providing rebates or other concessions. As payers and pharmaceutical companies continue to negotiate formulary placement and rebates, value-based agreements, where rebates may be based on achievement (or not) of specified outcomes, are another prevalent tool. Rebates and net cost are important factors in formulary decisions, particularly in treatment areas in which the payer has taken the position that multiple branded products are therapeutically comparable. These pressures have negatively affected, and could continue to negatively affect, our consolidated results of operations. In addition to formulary placement, changes in insurance designs continue to drive greater consumer cost-sharing through high deductible plans, higher co-insurance, or co-pays, including increased utilization of co-pay accumulator adjustment or maximization programs. Supply chain entities have also increasingly imposed utilization management tools to favor the use of generic products or otherwise limit access to our products. In response to these issues, we are developing and deploying alternative product access strategies, including through direct-to-patient channels (such as LillyDirect) and direct-to-employer channels. These strategies may not adequately mitigate unfavorable private sector dynamics. For additional information on pricing and reimbursement for our pharmaceutical products, see "—Regulations and Private Payer Actions Affecting Pharmaceutical Pricing, Reimbursement, and Access—U.S."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and uses. Loss of effective patent protection for pharmaceuticals can result in the loss of effective market exclusivity for the product, often leading to a severe and rapid decline in revenues for the product. We own, have applied for, or are licensed under, a large number of patents in the U.S. and many other countries relating to products, product uses, formulations, and manufacturing processes. In addition, for some products we have effective intellectual property protection in the form of data protection under pharmaceutical regulatory laws.</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patent protection generally anticipated to be of most relevance to pharmaceuticals is provided by patents claiming the active ingredient (the compound patent) for our products, particularly those in major markets such as the U.S., major European countries, and Japan. In general, patents in each relevant country last for a period of 20 years from their filing date, which is often years prior to the launch of a commercial product. Further patent term adjustments and restorations may extend the original patent term:</w:t>
      </w:r>
    </w:p>
    <w:p>
      <w:pPr>
        <w:spacing w:after="0" w:line="68" w:lineRule="exact"/>
        <w:rPr>
          <w:sz w:val="20"/>
          <w:szCs w:val="20"/>
          <w:color w:val="auto"/>
        </w:rPr>
      </w:pPr>
    </w:p>
    <w:p>
      <w:pPr>
        <w:ind w:left="660" w:right="3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 adjustment is available to all U.S. patent applicants to provide relief in the event that a patent grant is delayed during examination by the U.S. Patent and Trademark Office (USPTO).</w:t>
      </w:r>
    </w:p>
    <w:p>
      <w:pPr>
        <w:spacing w:after="0" w:line="44"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 extension for a single patent for a pharmaceutical product is provided to U.S. patent holders to compensate for a portion of the time invested in clinical trials and the FDA review process. There is a five-year cap on any restoration, and no patent's expiration date may be extended beyond 14 years from initial FDA approval. Some countries outside the U.S. similarly offer forms of patent term restoration. For example, Supplementary Protection Certificates are available to extend the life of a European patent up to an additional five years (subject to a 15-year cap from European Medicines Agency (EMA) approval) and in Japan patent terms can be extended up to five years.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0" w:name="page11"/>
    <w:bookmarkEnd w:id="10"/>
    <w:p>
      <w:pPr>
        <w:ind w:right="100"/>
        <w:spacing w:after="0" w:line="262" w:lineRule="auto"/>
        <w:rPr>
          <w:sz w:val="20"/>
          <w:szCs w:val="20"/>
          <w:color w:val="auto"/>
        </w:rPr>
      </w:pPr>
      <w:r>
        <w:rPr>
          <w:rFonts w:ascii="Arial" w:cs="Arial" w:eastAsia="Arial" w:hAnsi="Arial"/>
          <w:sz w:val="18"/>
          <w:szCs w:val="18"/>
          <w:color w:val="auto"/>
        </w:rPr>
        <w:t>In some cases, the innovator company may retain exclusivity despite approval of the generic, biosimilar, or other follow-on versions of a new medicine beyond the expiration of the compound patent through market dynamics and challenges, later-expiring patents on, for example, manufacturing processes, methods of use or formulations, or data protection that may be available under pharmaceutical regulatory laws. The primary forms of data protection are as follows:</w:t>
      </w:r>
    </w:p>
    <w:p>
      <w:pPr>
        <w:spacing w:after="0" w:line="68" w:lineRule="exact"/>
        <w:rPr>
          <w:sz w:val="20"/>
          <w:szCs w:val="20"/>
          <w:color w:val="auto"/>
        </w:rPr>
      </w:pPr>
    </w:p>
    <w:p>
      <w:pPr>
        <w:ind w:left="6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package protection generally prohibits regulatory approval of other manufacturers' applications for marketing approval if they rely on the innovator company's regulatory submission data for the drug. The base period is generally five years in the U.S. (12 years for new biologics under the BPCIA, subject to certain conditions), effectively 10 years in Europe, and eight years in Japan, which can be extended to 10 years with qualifying pediatric studies. The period begins on the date of product approval and runs concurrently with the patent term for any relevant patents. An agreement-in-principle, announced in December 2025 between the European Commission, Council, and Parliament, would set a base level of 8 years of data protection, with additional incentives conditional on certain requirements, while overall reducing the maximum protection available by one year.</w:t>
      </w:r>
    </w:p>
    <w:p>
      <w:pPr>
        <w:spacing w:after="0" w:line="74"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populations within a specified time period. If granted, this "pediatric exclusivity" provides an additional six months of exclusivity, which is added to the end of any other unexpired exclusivity and, for products other than biologics, to the end of certain unexpired patents.</w:t>
      </w:r>
    </w:p>
    <w:p>
      <w:pPr>
        <w:spacing w:after="0" w:line="68"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specific use of a drug or biologic can receive "orphan" designation in the U.S. if it is intended to treat a disease or condition affecting fewer than 200,000 people in the U.S., or where it is not reasonably expected to recover development and marketing costs through U.S. sales. Orphan designation entitles a particular use of the drug to seven years of market exclusivity, which runs in parallel with any applicable patents.</w:t>
      </w:r>
    </w:p>
    <w:p>
      <w:pPr>
        <w:spacing w:after="0" w:line="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Outside the major markets, the adequacy and effectiveness of intellectual property protection for pharmaceuticals vary widely. International and U.S. free trade agreements like the Agreement on Trade-Related Aspects of Intellectual Property Rights (TRIPs Agreement) administered by the World Trade Organization provide global protection of certain intellectual property rights. But in a number of markets we are unable to patent our products or to enforce the patents that we receive for our products. Further, many developing countries, and some developed countries, do not provide effective data package protection even though it is specified in the TRIPs Agreement. For more information on risks to the adequacy and effectiveness of our intellectual property, see Item 1A, "Risk Factors—Risks Related to Our Intellectual Property—Our long-term success depends on intellectual property protection; if our intellectual property rights are invalidated, circumvented, or weakened, our business will be adversely affected."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consider intellectual property protection for certain products, processes, uses, and formulations to be important to our business. In addition to the patents and data protection identified below, we may hold patents on manufacturing processes, formulations, devices, or uses that provide protection beyond the estimated dates shown below. For approved products, estimated dates include, where applicable, pending or granted patent term extensions. Where granted, estimated dates for approved products also reflect pediatric or orphan drug exclusivity. The length of market exclusivity for our products can be difficult to predict with certainty because of the complex interaction between patent and regulatory forms of exclusivity and the inherent uncertainties regarding patent litigation. There can be no assurance that a particular product will maintain market exclusivity for the duration of the estimated expiry or that exclusivity will be limited to that time frame.</w:t>
      </w:r>
    </w:p>
    <w:p>
      <w:pPr>
        <w:spacing w:after="0" w:line="7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relevant patent protection or data protection and associated expiry dates for our major or recently launched patent-protected marketed products are as follows: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2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Therapeutic Area</w:t>
            </w:r>
          </w:p>
        </w:tc>
        <w:tc>
          <w:tcPr>
            <w:tcW w:w="196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Product</w:t>
            </w:r>
          </w:p>
        </w:tc>
        <w:tc>
          <w:tcPr>
            <w:tcW w:w="258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8"/>
                <w:szCs w:val="18"/>
                <w:b w:val="1"/>
                <w:bCs w:val="1"/>
                <w:color w:val="auto"/>
              </w:rPr>
              <w:t>Protection</w:t>
            </w:r>
          </w:p>
        </w:tc>
        <w:tc>
          <w:tcPr>
            <w:tcW w:w="3080" w:type="dxa"/>
            <w:vAlign w:val="bottom"/>
            <w:tcBorders>
              <w:top w:val="single" w:sz="8" w:color="auto"/>
              <w:right w:val="single" w:sz="8" w:color="auto"/>
            </w:tcBorders>
            <w:vMerge w:val="restart"/>
          </w:tcPr>
          <w:p>
            <w:pPr>
              <w:ind w:left="1160"/>
              <w:spacing w:after="0"/>
              <w:rPr>
                <w:sz w:val="20"/>
                <w:szCs w:val="20"/>
                <w:color w:val="auto"/>
              </w:rPr>
            </w:pPr>
            <w:r>
              <w:rPr>
                <w:rFonts w:ascii="Arial" w:cs="Arial" w:eastAsia="Arial" w:hAnsi="Arial"/>
                <w:sz w:val="18"/>
                <w:szCs w:val="18"/>
                <w:b w:val="1"/>
                <w:bCs w:val="1"/>
                <w:color w:val="auto"/>
              </w:rPr>
              <w:t>Territory</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117"/>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Cardiometabolic Health</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Jardiance*</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46"/>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products</w:t>
            </w:r>
          </w:p>
        </w:tc>
        <w:tc>
          <w:tcPr>
            <w:tcW w:w="1960" w:type="dxa"/>
            <w:vAlign w:val="bottom"/>
            <w:tcBorders>
              <w:right w:val="single" w:sz="8" w:color="auto"/>
            </w:tcBorders>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vMerge w:val="continue"/>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Mounjaro/Zepbound</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2040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Trulicity</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Oncology products</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Cyramza</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Inluriyo</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Jaypirca</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2040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1"/>
        </w:trPr>
        <w:tc>
          <w:tcPr>
            <w:tcW w:w="2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ind w:left="1340"/>
              <w:spacing w:after="0"/>
              <w:rPr>
                <w:sz w:val="20"/>
                <w:szCs w:val="20"/>
                <w:color w:val="auto"/>
              </w:rPr>
            </w:pPr>
            <w:r>
              <w:rPr>
                <w:rFonts w:ascii="Arial" w:cs="Arial" w:eastAsia="Arial" w:hAnsi="Arial"/>
                <w:sz w:val="18"/>
                <w:szCs w:val="18"/>
                <w:color w:val="auto"/>
              </w:rPr>
              <w:t>12</w:t>
            </w:r>
          </w:p>
        </w:tc>
        <w:tc>
          <w:tcPr>
            <w:tcW w:w="3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8"/>
        </w:trPr>
        <w:tc>
          <w:tcPr>
            <w:tcW w:w="2220" w:type="dxa"/>
            <w:vAlign w:val="bottom"/>
            <w:tcBorders>
              <w:top w:val="single" w:sz="8" w:color="auto"/>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Therapeutic Area</w:t>
            </w:r>
          </w:p>
        </w:tc>
        <w:tc>
          <w:tcPr>
            <w:tcW w:w="196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Product</w:t>
            </w:r>
          </w:p>
        </w:tc>
        <w:tc>
          <w:tcPr>
            <w:tcW w:w="258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8"/>
                <w:szCs w:val="18"/>
                <w:b w:val="1"/>
                <w:bCs w:val="1"/>
                <w:color w:val="auto"/>
              </w:rPr>
              <w:t>Protection</w:t>
            </w:r>
          </w:p>
        </w:tc>
        <w:tc>
          <w:tcPr>
            <w:tcW w:w="3080" w:type="dxa"/>
            <w:vAlign w:val="bottom"/>
            <w:tcBorders>
              <w:top w:val="single" w:sz="8" w:color="auto"/>
              <w:right w:val="single" w:sz="8" w:color="auto"/>
            </w:tcBorders>
            <w:vMerge w:val="restart"/>
          </w:tcPr>
          <w:p>
            <w:pPr>
              <w:ind w:left="1160"/>
              <w:spacing w:after="0"/>
              <w:rPr>
                <w:sz w:val="20"/>
                <w:szCs w:val="20"/>
                <w:color w:val="auto"/>
              </w:rPr>
            </w:pPr>
            <w:r>
              <w:rPr>
                <w:rFonts w:ascii="Arial" w:cs="Arial" w:eastAsia="Arial" w:hAnsi="Arial"/>
                <w:sz w:val="18"/>
                <w:szCs w:val="18"/>
                <w:b w:val="1"/>
                <w:bCs w:val="1"/>
                <w:color w:val="auto"/>
              </w:rPr>
              <w:t>Territory</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117"/>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2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Oncology products</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Retevmo</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Verzenio</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2034</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Immunology products</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Ebglyss</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2034</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Olumiant</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Omvoh</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Taltz</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2"/>
        </w:trPr>
        <w:tc>
          <w:tcPr>
            <w:tcW w:w="2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ind w:left="1340"/>
              <w:spacing w:after="0"/>
              <w:rPr>
                <w:sz w:val="20"/>
                <w:szCs w:val="20"/>
                <w:color w:val="auto"/>
              </w:rPr>
            </w:pPr>
            <w:r>
              <w:rPr>
                <w:rFonts w:ascii="Arial" w:cs="Arial" w:eastAsia="Arial" w:hAnsi="Arial"/>
                <w:sz w:val="18"/>
                <w:szCs w:val="18"/>
                <w:color w:val="auto"/>
              </w:rPr>
              <w:t>13</w:t>
            </w:r>
          </w:p>
        </w:tc>
        <w:tc>
          <w:tcPr>
            <w:tcW w:w="3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8"/>
        </w:trPr>
        <w:tc>
          <w:tcPr>
            <w:tcW w:w="2220" w:type="dxa"/>
            <w:vAlign w:val="bottom"/>
            <w:tcBorders>
              <w:top w:val="single" w:sz="8" w:color="auto"/>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Therapeutic Area</w:t>
            </w:r>
          </w:p>
        </w:tc>
        <w:tc>
          <w:tcPr>
            <w:tcW w:w="196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Product</w:t>
            </w:r>
          </w:p>
        </w:tc>
        <w:tc>
          <w:tcPr>
            <w:tcW w:w="258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8"/>
                <w:szCs w:val="18"/>
                <w:b w:val="1"/>
                <w:bCs w:val="1"/>
                <w:color w:val="auto"/>
              </w:rPr>
              <w:t>Protection</w:t>
            </w:r>
          </w:p>
        </w:tc>
        <w:tc>
          <w:tcPr>
            <w:tcW w:w="3080" w:type="dxa"/>
            <w:vAlign w:val="bottom"/>
            <w:tcBorders>
              <w:top w:val="single" w:sz="8" w:color="auto"/>
              <w:right w:val="single" w:sz="8" w:color="auto"/>
            </w:tcBorders>
            <w:vMerge w:val="restart"/>
          </w:tcPr>
          <w:p>
            <w:pPr>
              <w:ind w:left="1160"/>
              <w:spacing w:after="0"/>
              <w:rPr>
                <w:sz w:val="20"/>
                <w:szCs w:val="20"/>
                <w:color w:val="auto"/>
              </w:rPr>
            </w:pPr>
            <w:r>
              <w:rPr>
                <w:rFonts w:ascii="Arial" w:cs="Arial" w:eastAsia="Arial" w:hAnsi="Arial"/>
                <w:sz w:val="18"/>
                <w:szCs w:val="18"/>
                <w:b w:val="1"/>
                <w:bCs w:val="1"/>
                <w:color w:val="auto"/>
              </w:rPr>
              <w:t>Territory</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117"/>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Neuroscience products</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Emgality</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Kisunla</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140" w:hanging="172"/>
        <w:spacing w:after="0" w:line="305" w:lineRule="auto"/>
        <w:tabs>
          <w:tab w:leader="none" w:pos="114" w:val="left"/>
        </w:tabs>
        <w:numPr>
          <w:ilvl w:val="0"/>
          <w:numId w:val="5"/>
        </w:numPr>
        <w:rPr>
          <w:rFonts w:ascii="Arial" w:cs="Arial" w:eastAsia="Arial" w:hAnsi="Arial"/>
          <w:sz w:val="14"/>
          <w:szCs w:val="14"/>
          <w:color w:val="auto"/>
        </w:rPr>
      </w:pPr>
      <w:r>
        <w:rPr>
          <w:rFonts w:ascii="Arial" w:cs="Arial" w:eastAsia="Arial" w:hAnsi="Arial"/>
          <w:sz w:val="14"/>
          <w:szCs w:val="14"/>
          <w:color w:val="auto"/>
        </w:rPr>
        <w:t>Jardiance is part of our Boehringer Ingelheim collaboration. In the U.S., Jardiance includes the related combination product, Glyxambi. See Item 8, "Financial Statements and Supplementary Data—Note 3: Collaborations and Other Arrangements".</w:t>
      </w:r>
    </w:p>
    <w:p>
      <w:pPr>
        <w:spacing w:after="0" w:line="14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following product candidates are the most relevant that are currently under regulatory review. Upon approval, we expect relevant compound patent and data protections to apply:</w:t>
      </w:r>
    </w:p>
    <w:p>
      <w:pPr>
        <w:spacing w:after="0" w:line="4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Insulin efsitora alfa has been submitted for regulatory review in the U.S., the EU, and Japan for the treatment of type 2 diabetes.</w:t>
      </w:r>
    </w:p>
    <w:p>
      <w:pPr>
        <w:spacing w:after="0" w:line="117"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Orforglipron has been submitted for regulatory review in the U.S., the EU, and Japan for the treatment of obesity or overweight with at least one weight-related medical problem and in the EU for the treatment of type 2 diabetes. Orforglipron was granted a Commissioner’s National Priority Voucher from the FDA, which could accelerate potential U.S. approval timing.</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Worldwide, we sell all of our major products under trademarks consisting of our product names, logos, and unique product appearances that we consider in the aggregate to be important to our operations. Trademark protection varies throughout the world. Trademark protection typically extends beyond the patent and data protection for a product.</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rely in some circumstances on trade secrets and other unpatented know-how. We seek to protect our confidential information in part through confidentiality agreements with our employees, corporate partners, collaborators, and vendors. These agreements may be breached, and we cannot be certain that we have adequate remedies. If our trade secrets or confidential information become known or are independently discovered by competitors, or if we enter into disputes over ownership of inventions, our business and results of operations could be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 and Collaborations</w:t>
      </w:r>
    </w:p>
    <w:p>
      <w:pPr>
        <w:spacing w:after="0" w:line="11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Some of our products are subject to significant license and collaboration agreements. For information on our license and collaboration agreements, see Item 8, "Financial Statements and Supplementary Data—Note 3: Collaborations and Other Arrangements."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pharmaceuticals (other than biologics) when the generic manufacturer files an Abbreviated New Drug Application (ANDA).</w:t>
      </w:r>
    </w:p>
    <w:p>
      <w:pPr>
        <w:spacing w:after="0" w:line="6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Absent a patent challenge, the FDA cannot approve an ANDA until after certain of the innovator's patents expire. However, after the innovator has marketed its product for four years, a generic manufacturer may file an ANDA alleging that the patent(s) listed in the innovator's New Drug Application (NDA) are invalid, unenforceable, or not infringed.</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Generic manufacturers use this process extensively to challenge patents on innovative pharmaceuticals. In addition, generic companies have shown willingness to launch "at risk" (i.e., after receiving ANDA approval) but before final resolution of their patent challenge.</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14" w:name="page15"/>
    <w:bookmarkEnd w:id="14"/>
    <w:p>
      <w:pPr>
        <w:ind w:right="20"/>
        <w:spacing w:after="0" w:line="262" w:lineRule="auto"/>
        <w:rPr>
          <w:sz w:val="20"/>
          <w:szCs w:val="20"/>
          <w:color w:val="auto"/>
        </w:rPr>
      </w:pPr>
      <w:r>
        <w:rPr>
          <w:rFonts w:ascii="Arial" w:cs="Arial" w:eastAsia="Arial" w:hAnsi="Arial"/>
          <w:sz w:val="18"/>
          <w:szCs w:val="18"/>
          <w:color w:val="auto"/>
        </w:rPr>
        <w:t>Under the BPCIA, the FDA cannot approve an application for a biosimilar product until data protection expires, 12 years after initial marketing approval of the innovator biologic, and an application may not be submitted until four years following the date the innovator biologic was first approved. However, the BPCIA does provide a mechanism for a prospective biosimilar competitor to challenge the validity of an innovator's patents as early as four years after initial marketing approval of the innovator biologic.</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patent litigation scheme under the BPCIA, and the BPCIA itself, is complex and continues to be interpreted and implemented by the FDA, as well as by courts. Courts have held that biosimilar applicants are not required to engage in the BPCIA patent litigation scheme and patent holders retain the right to bring suit under normal patent law procedures if a biosimilar applicant attempts to commercialize a product prior to patent expiration. In addition, there is a procedure in U.S. patent law, known as inter partes review (IPR), which allows any member of the public to file a petition with the USPTO seeking the review of any issued U.S. patent for validity. IPRs are conducted before Administrative Patent Judges in the USPTO using a lower standard of proof than used in federal district court and challenged patents are not accorded the presumption of validity. Generic drug companies and even some investment firms have engaged in the IPR process in attempts to invalidate our patents. In recent years, U.S. government officials have proposed the exercise of "march-in-rights" and various other measures that, if enacted, could have a negative impact on our patent rights. We cannot predict the likelihood that these or similar proposals will be adopted, but, if adopted, our business and results of operations could be adversely affected.</w:t>
      </w:r>
    </w:p>
    <w:p>
      <w:pPr>
        <w:spacing w:after="0" w:line="7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more information on patent challenges and litigation involving our intellectual property rights, see Item 1A, "Risk Factors—Risks Related to Our Intellectual Property—Our long-term success depends on intellectual property protection; if our intellectual property rights are invalidated, circumvented, or weakened, our business will be adversely affected" and Item 8, "Financial Statements and Supplementary Data —Note 16: Contingencies."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of Our Operations and Products</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operations are regulated extensively by numerous government agencies. The lengthy process of laboratory and clinical testing, data analysis, manufacturing development, and regulatory review necessary for governmental approvals of our products is extremely costly and can significantly delay product introductions and revenue generation. In addition, our operations are subject to complex federal, state, local, and foreign laws and regulations concerning relationships with healthcare providers and suppliers, pricing and reimbursement for our products, the environment, occupational health and safety, data privacy and security, and other matters. Evolving regulatory priorities have intensified governmental scrutiny of our operations and those of other healthcare intermediaries, including with respect to current Good Manufacturing Practices (cGMP), quality assurance, marketing, and similar regulations. U.S. and other authorities are actively proposing, enacting, and pursuing numerous policy, regulatory, and enforcement changes that impact our business. These changes create additional uncertainty for our business, while in some cases presenting new opportunities for our business. Regulatory oversight of the pharmaceutical industry entails judgment and interpretation, which can result in varying interpretations of laws and regulations by health and other authorities. Compliance with the laws and regulations affecting the manufacture and sale of our current products and the discovery, development, and introduction of new products and uses has and will continue to require substantial effort, expense, and capital investment.</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particular importance to our business is regulation by the FDA in the U.S. Pursuant to laws and regulations that include the Federal Food, Drug, and Cosmetic Act (FDCA) and the Public Health Service Act (PHSA), the FDA exercises jurisdiction over all of our products and devices in the U.S. and administers requirements covering the testing, safety, effectiveness, manufacturing, quality control, distribution, labeling, marketing, promotion, advertising, dissemination of information, and post-marketing surveillance of those products and devices. The FDA holds broad discretion under the FDCA to interpret the conditions and evidence necessary for timely approval of and ability to market our products and devices as well as those of our competitors. The centrality to our business of the FDA and corresponding international regulators exposes us to risks of oversight, administrative, and enforcement changes, delays, inconsistencies, lapses, or failures, including as may derive from inadequate agency staffing levels, expertise, or resources.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Following approval, our products must meet, and must continue to comply with, regulation by various government and regulatory agencies in connection with labeling, import, export, sale, storage, recordkeeping, advertising, promotion, and safety reporting. We conduct extensive post-marketing surveillance of the safety of the products we sell and comply with notification requirements related to safety and efficacy, product supply, and other aspects of our products and operations. The FDA may withdraw approval of a product if compliance with regulatory requirements and standards is not maintained or if problems occur after a product reaches the market, including as may be identified through market surveillance or third-party studies involving our products. The FDA may also mandate labeling changes, post-marketing studies, or risk management programs at any point in a product's life cycle based on new safety information or as part of a labeling change to a particular class of products. In addition, the FDA strictly regulates marketing, labeling, advertising, and promotion of products to prescribers and patients. Pharmaceutical products may be promoted only for approved indications and in accordance with the provisions of the approved label. The FDA and other agencies enforce the laws and regulations prohibiting the promotion of off-label uses.</w:t>
      </w:r>
    </w:p>
    <w:p>
      <w:pPr>
        <w:spacing w:after="0" w:line="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Outside the U.S., our products and operations are subject to similar regulatory requirements, notably by the EMA in the EU, the Ministry of Health, Labor and Welfare in Japan, and the National Medical Products Administration in China. Specific regulatory requirements vary from country to country. Regulatory and compliance requirements, as well as approval processes outside the U.S., differ from those in the U.S. and may involve additional costs, uncertainties, and risks.</w:t>
      </w:r>
    </w:p>
    <w:p>
      <w:pPr>
        <w:spacing w:after="0" w:line="6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FDA and other regulatory agencies outside the U.S. extensively regulate all aspects of manufacturing quality for pharmaceuticals under their cGMP regulations. Regulators assess compliance with these regulations by inspecting the equipment, facilities, laboratories, and processes used in the manufacturing and testing of our products prior to marketing approval with periodic reinspection thereafter; this may include inspection of our third-party business partners. We make substantial investments of capital and operating expenses to implement comprehensive, company-wide quality systems and controls in our manufacturing, product development, and process development operations in an effort to maintain sustained compliance with cGMP and other regulations. Nonetheless, manufacturing quality and other aspects of pharmaceutical regulatory compliance are heavily scrutinized and result in government investigations, regulatory and legal actions, product recalls and seizures, fines and penalties, interruption of production leading to product shortages, import bans or denials of import certifications, delays or denials in new product approvals, line extensions or supplemental approvals of current products pending resolution of any issues, any of which have and could in the future adversely affect our business and reputation. Certain of our products, devices and components are manufactured by third parties, and their failure to comply with these regulations has affected and could in the future adversely affect us, including through failure to supply product to us or delays in approvals of new products or indications. Any determination by the FDA or other regulatory authority of manufacturing or other deficiencies could adversely affect our business and reputation. For more information on product regulation challenges, see Item 1A, "Risk Factors—Risks Related to Our Operations—Reliance on third-party relationships and outsourcing arrangements could adversely affect our business."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on the FDA and other regulatory bodies for appropriate oversight, administration, and enforcement of our industry, anyone marketing or purporting to market medicines, and public health. We continue to see the production, marketing, and sale of counterfeit, misbranded, adulterated, and mass-compounded incretins in the U.S. and other markets. In the U.S., these activities include mass compounding based on asserted reliance on regulatory exceptions that permit limited compounding in certain circumstances by certain entities. In contrast to the strict regulation of our facilities and manufacturing practices, these actors have experienced low barriers to entry and a relative lack of regulatory oversight and enforcement. These practices may impact patient safety and undermine regulatory drug approval processes. If inadequately regulated, these practices could materially impact our business and reputation, including by creating consumer confusion or misperceptions about the safety and efficacy of our genuine products, diversion of potential sales and potential net price erosion for our products.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Other Laws and Regulations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various other U.S. federal and state laws, as well as analogous foreign laws and regulations, including the federal anti-kickback statute, the False Claims Act, antitrust laws, and state laws governing kickbacks, false claims, unfair trade practices, and consumer protection. These laws are administered by, among others, the Department of Justice, the Office of Inspector General of the U.S. Department of Health and Human Services (HHS), the Federal Trade Commission, the Office of Personnel Management, and state attorneys general. State, federal, and foreign governments, agencies, and other regulatory bodies are active in their oversight, enforcement activities, and coordination with respect to pharmaceutical companies, which has resulted in scrutiny, litigation costs, corporate criminal sanctions, and substantial civil settlements in the pharmaceutical industry.</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our business is heavily regulated and therefore involves significant interaction with officials outside the U.S. Additionally, in many countries outside the U.S., healthcare providers who prescribe pharmaceuticals may be employed by the government and purchasers of pharmaceuticals are government entities; therefore, our interactions with these prescribers and purchasers are subject to regulation under the FCPA.</w:t>
      </w:r>
    </w:p>
    <w:p>
      <w:pPr>
        <w:spacing w:after="0" w:line="75" w:lineRule="exact"/>
        <w:rPr>
          <w:sz w:val="20"/>
          <w:szCs w:val="20"/>
          <w:color w:val="auto"/>
        </w:rPr>
      </w:pPr>
    </w:p>
    <w:p>
      <w:pPr>
        <w:ind w:right="560"/>
        <w:spacing w:after="0" w:line="318" w:lineRule="auto"/>
        <w:rPr>
          <w:sz w:val="20"/>
          <w:szCs w:val="20"/>
          <w:color w:val="auto"/>
        </w:rPr>
      </w:pPr>
      <w:r>
        <w:rPr>
          <w:rFonts w:ascii="Arial" w:cs="Arial" w:eastAsia="Arial" w:hAnsi="Arial"/>
          <w:sz w:val="17"/>
          <w:szCs w:val="17"/>
          <w:color w:val="auto"/>
        </w:rPr>
        <w:t>Various other jurisdictions in which we operate and supply our products have laws and regulations aimed at preventing and penalizing corrupt and anticompetitive behavior, including the proposed EU Anti-Corruption Directive, which is expected to be adopted in 2026.</w:t>
      </w:r>
    </w:p>
    <w:p>
      <w:pPr>
        <w:spacing w:after="0" w:line="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are, and could in the future become, subject to administrative and legal proceedings and actions, which could include claims for civil damages and penalties (including treble damages), criminal sanctions, and administrative remedies, including exclusion from participation in government healthcare programs. It is possible that an adverse outcome in future actions could have a material adverse impact on our consolidated results of operations, liquidity, and financial position in any given period.</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also subject to a variety of federal, state, local, and foreign environmental, health and safety, and other laws and regulations that may affect our research, development, or production efforts.</w:t>
      </w:r>
    </w:p>
    <w:p>
      <w:pPr>
        <w:spacing w:after="0" w:line="45" w:lineRule="exact"/>
        <w:rPr>
          <w:sz w:val="20"/>
          <w:szCs w:val="20"/>
          <w:color w:val="auto"/>
        </w:rPr>
      </w:pPr>
    </w:p>
    <w:p>
      <w:pPr>
        <w:ind w:right="2460"/>
        <w:spacing w:after="0" w:line="375" w:lineRule="auto"/>
        <w:rPr>
          <w:sz w:val="20"/>
          <w:szCs w:val="20"/>
          <w:color w:val="auto"/>
        </w:rPr>
      </w:pPr>
      <w:r>
        <w:rPr>
          <w:rFonts w:ascii="Arial" w:cs="Arial" w:eastAsia="Arial" w:hAnsi="Arial"/>
          <w:sz w:val="18"/>
          <w:szCs w:val="18"/>
          <w:b w:val="1"/>
          <w:bCs w:val="1"/>
          <w:color w:val="auto"/>
        </w:rPr>
        <w:t>Regulations and Private Payer Actions Affecting Pharmaceutical Pricing, Reimbursement, and Access U.S.</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continues to be considerable public and government scrutiny of pharmaceutical pricing, reimbursement, and access. In addition, U.S. government actions to reduce federal spending on entitlement programs, including Medicare and Medicaid, affects reimbursement for our products or services associated with the provision of our products.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2025, we announced preliminary voluntary agreements with the U.S. government in which, among other arrangements, we agreed to implement measures to lower Medicaid and certain other drug prices for U.S. patients and to launch new medicines with a more balanced pricing approach across developed nations. As part of these agreements, we expect Medicare beneficiaries will have access to discounted Lilly obesity medicines by July 1, 2026, and States will have the option to expand access to these discounted medicines through Medicaid. We will also participate in a government direct-to-patient purchasing platform that will direct people in the U.S. to offerings to purchase certain medicines from us at significant discounts to current list prices. The preliminary agreements also provide a three-year grace period during which time our products under a Section 232 investigation will not face tariffs, provided that we meet U.S. manufacturing investment commitments. We are currently in the process of negotiating definitive agreements to implement these arrangements.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2022, the U.S. government enacted the Inflation Reduction Act of 2022 (IRA). Among other measures, the IRA requires HHS to effectively set prices for certain single-source drugs and biologics reimbursed under Medicare Part B and Part D. Currently, these government prices generally apply beginning at nine years (for medicines approved under a New Drug Application) or thirteen years (for medicines approved under a Biologics License Application) following FDA approval or licensure for the molecule and are set at a price that generally represents a significant discount from existing list prices to wholesalers and direct purchasers. While the law specifies a maximum price that HHS can set, it does not set a minimum price. The Medicare price HHS determines may impact the product’s best price determination under the Medicaid Drug Rebate Program and the ceiling price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under the 340B Drug Pricing Program, potentially leading to a negative impact on both Medicaid and 340B prices. In August 2023, HHS selected Jardiance, which is part of our collaboration with Boehringer Ingelheim, as one of the first ten medicines subject to government-set prices effective in 2026. In August 2024, HHS announced the government-set prices for these medicines with Jardiance subject to a 66 percent discount compared to the 2023 U.S. calendar year list price for a 30-day supply. In January 2026, HHS selected Trulicity and Verzenio as additional medicines subject to government-set prices to be effective in 2028. Given our product portfolio, we expect additional of our significant products will be selected in future years, which would have the effect of accelerating revenue erosion prior to expiry of exclusivities. The effect of reducing prices and reimbursement for certain of our products impacts our business and consolidated results of operations.</w:t>
      </w:r>
    </w:p>
    <w:p>
      <w:pPr>
        <w:spacing w:after="0" w:line="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Other IRA provisions require drug manufacturers to provide rebates for Medicare Part B and Part D medicines under certain circumstances and implemented Part D benefit redesign.</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IRA has, and will continue to, meaningfully influence our business strategies and those of our competitors. In particular, the nine-year timeline to set prices for medicines approved under a New Drug Application reduces the attractiveness of investment in small molecule innovation. The IRA can cause changes to development approach and timing and investments at-risk. The full impact of the IRA on our business and the pharmaceutical industry, including the implications to us of a competitor's product being selected for price setting, remains uncertain.</w:t>
      </w:r>
    </w:p>
    <w:p>
      <w:pPr>
        <w:spacing w:after="0" w:line="7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Heightened governmental scrutiny over the manner in which drug manufacturers price their marketed products and the practices of pharmacy benefit managers and other supply chain entities has also resulted in several U.S. Congressional inquiries and proposed and enacted federal and state legislation designed to, among other things, bring more transparency to product pricing, review the relationship between pricing and manufacturer patient programs, require advance notice of list price increases, establish upper payment limits or other restrictions by drug affordability review boards, allow the importation of drugs from other countries, implement reference pricing, address pharmacy benefit manager practices, and reform government program reimbursement methodologies for drug products. Restrictive or unfavorable pricing, coverage, or reimbursement determinations for our medicines or product candidates by governments, regulatory agencies, courts, or private actors have and may continue to adversely impact our business and financial results. Additional policies, regulations, legislation, determinations, or enforcement, including those proposed or pursued by the U.S. Congress, the U.S. executive branch, state attorneys general, and regulatory authorities worldwide, could adversely impact our business and consolidated results of operations.</w:t>
      </w:r>
    </w:p>
    <w:p>
      <w:pPr>
        <w:spacing w:after="0" w:line="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U.S., we are required to provide rebates to the federal government and state governments on their purchases of our pharmaceuticals under various federal and state healthcare programs, including the Medicaid and Medicaid Managed Care programs (a minimum of 23.1 percent plus adjustments for price increases above the consumer price index over time) and reduced prices to private entities who treat patients in certain types of healthcare facilities intended to serve low-income and uninsured patients (known as 340B covered entities). Additionally, an annual fee is imposed on pharmaceutical manufacturers and importers that sell branded prescription drugs to specified government programs, such as Medicare Part B and Part D, and Medicaid.</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Changes to the 340B program or the Medicaid programs could have a material adverse impact on our business. For example, continued expansion of the 340B program and growth of entities claiming entitlement to 340B pricing, including in ways that may be inconsistent with the statutory scheme and through state laws that purport to mandate 340B sales to contract pharmacies, impacts our revenue on an increasing percentage of sales. Changes to the calculation of rebates under the Medicaid program could also increase our Medicaid rebate obligations and decrease the prices charged to 340B covered entities.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implemented a Contract Pharmacy Limited Distribution System applicable to sales through the 340B program, which generally limits distribution of 340B-priced product to: (i) covered entities and their child sites; or (ii) if a covered entity lacks an in-house outpatient pharmacy, a single contract pharmacy designated by a covered entity to establish a 340B bill to/ship to arrangement. Claims-level data is ordinarily required for any contract pharmacy. Our Contract Pharmacy Limited Distribution System contains certain exceptions that permit broader contract pharmacy usage, including for "penny priced" insulin products, provided that the covered entity passes through all discounts to eligible patients at the point of sale and meets other conditions. We believe our Contract Pharmacy Limited Distribution System complies with the 340B statute, but it remains subject to ongoing inquiries and litigation that could have a material impact on our business, as discussed in Item 8, "Financial Statements and Supplementary Data—Note 16: Contingencies."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80"/>
        <w:spacing w:after="0" w:line="256" w:lineRule="auto"/>
        <w:rPr>
          <w:sz w:val="20"/>
          <w:szCs w:val="20"/>
          <w:color w:val="auto"/>
        </w:rPr>
      </w:pPr>
      <w:r>
        <w:rPr>
          <w:rFonts w:ascii="Arial" w:cs="Arial" w:eastAsia="Arial" w:hAnsi="Arial"/>
          <w:sz w:val="18"/>
          <w:szCs w:val="18"/>
          <w:color w:val="auto"/>
        </w:rPr>
        <w:t>Other aspects of the 340B program, including the manner in which manufacturers can offer 340B pricing, and proper definitions of "patient" and "child site" under the 340B statute, are subject to inquiries and ongoing litigation by Lilly and/or other parties, the resolution of which could impact the growth and scope of the 340B program. For example, in November 2024, Lilly sued the Health Resources and Services Administration (HRSA) over its purported rejection of Lilly’s plan to implement a cash replenishment model to make 340B pricing available to 340B covered entities, in place of the current product replenishment model. The U.S. District Court for the District of Columbia agreed with HRSA in May 2025 that the government must preapprove Lilly’s cash replenishment model, which HRSA has not done. Lilly appealed that decision to the U.S. Court of Appeals for the District of Columbia.</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Furthermore, states continue to adopt laws that, among other things, expand the 340B program by purporting to compel manufacturers to sell their medicines at 340B prices to an unlimited number of contract pharmacies. Other manufacturers and trade associations continue to litigate the constitutionality of these laws in various federal courts. Some courts have concluded that such laws are unconstitutional and have preliminarily enjoined them while others have rejected those challenges.</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Rebates are also negotiated in the private sector. We pay rebates to private payers that provide prescription drug benefits to seniors covered by Medicare and to private payers that provide prescription drug benefits to their customers. These rebates are affected by the introduction of competitive products and generics in the same class and ongoing competitive dynamics.</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For a discussion of risks related to how we price our products, see Item 1A, "Risk Factors—Risks Related to Litigation and Government Regulation—We are party to litigation and investigations, which could adversely affect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the U.S.</w:t>
      </w:r>
    </w:p>
    <w:p>
      <w:pPr>
        <w:spacing w:after="0" w:line="11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Globally, public and private payers restrict access to pharmaceuticals based on assessments of comparative effectiveness and value, including through the establishment of formal health technology assessment processes. In addition, third-party organizations, including professional associations, academic institutions, and non-profit entities associated with payers, conduct and publish comparative effectiveness and cost/benefit analyses on medicines, the impact of which can influence pharmaceutical access and pricing.</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discounts and rebates, therapeutic reference pricing (to other, often generic, pharmaceutical choices), health technology assessments, regulatory hurdles, restrictions on physician prescription levels, and mandatory generic substitution. In these markets, healthcare services and the determination of pricing and reimbursement for pharmaceutical products are impacted by government control at the point of care or as the primary payer.</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2025 the European Commission, Council, and Parliament reached an agreement-in-principle on EU Pharmaceutical Legislation. The implementation timeline and eventual impact on patients and the overall market is currently uncertain. Budget pressures and associated cost containment measures remain a focus in the EU, among other jurisdictions. The impact of the U.S. government’s efforts to use trade or other measures to increase spending by developed countries on innovative medicines to reduce U.S. prices remains unclear. Most countries in the EU attempt to contain drug costs by engaging in some form of reference pricing in which authorities examine pre-determined internal or external markets for published prices of a product or national class of drugs. Member states also employ mandatory rebates, clawbacks, market caps, and other mechanisms to limit spending. Other measures include restricting or delaying access to pharmaceutical product reimbursement under national health insurance, and member states may condition access on the basis of a reimbursement price or completion of cost-effectiveness or other gating studies.</w:t>
      </w:r>
    </w:p>
    <w:p>
      <w:pPr>
        <w:spacing w:after="0" w:line="7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Japan, our products can be subject to government-mandated annual price reductions. The government may also apply re-pricings for specific products or classes of products if certain criteria are met, including exceeding product use thresholds.</w:t>
      </w:r>
    </w:p>
    <w:p>
      <w:pPr>
        <w:spacing w:after="0" w:line="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State-owned hospitals and the state insurance program account for the vast majority of drug purchases in China, impacting access-price negotiations that have intensified in recent years. China's healthcare policies aim to balance accelerating patient access to innovative medicines with cost containment objectives. To facilitate patient access in China, we seek and have secured inclusion of Mounjaro and other of our branded products on China's National Reimbursement Drug List, a list of drugs fully or partially reimbursed by China’s national basic health insurance. In exchange for broad access, these products are generally subject to negotiation of significant price concessions. China is also working to broaden its commercial health insurance offerings which have the potential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ind w:right="100"/>
        <w:spacing w:after="0" w:line="262" w:lineRule="auto"/>
        <w:rPr>
          <w:sz w:val="20"/>
          <w:szCs w:val="20"/>
          <w:color w:val="auto"/>
        </w:rPr>
      </w:pPr>
      <w:r>
        <w:rPr>
          <w:rFonts w:ascii="Arial" w:cs="Arial" w:eastAsia="Arial" w:hAnsi="Arial"/>
          <w:sz w:val="18"/>
          <w:szCs w:val="18"/>
          <w:color w:val="auto"/>
        </w:rPr>
        <w:t>to increase patient access. China utilizes a value-based procurement program process for products that have generic substitutes. As a general matter, products that we choose to tender through this process are similarly subject to price reductions. Our business in China may be significantly impacted by the country's evolving pharmaceutical regulatory environment, including access, intellectual property protection, regulatory enforcement and compliance, and trade policies.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Governments in many emerging markets are also focused on limiting health care costs and have enacted price controls and measures impacting intellectual property. Reforms, initiatives, and other actions in our product markets, including those that may stem from political initiatives, periods of uneven economic growth or downturns or uncertainty, or as a result of inflation or deflation, trade and other global disputes and interruptions including related to tariffs, trade protection measures, and similar restrictions, the emergence, or escalation of, and responses to, international tension and conflicts, or government budgeting priorities, are expected to continue to result in added pressure on pricing, access, and reimbursement for our products.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outcome of our preliminary agreements with the U.S. government and broader U.S. policy efforts to align domestic pharmaceutical pricing with international benchmarks from countries with competing healthcare cost containment priorities is uncertain and could impact our pricing strategies, product demand or access, or competitive positioning across global markets, and may result in reduced revenue in certain markets.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Moreover, we cannot predict the extent to which our business may be affected by current or potential future legislative, regulatory, or private actor developments. However, in general we expect to see continued focus on regulating pricing, resulting in additional state, federal, and international legislative and regulatory developments that could have negative effects on pricing, access, and reimbursement for our products as well as overall operations.</w:t>
      </w:r>
    </w:p>
    <w:p>
      <w:pPr>
        <w:spacing w:after="0" w:line="6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See Item 7, "Management's Discussion and Analysis—Executive Overview—Other Matters—Trends Affecting Pharmaceutical Pricing, Reimbursement, and Access and Certain Other Regulatory Developments," for additional information regarding recent legislative, administrative, and other pricing initiatives and their impact on our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commitment to research and development dates back nearly 150 years. We invest heavily in research and development because we believe it is critical to our long-term competitiveness. At the end of 2025, we employed approximately 12,000 people in pharmaceutical research and development activities, including a substantial number of physicians, scientists holding graduate or postgraduate degrees, and highly skilled technical personnel.</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internal pharmaceutical research focuses primarily on the areas of cardiometabolic health, immunology, neuroscience, and oncology. In addition to discovering and developing new medicines, we seek to expand the value of existing products through new uses, formulations, and therapeutic approaches, including complementary delivery devices or diagnostic tools, that can provide additional value to patients.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organizations worldwide to conduct clinical trials to establish the safety and effectiveness of our medicines. We also invest in external research and technologies that we believe complement and strengthen our own efforts. These investments can take many forms, including, among others, licensing arrangements, co-development agreements, co-promotion arrangements, joint ventures, acquisitions, and equity investments.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Pharmaceutical development is time-consuming, expensive, and risky. Very few of the candidates discovered by researchers ultimately become approved medicines. The process from discovery to regulatory approval can take over a decade. Candidates can fail at any stage of the process, and even late-stage candidates sometimes fail to receive regulatory approval or achieve commercial success. In addition, novel modalities can present more challenging or lengthy development timelines. The following describes in more detail the research and development process for pharmaceutical products: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00" w:hanging="230"/>
        <w:spacing w:after="0"/>
        <w:tabs>
          <w:tab w:leader="none" w:pos="4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Phase</w:t>
      </w:r>
    </w:p>
    <w:p>
      <w:pPr>
        <w:spacing w:after="0" w:line="117" w:lineRule="exact"/>
        <w:rPr>
          <w:rFonts w:ascii="Arial" w:cs="Arial" w:eastAsia="Arial" w:hAnsi="Arial"/>
          <w:sz w:val="18"/>
          <w:szCs w:val="18"/>
          <w:b w:val="1"/>
          <w:bCs w:val="1"/>
          <w:color w:val="auto"/>
        </w:rPr>
      </w:pPr>
    </w:p>
    <w:p>
      <w:pPr>
        <w:ind w:left="42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discovery phase, scientists identify, design, and synthesize promising candidates by analyzing their effect on biological targets considered to play a role in disease. Targets are often unproven and only candidates that are expected to have the desired effect on the target and meet other design criteria move to the next phase of development, which includes the initiation of studies in animals to support regulatory and safety requirements for clinical research in humans. The discovery phase can take years and the probability of any one candidate becoming a medicine is extremely low.</w:t>
      </w:r>
    </w:p>
    <w:p>
      <w:pPr>
        <w:spacing w:after="0" w:line="71"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17" w:lineRule="exact"/>
        <w:rPr>
          <w:rFonts w:ascii="Arial" w:cs="Arial" w:eastAsia="Arial" w:hAnsi="Arial"/>
          <w:sz w:val="18"/>
          <w:szCs w:val="18"/>
          <w:b w:val="1"/>
          <w:bCs w:val="1"/>
          <w:color w:val="auto"/>
        </w:rPr>
      </w:pPr>
    </w:p>
    <w:p>
      <w:pPr>
        <w:ind w:left="42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Early development includes initial testing for safety and efficacy and early analyses of manufacturing requirements. Safety testing is initially performed in laboratory tests and animals, as necessary. In general, the first human tests (often referred to as Phase 1) are conducted in small groups of participants to assess safety and evaluate the potential dosing range. Subsequently, larger populations of patients are studied (Phase 2) to identify signs of efficacy while continuing to assess safety. In parallel, scientists work to identify safe, effective, and economical manufacturing processes. Long-term animal studies may continue to test for potential safety issues. Of the candidates that enter the early development phase, only a fraction move to the late development phase. The early development phase varies but can take several years to complete.</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Late Development Phase</w:t>
      </w:r>
    </w:p>
    <w:p>
      <w:pPr>
        <w:spacing w:after="0" w:line="117" w:lineRule="exact"/>
        <w:rPr>
          <w:rFonts w:ascii="Arial" w:cs="Arial" w:eastAsia="Arial" w:hAnsi="Arial"/>
          <w:sz w:val="18"/>
          <w:szCs w:val="18"/>
          <w:b w:val="1"/>
          <w:bCs w:val="1"/>
          <w:color w:val="auto"/>
        </w:rPr>
      </w:pPr>
    </w:p>
    <w:p>
      <w:pPr>
        <w:ind w:left="4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Late phase development projects (typically Phase 3) have met initial safety requirements and shown initial evidence of efficacy in earlier studies. As a result, these candidates generally have a higher likelihood of success as compared to earlier stage candidates, and trials include larger patient populations to demonstrate safety and efficacy of the candidate in treating the disease. These studies are designed to demonstrate the benefit and risk of the potential new medicine and may be compared to competitive therapies, placebo, or both. Phase 3 studies are generally conducted globally, are costly, and are designed to support regulatory filings for marketing approval. The duration of Phase 3 testing varies by disease and may take years.</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17" w:lineRule="exact"/>
        <w:rPr>
          <w:rFonts w:ascii="Arial" w:cs="Arial" w:eastAsia="Arial" w:hAnsi="Arial"/>
          <w:sz w:val="18"/>
          <w:szCs w:val="18"/>
          <w:b w:val="1"/>
          <w:bCs w:val="1"/>
          <w:color w:val="auto"/>
        </w:rPr>
      </w:pPr>
    </w:p>
    <w:p>
      <w:pPr>
        <w:ind w:lef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Once a potential new medicine is submitted to regulatory agencies, the time to final marketing approval can vary from months to several years, depending on the disease state, the strength and complexity of available data, the degree of unmet need, and the time required for the regulatory agency(ies) to evaluate the submission, which can depend on prioritization by regulators and other factors. There is no guarantee that a potential medicine will receive marketing approval, or that decisions on marketing approvals or indications will be consistent across geographic areas.</w:t>
      </w:r>
    </w:p>
    <w:p>
      <w:pPr>
        <w:spacing w:after="0" w:line="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See Item 7, "Management's Discussion and Analysis—Executive Overview—Clinical Development Pipeline," for more details about our current product pipeline.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Product Supply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certain materials are procured from a single source. We seek to maintain sufficient inventory to provide reliability of production and manage unforeseen supply variability. However, various developments have led, and may in the future lead, to interruption or shortages in supply until we establish new sources, implement alternative processes, bring new manufacturing facilities online, or pause or discontinue product sales in one or more markets.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active ingredient manufacturing and finishing operations, including formulation, filling, assembling, delivery device manufacturing, and packaging, take place at sites in the U.S., including Puerto Rico, Ireland and a number of other sites throughout the world. To support anticipated demand for our current and prospective products, we have undertaken significant manufacturing expansion initiatives. Investments to increase our manufacturing capacity include new sites in North Carolina, Wisconsin, Indiana, Virginia, Texas, Alabama, Pennsylvania, Ireland, Germany, and the Netherlands. We also utilize third parties for certain active ingredient manufacturing, filling, finishing operations, and for device or component production and assembly. Among other third-party providers, we, and the pharmaceutical industry generally, depend on China-based suppliers for portions of our supply chain. U.S. officials have enacted and continue to consider legislation or other actions that are intended to limit supply chain reliance on China, including the BIOSECURE Act. In addition, historically, geopolitical tensions between the U.S. and China have led to the imposition of tariffs, sanctions, and certain</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1" w:name="page22"/>
    <w:bookmarkEnd w:id="21"/>
    <w:p>
      <w:pPr>
        <w:ind w:right="40"/>
        <w:spacing w:after="0" w:line="256" w:lineRule="auto"/>
        <w:rPr>
          <w:sz w:val="20"/>
          <w:szCs w:val="20"/>
          <w:color w:val="auto"/>
        </w:rPr>
      </w:pPr>
      <w:r>
        <w:rPr>
          <w:rFonts w:ascii="Arial" w:cs="Arial" w:eastAsia="Arial" w:hAnsi="Arial"/>
          <w:sz w:val="18"/>
          <w:szCs w:val="18"/>
          <w:color w:val="auto"/>
        </w:rPr>
        <w:t>other business restrictions between the U.S. and China. In 2025, the U.S. government imposed new tariffs on Chinese goods, and China responded with tariffs on select U.S. goods. If new legislation or additional trade restrictions are adopted or geopolitical tensions were to increase and disrupt our operations in or related to China, such disruption could significantly impact our business and results of operations. See Item 1A, "Risk Factors—Risks Related to Our Operations—Reliance on third-party relationships and outsourcing arrangements could adversely affect our business" and "Risk Factors—Risks Related to Doing Business Internationally—Our global operations subject us to risks, including as related to uneven economic growth or downturns, international trade, and other global disruptions, geopolitical tensions, or disputes" for additional information.</w:t>
      </w:r>
    </w:p>
    <w:p>
      <w:pPr>
        <w:spacing w:after="0" w:line="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is intended to allow us to meet product demand while maintaining flexibility to reallocate manufacturing capacity to improve efficiency and respond to changes in supply and demand. To maintain supply of our products, we use a variety of techniques, including comprehensive quality systems, inventory management, and back-up sites.</w:t>
      </w:r>
    </w:p>
    <w:p>
      <w:pPr>
        <w:spacing w:after="0" w:line="6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However, pharmaceutical production processes are complex, highly regulated, and vary widely from product to product. Shifting or adding manufacturing capacity is a very lengthy process requiring significant capital expenditures, process modifications, and regulatory approvals. Accordingly, developments such as unanticipated demand, unplanned plant shutdowns, manufacturing or quality assurance difficulties at one of our facilities or contracted facilities, failure or refusal of a supplier or contract manufacturer to supply contracted quantities in a timely manner or at all, increases in demand on a supplier, or difficulties in predicting or variability in demand for or supply of our products or those of our competitors have led, and may in the future lead, to interruption or higher costs in the supply of certain products, product shortages, or pauses or discontinuations of product sales in one or more markets. Supply and channel dynamics in some cases also contribute to variability in financial results for our products from period to period. Further, cost and wage inflation, availability of adequate capacity in global transportation, supply chain complexities, including consolidation therein, labor market issues, international tension and conflicts, uneven economic growth or downturns, an increase in overall demand in our industry for certain products and materials, and public health outbreaks, epidemics, or pandemics, have caused, and in the future may cause, delays or disruptions in and/or increased costs related to distribution of our medicines, the construction or acquisition of manufacturing capacity, procurement activity, and supplier or contract manufacturer arrangements, as well as other general business impacts. For more information on the additional risks we face in connection with any difficulties, disruptions, and shortages in the manufacturing, distribution, and sale of our products, see Item 1A, "Risk Factors—Risks Related to Our Operations—Manufacturing, quality, or supply chain difficulties, disruptions, or shortages could lead to product supply problems or other negative outcomes."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success depends in great measure on customer confidence in the quality of our products and in the integrity of the data that support their safety and effectiveness. Product quality requires a total commitment to quality in all parts of our operations, including research and development, purchasing, facilities planning, manufacturing, distribution, and dissemination of information about our medicines.</w:t>
      </w:r>
    </w:p>
    <w:p>
      <w:pPr>
        <w:spacing w:after="0" w:line="63"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in an effort to ensure that the product meets all applicable regulatory requirements and our internal standards. Additional testing for stability over the life of the product is also performed.</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These tests may involve chemical and physical chemical analyses, microbiological testing, testing in animals, or a combination thereof. Additional assurance of quality is provided by quality assurance groups that audit and monitor all aspects of quality related to pharmaceutical manufacturing procedures and systems in company and third-party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4, 2026 in connection with the company's annual meeting of shareholders,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15"/>
        </w:trPr>
        <w:tc>
          <w:tcPr>
            <w:tcW w:w="19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580" w:type="dxa"/>
            <w:vAlign w:val="bottom"/>
            <w:tcBorders>
              <w:top w:val="single" w:sz="8" w:color="auto"/>
              <w:bottom w:val="single" w:sz="8" w:color="auto"/>
              <w:right w:val="single" w:sz="8" w:color="auto"/>
            </w:tcBorders>
          </w:tcPr>
          <w:p>
            <w:pPr>
              <w:ind w:left="3200"/>
              <w:spacing w:after="0"/>
              <w:rPr>
                <w:sz w:val="20"/>
                <w:szCs w:val="20"/>
                <w:color w:val="auto"/>
              </w:rPr>
            </w:pPr>
            <w:r>
              <w:rPr>
                <w:rFonts w:ascii="Arial" w:cs="Arial" w:eastAsia="Arial" w:hAnsi="Arial"/>
                <w:sz w:val="14"/>
                <w:szCs w:val="14"/>
                <w:b w:val="1"/>
                <w:bCs w:val="1"/>
                <w:color w:val="auto"/>
              </w:rPr>
              <w:t>Titles and Business Experience</w:t>
            </w:r>
          </w:p>
        </w:tc>
        <w:tc>
          <w:tcPr>
            <w:tcW w:w="0" w:type="dxa"/>
            <w:vAlign w:val="bottom"/>
          </w:tcPr>
          <w:p>
            <w:pPr>
              <w:spacing w:after="0"/>
              <w:rPr>
                <w:sz w:val="1"/>
                <w:szCs w:val="1"/>
                <w:color w:val="auto"/>
              </w:rPr>
            </w:pPr>
          </w:p>
        </w:tc>
      </w:tr>
      <w:tr>
        <w:trPr>
          <w:trHeight w:val="174"/>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David Ricks</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Chair, President, and Chief Executive Officer (CEO) (since 2017). Previously, Mr. Ricks held various leadership roles with Lilly,</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senior vice president and president, Lilly Bio-Medicines. Mr. Ricks has 29 years of service with Lilly.</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Immunology (since 2025). Previously, Ms. Brown held various leadership roles at Lilly,</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Adrienne Brown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group vice president of corporate business development from 2023 to 2025, group vice president, U.S. Diabetes and</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Obesity from 2020 to 2023, and senior director Diabetes/GHD Business Unit from 2018 to 2020. Ms. Brown has 22 years of service</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Cardiometabolic Health (since 2025). Dr. Custer has held various leadership roles with</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Kenneth Custer, Ph.D.</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Lilly, including most recently, as president and general manager of Lilly Canada. Previously, he served as senior vice president and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head of corporate business development. Dr. Custer has 17 years of service with Lilly.</w:t>
            </w:r>
          </w:p>
        </w:tc>
        <w:tc>
          <w:tcPr>
            <w:tcW w:w="0" w:type="dxa"/>
            <w:vAlign w:val="bottom"/>
          </w:tcPr>
          <w:p>
            <w:pPr>
              <w:spacing w:after="0"/>
              <w:rPr>
                <w:sz w:val="1"/>
                <w:szCs w:val="1"/>
                <w:color w:val="auto"/>
              </w:rPr>
            </w:pPr>
          </w:p>
        </w:tc>
      </w:tr>
      <w:tr>
        <w:trPr>
          <w:trHeight w:val="21"/>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Chief People Officer (since 2022). Previously, Mr. Dozier held various leadership roles with Lilly, including</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Eric Dozier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59</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chief commercial officer for Loxo@Lilly, and vice president, global ethics and compliance officer. Mr. Dozier has</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28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General Counsel and Secretary (since 2020). Prior to joining Lilly, Ms. Hakim was senior vice president,</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and secretary of WellCare Health Plans, Inc. (WellCare) from 2016 to 2018, and executive vice president, general</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Anat Hakim</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counsel and secretary of WellCare from 2018 to 2020. Prior to joining WellCare, she served as divisional vice president and associate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of intellectual property litigation at Abbott Laboratories from 2010 to 2013 and divisional vice president and associate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of litigation from 2013 to 2016. Ms. Hakim has six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Manufacturing Operations (since 2021). Previously, Mr. Hernandez held various leadership</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Edgardo Hernandez</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roles with Lilly, including senior vice president, global parenteral drug product, delivery devices and regional manufacturing, and vice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Fegersheim operations. Mr. Hernandez has 21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Neuroscience (since 2025). Prior to joining Lilly, Ms. Ho served as chief medical officer</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Carole Ho</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 head of development at Denali Therapeutics Inc. from 2015 to 2025. Her biopharmaceutical experience includes leadership roles</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at Genentech, Inc.</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International (since 2025). Mr. Jonsson has held various leadership roles with Lilly,</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Patrik Jonsson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59</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most recently, as Executive Vice President and President, Lilly Cardiometabolic Health and Lilly USA. Previously, he served</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as Executive Vice President and President, Lilly Immunology and Lilly USA, and Chief Customer Officer, senior vice president and</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Lilly Bio-Medicines and president and general manager, Lilly Japan. Mr. Jonsson has 35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Chief Financial Officer (since 2024). Most recently, Mr. Montarce served as the president and general</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manager of Lilly’s Spain, Portugal, and Greece hub, a position he assumed in 2024. Previously Mr. Montarce was group vice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Lucas Montarce</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controller and chief financial officer of Lilly Research Laboratories, vice president, finance and chief financial officer, Lilly</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International, and vice president, finance and global chief financial officer, Elanco Health. Mr. Montarce has 24 years of service with</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Chief Information and Digital Officer (since 2021). Prior to joining Lilly, Mr. Rau was senior director of</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Diogo Rau</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information systems and technology for retail and online stores of Apple Inc. from 2011 to 2021. Prior to his tenure at Apple, he served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 a partner at McKinsey &amp; Company. Mr. Rau has five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Global Quality (since 2024). Prior to joining Lilly, Ms. Seymour was the chief quality officer for Bristol Myers</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Melissa Seymour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Squibb from 2022 to 2024. Before joining Bristol Myers Squibb, Ms. Seymour was also the chief quality officer at Biogen. Ms.</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Seymour has two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Chief Scientific and Product Officer and President, Lilly Research Laboratories (since 2025). Prior to</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Daniel Skovronsky, M.D.,</w:t>
            </w: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assuming his current role, Dr. Skovronsky served as Executive Vice President, Chief Scientific Officer, and President, Lilly Research</w:t>
            </w:r>
          </w:p>
        </w:tc>
        <w:tc>
          <w:tcPr>
            <w:tcW w:w="0" w:type="dxa"/>
            <w:vAlign w:val="bottom"/>
          </w:tcPr>
          <w:p>
            <w:pPr>
              <w:spacing w:after="0"/>
              <w:rPr>
                <w:sz w:val="1"/>
                <w:szCs w:val="1"/>
                <w:color w:val="auto"/>
              </w:rPr>
            </w:pPr>
          </w:p>
        </w:tc>
      </w:tr>
      <w:tr>
        <w:trPr>
          <w:trHeight w:val="77"/>
        </w:trPr>
        <w:tc>
          <w:tcPr>
            <w:tcW w:w="1900" w:type="dxa"/>
            <w:vAlign w:val="bottom"/>
            <w:tcBorders>
              <w:left w:val="single" w:sz="8" w:color="auto"/>
              <w:right w:val="single" w:sz="8" w:color="auto"/>
            </w:tcBorders>
            <w:vMerge w:val="continue"/>
          </w:tcPr>
          <w:p>
            <w:pPr>
              <w:spacing w:after="0"/>
              <w:rPr>
                <w:sz w:val="6"/>
                <w:szCs w:val="6"/>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52</w:t>
            </w: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Laboratories and Lilly Immunology since 2024. Dr. Skovronsky has held other leadership roles with Lilly, including as chief medical</w:t>
            </w:r>
          </w:p>
        </w:tc>
        <w:tc>
          <w:tcPr>
            <w:tcW w:w="0" w:type="dxa"/>
            <w:vAlign w:val="bottom"/>
          </w:tcPr>
          <w:p>
            <w:pPr>
              <w:spacing w:after="0"/>
              <w:rPr>
                <w:sz w:val="1"/>
                <w:szCs w:val="1"/>
                <w:color w:val="auto"/>
              </w:rPr>
            </w:pPr>
          </w:p>
        </w:tc>
      </w:tr>
      <w:tr>
        <w:trPr>
          <w:trHeight w:val="99"/>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Ph.D.</w:t>
            </w:r>
          </w:p>
        </w:tc>
        <w:tc>
          <w:tcPr>
            <w:tcW w:w="500" w:type="dxa"/>
            <w:vAlign w:val="bottom"/>
            <w:tcBorders>
              <w:right w:val="single" w:sz="8" w:color="auto"/>
            </w:tcBorders>
            <w:vMerge w:val="continue"/>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00" w:type="dxa"/>
            <w:vAlign w:val="bottom"/>
            <w:tcBorders>
              <w:left w:val="single" w:sz="8" w:color="auto"/>
              <w:right w:val="single" w:sz="8" w:color="auto"/>
            </w:tcBorders>
            <w:vMerge w:val="continue"/>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officer, senior vice president, clinical and product development and vice president, diabetes research. Dr. Skovronsky has 15 years of</w:t>
            </w:r>
          </w:p>
        </w:tc>
        <w:tc>
          <w:tcPr>
            <w:tcW w:w="0" w:type="dxa"/>
            <w:vAlign w:val="bottom"/>
          </w:tcPr>
          <w:p>
            <w:pPr>
              <w:spacing w:after="0"/>
              <w:rPr>
                <w:sz w:val="1"/>
                <w:szCs w:val="1"/>
                <w:color w:val="auto"/>
              </w:rPr>
            </w:pPr>
          </w:p>
        </w:tc>
      </w:tr>
      <w:tr>
        <w:trPr>
          <w:trHeight w:val="84"/>
        </w:trPr>
        <w:tc>
          <w:tcPr>
            <w:tcW w:w="1900" w:type="dxa"/>
            <w:vAlign w:val="bottom"/>
            <w:tcBorders>
              <w:left w:val="single" w:sz="8" w:color="auto"/>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President, Lilly Oncology and Head of Corporate Business Development (since 2025). Prior to assuming his</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expanded role, Mr. Van Naarden served as Executive Vice President and President, Lilly Oncology since 2021. Previously, he served</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Jacob Van Naarden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41</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 chief executive officer-Loxo Oncology at Lilly, and chief operating officer-Loxo Oncology at Lilly. Mr. Van Naarden joined Lilly in</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2019 when the company acquired Loxo Oncology, Inc., where he was the chief operating officer. In previous roles, Mr. Van Naarden</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worked in various biotechnology investing, operating, and advisory capacities, including positions with HealthCor Management, Aisling</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Capital, and Goldman Sachs. Mr. Van Naarden has seven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USA and Global Customer Capabilities (since 2025). Mr. Yuffa has held various</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Ilya Yuffa</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51</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leadership roles with Lilly, including, most recently, as Executive Vice President and President, Lilly International. Previously, he</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served as senior vice president and president, Lilly Bio-Medicines, vice president of U.S. Diabetes, general manager of Italy Hub, and</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vice president, global ethics and compliance officer. Mr. Yuffa has 29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18" w:right="5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Human Capital Management</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core values—integrity, excellence, and respect for people—shape our approach to attracting, retaining, engaging, and developing a highly skilled workforce. Our long-term success depends on our ability to continually discover or acquire, develop, and commercialize innovative medicines. We believe fostering a positive, inclusive culture that values the contributions of our talented colleagues helps drive our success.</w:t>
      </w:r>
    </w:p>
    <w:p>
      <w:pPr>
        <w:spacing w:after="0" w:line="6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We are committed to creating a safe, supportive, ethical, and rewarding work environment through intentional focus on our human capital management process, fairness and nondiscrimination in our employment practices, robust training and development opportunities, and competitive pay and benefits. Our focus on inclusion strengthens innovation at Lilly, and we always aim to hire the most qualified candidates.</w:t>
      </w:r>
    </w:p>
    <w:p>
      <w:pPr>
        <w:spacing w:after="0" w:line="4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regularly conduct confidential employee surveys to seek feedback from our workforce on a variety of topics. These results are analyzed by our leaders to identify opportunities to adjust our practices and benefits to improve our employees' experience. As a result of our efforts, we believe that we have a highly performing and cohesive workforce.</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At the end of 2025, we employed approximately 50,000 people, including approximately 27,000 employees outside the U.S. Our employees include approximately 12,000 people engaged in research and development activities.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Our Website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www.lilly.com</w:t>
      </w:r>
      <w:r>
        <w:rPr>
          <w:rFonts w:ascii="Arial" w:cs="Arial" w:eastAsia="Arial" w:hAnsi="Arial"/>
          <w:sz w:val="18"/>
          <w:szCs w:val="18"/>
          <w:color w:val="auto"/>
        </w:rPr>
        <w:t xml:space="preserve">. None of the information accessible on or through our website is incorporated into this Annual Report on Form 10-K. We make available through the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5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Paper copies of the company's Annual Report on Form 10-K and Quarterly Reports on Form 10-Q that are filed with the SEC are available without charge upon written request to:</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 LILLY AND COMPANY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Indiana 46285</w:t>
      </w:r>
    </w:p>
    <w:p>
      <w:pPr>
        <w:spacing w:after="0" w:line="99"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 xml:space="preserve">In addition, the "Governance" section of our website includes our corporate governance guidelines, board of directors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lilly.com/leadership/governance</w:t>
      </w:r>
      <w:r>
        <w:rPr>
          <w:rFonts w:ascii="Arial" w:cs="Arial" w:eastAsia="Arial" w:hAnsi="Arial"/>
          <w:sz w:val="18"/>
          <w:szCs w:val="18"/>
          <w:color w:val="auto"/>
        </w:rPr>
        <w:t>.</w:t>
      </w:r>
    </w:p>
    <w:p>
      <w:pPr>
        <w:spacing w:after="0" w:line="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We routinely post important information for investors in the “Investors” section of our website, </w:t>
      </w:r>
      <w:r>
        <w:rPr>
          <w:rFonts w:ascii="Arial" w:cs="Arial" w:eastAsia="Arial" w:hAnsi="Arial"/>
          <w:sz w:val="18"/>
          <w:szCs w:val="18"/>
          <w:b w:val="1"/>
          <w:bCs w:val="1"/>
          <w:color w:val="auto"/>
        </w:rPr>
        <w:t>www.lilly.com</w:t>
      </w:r>
      <w:r>
        <w:rPr>
          <w:rFonts w:ascii="Arial" w:cs="Arial" w:eastAsia="Arial" w:hAnsi="Arial"/>
          <w:sz w:val="18"/>
          <w:szCs w:val="18"/>
          <w:color w:val="auto"/>
        </w:rPr>
        <w:t>.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Annual Report on Form 10-K.</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our company. It is possible that our business, financial condition, liquidity, cash flows, results of operations, reputation, and prospects could be materially adversely affected by any of these risks. Additional risks and uncertainties not presently known to us or that we currently believe to be immaterial could also adversely affect our business, financial condition, liquidity, cash flows, results of operations, reputation, and prospects.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7" w:lineRule="exact"/>
        <w:rPr>
          <w:sz w:val="20"/>
          <w:szCs w:val="20"/>
          <w:color w:val="auto"/>
        </w:rPr>
      </w:pPr>
    </w:p>
    <w:p>
      <w:pPr>
        <w:jc w:val="both"/>
        <w:ind w:right="320"/>
        <w:spacing w:after="0" w:line="273" w:lineRule="auto"/>
        <w:rPr>
          <w:sz w:val="20"/>
          <w:szCs w:val="20"/>
          <w:color w:val="auto"/>
        </w:rPr>
      </w:pPr>
      <w:r>
        <w:rPr>
          <w:rFonts w:ascii="Arial" w:cs="Arial" w:eastAsia="Arial" w:hAnsi="Arial"/>
          <w:sz w:val="18"/>
          <w:szCs w:val="18"/>
          <w:b w:val="1"/>
          <w:bCs w:val="1"/>
          <w:color w:val="auto"/>
        </w:rPr>
        <w:t>Pharmaceutical research and development is very costly and highly uncertain; we may not succeed in developing, licensing, or acquiring commercially successful products sufficient in number or value to replace revenues of products that have lost or will lose intellectual property protection or are displaced by competing products or therapies.</w:t>
      </w:r>
    </w:p>
    <w:p>
      <w:pPr>
        <w:spacing w:after="0" w:line="5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are many difficulties and uncertainties inherent in pharmaceutical research and development, the introduction of new products and indications, business development activities to enhance or refine our product pipeline, and commercialization of our products.</w:t>
      </w:r>
    </w:p>
    <w:p>
      <w:pPr>
        <w:spacing w:after="0" w:line="4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There is a high rate of failure inherent in drug discovery and development. To bring a product from the discovery phase to market takes considerable time and entails significant cost. Failure or results that misalign with expectations can occur at any point in the process, including in later stages after substantial investment, following meaningful cost for manufacturing capabilities and inventory to prepare for launch, and after we and others may have attributed significant value for these potential products. As a result, a significant portion of funds invested in research and development programs will not generate direct financial returns. New product candidates that appear promising in development or prior to being acquired may fail to reach the market or may have only limited commercial success because of efficacy or safety concerns, inability to obtain or maintain necessary regulatory approvals or payer reimbursement or coverage, failure to obtain placement on guidelines or recommendations published by third-party organizations, the application of pricing controls, limited scope of approved uses, label changes, changes in the relevant treatment standards or the availability of newer, better, or more cost-effective competitive products, difficulty or excessive costs to manufacture, insufficient infrastructure to support detection, diagnostic or other requisites for treatment, ineffectiveness in connecting with healthcare professionals, including digitally through virtual engagements, or infringement of the patents or intellectual property rights of others. We may also fail to allocate research and development resources efficiently, fail to pursue or invest sufficiently in product candidates or indications that may have been successful, or fail to optimally balance trial design, conduct, and speed to accomplish desired outcomes.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regularly submit new product candidates and indications to regulatory agencies for approval, including highly anticipated candidates such as orforglipron. Regulatory agencies establish high hurdles for the efficacy and safety of new products and indications. Delay, uncertainty, unpredictability, and inconsistency in drug approval processes across markets and agencies can result in delays in product launches, lost market opportunities, impairment of inventories, and other negative impacts. In addition, it can be very difficult to predict revenue growth rates of, or variability in demand for, new or future products and indications, which in some cases leads to difficulty meeting product demand or, on the other hand, lower volume growth, excess inventory, and related financial charges.</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cannot state with certainty when or whether our products and indications now under development will be approved or launched; whether, if initially granted, such approval will be maintained; whether we will be able to develop, license, or otherwise acquire additional product candidates, indications, or products; or whether our products and indications, once launched, will be commercially successful.</w:t>
      </w:r>
    </w:p>
    <w:p>
      <w:pPr>
        <w:spacing w:after="0" w:line="6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Through internal innovation and business development we must maintain a flow of successful products and indications or line extensions sufficient both to cover our substantial research and development costs and investments and to replace revenues that are lost as profitable products become subject to pricing controls, lose intellectual property exclusivity, are displaced by competing products, or therapies, or experience a reduction in patient access. Failure to replenish our product portfolio and pipeline in a timely manner would have a material adverse effect on our business, results of operations, cash flows, and financial position. Our dependence on, or focus in, one or more key products or product classes exacerbates this risk. In addition, the growth of our business and revenue base increases the risk that products developed or acquired by us may not provide adequate value to sustain further long-term growth.</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25" w:name="page26"/>
    <w:bookmarkEnd w:id="25"/>
    <w:p>
      <w:pPr>
        <w:spacing w:after="0" w:line="252"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and development capabilities, including licensing arrangements, co-development agreements, co-promotion arrangements, distribution and promotion agreements, joint ventures, acquisitions, equity investments, and divestitures. There are substantial risks associated with identifying and competing for successful business development targets and consummating related transactions. Continued regulatory focus on business combinations in our industry, including by the Federal Trade Commission and competition authorities in Europe and other jurisdictions, and heightened competition for attractive targets has and could continue to delay, jeopardize, or increase the costs or risks of our business development activities. In addition, failures or difficulties in integrating or retaining new personnel or the operations of the businesses, products, or assets we acquire (including related technology, commercial operations, compliance programs, information security, manufacturing, distribution, and general business operations and procedures) may affect our ability to realize the potential benefits of business development transactions and may result in our incurrence of substantial asset impairment or restructuring charges. We also may fail to generate the expected revenue and pipeline enhancement from business development activities due to diligence that fails to identify risks or adequately anticipate their magnitude, unsuccessful clinical trials, issues related to the quality, integrity, or broad applicability of data, regulatory impediments, and manufacturing or commercialization challenges. Additionally, business development activity focused on new modalities may entail additional risks and costs given the high levels of scientific uncertainty inherent in novel technologies. Business development transactions may not be completed in a timely manner (if at all), may not result in successful development outcomes or successful commercialization of any product, may require additional unanticipated investments to achieve potential benefits, may give rise to legal proceedings or regulatory scrutiny, and may result in charges that negatively impact our financial position or results of operations in any given period.</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See Item 1, "Business—Research and Development—Phases of New Drug Development," Item 7, "Management's Discussion and Analysis —Executive Overview—Clinical Development Pipeline" and Item 8, "Financial Statements and Supplementary Data—Note 6: Inventories," for more details about our current product pipeline.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and our products face intense competition, and such competition could have a material adverse effect on our business.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compete with a large number of multinational pharmaceutical companies, biotechnology companies, and generic pharmaceutical companies and face intensifying competition worldwide, including from China and other markets where research and development capabilities have expanded and accelerated significantly. In many cases, our products compete against the leading products of one or more of our competitors. To compete successfully in a highly competitive and increasingly fast-paced global environment, we must deliver innovative, cost-effective products through internal innovation or business development that meet important medical needs, provide improved outcomes and a positive consumer experience for patients, and deliver value to payers. Our product revenues and prospects are adversely affected by patient access issues, the introduction by competitors of branded products that are first to market, have better marketplace access, have greater brand recognition, or are perceived as superior by the marketplace, by price competition, by generic or biosimilar versions of our branded products, and by generic or biosimilar versions of other products in the same therapeutic class as our branded products. Our revenues are also adversely affected by treatment innovations, including new or superior modalities, that eliminate or minimize the need for treatment with our existing products, and our existing products could be subject to decreased sales volumes, realized price reductions, or both. In some cases, the introduction of our own innovative products results in these adverse impacts for our preexisting products. Technological innovation has amplified and we expect will continue to amplify competitive aspects of our business, including by enabling additional participation in and breadth of drug discovery and new healthcare delivery models. Business practices or commercial capabilities that we deploy in light of these or other market dynamics may not prove sufficient.</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Regulation of generic and biosimilar products varies around the world and such regulation is complex and subject to ongoing interpretation and implementation by regulatory agencies and courts. Particularly for biosimilars, health authority guidelines and legislative actions could continue to make it less burdensome for competitor products to enter the market and further incentivize uptake of biosimilars. Given the importance to us of marketed biologic products and those in our clinical-stage pipeline, such regulation could have a material adverse effect on our business. See Item 1, "Business—Competition" and "Business—Research and Development," for more details. Alternatively, actual or perceived failure of robust generic and biosimilar competition could propel governments to adopt additional policies and legislation that threaten our intellectual property, pricing of our products, or other aspects of our business.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color w:val="auto"/>
        </w:rPr>
        <w:t>Our success depends on a market that is observant of intellectual property rights and regulatory requirements. Developments that undermine that landscape can significantly impact our business and reputation. For example, we continue to see the production, marketing, and sale of counterfeit, misbranded, adulterated, and mass-compounded incretins in the U.S. and other markets that could materially impact us. In addition to patient safety concerns, improper commercialization and dispensation practices by these actors may inappropriately condition consumer expectations or otherwise disadvantage compliant market participants. Our actions intended to stop or prevent illegal sales of such medicines are costly and may be ineffective. See Item 1, "Business—Government Regulation of Our Operations and Products," for additional information on market risks related to counterfeit, misbranded, adulterated, and mass-compounded medicines. If inadequately regulated, e-commerce may increase the prevalence of dangerous counterfeit or mass-compounded products and scams, potentially exposing patients to significant risks. Our reputation and business could suffer harm as a result of counterfeit or mass-compounded drugs sold under our brand name, which may also impact our business and financial results.</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we rely on our ability to attract and retain highly qualified and skilled scientific, technical, management, and other personnel in order to compete effectively. To capitalize on the rapid development of next-generation technologies and otherwise effectively compete, we must continue to enhance skill sets and develop our workforce, both in and outside the U.S. We face intense competition for qualified individuals from numerous multinational companies, academic and other research institutions, as well as employers near our manufacturing and other facilities, which has increased and may continue to increase our labor costs. Our failure to compete effectively for talent could negatively affect our ability to discover, develop, manufacture, and sell our medicines, resulting in material financial, legal, commercial, or reputational harm to our business.</w:t>
      </w:r>
    </w:p>
    <w:p>
      <w:pPr>
        <w:spacing w:after="0" w:line="75" w:lineRule="exact"/>
        <w:rPr>
          <w:sz w:val="20"/>
          <w:szCs w:val="20"/>
          <w:color w:val="auto"/>
        </w:rPr>
      </w:pPr>
    </w:p>
    <w:p>
      <w:pPr>
        <w:ind w:right="420"/>
        <w:spacing w:after="0" w:line="296" w:lineRule="auto"/>
        <w:rPr>
          <w:sz w:val="20"/>
          <w:szCs w:val="20"/>
          <w:color w:val="auto"/>
        </w:rPr>
      </w:pPr>
      <w:r>
        <w:rPr>
          <w:rFonts w:ascii="Arial" w:cs="Arial" w:eastAsia="Arial" w:hAnsi="Arial"/>
          <w:sz w:val="18"/>
          <w:szCs w:val="18"/>
          <w:b w:val="1"/>
          <w:bCs w:val="1"/>
          <w:color w:val="auto"/>
        </w:rPr>
        <w:t>Our business is subject to government price controls and other public and private restrictions on pricing, reimbursement, and access for our drugs, which could have a material adverse effect on our results of operations, reputation, or business.</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Public and private actors continue to take aggressive steps to control expenditures for pharmaceuticals by placing restrictions on pricing and reimbursement for, and patient access to, our medicines. These pressures have negatively affected and we expect will continue to negatively affect our consolidated results of operations. Governments and private actors worldwide are demanding greater commercial and clinical value from pharmaceutical companies in the form of strong product differentiation and demonstrated value. We continue to experience scrutiny on the pricing of current and potential products due to, among other factors, payer concern over projected growth in demand and, for certain of these drugs, the anticipated duration of treatment. We have also observed scrutiny of pricing and access disparities across jurisdictions.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November 2025, we announced preliminary voluntary agreements with the U.S. government in which, among other arrangements, we agreed to implement measures to lower Medicaid and certain other drug prices for U.S. patients and to launch new medicines with a more balanced pricing approach across developed nations. We face risks and uncertainty associated with these arrangements and negotiating the definitive agreements, including potential delays and the possibility of unfavorable terms related to pricing, access, and other key objectives. Among other risks, we may fail to adequately capitalize on the additional U.S. access to our obesity medicines resulting from these agreements, particularly if the revenues generated from such expanded access are insufficient to offset pricing concessions. Moreover, the outcome of these arrangements and broader U.S. policy efforts to align domestic pharmaceutical pricing with international benchmarks from countries with competing healthcare cost containment priorities is uncertain and could negatively impact our pricing strategies, product demand or access, or competitive positioning across global markets, and may result in reduced revenue in certain markets.</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general, securing and growing access for our obesity medicines is an important factor in the success of our business. Among other considerations, payers in various international markets do not currently provide coverage for obesity medicines for weight loss indications, requiring patient self-pay. In addition, patient self-pay sales through LillyDirect represented a growing portion of our business in 2025, and we have launched, and continue to explore, new partnerships and tools, including through LillyDirect, to further expand access to our medicines. Our financial results and prospects are subject to risks related to the level and pace of patient participation in cash-pay markets, which may be influenced by pricing, economic conditions, and competitive offerings, as well as regulatory or other actions that could restrict our ability to benefit from such markets, and uncertainty regarding our ability to secure reimbursement coverage in such markets over time.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7" w:name="page28"/>
    <w:bookmarkEnd w:id="27"/>
    <w:p>
      <w:pPr>
        <w:spacing w:after="0" w:line="253" w:lineRule="auto"/>
        <w:rPr>
          <w:sz w:val="20"/>
          <w:szCs w:val="20"/>
          <w:color w:val="auto"/>
        </w:rPr>
      </w:pPr>
      <w:r>
        <w:rPr>
          <w:rFonts w:ascii="Arial" w:cs="Arial" w:eastAsia="Arial" w:hAnsi="Arial"/>
          <w:sz w:val="18"/>
          <w:szCs w:val="18"/>
          <w:color w:val="auto"/>
        </w:rPr>
        <w:t>Additional policies, regulations, legislation, or enforcement, including because of the regulatory priorities of the U.S. executive branch, state attorneys general, and regulatory authorities worldwide, could adversely impact our business and consolidated results of operations. For example, in August 2023, HHS selected Jardiance, which is part of our collaboration with Boehringer Ingelheim, as one of the first ten medicines subject to government-set prices in Medicare (effective beginning in 2026) at a significant discount compared to the list price. In January 2026, HHS selected Trulicity and Verzenio as additional medicines subject to government-set prices to be effective in 2028. Given our product portfolio, we expect additional products will be selected in future years, which would have the effect of accelerating revenue erosion. The effect of reducing prices and reimbursement for certain of our products impacts our business and consolidated results of operations. Within the U.S., state level transparency initiatives, importation rules, reporting requirements, and mandated programs, including the establishment of drug affordability boards with the power to set upper payment limits on certain drugs, have also increased administrative costs, in some cases, compromised confidential business practices and otherwise detrimentally impacted our business. Continued expansion of the 340B program and growth of entities claiming entitlement to 340B pricing, including in ways that may be inconsistent with the statutory scheme and through state laws that purport to mandate 340B sales to contract pharmacies, impact our revenue on an increasing percentage of sales. Changes to the calculation of rebates under the Medicaid program could also increase our Medicaid rebate obligations and decrease the prices charged to 340B covered entities, which could have a significant impact on our business. For more details, see Item 1, "Business—Regulations and Private Payer Actions Affecting Pharmaceutical Pricing, Reimbursement, and Access."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restrictive or unfavorable pricing, coverage, or reimbursement determinations for our medicines or product candidates by governments, regulatory agencies, courts, or private actors, including in relation to the IRA, reference pricing, or compulsory licensing, may adversely impact our business and financial results. We continue to experience additional pricing pressures, rebates, clawbacks, and other changes in reimbursement policies and programs resulting from periods of uneven economic growth or downturns or uncertainty, and the emergence or escalation of, and responses to, international tension and conflicts.</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government price reporting and payment regulations are complex, and require ongoing assessment of the methods by which we calculate and report pricing. Calculation methodologies are inherently subjective and subject to review and challenge by government agencies and, in some cases, by private actors. If there is disagreement with our calculations, or the methodologies and assumptions underlying them, we may need to restate previously reported data and could be subject to financial and legal liability, which may be significant. In addition, changes to calculation methodologies could adversely affect our financial position or consolidated results of operations in any given period.</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more details, see Item 1, "Business—Regulations and Private Payer Actions Affecting Pharmaceutical Pricing, Reimbursement, and Access," Item 7, "Management's Discussion and Analysis—Executive Overview—Other Matters—Trends Affecting Pharmaceutical Pricing, Reimbursement, and Access and Certain Other Regulatory Developments," and Item 8, "Financial Statements and Supplementary Data— Note 16: Contingencies."</w:t>
      </w:r>
    </w:p>
    <w:p>
      <w:pPr>
        <w:spacing w:after="0" w:line="68" w:lineRule="exact"/>
        <w:rPr>
          <w:sz w:val="20"/>
          <w:szCs w:val="20"/>
          <w:color w:val="auto"/>
        </w:rPr>
      </w:pPr>
    </w:p>
    <w:p>
      <w:pPr>
        <w:ind w:right="360"/>
        <w:spacing w:after="0" w:line="296" w:lineRule="auto"/>
        <w:rPr>
          <w:sz w:val="20"/>
          <w:szCs w:val="20"/>
          <w:color w:val="auto"/>
        </w:rPr>
      </w:pPr>
      <w:r>
        <w:rPr>
          <w:rFonts w:ascii="Arial" w:cs="Arial" w:eastAsia="Arial" w:hAnsi="Arial"/>
          <w:sz w:val="18"/>
          <w:szCs w:val="18"/>
          <w:b w:val="1"/>
          <w:bCs w:val="1"/>
          <w:color w:val="auto"/>
        </w:rPr>
        <w:t>Pharmaceutical products can develop safety or efficacy concerns, which could have a material adverse effect on our revenues, income, and reputation.</w:t>
      </w:r>
    </w:p>
    <w:p>
      <w:pPr>
        <w:spacing w:after="0" w:line="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fixed duration and defined populations. After approval and launch, the products are used for longer periods of time by much larger numbers of patients, which may lead to identifying new or expanded safety or efficacy concerns. We and others (including regulatory agencies and private payers) collect extensive information on the efficacy and safety of our marketed products by continuously monitoring the use of our products in the marketplace. In addition, we or others (including our competitors, in some cases) may conduct post-marketing clinical studies on efficacy and safety of our marketed products. New safety or efficacy data may result in product label changes, or other measures that could reduce the product's market acceptance and result in declining sales. Relatedly, safety or efficacy concerns raised about a product in the same class, compounded or counterfeit versions of our products, or products with the same mechanism of action as one of our products or product candidates could be imputed and have an adverse impact on the availability or commercial viability of our products or approval of product candidates. Serious safety or efficacy issues that arise after product approval have resulted and could in the future result in voluntary or mandatory product recalls or withdrawals from the market. Safety issues have resulted and could in the future result in costly product liability claims. Any of these outcomes could result in material financial, legal, commercial, or reputational harm to our business.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8" w:name="page29"/>
    <w:bookmarkEnd w:id="28"/>
    <w:p>
      <w:pPr>
        <w:ind w:right="280"/>
        <w:spacing w:after="0" w:line="296" w:lineRule="auto"/>
        <w:rPr>
          <w:sz w:val="20"/>
          <w:szCs w:val="20"/>
          <w:color w:val="auto"/>
        </w:rPr>
      </w:pPr>
      <w:r>
        <w:rPr>
          <w:rFonts w:ascii="Arial" w:cs="Arial" w:eastAsia="Arial" w:hAnsi="Arial"/>
          <w:sz w:val="18"/>
          <w:szCs w:val="18"/>
          <w:b w:val="1"/>
          <w:bCs w:val="1"/>
          <w:color w:val="auto"/>
        </w:rPr>
        <w:t>We derive a significant percentage of our total revenue from relatively few products and sell our products through consolidated supply chain entities, which subjects us to various risks.</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derived direct product and/or collaboration and other revenues of more than $ 3 billion for each of Mounjaro, Zepbound, Verzenio, Trulicity, Taltz, and Jardiance (including Glyxambi, Synjardy, and Trijardy XR) that collectively accounted for 82 percent of our total revenues in 2025. In particular, Mounjaro and Zepbound accounted for 56 percent of our total revenues in 2025, and we expect cardiometabolic health products will continue to represent a significant and growing portion of our business, revenues, and prospects. Factors such as loss of patent protection, changes in prescription rates, material product liability or pricing claims or litigation, unexpected side effects or safety concerns, significant changes or fluctuations in demand, channel dynamics, regulatory proceedings and investigations, negative publicity affecting doctor or patient confidence, pressure from existing or new competitive products, pipeline developments by us or our competitors, counterfeit and illegally compounded drugs, changes in labeling, pricing, and insufficient access, or reimbursement, or actual or perceived supply shortages, imbalances, or disruptions for these products or any of our other major products could materially impact our results of operations or result in significant and sudden declines or volatility in the trading price of our common stock and market capitalization.</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in the U.S., most of our products are distributed through a limited number of wholesalers. If one of these significant wholesalers encounters financial or other difficulties or otherwise is unable or unwilling to support distribution of our products, it could cause disruption to our supply chain or we might be unable to timely collect the amounts that the wholesaler owes us, which could negatively impact our results of operations. See Item 1, "Business—Marketing and Distribution," for more details. Challenges to U.S. retail pharmacies due to pharmacy benefit manager reimbursement pressures, among other things, have resulted and may result in financial difficulties for some pharmacies that impact patient experiences, lead to determinations by certain pharmacies to not carry one or more of our significant products or threaten the viability of these pharmacies, which could negatively impact our business and results of operations.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the negotiating power of health plans, managed care organizations, pharmacy benefit managers, and other supply chain entities has increased, and they, along with governments, employ formularies and other methods to control costs and encourage utilization of certain drugs, including through the use of formulary inclusion or favorable formulary placement. Such stakeholders have also increasingly imposed utilization management and other tools to limit access to our products. These practices in some cases create difficulty in obtaining or maintaining timely or adequate pricing or formulary placement of our products. For example, in July 2025, CVS Caremark, the pharmacy benefit management division of CVS Health, stopped covering Zepbound as a preferred obesity management medicine on some insurance plans, which has negatively impacted access for patients covered under these plans. We expect supply chain entities will continue to exert competitive and pricing pressures on pharmaceutical manufacturers.</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Pharmacy benefit manager practices have come under increased scrutiny from U.S. policymakers at the federal and state levels who have proposed and enacted legislation or administrative rules, or undertaken enforcement actions intended to address concerns regarding the impact these intermediaries have on drug pricing and patients’ out of pocket costs. Such legislation, rules, or enforcement could have implications, costs, or consequences for our business and how we interact with these entities. For additional information on pricing and reimbursement for our pharmaceutical products, see Item 1, "Business—U.S. Private Sector Dynamics" and "Regulations and Private Payer Actions Affecting Pharmaceutical Pricing, Reimbursement, and Access—U.S."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We depend on products with intellectual property protection for most of our revenues, cash flows, and earnings; the loss of effective intellectual property protection for certain of our products has resulted, and in the future is likely to continue to result, in rapid and severe declines in revenues for those products.</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ordinary course of their lifecycles, our products lose significant patent protection and/or data protection after a specified period of time. For example, Trulicity will lose significant patent and remaining data protections in the next few years. Some products also lose patent protection as a result of successful third-party challenges. We have faced, and remain exposed to, generic or biosimilar competition following the expiration or loss of such intellectual property protection. Patent expirations of competitive products may also shift market conditions for our products by contracting the market for branded products, impacting product access, or otherwise intensifying pricing pressures across similar treatments.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9" w:name="page30"/>
    <w:bookmarkEnd w:id="29"/>
    <w:p>
      <w:pPr>
        <w:ind w:right="200"/>
        <w:spacing w:after="0" w:line="262" w:lineRule="auto"/>
        <w:rPr>
          <w:sz w:val="20"/>
          <w:szCs w:val="20"/>
          <w:color w:val="auto"/>
        </w:rPr>
      </w:pPr>
      <w:r>
        <w:rPr>
          <w:rFonts w:ascii="Arial" w:cs="Arial" w:eastAsia="Arial" w:hAnsi="Arial"/>
          <w:sz w:val="18"/>
          <w:szCs w:val="18"/>
          <w:color w:val="auto"/>
        </w:rPr>
        <w:t>For non-biologic products, loss of exclusivity typically results in the entry of one or more generic competitors, leading to a rapid and severe decline in revenues, especially in the U.S. Generic pharmaceutical companies have in some cases introduced a generic product before resolution of any related patent litigation. For biologics, loss of exclusivity may also result in the near-term entry of competitor versions (i.e., biosimilars).</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success depends in part on our ability to obtain and defend patent rights and other intellectual property rights that are important to the commercialization of our products and product candidates. The patent positions of pharmaceutical and biotechnology companies can be highly uncertain and often involve complex legal, scientific, and factual questions. There is no assurance that the patents we are seeking will be granted or that the patents we hold will be found valid and enforceable if challenged. Third parties have and may challenge, invalidate, or circumvent our patents and patent applications relating to our products, product candidates, and technologies. In addition, our patent positions might not protect us against competitors with similar products or technologies because competing products or technologies may not be deemed to infringe our patents. Moreover, patents relating to particular products, uses, formulations, or processes may not preclude other manufacturers from employing alternative processes or marketing alternative products or formulations that compete with our patented products. Patents held by third parties have also contributed, and may in the future contribute, to a decision by us to not pursue all potential indications for a product candidate. In addition, competitors or other third parties may assert claims that our activities infringe patents or other intellectual property rights held by them, or allege a third-party right of ownership in our existing intellectual property. See Item 1, "Business— Patents, Trademarks, and Other Intellectual Property Rights" and Item 8, "Financial Statements and Supplementary Data—Note 16: Contingencies," for more details.</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Patents relating to pharmaceutical products are often obtained early in the development process. Given the limited duration of patent and data protections, the speed with which we develop products, complete clinical testing, receive regulatory approvals, supply commercial products to the market, and obtain public and private payer access are important factors in recouping our development costs and generating financial returns, particularly given regulatory and market dynamics that have and may continue to put pressure on pricing, exclusivity periods, and competition. Delays in achieving these milestones in some cases may limit our ability to capitalize on the innovative medicines that we develop or acquire.</w:t>
      </w:r>
    </w:p>
    <w:p>
      <w:pPr>
        <w:spacing w:after="0" w:line="74"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long-term success depends on our ability to continually discover or acquire, develop, and commercialize innovative medicines. Without strong intellectual property protection, we would be unable to generate the returns necessary to support our significant investments in research and development, as well as the other expenditures required to bring new medicines and indications to the market. Intellectual property protection varies throughout the world and is subject to change over time, depending on local laws and regulations. Changes to such laws, regulations, and enforcement practices could reduce protections for our innovative products and indications. For example, an agreement-in-principle announced in December 2025 between the European Commission, Council and Parliament to revise the EU's general pharmaceutical legislation would make conditional the length of certain pharmaceutical intellectual property incentives, including by reductions in maximum data protection periods. Changes proposed by the USPTO and by certain bills in Congress to limit the number of, and differences between, patents obtained could also affect the scope of patent protection for our products in the U.S.</w:t>
      </w:r>
    </w:p>
    <w:p>
      <w:pPr>
        <w:spacing w:after="0" w:line="7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recent years, U.S. government officials have proposed the exercise of "march-in-rights" and various other measures that, if enacted, could have a negative impact on our patent rights. If any such proposals are adopted, our business and results of operations could be adversely affected.</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in the U.S., in addition to the process for challenging patents set forth in the BPCIA, which applies to biological products, the Hatch-Waxman Act provides generic companies substantial incentives to seek to invalidate our patents covering small molecule pharmaceutical products. As a result, we expect that our U.S. patents on major pharmaceutical products, including biologics, will continue to be routinely challenged in litigation and may not be upheld. In addition, a separate IPR process currently allows competitors or others to seek invalidation of patents at the USPTO without the protections of the BPCIA or Hatch-Waxman Act. The use of IPR proceedings after the institution of litigation pursuant to the BPCIA or Hatch-Waxman Act is currently a topic of debate among legislators and the future ability of our competitors to use IPR proceedings as an alternative to Hatch-Waxman Act or BPCIA litigation procedures to challenge our patents remains uncertain. The USPTO issued procedures regarding the discretionary denial by the Director of institution of IPR proceedings based on the agency's workload and priorities. The USPTO's ability to apply these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ind w:right="80"/>
        <w:spacing w:after="0" w:line="262" w:lineRule="auto"/>
        <w:rPr>
          <w:sz w:val="20"/>
          <w:szCs w:val="20"/>
          <w:color w:val="auto"/>
        </w:rPr>
      </w:pPr>
      <w:r>
        <w:rPr>
          <w:rFonts w:ascii="Arial" w:cs="Arial" w:eastAsia="Arial" w:hAnsi="Arial"/>
          <w:sz w:val="18"/>
          <w:szCs w:val="18"/>
          <w:color w:val="auto"/>
        </w:rPr>
        <w:t>procedures is being challenged, and it is not clear how these procedures will affect the ability of our competitors to institute IPR proceedings. If our patents are challenged through this expedited review process, even if we prevail in demonstrating the validity of our patent, our win may not preclude future challenges at the Patent Trial and Appeal Board and would not be binding on federal district courts, meaning the same patent can be challenged by other competitors.</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require payment of significant damages for past infringement or royalties on future sales. Intellectual property threats across international markets include policies which favor domestic competitors or are otherwise disadvantageous to our products, challenges to our patents’ validity in foreign courts, and government policies that force technology transfer or undermine or nullify patent protections under the guise of health emergencies or other public interests. Furthermore, intellectual property protection in certain jurisdictions is weak and we face heightened risks to our intellectual property rights in these jurisdictions, including competition with generic or counterfeit versions of our products at or relatively shortly after launch as well as the risk of diversion of generic or counterfeit products from these jurisdictions into others. See Item 1, "Business—Patents, Trademarks, and Other Intellectual Property Rights," and Item 8, "Financial Statements and Supplementary Data—Note 16: Contingencies," for more details.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17" w:lineRule="exact"/>
        <w:rPr>
          <w:sz w:val="20"/>
          <w:szCs w:val="20"/>
          <w:color w:val="auto"/>
        </w:rPr>
      </w:pPr>
    </w:p>
    <w:p>
      <w:pPr>
        <w:ind w:right="500"/>
        <w:spacing w:after="0" w:line="273" w:lineRule="auto"/>
        <w:rPr>
          <w:sz w:val="20"/>
          <w:szCs w:val="20"/>
          <w:color w:val="auto"/>
        </w:rPr>
      </w:pPr>
      <w:r>
        <w:rPr>
          <w:rFonts w:ascii="Arial" w:cs="Arial" w:eastAsia="Arial" w:hAnsi="Arial"/>
          <w:sz w:val="18"/>
          <w:szCs w:val="18"/>
          <w:b w:val="1"/>
          <w:bCs w:val="1"/>
          <w:color w:val="auto"/>
        </w:rPr>
        <w:t>Failure, inadequacy, breach of, or unauthorized access to, our IT systems or those of our third-party service providers, unauthorized access to our confidential information, or violations of data protection laws, could result in material harm to our business and reputation.</w:t>
      </w:r>
    </w:p>
    <w:p>
      <w:pPr>
        <w:spacing w:after="0" w:line="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Important confidential information owned by us, our business partners, or other third parties is stored in our information systems, networks, and facilities or those of third parties. This includes valuable trade secrets and intellectual property, clinical trial information, corporate strategic plans, marketing plans, customer information, and personal information, such as employee and patient information (collectively, confidential information). We also rely, to a large extent, on the efficient and uninterrupted operation of complex information technology systems, infrastructure, cloud technologies, and hardware (together, IT systems), some of which are within our control and some of which are within the control of third parties, to accumulate, process, store, and transmit large amounts of confidential information and other data. We are subject to a variety of evolving and developing laws and regulations around the world related to privacy, data protection, and data security. Maintaining the security, confidentiality, integrity, and availability of our IT systems and confidential information is vital to our business. A failure in the protection or maintenance of the security, confidentiality, integrity, and availability of our (or our third-party service providers') IT systems and confidential information and other data could significantly harm our reputation as well as result in significant costs, including those related to fines, penalties, litigation, and obligations to comply with applicable data breach laws. A cybersecurity incident could also impose business costs through lost productivity, disruption to manufacturing, and costs to remediate and recover from the incident.</w:t>
      </w:r>
    </w:p>
    <w:p>
      <w:pPr>
        <w:spacing w:after="0" w:line="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IT systems are inherently vulnerable to system inadequacies, inadequate controls or procedures, operating failures, unauthorized access, service interruptions or failures, security breaches, malicious intrusions, theft, exfiltration, ransomware, or cyber-attacks from a variety of sources, which may remain undetected for significant periods of time. From time to time, we update, transition, acquire, or expand use of our and third-party IT systems, which may result in heightened vulnerability. Some third-party IT systems that are necessary for the operation of our business processes are maintained outside of our control but would impact business operations if compromised as a result of a cyber-attack. Vulnerabilities, inadequacies, or failures are in many cases more acute for IT systems associated with recently acquired businesses, and we may be unable to entirely address such vulnerabilities, inadequacies, or failures immediately after acquiring a business or ever. As a result, our newly acquired businesses are in some cases more vulnerable to failures, interruptions, breaches, intrusions, theft, exfiltration, or attacks.</w:t>
      </w:r>
    </w:p>
    <w:p>
      <w:pPr>
        <w:spacing w:after="0" w:line="7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Cyber-attacks are growing in their frequency, sophistication, and intensity, and are becoming increasingly difficult to detect, mitigate, or prevent. Cyber-attacks come in many forms, including the deployment of harmful malware, exploitation of vulnerabilities (including those of third-party software or systems), denial-of-service attacks, the use of social engineering (including phishing), and other means to compromise the confidentiality, integrity, and availability of IT systems, confidential information, and other data. Breaches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ind w:right="80"/>
        <w:spacing w:after="0" w:line="253" w:lineRule="auto"/>
        <w:rPr>
          <w:sz w:val="20"/>
          <w:szCs w:val="20"/>
          <w:color w:val="auto"/>
        </w:rPr>
      </w:pPr>
      <w:r>
        <w:rPr>
          <w:rFonts w:ascii="Arial" w:cs="Arial" w:eastAsia="Arial" w:hAnsi="Arial"/>
          <w:sz w:val="18"/>
          <w:szCs w:val="18"/>
          <w:color w:val="auto"/>
        </w:rPr>
        <w:t>resulting in the compromise, disruption, degradation, manipulation, loss, theft, exfiltration, destruction, or unauthorized disclosure or use of confidential information, or the unauthorized access to, disruption of, interference with, or attack of, our IT systems, products and services, can occur in a variety of ways, including negligent or wrongful conduct by employees or others with permitted access to our systems and information, or wrongful conduct by hackers, competitors, organized criminal groups, nation-states, state-sponsored or affiliated groups, current or former company personnel, and other actors. Our third-party partners, including third-party providers of data hosting or cloud services, as well as suppliers, distributors, alliances, and other third parties with whom we may share data, face similar risks, which could affect us directly or indirectly. Third-party access to our proprietary data may also enable such party's development of competing products or enhancement of services sold to competitors, thereby eroding our competitive advantage. Unassociated third parties present further risks, including by propagating and amplifying misinformation related to our products, business, and industry, including through social media. We and others in the healthcare industry have been and continue to be targets for cyber-attacks, and the number of threats has increased over time. Numerous government agencies that monitor and regulate internet and cyber-crime have issued guidance, alerts and directives warning of software vulnerabilities that require immediate patching, malicious actors targeting healthcare-related systems, and nation-state sponsored hacking designed to steal valuable information.</w:t>
      </w:r>
    </w:p>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failure, inadequacy, or breach of our IT systems or business processes or controls or procedures, the compromise, disruption, degradation, manipulation, loss, theft, exfiltration, destruction, or unauthorized access to, disclosure of, or use of confidential information, or the unauthorized access to, disruption of, or interference with our products and services that rely on IT systems or business processes, could impair our ability to secure and maintain intellectual property rights; result in a product manufacturing interruption or failure, or in the interruption or failure of products or services that rely on IT systems or business processes; damage our operations, patient and other relationships, or reputation; undermine integration activities or otherwise delay or prevent the launch of products; result in unfavorable clinical trial results by virtue of incorrect or unreliable data; expose us to ransom payment, other demands, or paralyze our operations; give rise to legal liability and regulatory action under data protection and privacy laws; require disclosure to government authorities and/or regulators; expose us to civil and criminal investigations; and/or cause us to lose trade secrets or other competitive advantages, any of which effects could endure for a long period of time. Unauthorized disclosure of personally identifiable information could further expose us to significant sanctions for violations of data privacy laws and regulations around the world, subject us to litigation, or damage public trust in our company. In addition, IT system security in jurisdictions outside the U.S. is in many cases weaker and may result in additional costs, uncertainties, and risks.</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various laws and regulations globally regarding privacy and data protection, including laws and regulations relating to the collection, storage, handling, use, disclosure, transfer, and security of personal information. The legislative and regulatory environment regarding privacy and data protection is continuously evolving and the subject of significant attention by regulators and private parties globally. Regulators are imposing new data privacy and security requirements, including new and greater monetary fines or penalties for privacy violations, and jurisdictions where we operate have passed, and continue to propose, privacy and data protection legislation and/or regulations. For example, we are subject to existing laws in the EU, United Kingdom, China, and U.S., all of which provide for substantial penalties for noncompliance. Other jurisdictions where we operate have passed, or continue to propose, similar legislation and regulations. Many jurisdictions, including the U.S., the EU, and China have passed, or expect to pass, restrictions on international data transfers and local access requirements. Compliance with current and future laws and regulations requires implementing costly new controls and processes, may restrict certain core activities, including impacting our ability to carry out research and clinical studies across multiple geographies, and creates the potential for data misuse or espionage. Failure to comply with current and future laws and regulations could result in significant penalties and reputational harm and could have a material adverse effect on our business and results of operations.</w:t>
      </w:r>
    </w:p>
    <w:p>
      <w:pPr>
        <w:spacing w:after="0" w:line="8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 date, system inadequacies, inadequate controls or procedures, operating failures, unauthorized access, service interruptions or failures, security breaches, malicious intrusions, theft, exfiltration, ransomware, cyber-attacks, and the compromise, disruption, degradation, manipulation, loss, theft, exfiltration, destruction, or unauthorized disclosure or use of confidential information, or the unauthorized access to, disruption of, interference with, or attack of, our IT systems, products and services that we have encountered have not had a material impact on our business strategy, results of operations or financial condition. We maintain cyber liability insurance; however, this insurance may not be sufficient to cover the financial, operational, legal, business, or reputational losses that may result from an interruption or breach of our IT systems. We continue to implement measures in an effort to protect, detect, respond to, remediate, and minimize or prevent these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t>risks and to enhance the resiliency of our IT systems; however, these measures may not be successful, and we may fail to detect or remediate system inadequacies, inadequate controls or procedures, operating failures, unauthorized access, service interruptions or failures, security breaches, malicious intrusions, theft, exfiltration, ransomware, cyber-attacks, or other compromises of our systems. Any of these events could result in material financial, operational, legal, business, or reputational harm to our business. For a discussion of our management of cybersecurity risks, see Item 1C, "Cybersecurity—Risk Management and Strategy" and "Cybersecurity—Governance."</w:t>
      </w:r>
    </w:p>
    <w:p>
      <w:pPr>
        <w:spacing w:after="0" w:line="71" w:lineRule="exact"/>
        <w:rPr>
          <w:sz w:val="20"/>
          <w:szCs w:val="20"/>
          <w:color w:val="auto"/>
        </w:rPr>
      </w:pPr>
    </w:p>
    <w:p>
      <w:pPr>
        <w:ind w:right="580"/>
        <w:spacing w:after="0" w:line="296" w:lineRule="auto"/>
        <w:rPr>
          <w:sz w:val="20"/>
          <w:szCs w:val="20"/>
          <w:color w:val="auto"/>
        </w:rPr>
      </w:pPr>
      <w:r>
        <w:rPr>
          <w:rFonts w:ascii="Arial" w:cs="Arial" w:eastAsia="Arial" w:hAnsi="Arial"/>
          <w:sz w:val="18"/>
          <w:szCs w:val="18"/>
          <w:b w:val="1"/>
          <w:bCs w:val="1"/>
          <w:color w:val="auto"/>
        </w:rPr>
        <w:t>Manufacturing, quality, or supply chain difficulties, disruptions, or shortages could lead to product supply problems or other negative outcomes.</w:t>
      </w:r>
    </w:p>
    <w:p>
      <w:pPr>
        <w:spacing w:after="0" w:line="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continuing the significant expansion of our manufacturing capabilities and substantial investment in long-term supply agreements to fortify our supply and support our ability to meet anticipated demand for our products. Pharmaceutical manufacturing is complex and highly regulated. Supply chain difficulties, disruptions or shortages may arise from our or contracted supply chain activity as well as from external environmental factors. Variability in demand and supply for our products can also challenge supply capacity and resiliency. Supply and channel dynamics in some cases contribute to variability in financial results for our products from period to period.</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Difficulties related to supply chain activities have resulted and may in the future result in delays and disruptions in the manufacturing, distribution, and sale of our products and/or product shortages, leading to lost revenue, increased costs, reduced market opportunities, and the possibility of additional market entrants. In select cases, supply constraints may also lead to pauses, discontinuations, or other product availability issues in one or more markets, which could have a material adverse effect on our consolidated results of operations, cash flows, and reputation. Challenges and disruptions may include (i) actual or perceived quality, oversight, or regulatory compliance problems; (ii) equipment, mechanical, data, or IT system vulnerabilities, such as system inadequacies, inadequate controls or procedures, operating failures, unauthorized access, service interruptions or failures, security breaches, malicious intrusions, theft, exfiltration, ransomware or other cyber-attacks from a variety of sources; (iii) labor deficiencies; (iv) inability to obtain single-source or other raw or intermediate materials; or</w:t>
      </w:r>
    </w:p>
    <w:p>
      <w:pPr>
        <w:ind w:right="520" w:firstLine="8"/>
        <w:spacing w:after="0" w:line="258"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issues related to contractors and suppliers, including the failure, inability, or refusal of a supplier or contract manufacturer to supply contracted quantities in a timely or compliant manner or at all, increases in demand on a supplier with constrained capacity, contractual disputes with our suppliers and contract manufacturers, and vertical integration by competitors within our supply chain.</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Regional or single-source dependencies may in some cases accentuate risks and costs (e.g., tariffs) related to manufacturing and supply. For example, we, and the pharmaceutical industry generally, depend on China-based suppliers for portions of our supply chain, including integral chemical synthesis, reagents, starting materials, and ingredients. Finding alternative suppliers if and as necessary due to geopolitical developments or otherwise may not be feasible or could require significant time and expense due to the nature of our products and the need to obtain regulatory approvals, which would cause disruptions to patients and detrimentally impact our business. See, Item 1A, "Risk Factors —Risks Related to Our Operations—Reliance on third-party relationships and outsourcing arrangements could adversely affect our business," and "Risk Factors—Risks Related to Doing Business Internationally—Our global operations subject us to risks, including as related to uneven economic growth or downturns, international trade, and other global disruptions, geopolitical tensions, or disputes" for more details.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External environmental factors have also caused, and in the future may cause, delays in, and/or increase costs related to, distribution of our medicines, the construction or other acquisition of additional manufacturing capacity, procurement activity, and supplier or contract manufacturer arrangements. Relevant external environmental factors include (i) tariffs, (ii) cost inflation and global transportation and logistics challenges; (iii) labor market dynamics; (iv) natural disasters (including increased instances or severity of natural disasters or other events that may be due to climate change); (v) public health outbreaks, epidemics, or pandemics; (vi) periods of uneven economic growth or downturns; and (vii) the emergence or escalation of, or responses to international tension and conflicts.</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Difficulties in predicting or variability in demand and supply for our products and those of our competitors and the very long lead times necessary for the expansion and regulatory qualification of pharmaceutical manufacturing capacity have resulted, and in the future may result, in difficulty meeting demand, causing disruptions, shortages, or higher costs in the supply of our products. Despite our ongoing efforts to meet projected worldwide demand for our products by obtaining additional internal and contracted manufacturing capacity, there can be no assurances that such capacity increases that we expect will be needed to meet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right="60"/>
        <w:spacing w:after="0" w:line="255" w:lineRule="auto"/>
        <w:rPr>
          <w:sz w:val="20"/>
          <w:szCs w:val="20"/>
          <w:color w:val="auto"/>
        </w:rPr>
      </w:pPr>
      <w:r>
        <w:rPr>
          <w:rFonts w:ascii="Arial" w:cs="Arial" w:eastAsia="Arial" w:hAnsi="Arial"/>
          <w:sz w:val="18"/>
          <w:szCs w:val="18"/>
          <w:color w:val="auto"/>
        </w:rPr>
        <w:t>future demand will be realized as expected or that we will meet demand in launched markets in the future. Delays or challenges in operationalizing additional manufacturing capacity could limit our ability to capitalize on demand for our products. Conversely, overestimation of demand or events that limit demand for our products or anticipated demand for product candidates would undermine our ability to realize the full benefit of significant capital expenditures that we have incurred, and expect to continue to incur, to augment manufacturing capacity, may render built or in process manufacturing capacity unnecessary, may result in supply imbalances, or may subject us to contractual payment obligations, which may be significant. The foregoing risks and uncertainties could negatively impact our consolidated results of operations and reputation. See Item 1, "Business—Raw Materials and Product Supply," and Item 7, "Management's Discussion and Analysis —Financial Condition and Liquidity," for more details.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on third parties, including suppliers, distributors, alliances and collaborations with other pharmaceutical and biotechnology companies, and third-party service providers, for selected aspects of product and clinical development, manufacturing, commercialization, hosting of and support for IT systems, product distribution, and certain financial transactional processes. As examples, we outsource the day-to-day management and oversight of some of our clinical trials to contract research organizations, some product testing to contract laboratories, certain active ingredient manufacturing, finishing operations, device or component production and assembly, and packaging to contract manufacturing organizations, and the distribution of our products through logistics providers. To support anticipated demand for our current and prospective products and further other business initiatives, we have expanded relationships with contract manufacturing organizations, entities supporting consumer directed access channels, artificial intelligence vendors, and other third parties in recent periods.</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Outsourcing involves many risks, including the risk that third parties may not perform to our standards or legal requirements; may not produce reliable results; may not perform in a timely manner; may misuse or not maintain the confidentiality, integrity, and availability of confidential and proprietary information relating to us, our clinical trial subjects, or patients; may experience disruption or fail to perform due to IT system vulnerabilities, such as inadequacies, inadequate controls or procedures, operating failures, unauthorized access, service interruptions or failures, security breaches, malicious intrusions, fraud, theft, exfiltration, ransomware or other cyber-attacks; may be unable to satisfy their commitments to us in which case we may not be able to achieve acceptable alternative sourcing; or may fail to perform at all. The foregoing risks may be heightened in jurisdictions outside the U.S., where we may have fewer alternative providers as well as face additional costs, uncertainties, and risks. Among other third-party providers, we, and the pharmaceutical industry generally, depend on China-based suppliers for portions of our supply chain. U.S. officials have enacted and continue to consider legislation or other actions that are intended to limit supply chain reliance on China, including the BIOSECURE Act. In addition, historically, geopolitical tensions between the U.S. and China have led to the imposition of tariffs, sanctions, and certain other business restrictions between the U.S. and China. In 2025, the U.S. government imposed new tariffs on Chinese goods and China responded with tariffs on select U.S. goods. Tariffs have been imposed or proposed on a variety of other geographies in which we have third-party suppliers. If enacted, additional measures could result in supply disruptions or delays, increase costs more significantly, or invite further retaliatory measures, any of which could negatively impact our business and results of operations. See Item 1A, "Risk Factors—Risks Related to Doing Business Internationally—Our global operations subject us to risks, including as related to uneven economic growth or downturns, international trade, and other global disruptions, geopolitical tensions, or disputes" for additional information. In some cases, product or indication approvals depend on the outcome of regulatory inspections of third parties on which we rely. Third-party inspection outcomes have and may in the future delay or prevent product launches and otherwise negatively affect our business. Failure of third parties to meet their contractual, regulatory, confidentiality, privacy, security, or other obligations to us, our clinical trial subjects, and patients could have a material adverse effect on our business and could also result in non-compliance with legal or regulatory requirements or industry standards or subject us to reputational harm.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artificial intelligence (AI) or other emerging technologies could adversely impact us.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deploy AI and other emerging technologies in various facets of our operations and we continue to explore the development and use of AI technologies. We have also entered into, and may continue to enter into, partnerships and collaborations relating to the use of AI technology to aid in drug discovery and other efforts. The rapid advancement of these technologies presents opportunities for us in research, manufacturing, commercialization, and other business endeavors but also entails risks, including that AI-generated content,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right="100"/>
        <w:spacing w:after="0" w:line="262" w:lineRule="auto"/>
        <w:rPr>
          <w:sz w:val="20"/>
          <w:szCs w:val="20"/>
          <w:color w:val="auto"/>
        </w:rPr>
      </w:pPr>
      <w:r>
        <w:rPr>
          <w:rFonts w:ascii="Arial" w:cs="Arial" w:eastAsia="Arial" w:hAnsi="Arial"/>
          <w:sz w:val="18"/>
          <w:szCs w:val="18"/>
          <w:color w:val="auto"/>
        </w:rPr>
        <w:t>analyses, or recommendations we utilize could be inadequate, or that our competitors may more quickly or effectively adopt AI capabilities. There are significant risks involved in developing and deploying AI, and there can be no assurance that our usage of AI or our significant investments in AI will enhance our products or services or be beneficial to our business, including our efficiency or profitability. Our use of AI or other emerging technologies could also exacerbate regulatory, cybersecurity, and other significant risks.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development, management, and use of AI technologies is novel and complex, and there are technical challenges associated with achieving desired levels of accuracy, efficiency, and reliability. The algorithms and models utilized in AI systems may have limitations, including biases, errors, insufficient or erroneous training data, or inability to handle certain data types or scenarios or to render explainable or effective outputs. Furthermore, there are risks associated with the fact that the platforms providing AI models are in some cases owned and operated by emerging companies with less contractual, business, and compliance sophistication. These factors may undermine our ability to effectively utilize AI or create competitive disadvantages should our competitors more skillfully make use of AI capabilities. Further, if we are unable to effectively manage the use of AI technologies by our employees, our confidential information, intellectual property, or reputation could be put at risk.</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emergence and continued expansion of AI and other technologies may exacerbate other risks, including those related to competition, regulation, litigation, compliance issues, ethical concerns, confidentiality, and data privacy or security. AI may enable new competitors in drug discovery and enhance the capabilities of existing competitors, thereby broadening and intensifying competitive dynamics. In addition, developing laws and regulations related to AI or other emerging technologies create uncertainty, may require significant resources to adjust business practices for compliance, and in some cases, may limit our ability to use AI-based software. Several governmental authorities have already proposed or enacted laws and other guidance governing AI, such as the EU Artificial Intelligence Act. These and other developing obligations create uncertainty and may prevent or make it harder for us to conduct or enhance our business using AI, or lead to regulatory fines, penalties, or other liability. Further, use of AI technologies could lead to unintended consequences, such as data leakage, healthcare fraud and abuse, cybersecurity incidents, intellectual property infringement, or unintended biases.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Internationally</w:t>
      </w:r>
    </w:p>
    <w:p>
      <w:pPr>
        <w:spacing w:after="0" w:line="117"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auto"/>
        </w:rPr>
        <w:t>Our global operations subject us to risks, including as related to uneven economic growth or downturns, international trade, and other global disruptions, geopolitical tensions, or disputes.</w:t>
      </w:r>
    </w:p>
    <w:p>
      <w:pPr>
        <w:spacing w:after="0" w:line="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Economic slowdowns could lead to decreased utilization of our products globally or in specific markets, affecting our sales. Declining tax revenues and increased government spending on other programs attributable to uneven economic growth or downturns may increase the pressure on governments to reduce healthcare spending, leading to increased control of drug prices or lower utilization. Additionally, some customers, including governments or other entities reliant upon government funding and cash-pay patients, may be unable to pay for our products fully or in a timely manner. Also, if our customers, suppliers, or collaboration partners experience financial difficulties, we could experience slower customer collections, greater bad debt expense, or performance defaults by suppliers or collaboration partners. Similarly, uneven economic growth or downturns could limit our ability to access capital markets.</w:t>
      </w:r>
    </w:p>
    <w:p>
      <w:pPr>
        <w:spacing w:after="0" w:line="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Significant portions of our business are conducted in Europe, Asia, and other international geographies. Our global operations and complex supply chain expose us to legislation and regulatory action in or regarding foreign jurisdictions as well as geopolitical and other cross-border risks. Trade and other global disputes, interruptions, and developments, including those related to tariffs, trade protection measures, import or export licensing requirements or disagreements with authorities regarding tariff classifications, transfer pricing, or valuations,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and, in some cases, result in financial, operational, legal, business, or reputational harm. Among other risks, the use of tariffs and other trade restrictions may increase costs, impact clinical trials or sales of our products, result in supply disruptions or delays, or otherwise complicate aspects of our business. In 2025, the U.S. and other countries imposed or reached alignment on new tariffs. In some cases, imposed tariffs have been paused but may come into effect quickly and unpredictably. While pharmaceuticals are exempt from certain of these tariffs, such exemptions may be terminated or may not apply to any future tariffs.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5" w:name="page36"/>
    <w:bookmarkEnd w:id="35"/>
    <w:p>
      <w:pPr>
        <w:ind w:right="20"/>
        <w:spacing w:after="0" w:line="255" w:lineRule="auto"/>
        <w:rPr>
          <w:sz w:val="20"/>
          <w:szCs w:val="20"/>
          <w:color w:val="auto"/>
        </w:rPr>
      </w:pPr>
      <w:r>
        <w:rPr>
          <w:rFonts w:ascii="Arial" w:cs="Arial" w:eastAsia="Arial" w:hAnsi="Arial"/>
          <w:sz w:val="18"/>
          <w:szCs w:val="18"/>
          <w:color w:val="auto"/>
        </w:rPr>
        <w:t>Moreover, tensions between the U.S. and China, which have already led to a series of tariffs and sanctions, as well as other business restrictions, could further escalate based on additional trade restrictions, retaliation thereto, or otherwise, which could significantly impact our business, including by increasing scrutiny of, or restrictions on, market access, operations, and business development transactions. See Item 1A, "Risk Factors—Risks Related to Our Operations—Reliance on third-party relationships and outsourcing arrangements could adversely affect our business," for additional information. The precise impact of tariffs, trade protection measures, and other restrictions may depend on their ultimate scope, timing, and other factors. If enacted, additional restrictions could result in supply disruptions or delays, further increase costs, or otherwise have a negative impact on our business. Given the nature of pharmaceutical regulation and commercialization, we may not be able to offset the burden of increased costs from tariffs and related impacts to any meaningful degree.</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In some markets, including the EU, Japan, and China, governments have significant power as large single payors to regulate prices and access criteria or impose other means of cost control. Geopolitical and economic factors have in various cases exacerbated financial pressures on governments with single-payer or government funded healthcare systems, leading to increases in rebates, clawbacks, and other reforms to reimbursement systems, policies and programs. These and similar events have adversely affected, and may continue to adversely affect, us, our business partners, and our customers. For more details, see Item 1, "Business—Regulations and Private Payer Actions Affecting Pharmaceutical Pricing, Reimbursement, and Access." Our arrangements with the U.S. government and broader U.S. policy efforts to align domestic pharmaceutical pricing with international benchmarks may further pressure international payers, and the outcome of competing U.S. and international pricing objectives is uncertain. See Item 1A, "Risk Factors—Risks Related to Our Business and Industry—Our business is subject to government price controls and other public and private restrictions on pricing, reimbursement, and access for our drugs, which could have a material adverse effect on our results of operations, reputation, or business."</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to developments related to our business or financial results, or those of our competitors, uneven economic growth, downturns, or other negative global developments could undermine our growth or result in significant and sudden declines in the trading price of our common stock and market capitalization.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rates, interest rate risks, and inflation or deflation affect our results of operations.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interest rate risk from our exposure to floating and variable interest rates, and existing and expected rates of inflation or deflation in the U.S. and other jurisdictions, each of which impacts our results of operations. We are a net receiver of most foreign currencies, and our results of operations are adversely impacted when the U.S. dollar is strong compared to foreign currencies. Rapid growth in our international business and changes in the global supply chain for our products have impacted and may continue to impact our foreign currency exposure. Further, in the event of an extreme devaluation of local currency in a particular market in which we operate, the price of our products could become unsustainable in the relevant market. Inflationary pressures in recent periods have negatively impacted us and may continue to negatively impact us in various ways, including cost inflation, higher labor costs, and other higher expenses. See Item 7, "Management's Discussion and Analysis—Financial Condition and Liquidity" and Item 8, "Financial Statements and Supplementary Data—Note 1: Summary of Significant Accounting Policies and Implementation of New Financial Accounting Standards," for more details.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Government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party to litigation and investigations, which could adversely affect our business.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a substantial number of claims, litigation, and investigations involving various current and historical products and practices. These claims relate to how we commercialize and/or price our products, product safety, our operations, intellectual property disputes and protection, as well as contractual matters and other disputes. We have also filed lawsuits and taken other legal actions to protect our intellectual property and address unlawful practices. See Item 8, "Financial Statements and Supplementary Data—Note 16: Contingencies," for more information on certain matters. Like many companies in our industry, from time to time investigations into aspects of our business include inquiries, subpoenas, and other types of information demands from government and regulatory authorities. There continues to be a significant volume of government and regulatory investigations and litigation against companies operating in our industry, as well as robust regulatory enforcement. Additionally, government and regulatory authorities have considered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ind w:right="20"/>
        <w:spacing w:after="0" w:line="255" w:lineRule="auto"/>
        <w:rPr>
          <w:sz w:val="20"/>
          <w:szCs w:val="20"/>
          <w:color w:val="auto"/>
        </w:rPr>
      </w:pPr>
      <w:r>
        <w:rPr>
          <w:rFonts w:ascii="Arial" w:cs="Arial" w:eastAsia="Arial" w:hAnsi="Arial"/>
          <w:sz w:val="18"/>
          <w:szCs w:val="18"/>
          <w:color w:val="auto"/>
        </w:rPr>
        <w:t>initiated enforcement or other actions across industries to seek alignment with policy initiatives. Because of the nature of pharmaceutical products and our evolving business, we are, and could increasingly become, subject to large numbers of product liability claims for our previous, current, or future products, or to further litigation or investigations, including related to product safety, marketing, pricing, or other commercial practices. Some of these matters involve or may involve numerous plaintiffs and parties seeking large or indeterminate financial claims and may remain unresolved for several years. Such matters could negatively impact our reputation, affect our results of operations, or require us to recognize substantial charges to resolve and, if involving marketed products, could adversely affect sales of the product and our consolidated results of operations in any given period. We may also be unsuccessful in protecting our intellectual property or mitigating harm to us from unlawful practices. The ability to insure against such exposures is limited, and due to a very restrictive market for liability insurance we are predominately self-insured for litigation liability losses for all our currently and previously marketed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evolving and complex tax laws, which may result in additional liabilities.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income taxes in the U.S. and numerous other jurisdictions, and in the course of our business, we make judgments about the expected tax treatment of various transactions and events. Inherent uncertainties exist in estimates of many tax positions due to the complexity of tax laws. Changes in tax laws, regulations, administrative practices, principles, disclosure obligations, and interpretations, as well as events that differ from our expectations, have affected and may adversely affect our effective tax rates, cash flows, and/or results of operations. In addition, tax authorities in the U.S. and other jurisdictions in which we do business routinely examine our tax returns and are expected to increase their scrutiny and examinations of cross-border tax issues, which could unfavorably impact our results of operations and cash flows. Given the uncertainty of positions that could be taken by taxing authorities during the examinations of our tax returns, the ultimate outcome of any tax matters may result in liabilities that are greater than amounts accrued in our estimates for uncertain tax positions and could affect our results of operations in any given period. Further, actions taken with respect to tax-related matters by associations such as the Organisation for Economic Co-operation and Development (OECD) and the European Commission could influence tax laws in countries in which we operate, such as the enactments by both EU and non-EU countries of a global minimum tax. Modifications to key elements of the U.S. or international tax framework could have a significant impact on our effective tax rate, results of operations, and cash flows. See Item 7, "Management's Discussion and Analysis—Executive Overview—Other Matters—Tax Matters" and Item 8, "Financial Statements and Supplementary Data—Note 14: Income Taxes," for more details.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 problems could be damaging to the company.</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extensive scrutiny and regulation. New or ongoing business practices or commercial capabilities may subject us to additional scrutiny over compliance with applicable regulatory schemes and compliance obligations or expose us to new regulatory schemes and compliance obligations entirely. Many companies, including us, are and have been subject to investigations, litigation, and claims related to these practices asserted by governmental authorities and other parties. Such investigations, litigation, and claims result in substantial expense and other significant consequences, including in some cases criminal charges and fines, criminal and civil penalties, damages, and other monetary or non-monetary remedies, including exclusion from U.S. federal and other healthcare programs. Evolving U.S. and foreign regulatory priorities may result in an increase in such investigations, litigation, and claims. In addition, regulatory issues and evolving standards concerning compliance with cGMP and quality assurance, including increased scrutiny around excipients, potential impurities such as nitrosamines, and chemicals important to pharmaceutical manufacturing, in some cases lead to regulatory and legal actions, product recalls and seizures, fines and penalties, interruption of production leading to product shortages, import bans, or denials of import certifications, delays or denials in new product approvals or line extensions or supplemental approvals of current products pending resolution of the issues, and reputational harm, any of which adversely affects our business. Regulatory oversight of the pharmaceutical industry entails judgment and interpretation, which can result in varying interpretations of laws and regulations by health and other authorities.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U.S. and other authorities are regularly and actively proposing, enacting, and pursuing numerous policy, regulatory, and enforcement changes that impact many aspects of our operations. These changes are in some cases advanced with short notice. Such changes may undermine our ability to achieve business objectives, may be costly to implement, may provide only limited time for compliance, may change accounting and reporting standards, may carry significant penalties for non-compliance, or may otherwise create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ind w:right="300"/>
        <w:spacing w:after="0" w:line="256" w:lineRule="auto"/>
        <w:rPr>
          <w:sz w:val="20"/>
          <w:szCs w:val="20"/>
          <w:color w:val="auto"/>
        </w:rPr>
      </w:pPr>
      <w:r>
        <w:rPr>
          <w:rFonts w:ascii="Arial" w:cs="Arial" w:eastAsia="Arial" w:hAnsi="Arial"/>
          <w:sz w:val="18"/>
          <w:szCs w:val="18"/>
          <w:color w:val="auto"/>
        </w:rPr>
        <w:t>uncertainty. See Item 1, "Business—Government Regulation of Our Operations and Products," for more details. For example, U.S. government authorities have taken and may continue to take actions intended to restrict direct-to-patient advertising and promotion of prescription drugs and biologics. These or other initiatives may influence the ways in which we can market our products, which could negatively affect our business. Moreover, novel regulatory or policy programs such as the FDA Commissioner's National Priority Voucher Pilot Program may attract scrutiny and criticism from various stakeholders. Our participation in such programs, notwithstanding the review processes involved and our adherence to applicable requirements and procedures, may expose us to legal, regulatory, political, and reputational risks.</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rely on the FDA and other global regulatory bodies for appropriate oversight, administration and enforcement across our industry, anyone marketing or purporting to market medicines, and public health. Oversight, administrative, and enforcement changes, delays, inconsistencies, lapses, and failures could materially impact our business and reputation. See Item 1, "Business—Government Regulation of Our Operations and Products," for additional information on regulatory risks, including as related to counterfeit, misbranded, adulterated, and mass-compounded drugs. Regulatory oversight and compliance processes in jurisdictions outside the U.S. may be particularly unpredictable and result in additional costs, uncertainties, and risks.</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Furthermore, there is a sustained focus by foreign, federal, state, and local regulatory and legislative bodies on legislation and policies relating to climate change, greenhouse gas emissions, carbon taxes, emissions trading schemes, sustainability, human rights and related due diligence, workforce matters, and disclosures regarding the foregoing, many of which may be ambiguous, inconsistent, dynamic or conflicting. We have experienced increased compliance costs, legal costs, and expenses related to such new or changing legal or regulatory requirements. Moreover, compliance with any such legal or regulatory requirements requires us to devote time and attention, which may be substantial, to these matters. In addition, we may still be subject to penalties or potential litigation if such laws and regulations are interpreted or applied in a manner inconsistent with our practices.</w:t>
      </w:r>
    </w:p>
    <w:p>
      <w:pPr>
        <w:spacing w:after="0" w:line="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Additionally, there is attention from the media, stockholders, activists, political leadership, regulatory authorities, and other stakeholders on climate, social, and other sustainability matters. The perception that we or others in our industry or supply chain have failed to act in an appropriate manner, whether or not valid, results in publicity that can negatively affect our business, brand, and reputation, as well as result in increased scrutiny from political leadership, legislators and regulatory authorities. For example, negative perception of inclusion initiatives, whether due to a perceived over- or under-pursuit of such initiatives, may result in issues hiring or retaining employees, as well as potential investigations, enforcement actions, litigation, reputational harm, or other adverse impacts. Moreover, from time to time we voluntarily establish and publicly announce goals, initiatives, and commitments, including on climate (including greenhouse gas emission reduction goals), social, and other sustainability matters. Our ability to achieve any of these stated goals, targets or objectives is subject to numerous factors and conditions, many of which are outside our control. Examples of such factors include evolving regulatory requirements affecting sustainability standards or disclosures or imposing different requirements, and the availability of suppliers that can meet our sustainability and other goals. If we fail to achieve, are perceived to have failed or been delayed in achieving, or improperly report our progress toward achieving these goals, initiatives, and commitments, it could negatively affect our reputation, brand, or investor confidence, and expose us to investigations, enforcement actions and litigation. Conversely, our pursuit or achievement of such goals, initiatives, and commitments may not be viewed favorably by certain stakeholders and could increase scrutiny of our business, negatively affect our reputation, or expose us to investigations, enforcement actions, and litigation.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1C.</w:t>
      </w:r>
      <w:r>
        <w:rPr>
          <w:sz w:val="20"/>
          <w:szCs w:val="20"/>
          <w:color w:val="auto"/>
        </w:rPr>
        <w:tab/>
      </w:r>
      <w:r>
        <w:rPr>
          <w:rFonts w:ascii="Arial" w:cs="Arial" w:eastAsia="Arial" w:hAnsi="Arial"/>
          <w:sz w:val="17"/>
          <w:szCs w:val="17"/>
          <w:b w:val="1"/>
          <w:bCs w:val="1"/>
          <w:i w:val="1"/>
          <w:iCs w:val="1"/>
          <w:color w:val="auto"/>
        </w:rPr>
        <w:t>Cybersecurity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17"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We manage cybersecurity threats as part of our oversight, evaluation, and mitigation of enterprise-level risks. We have based our cybersecurity program on industry frameworks, including, among others, the U.S. National Institute of Standards and Technology Cybersecurity Framework, with the goal of building enterprise resilience against an evolving landscape of cybersecurity threats and responding to cybersecurity threats as they materialize. Our program includes monitoring, identification, assessment, and management components, as well as information sharing and escalation components designed to inform management and the board of directors of prospective risks and developments.</w:t>
      </w:r>
    </w:p>
    <w:p>
      <w:pPr>
        <w:spacing w:after="0" w:line="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information security program encompasses functions dedicated to both proactive and reactive management of cybersecurity threats. We implement our cybersecurity program internally through established policies, standards, reference architectures, and the use of enterprise security services that focus on emerging and ongoing cybersecurity risks. Our proactive management of cybersecurity risks entails many actions, including the maintenance of system access restrictions, utilization of data security technology, employee education and training initiatives, and retention of cyber liability insurance, among other measures. We regularly engage third-party auditors and consultants and leverage our internal audit function to assess various facets of our cybersecurity program. These engagements include completion of industry-standard assessments or certifications, maturity model reviews, threat simulations, as well as internal reviews to assess the effectiveness of our cybersecurity processes. We also maintain enterprise-wide processes to oversee and identify risks from cybersecurity threats associated with our use of third-party service providers. As examples, we generally review current and prospective third-party service providers for unacceptable cybersecurity risks, negotiate contractual provisions that require the establishment of third-party cybersecurity controls, and deploy security measures to protect third-party communications. For companies we acquire, the integration process includes plans for alignment with relevant information security policies and procedures.</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assess cybersecurity contingencies within our overall business continuity risk management planning process. Our Information Security team utilizes various tools to prevent, detect, monitor, and react to cybersecurity threats. Our Incident Response Playbook outlines processes, roles, responsibilities, engagements, escalations, notifications, and other communications applicable to the assessment, mitigation, and remediation of realized cybersecurity events. The nature and assessed risk of a realized cybersecurity event dictates the pace and extent of relevant processes, escalations, and communications, including an evaluation of any necessary or required disclosure. Roles and escalation paths range from within the Information Security team up to the Executive Committee, and the board of directors and its committees, as appropriate.</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describe certain risks faced by us from identified cybersecurity threats in Item 1A, "Risk Factors—Risks Related to Our Operations— Failure, inadequacy, breach of, or unauthorized access to, our IT systems or those of our third-party service providers, unauthorized access to our confidential information, or violations of data protection laws, could result in material harm to our business and reputation", "Risk Factors—Risks Related to Our Operations—Manufacturing, quality, or supply chain difficulties, disruptions, or shortages could lead to product supply problems or other negative outcomes", "Risk Factors—Risks Related to Our Operations—Reliance on third-party relationships and outsourcing arrangements could adversely affect our business", and "Risk Factors—Risks Related to Our Operations—Our use of artificial intelligence (AI) or other emerging technologies could adversely impact us."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Governance</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Management, under the supervision of our Chief Information Security Officer (CISO), is directly responsible for assessing and managing cybersecurity risks and otherwise implementing our cybersecurity program, which includes our Incident Response Playbook. The CISO reports directly to our Chief Information and Digital Officer (CIDO), who is a member of our Executive Committee and leads our information technology, cybersecurity, digital health, and advanced analytics and data science functions. Our CIDO in turn regularly updates our Executive Committee on cybersecurity matters. Our CISO and CIDO have significant experience managing global cybersecurity threats across the pharmaceutical, technology, entertainment, and defense industries. In addition to providing regular updates to the CIDO and his staff, the CISO is a member of our Executive Information Security Governance function (EISG), which meets regularly and is composed of executive and senior leadership from a variety of functions, including information security, legal, finance, audit, and ethics and compliance to assess and manage cybersecurity developments and risks and our internal programs. Each of the CIDO, the CISO and the EISG may call upon business and legal stakeholders across our company to manage cybersecurity threats and incidents.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monitors cybersecurity risks and regularly participates in presentations on cybersecurity and information technology. The audit committee of our board of directors is responsible for oversight of our programs, policies, procedures, and risk management activities related to information security, cybersecurity and data protection. The audit committee meets regularly with our CIDO, CISO, and Chief Privacy Officer to discuss threats, risks, and ongoing efforts to enhance cyber resiliency, as well as changes to the broader cybersecurity landscape. In addition, the ethics and compliance committee supports the audit committee and board in oversight of legal and regulatory compliance. In addition to regular presentations, management promptly updates our board of directors regarding significant threats and incidents as they arise.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Properties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principal domestic and international executive offices are located in Indianapolis. We own several production, distribution, and corporate administrative sites in the U.S., including Puerto Rico. Major production sites include facilities in Indiana, North Carolina, Puerto Rico, and Wisconsin. We own several production and distribution sites in Europe and Asia. Major production sites include facilities in Ireland, France, Spain, Italy, China, and Japan. Additional U.S. and international production facilities and expansions of production facilities are expected to come online in future periods.</w:t>
      </w:r>
    </w:p>
    <w:p>
      <w:pPr>
        <w:spacing w:after="0" w:line="7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Our research and development facilities are primarily located in the U.S. and consist of owned facilities in Indiana and leased sites in California, Massachusetts, Colorado, and New York.</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Legal Proceedings</w:t>
      </w:r>
    </w:p>
    <w:p>
      <w:pPr>
        <w:spacing w:after="0" w:line="11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Information pertaining to legal proceedings is described in Item 8, "Financial Statements and Supplementary Data—Note 16: Contingencies," and incorporated by reference herein.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Arial" w:cs="Arial" w:eastAsia="Arial" w:hAnsi="Arial"/>
          <w:sz w:val="29"/>
          <w:szCs w:val="29"/>
          <w:u w:val="single" w:color="auto"/>
          <w:color w:val="auto"/>
        </w:rPr>
        <w:t>Part II</w:t>
      </w:r>
    </w:p>
    <w:p>
      <w:pPr>
        <w:spacing w:after="0" w:line="2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7"/>
          <w:szCs w:val="17"/>
          <w:b w:val="1"/>
          <w:bCs w:val="1"/>
          <w:i w:val="1"/>
          <w:iCs w:val="1"/>
          <w:color w:val="auto"/>
        </w:rPr>
        <w:t>Market for the Registrant's Common Equity, Related Stockholder Matters, and Issuer Purchases of Equity Securities</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common stock is listed under the ticker symbol LLY on the New York Stock Exchange (NYSE). As of February 9, 2026, there were approximately 16,886 holders of record of our common stock based on information provided by EQ Shareowner Services, our transfer agent.</w:t>
      </w:r>
    </w:p>
    <w:p>
      <w:pPr>
        <w:spacing w:after="0" w:line="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Information relating to our dividends and related stockholder matters is described in Item 7, "Management's Discussion and Analysis of Results of Operations and Financial Condition" and Item 12, "Security Ownership of Certain Beneficial Owners and Management and Related Stockholder Matters." This information is incorporated herein by reference.</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20" w:type="dxa"/>
            <w:vAlign w:val="bottom"/>
          </w:tcPr>
          <w:p>
            <w:pPr>
              <w:spacing w:after="0"/>
              <w:rPr>
                <w:sz w:val="14"/>
                <w:szCs w:val="14"/>
                <w:color w:val="auto"/>
              </w:rPr>
            </w:pPr>
          </w:p>
        </w:tc>
        <w:tc>
          <w:tcPr>
            <w:tcW w:w="2460" w:type="dxa"/>
            <w:vAlign w:val="bottom"/>
          </w:tcPr>
          <w:p>
            <w:pPr>
              <w:jc w:val="center"/>
              <w:ind w:right="241"/>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320" w:type="dxa"/>
            <w:vAlign w:val="bottom"/>
          </w:tcPr>
          <w:p>
            <w:pPr>
              <w:spacing w:after="0"/>
              <w:rPr>
                <w:sz w:val="12"/>
                <w:szCs w:val="12"/>
                <w:color w:val="auto"/>
              </w:rPr>
            </w:pPr>
          </w:p>
        </w:tc>
        <w:tc>
          <w:tcPr>
            <w:tcW w:w="246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Average Price Paid</w:t>
            </w:r>
          </w:p>
        </w:tc>
        <w:tc>
          <w:tcPr>
            <w:tcW w:w="2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w:t>
            </w:r>
          </w:p>
        </w:tc>
        <w:tc>
          <w:tcPr>
            <w:tcW w:w="320" w:type="dxa"/>
            <w:vAlign w:val="bottom"/>
          </w:tcPr>
          <w:p>
            <w:pPr>
              <w:spacing w:after="0"/>
              <w:rPr>
                <w:sz w:val="12"/>
                <w:szCs w:val="12"/>
                <w:color w:val="auto"/>
              </w:rPr>
            </w:pPr>
          </w:p>
        </w:tc>
        <w:tc>
          <w:tcPr>
            <w:tcW w:w="2460" w:type="dxa"/>
            <w:vAlign w:val="bottom"/>
          </w:tcPr>
          <w:p>
            <w:pPr>
              <w:jc w:val="center"/>
              <w:ind w:right="241"/>
              <w:spacing w:after="0" w:line="14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39"/>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5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Plans or Programs</w:t>
            </w:r>
          </w:p>
        </w:tc>
        <w:tc>
          <w:tcPr>
            <w:tcW w:w="320" w:type="dxa"/>
            <w:vAlign w:val="bottom"/>
          </w:tcPr>
          <w:p>
            <w:pPr>
              <w:spacing w:after="0"/>
              <w:rPr>
                <w:sz w:val="12"/>
                <w:szCs w:val="12"/>
                <w:color w:val="auto"/>
              </w:rPr>
            </w:pPr>
          </w:p>
        </w:tc>
        <w:tc>
          <w:tcPr>
            <w:tcW w:w="2460" w:type="dxa"/>
            <w:vAlign w:val="bottom"/>
          </w:tcPr>
          <w:p>
            <w:pPr>
              <w:jc w:val="center"/>
              <w:ind w:right="241"/>
              <w:spacing w:after="0" w:line="139"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per Share</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23"/>
        </w:trPr>
        <w:tc>
          <w:tcPr>
            <w:tcW w:w="2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October 2025</w:t>
            </w: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933.79</w:t>
            </w:r>
          </w:p>
        </w:tc>
        <w:tc>
          <w:tcPr>
            <w:tcW w:w="2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DBDBDB"/>
          </w:tcPr>
          <w:p>
            <w:pPr>
              <w:jc w:val="right"/>
              <w:ind w:right="1"/>
              <w:spacing w:after="0"/>
              <w:rPr>
                <w:sz w:val="20"/>
                <w:szCs w:val="20"/>
                <w:color w:val="auto"/>
              </w:rPr>
            </w:pPr>
            <w:r>
              <w:rPr>
                <w:rFonts w:ascii="Arial" w:cs="Arial" w:eastAsia="Arial" w:hAnsi="Arial"/>
                <w:sz w:val="18"/>
                <w:szCs w:val="18"/>
                <w:color w:val="auto"/>
              </w:rPr>
              <w:t>11,960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November 2025</w:t>
            </w:r>
          </w:p>
        </w:tc>
        <w:tc>
          <w:tcPr>
            <w:tcW w:w="186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1,033.47</w:t>
            </w:r>
          </w:p>
        </w:tc>
        <w:tc>
          <w:tcPr>
            <w:tcW w:w="2540" w:type="dxa"/>
            <w:vAlign w:val="bottom"/>
          </w:tcPr>
          <w:p>
            <w:pPr>
              <w:jc w:val="right"/>
              <w:spacing w:after="0"/>
              <w:rPr>
                <w:sz w:val="20"/>
                <w:szCs w:val="20"/>
                <w:color w:val="auto"/>
              </w:rPr>
            </w:pPr>
            <w:r>
              <w:rPr>
                <w:rFonts w:ascii="Arial" w:cs="Arial" w:eastAsia="Arial" w:hAnsi="Arial"/>
                <w:sz w:val="18"/>
                <w:szCs w:val="18"/>
                <w:color w:val="auto"/>
              </w:rPr>
              <w:t>877</w:t>
            </w:r>
          </w:p>
        </w:tc>
        <w:tc>
          <w:tcPr>
            <w:tcW w:w="320" w:type="dxa"/>
            <w:vAlign w:val="bottom"/>
          </w:tcPr>
          <w:p>
            <w:pPr>
              <w:spacing w:after="0"/>
              <w:rPr>
                <w:sz w:val="19"/>
                <w:szCs w:val="19"/>
                <w:color w:val="auto"/>
              </w:rPr>
            </w:pPr>
          </w:p>
        </w:tc>
        <w:tc>
          <w:tcPr>
            <w:tcW w:w="2460" w:type="dxa"/>
            <w:vAlign w:val="bottom"/>
          </w:tcPr>
          <w:p>
            <w:pPr>
              <w:jc w:val="right"/>
              <w:ind w:right="1"/>
              <w:spacing w:after="0"/>
              <w:rPr>
                <w:sz w:val="20"/>
                <w:szCs w:val="20"/>
                <w:color w:val="auto"/>
              </w:rPr>
            </w:pPr>
            <w:r>
              <w:rPr>
                <w:rFonts w:ascii="Arial" w:cs="Arial" w:eastAsia="Arial" w:hAnsi="Arial"/>
                <w:sz w:val="18"/>
                <w:szCs w:val="18"/>
                <w:color w:val="auto"/>
              </w:rPr>
              <w:t>11,053</w:t>
            </w:r>
          </w:p>
        </w:tc>
        <w:tc>
          <w:tcPr>
            <w:tcW w:w="0" w:type="dxa"/>
            <w:vAlign w:val="bottom"/>
          </w:tcPr>
          <w:p>
            <w:pPr>
              <w:spacing w:after="0"/>
              <w:rPr>
                <w:sz w:val="1"/>
                <w:szCs w:val="1"/>
                <w:color w:val="auto"/>
              </w:rPr>
            </w:pPr>
          </w:p>
        </w:tc>
      </w:tr>
      <w:tr>
        <w:trPr>
          <w:trHeight w:val="229"/>
        </w:trPr>
        <w:tc>
          <w:tcPr>
            <w:tcW w:w="2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December 2025</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1,032.42</w:t>
            </w:r>
          </w:p>
        </w:tc>
        <w:tc>
          <w:tcPr>
            <w:tcW w:w="2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DBDBDB"/>
          </w:tcPr>
          <w:p>
            <w:pPr>
              <w:spacing w:after="0"/>
              <w:rPr>
                <w:sz w:val="19"/>
                <w:szCs w:val="19"/>
                <w:color w:val="auto"/>
              </w:rPr>
            </w:pPr>
          </w:p>
        </w:tc>
        <w:tc>
          <w:tcPr>
            <w:tcW w:w="2460" w:type="dxa"/>
            <w:vAlign w:val="bottom"/>
            <w:shd w:val="clear" w:color="auto" w:fill="DBDBDB"/>
          </w:tcPr>
          <w:p>
            <w:pPr>
              <w:jc w:val="right"/>
              <w:ind w:right="1"/>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1,001.60</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During the three months ended December 31, 2025, we repurchased $1.5 billion of shares under our $15.0 billion share repurchase program that our board authorized in December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PERFORMANCE GRAPH</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following graph compares the return on Lilly stock with that of the Standard &amp; Poor's (S&amp;P) 500 Stock Index and our peer groups for the years 2021 through 2025. The graph assumes that, on the last business day of 2020, a person invested $100 each in Lilly stock, the S&amp;P 500 Stock Index, and each of the peer groups' collective common stock. The graph measures total shareholder return, which takes into account both stock price and dividends. It assumes that dividends paid by a company are immediately reinvested in that company's stock.</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Comparison of Five-Year Cumulative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18415</wp:posOffset>
            </wp:positionV>
            <wp:extent cx="5340350" cy="3720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035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840" w:type="dxa"/>
        <w:tblCellMar>
          <w:top w:w="0" w:type="dxa"/>
          <w:left w:w="0" w:type="dxa"/>
          <w:bottom w:w="0" w:type="dxa"/>
          <w:right w:w="0" w:type="dxa"/>
        </w:tblCellMar>
      </w:tblPr>
      <w:tr>
        <w:trPr>
          <w:trHeight w:val="197"/>
        </w:trPr>
        <w:tc>
          <w:tcPr>
            <w:tcW w:w="2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r>
      <w:tr>
        <w:trPr>
          <w:trHeight w:val="224"/>
        </w:trPr>
        <w:tc>
          <w:tcPr>
            <w:tcW w:w="2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Lilly</w:t>
            </w:r>
          </w:p>
        </w:tc>
        <w:tc>
          <w:tcPr>
            <w:tcW w:w="6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166.08</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222.94</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358.72</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478.17</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670.56</w:t>
            </w: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Current Peer Group</w:t>
            </w:r>
            <w:r>
              <w:rPr>
                <w:rFonts w:ascii="Arial" w:cs="Arial" w:eastAsia="Arial" w:hAnsi="Arial"/>
                <w:sz w:val="9"/>
                <w:szCs w:val="9"/>
                <w:color w:val="auto"/>
              </w:rPr>
              <w:t>(1)</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116.73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118.45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123.43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154.11</w:t>
            </w:r>
          </w:p>
        </w:tc>
      </w:tr>
      <w:tr>
        <w:trPr>
          <w:trHeight w:val="230"/>
        </w:trPr>
        <w:tc>
          <w:tcPr>
            <w:tcW w:w="2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Prior Peer Group</w:t>
            </w:r>
            <w:r>
              <w:rPr>
                <w:rFonts w:ascii="Arial" w:cs="Arial" w:eastAsia="Arial" w:hAnsi="Arial"/>
                <w:sz w:val="9"/>
                <w:szCs w:val="9"/>
                <w:color w:val="auto"/>
              </w:rPr>
              <w:t>(2)</w:t>
            </w:r>
          </w:p>
        </w:tc>
        <w:tc>
          <w:tcPr>
            <w:tcW w:w="66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120.85</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134.50</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132.73</w:t>
            </w: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134.53</w:t>
            </w: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157.61</w:t>
            </w:r>
          </w:p>
        </w:tc>
      </w:tr>
      <w:tr>
        <w:trPr>
          <w:trHeight w:val="239"/>
        </w:trPr>
        <w:tc>
          <w:tcPr>
            <w:tcW w:w="2120" w:type="dxa"/>
            <w:vAlign w:val="bottom"/>
          </w:tcPr>
          <w:p>
            <w:pPr>
              <w:ind w:left="20"/>
              <w:spacing w:after="0"/>
              <w:rPr>
                <w:sz w:val="20"/>
                <w:szCs w:val="20"/>
                <w:color w:val="auto"/>
              </w:rPr>
            </w:pPr>
            <w:r>
              <w:rPr>
                <w:rFonts w:ascii="Arial" w:cs="Arial" w:eastAsia="Arial" w:hAnsi="Arial"/>
                <w:sz w:val="18"/>
                <w:szCs w:val="18"/>
                <w:color w:val="auto"/>
              </w:rPr>
              <w:t>S&amp;P 500</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128.71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105.40</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166.40</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196.16</w:t>
            </w:r>
          </w:p>
        </w:tc>
      </w:tr>
    </w:tbl>
    <w:p>
      <w:pPr>
        <w:spacing w:after="0" w:line="72" w:lineRule="exact"/>
        <w:rPr>
          <w:sz w:val="20"/>
          <w:szCs w:val="20"/>
          <w:color w:val="auto"/>
        </w:rPr>
      </w:pPr>
    </w:p>
    <w:p>
      <w:pPr>
        <w:ind w:left="340" w:right="120" w:hanging="332"/>
        <w:spacing w:after="0" w:line="231" w:lineRule="auto"/>
        <w:tabs>
          <w:tab w:leader="none" w:pos="234"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In 2025, we revised the peer group used as the industry index for this graph to align with the peer group used for executive compensation purposes for 2025. The 2025 peer group is comprised of the following companies in the pharmaceutical and biotechnology industries: AbbVie Inc.; Amgen Inc.; AstraZeneca PLC; Bristol-Myers Squibb Company; Gilead Sciences Inc.; GlaxoSmithKline plc; Johnson &amp; Johnson; Medtronic plc; Merck &amp; Co., Inc.; Novartis AG; Pfizer Inc.; Roche Holding AG; Sanofi S.A.; and Stryker Corporation.</w:t>
      </w:r>
    </w:p>
    <w:p>
      <w:pPr>
        <w:spacing w:after="0" w:line="14" w:lineRule="exact"/>
        <w:rPr>
          <w:rFonts w:ascii="Arial" w:cs="Arial" w:eastAsia="Arial" w:hAnsi="Arial"/>
          <w:sz w:val="19"/>
          <w:szCs w:val="19"/>
          <w:color w:val="auto"/>
          <w:vertAlign w:val="superscript"/>
        </w:rPr>
      </w:pPr>
    </w:p>
    <w:p>
      <w:pPr>
        <w:ind w:left="340" w:right="120" w:hanging="332"/>
        <w:spacing w:after="0" w:line="231" w:lineRule="auto"/>
        <w:tabs>
          <w:tab w:leader="none" w:pos="234"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Prior to 2025, the peer group we used as the industry index for this graph was comprised of the following companies in the pharmaceutical and biotechnology industries: AbbVie Inc.; Amgen Inc.; AstraZeneca PLC; Biogen Inc.; Bristol-Myers Squibb Company; Gilead Sciences Inc.; GlaxoSmithKline plc; Johnson &amp; Johnson; Merck &amp; Co., Inc.; Novartis AG; Novo Nordisk A/S; Pfizer Inc.; Roche Holding AG; Sanofi S.A.; and Takeda Pharmaceutical Company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sectPr>
      </w:pPr>
    </w:p>
    <w:bookmarkStart w:id="42" w:name="page43"/>
    <w:bookmarkEnd w:id="42"/>
    <w:p>
      <w:pPr>
        <w:spacing w:after="0"/>
        <w:tabs>
          <w:tab w:leader="none" w:pos="100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Results of Operations and Financial Condition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(Tables present dollars in millions, except per-share data, and numbers may not add due to rounding)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Item 8, "Financial Statements and Supplementary Data." Certain statements in this Item 7 constitute forward-looking statements. Various risks and uncertainties, including those discussed in "Forward-Looking Statements" and Item 1A, "Risk Factors," may cause our actual results, financial position, and cash generated from operations to differ from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This section provides an overview of our financial results, our clinical development pipeline,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29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197"/>
        </w:trPr>
        <w:tc>
          <w:tcPr>
            <w:tcW w:w="6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DBDBDB"/>
          </w:tcPr>
          <w:p>
            <w:pPr>
              <w:jc w:val="right"/>
              <w:ind w:right="882"/>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65,179</w:t>
            </w:r>
          </w:p>
        </w:tc>
        <w:tc>
          <w:tcPr>
            <w:tcW w:w="1180" w:type="dxa"/>
            <w:vAlign w:val="bottom"/>
            <w:shd w:val="clear" w:color="auto" w:fill="DBDBDB"/>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45,043</w:t>
            </w:r>
          </w:p>
        </w:tc>
        <w:tc>
          <w:tcPr>
            <w:tcW w:w="1300" w:type="dxa"/>
            <w:vAlign w:val="bottom"/>
            <w:shd w:val="clear" w:color="auto" w:fill="DBDBDB"/>
          </w:tcPr>
          <w:p>
            <w:pPr>
              <w:jc w:val="center"/>
              <w:ind w:left="15"/>
              <w:spacing w:after="0"/>
              <w:rPr>
                <w:sz w:val="20"/>
                <w:szCs w:val="20"/>
                <w:color w:val="auto"/>
              </w:rPr>
            </w:pPr>
            <w:r>
              <w:rPr>
                <w:rFonts w:ascii="Arial" w:cs="Arial" w:eastAsia="Arial" w:hAnsi="Arial"/>
                <w:sz w:val="18"/>
                <w:szCs w:val="18"/>
                <w:color w:val="auto"/>
                <w:w w:val="99"/>
              </w:rPr>
              <w:t>45</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20,640</w:t>
            </w: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10,590</w:t>
            </w:r>
          </w:p>
        </w:tc>
        <w:tc>
          <w:tcPr>
            <w:tcW w:w="1300" w:type="dxa"/>
            <w:vAlign w:val="bottom"/>
          </w:tcPr>
          <w:p>
            <w:pPr>
              <w:jc w:val="center"/>
              <w:ind w:left="15"/>
              <w:spacing w:after="0"/>
              <w:rPr>
                <w:sz w:val="20"/>
                <w:szCs w:val="20"/>
                <w:color w:val="auto"/>
              </w:rPr>
            </w:pPr>
            <w:r>
              <w:rPr>
                <w:rFonts w:ascii="Arial" w:cs="Arial" w:eastAsia="Arial" w:hAnsi="Arial"/>
                <w:sz w:val="18"/>
                <w:szCs w:val="18"/>
                <w:color w:val="auto"/>
                <w:w w:val="99"/>
              </w:rPr>
              <w:t>95</w:t>
            </w:r>
          </w:p>
        </w:tc>
      </w:tr>
      <w:tr>
        <w:trPr>
          <w:trHeight w:val="229"/>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Earnings per share - diluted</w:t>
            </w:r>
          </w:p>
        </w:tc>
        <w:tc>
          <w:tcPr>
            <w:tcW w:w="108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1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11.71</w:t>
            </w:r>
          </w:p>
        </w:tc>
        <w:tc>
          <w:tcPr>
            <w:tcW w:w="1300" w:type="dxa"/>
            <w:vAlign w:val="bottom"/>
            <w:shd w:val="clear" w:color="auto" w:fill="DBDBDB"/>
          </w:tcPr>
          <w:p>
            <w:pPr>
              <w:jc w:val="center"/>
              <w:ind w:left="15"/>
              <w:spacing w:after="0"/>
              <w:rPr>
                <w:sz w:val="20"/>
                <w:szCs w:val="20"/>
                <w:color w:val="auto"/>
              </w:rPr>
            </w:pPr>
            <w:r>
              <w:rPr>
                <w:rFonts w:ascii="Arial" w:cs="Arial" w:eastAsia="Arial" w:hAnsi="Arial"/>
                <w:sz w:val="18"/>
                <w:szCs w:val="18"/>
                <w:color w:val="auto"/>
                <w:w w:val="99"/>
              </w:rPr>
              <w:t>96</w:t>
            </w:r>
          </w:p>
        </w:tc>
      </w:tr>
    </w:tbl>
    <w:p>
      <w:pPr>
        <w:spacing w:after="0" w:line="1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Revenue increased in 2025 driven primarily by increased volume, partially offset by lower realized prices. The increased volume and lower realized prices in 2025 were primarily driven by Mounjaro and Zepbound.</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Net income and earnings per share increased in 2025, primarily due to higher gross margin, partially offset by increased marketing, selling, and administrative expenses and research and development expenses.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Clinical Development Pipeline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long-term success depends on our ability to continually discover or acquire, develop, and commercialize innovative medicines.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select new molecular entities (NMEs) and new indication line extension (NILEX) products are currently in clinical trials or have been submitted for regulatory review or have recently received regulatory approval in the U.S., European Union (EU), or Japan. The table reflects the status of these NMEs and NILEX products, up to the time of the filing of this Annual Report on Form 10-K:</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920" w:type="dxa"/>
            <w:vAlign w:val="bottom"/>
            <w:tcBorders>
              <w:top w:val="single" w:sz="8" w:color="auto"/>
              <w:bottom w:val="single" w:sz="8" w:color="auto"/>
              <w:right w:val="single" w:sz="8" w:color="auto"/>
            </w:tcBorders>
            <w:shd w:val="clear" w:color="auto" w:fill="D4D4D4"/>
          </w:tcPr>
          <w:p>
            <w:pPr>
              <w:spacing w:after="0"/>
              <w:rPr>
                <w:sz w:val="20"/>
                <w:szCs w:val="20"/>
                <w:color w:val="auto"/>
              </w:rPr>
            </w:pPr>
            <w:r>
              <w:rPr>
                <w:rFonts w:ascii="Arial" w:cs="Arial" w:eastAsia="Arial" w:hAnsi="Arial"/>
                <w:sz w:val="18"/>
                <w:szCs w:val="18"/>
                <w:b w:val="1"/>
                <w:bCs w:val="1"/>
                <w:color w:val="auto"/>
              </w:rPr>
              <w:t>Indication/Study</w:t>
            </w:r>
          </w:p>
        </w:tc>
        <w:tc>
          <w:tcPr>
            <w:tcW w:w="1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43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Cardiometabolic Health</w:t>
            </w:r>
          </w:p>
        </w:tc>
        <w:tc>
          <w:tcPr>
            <w:tcW w:w="2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Heart failure with preserved ejection</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in the EU.</w:t>
            </w: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spacing w:after="0" w:line="176" w:lineRule="exact"/>
              <w:rPr>
                <w:sz w:val="20"/>
                <w:szCs w:val="20"/>
                <w:color w:val="auto"/>
              </w:rPr>
            </w:pPr>
            <w:r>
              <w:rPr>
                <w:rFonts w:ascii="Arial" w:cs="Arial" w:eastAsia="Arial" w:hAnsi="Arial"/>
                <w:sz w:val="18"/>
                <w:szCs w:val="18"/>
                <w:color w:val="auto"/>
              </w:rPr>
              <w:t>fraction</w:t>
            </w:r>
          </w:p>
        </w:tc>
        <w:tc>
          <w:tcPr>
            <w:tcW w:w="1520" w:type="dxa"/>
            <w:vAlign w:val="bottom"/>
            <w:tcBorders>
              <w:bottom w:val="single" w:sz="8" w:color="auto"/>
              <w:right w:val="single" w:sz="8" w:color="auto"/>
            </w:tcBorders>
          </w:tcPr>
          <w:p>
            <w:pPr>
              <w:spacing w:after="0"/>
              <w:rPr>
                <w:sz w:val="15"/>
                <w:szCs w:val="15"/>
                <w:color w:val="auto"/>
              </w:rPr>
            </w:pPr>
          </w:p>
        </w:tc>
        <w:tc>
          <w:tcPr>
            <w:tcW w:w="43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left w:val="single" w:sz="8" w:color="auto"/>
              <w:right w:val="single" w:sz="8" w:color="auto"/>
            </w:tcBorders>
          </w:tcPr>
          <w:p>
            <w:pPr>
              <w:spacing w:after="0"/>
              <w:rPr>
                <w:sz w:val="15"/>
                <w:szCs w:val="15"/>
                <w:color w:val="auto"/>
              </w:rPr>
            </w:pPr>
          </w:p>
        </w:tc>
        <w:tc>
          <w:tcPr>
            <w:tcW w:w="2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Pediatric and adolescent type 2</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Approved in the U.S. and the EU.</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tcPr>
          <w:p>
            <w:pPr>
              <w:spacing w:after="0"/>
              <w:rPr>
                <w:sz w:val="13"/>
                <w:szCs w:val="13"/>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diabetes</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2440" w:type="dxa"/>
            <w:vAlign w:val="bottom"/>
            <w:tcBorders>
              <w:left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 (Mounjaro,</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Cardiovascular outcomes in type 2</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 in the U.S.</w:t>
            </w:r>
          </w:p>
        </w:tc>
        <w:tc>
          <w:tcPr>
            <w:tcW w:w="0" w:type="dxa"/>
            <w:vAlign w:val="bottom"/>
          </w:tcPr>
          <w:p>
            <w:pPr>
              <w:spacing w:after="0"/>
              <w:rPr>
                <w:sz w:val="1"/>
                <w:szCs w:val="1"/>
                <w:color w:val="auto"/>
              </w:rPr>
            </w:pPr>
          </w:p>
        </w:tc>
      </w:tr>
      <w:tr>
        <w:trPr>
          <w:trHeight w:val="135"/>
        </w:trPr>
        <w:tc>
          <w:tcPr>
            <w:tcW w:w="2440" w:type="dxa"/>
            <w:vAlign w:val="bottom"/>
            <w:tcBorders>
              <w:left w:val="single" w:sz="8" w:color="auto"/>
              <w:right w:val="single" w:sz="8" w:color="auto"/>
            </w:tcBorders>
            <w:vMerge w:val="continue"/>
          </w:tcPr>
          <w:p>
            <w:pPr>
              <w:spacing w:after="0"/>
              <w:rPr>
                <w:sz w:val="11"/>
                <w:szCs w:val="11"/>
                <w:color w:val="auto"/>
              </w:rPr>
            </w:pPr>
          </w:p>
        </w:tc>
        <w:tc>
          <w:tcPr>
            <w:tcW w:w="292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diabetes</w:t>
            </w:r>
          </w:p>
        </w:tc>
        <w:tc>
          <w:tcPr>
            <w:tcW w:w="1520" w:type="dxa"/>
            <w:vAlign w:val="bottom"/>
            <w:tcBorders>
              <w:right w:val="single" w:sz="8" w:color="auto"/>
            </w:tcBorders>
          </w:tcPr>
          <w:p>
            <w:pPr>
              <w:spacing w:after="0"/>
              <w:rPr>
                <w:sz w:val="11"/>
                <w:szCs w:val="11"/>
                <w:color w:val="auto"/>
              </w:rPr>
            </w:pPr>
          </w:p>
        </w:tc>
        <w:tc>
          <w:tcPr>
            <w:tcW w:w="4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Zepbound)</w:t>
            </w: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440" w:type="dxa"/>
            <w:vAlign w:val="bottom"/>
            <w:tcBorders>
              <w:left w:val="single" w:sz="8" w:color="auto"/>
              <w:right w:val="single" w:sz="8" w:color="auto"/>
            </w:tcBorders>
            <w:vMerge w:val="continue"/>
          </w:tcPr>
          <w:p>
            <w:pPr>
              <w:spacing w:after="0"/>
              <w:rPr>
                <w:sz w:val="15"/>
                <w:szCs w:val="15"/>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Metabolic dysfunction-associated</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85"/>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tcPr>
          <w:p>
            <w:pPr>
              <w:spacing w:after="0"/>
              <w:rPr>
                <w:sz w:val="13"/>
                <w:szCs w:val="13"/>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steatotic liver disease</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440" w:type="dxa"/>
            <w:vAlign w:val="bottom"/>
            <w:tcBorders>
              <w:left w:val="single" w:sz="8" w:color="auto"/>
              <w:right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Morbidity and mortality in obesity</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440" w:type="dxa"/>
            <w:vAlign w:val="bottom"/>
            <w:tcBorders>
              <w:left w:val="single" w:sz="8" w:color="auto"/>
              <w:righ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Type 1 diabetes</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trials were initiated.</w:t>
            </w:r>
          </w:p>
        </w:tc>
        <w:tc>
          <w:tcPr>
            <w:tcW w:w="0" w:type="dxa"/>
            <w:vAlign w:val="bottom"/>
          </w:tcPr>
          <w:p>
            <w:pPr>
              <w:spacing w:after="0"/>
              <w:rPr>
                <w:sz w:val="1"/>
                <w:szCs w:val="1"/>
                <w:color w:val="auto"/>
              </w:rPr>
            </w:pPr>
          </w:p>
        </w:tc>
      </w:tr>
      <w:tr>
        <w:trPr>
          <w:trHeight w:val="36"/>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Insulin efsitora alfa</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Type 2 diabetes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Submitted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Submitted in the U.S., the EU, and Japan.</w:t>
            </w:r>
          </w:p>
        </w:tc>
        <w:tc>
          <w:tcPr>
            <w:tcW w:w="0" w:type="dxa"/>
            <w:vAlign w:val="bottom"/>
          </w:tcPr>
          <w:p>
            <w:pPr>
              <w:spacing w:after="0"/>
              <w:rPr>
                <w:sz w:val="1"/>
                <w:szCs w:val="1"/>
                <w:color w:val="auto"/>
              </w:rPr>
            </w:pPr>
          </w:p>
        </w:tc>
      </w:tr>
      <w:tr>
        <w:trPr>
          <w:trHeight w:val="391"/>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Obesity</w:t>
            </w:r>
            <w:r>
              <w:rPr>
                <w:rFonts w:ascii="Arial" w:cs="Arial" w:eastAsia="Arial" w:hAnsi="Arial"/>
                <w:sz w:val="23"/>
                <w:szCs w:val="23"/>
                <w:color w:val="auto"/>
                <w:vertAlign w:val="superscript"/>
              </w:rPr>
              <w:t>(1)</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 in the U.S., the EU, and Japan.</w:t>
            </w:r>
          </w:p>
        </w:tc>
        <w:tc>
          <w:tcPr>
            <w:tcW w:w="0" w:type="dxa"/>
            <w:vAlign w:val="bottom"/>
          </w:tcPr>
          <w:p>
            <w:pPr>
              <w:spacing w:after="0"/>
              <w:rPr>
                <w:sz w:val="1"/>
                <w:szCs w:val="1"/>
                <w:color w:val="auto"/>
              </w:rPr>
            </w:pPr>
          </w:p>
        </w:tc>
      </w:tr>
      <w:tr>
        <w:trPr>
          <w:trHeight w:val="21"/>
        </w:trPr>
        <w:tc>
          <w:tcPr>
            <w:tcW w:w="2440" w:type="dxa"/>
            <w:vAlign w:val="bottom"/>
            <w:tcBorders>
              <w:left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2"/>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Type 2 diabetes</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 in the EU. Phase 3 trials are ongoing.</w:t>
            </w: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440" w:type="dxa"/>
            <w:vAlign w:val="bottom"/>
            <w:tcBorders>
              <w:left w:val="single" w:sz="8" w:color="auto"/>
              <w:righ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Cardiovascular outcomes</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36"/>
        </w:trPr>
        <w:tc>
          <w:tcPr>
            <w:tcW w:w="2440" w:type="dxa"/>
            <w:vAlign w:val="bottom"/>
            <w:tcBorders>
              <w:left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Orforglipron</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Hypertension</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37"/>
        </w:trPr>
        <w:tc>
          <w:tcPr>
            <w:tcW w:w="2440" w:type="dxa"/>
            <w:vAlign w:val="bottom"/>
            <w:tcBorders>
              <w:left w:val="single" w:sz="8" w:color="auto"/>
              <w:right w:val="single" w:sz="8" w:color="auto"/>
            </w:tcBorders>
            <w:vMerge w:val="continue"/>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440" w:type="dxa"/>
            <w:vAlign w:val="bottom"/>
            <w:tcBorders>
              <w:left w:val="single" w:sz="8" w:color="auto"/>
              <w:right w:val="single" w:sz="8" w:color="auto"/>
            </w:tcBorders>
            <w:vMerge w:val="continue"/>
          </w:tcPr>
          <w:p>
            <w:pPr>
              <w:spacing w:after="0"/>
              <w:rPr>
                <w:sz w:val="9"/>
                <w:szCs w:val="9"/>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Obstructive Sleep Apnea (OSA)</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43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Osteoarthritis pain</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63"/>
        </w:trPr>
        <w:tc>
          <w:tcPr>
            <w:tcW w:w="2440" w:type="dxa"/>
            <w:vAlign w:val="bottom"/>
            <w:tcBorders>
              <w:left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4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Peripheral artery disease</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63"/>
        </w:trPr>
        <w:tc>
          <w:tcPr>
            <w:tcW w:w="2440" w:type="dxa"/>
            <w:vAlign w:val="bottom"/>
            <w:tcBorders>
              <w:left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4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Stress urinary incontinence</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64"/>
        </w:trPr>
        <w:tc>
          <w:tcPr>
            <w:tcW w:w="2440" w:type="dxa"/>
            <w:vAlign w:val="bottom"/>
            <w:tcBorders>
              <w:left w:val="single" w:sz="8" w:color="auto"/>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4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Eloralintide</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Lepodisiran</w:t>
            </w:r>
          </w:p>
        </w:tc>
        <w:tc>
          <w:tcPr>
            <w:tcW w:w="2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Atherosclerotic cardiovascular</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52"/>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disease</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Muvalaplin</w:t>
            </w:r>
          </w:p>
        </w:tc>
        <w:tc>
          <w:tcPr>
            <w:tcW w:w="2920" w:type="dxa"/>
            <w:vAlign w:val="bottom"/>
            <w:tcBorders>
              <w:right w:val="single" w:sz="8" w:color="auto"/>
            </w:tcBorders>
          </w:tcPr>
          <w:p>
            <w:pPr>
              <w:spacing w:after="0" w:line="171" w:lineRule="exact"/>
              <w:rPr>
                <w:sz w:val="20"/>
                <w:szCs w:val="20"/>
                <w:color w:val="auto"/>
              </w:rPr>
            </w:pPr>
            <w:r>
              <w:rPr>
                <w:rFonts w:ascii="Arial" w:cs="Arial" w:eastAsia="Arial" w:hAnsi="Arial"/>
                <w:sz w:val="18"/>
                <w:szCs w:val="18"/>
                <w:color w:val="auto"/>
              </w:rPr>
              <w:t>Atherosclerotic cardiovascular</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disease</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Cardiovascular / renal outcomes</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440" w:type="dxa"/>
            <w:vAlign w:val="bottom"/>
            <w:tcBorders>
              <w:left w:val="single" w:sz="8" w:color="auto"/>
              <w:righ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Chronic low back pain</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37"/>
        </w:trPr>
        <w:tc>
          <w:tcPr>
            <w:tcW w:w="2440" w:type="dxa"/>
            <w:vAlign w:val="bottom"/>
            <w:tcBorders>
              <w:left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40" w:type="dxa"/>
            <w:vAlign w:val="bottom"/>
            <w:tcBorders>
              <w:left w:val="single" w:sz="8" w:color="auto"/>
              <w:right w:val="single" w:sz="8" w:color="auto"/>
            </w:tcBorders>
          </w:tcPr>
          <w:p>
            <w:pPr>
              <w:spacing w:after="0"/>
              <w:rPr>
                <w:sz w:val="22"/>
                <w:szCs w:val="22"/>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Metabolic dysfunction-associated</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Retatrutide</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steatotic liver disease</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40" w:type="dxa"/>
            <w:vAlign w:val="bottom"/>
            <w:tcBorders>
              <w:left w:val="single" w:sz="8" w:color="auto"/>
              <w:right w:val="single" w:sz="8" w:color="auto"/>
            </w:tcBorders>
            <w:vMerge w:val="continue"/>
          </w:tcPr>
          <w:p>
            <w:pPr>
              <w:spacing w:after="0"/>
              <w:rPr>
                <w:sz w:val="7"/>
                <w:szCs w:val="7"/>
                <w:color w:val="auto"/>
              </w:rPr>
            </w:pPr>
          </w:p>
        </w:tc>
        <w:tc>
          <w:tcPr>
            <w:tcW w:w="292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440" w:type="dxa"/>
            <w:vAlign w:val="bottom"/>
            <w:tcBorders>
              <w:left w:val="single" w:sz="8" w:color="auto"/>
              <w:right w:val="single" w:sz="8" w:color="auto"/>
            </w:tcBorders>
            <w:vMerge w:val="continue"/>
          </w:tcPr>
          <w:p>
            <w:pPr>
              <w:spacing w:after="0"/>
              <w:rPr>
                <w:sz w:val="6"/>
                <w:szCs w:val="6"/>
                <w:color w:val="auto"/>
              </w:rPr>
            </w:pPr>
          </w:p>
        </w:tc>
        <w:tc>
          <w:tcPr>
            <w:tcW w:w="292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40" w:type="dxa"/>
            <w:vAlign w:val="bottom"/>
            <w:tcBorders>
              <w:left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40" w:type="dxa"/>
            <w:vAlign w:val="bottom"/>
            <w:tcBorders>
              <w:left w:val="single" w:sz="8" w:color="auto"/>
              <w:right w:val="single" w:sz="8" w:color="auto"/>
            </w:tcBorders>
          </w:tcPr>
          <w:p>
            <w:pPr>
              <w:spacing w:after="0"/>
              <w:rPr>
                <w:sz w:val="22"/>
                <w:szCs w:val="22"/>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Obesity, osteoarthritis, OSA</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met all primary and key secondary</w:t>
            </w:r>
          </w:p>
        </w:tc>
        <w:tc>
          <w:tcPr>
            <w:tcW w:w="0" w:type="dxa"/>
            <w:vAlign w:val="bottom"/>
          </w:tcPr>
          <w:p>
            <w:pPr>
              <w:spacing w:after="0"/>
              <w:rPr>
                <w:sz w:val="1"/>
                <w:szCs w:val="1"/>
                <w:color w:val="auto"/>
              </w:rPr>
            </w:pPr>
          </w:p>
        </w:tc>
      </w:tr>
      <w:tr>
        <w:trPr>
          <w:trHeight w:val="152"/>
        </w:trPr>
        <w:tc>
          <w:tcPr>
            <w:tcW w:w="2440" w:type="dxa"/>
            <w:vAlign w:val="bottom"/>
            <w:tcBorders>
              <w:left w:val="single" w:sz="8" w:color="auto"/>
              <w:right w:val="single" w:sz="8" w:color="auto"/>
            </w:tcBorders>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endpoints. Phase 3 trials are ongoing.</w:t>
            </w:r>
          </w:p>
        </w:tc>
        <w:tc>
          <w:tcPr>
            <w:tcW w:w="0" w:type="dxa"/>
            <w:vAlign w:val="bottom"/>
          </w:tcPr>
          <w:p>
            <w:pPr>
              <w:spacing w:after="0"/>
              <w:rPr>
                <w:sz w:val="1"/>
                <w:szCs w:val="1"/>
                <w:color w:val="auto"/>
              </w:rPr>
            </w:pPr>
          </w:p>
        </w:tc>
      </w:tr>
      <w:tr>
        <w:trPr>
          <w:trHeight w:val="86"/>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440" w:type="dxa"/>
            <w:vAlign w:val="bottom"/>
            <w:tcBorders>
              <w:left w:val="single" w:sz="8" w:color="auto"/>
              <w:right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Type 2 diabetes</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91"/>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039" w:right="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type w:val="continuous"/>
        </w:sectPr>
      </w:pPr>
    </w:p>
    <w:bookmarkStart w:id="44" w:name="page45"/>
    <w:bookmarkEnd w:id="44"/>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920" w:type="dxa"/>
            <w:vAlign w:val="bottom"/>
            <w:tcBorders>
              <w:top w:val="single" w:sz="8" w:color="auto"/>
              <w:bottom w:val="single" w:sz="8" w:color="auto"/>
              <w:right w:val="single" w:sz="8" w:color="auto"/>
            </w:tcBorders>
            <w:shd w:val="clear" w:color="auto" w:fill="D4D4D4"/>
          </w:tcPr>
          <w:p>
            <w:pPr>
              <w:spacing w:after="0"/>
              <w:rPr>
                <w:sz w:val="20"/>
                <w:szCs w:val="20"/>
                <w:color w:val="auto"/>
              </w:rPr>
            </w:pPr>
            <w:r>
              <w:rPr>
                <w:rFonts w:ascii="Arial" w:cs="Arial" w:eastAsia="Arial" w:hAnsi="Arial"/>
                <w:sz w:val="18"/>
                <w:szCs w:val="18"/>
                <w:b w:val="1"/>
                <w:bCs w:val="1"/>
                <w:color w:val="auto"/>
              </w:rPr>
              <w:t>Indication/Study</w:t>
            </w:r>
          </w:p>
        </w:tc>
        <w:tc>
          <w:tcPr>
            <w:tcW w:w="1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43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Mirikizumab (Omvoh)</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Crohn's disease</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Approved in the U.S., the EU, and Japan.</w:t>
            </w:r>
          </w:p>
        </w:tc>
        <w:tc>
          <w:tcPr>
            <w:tcW w:w="0" w:type="dxa"/>
            <w:vAlign w:val="bottom"/>
          </w:tcPr>
          <w:p>
            <w:pPr>
              <w:spacing w:after="0"/>
              <w:rPr>
                <w:sz w:val="1"/>
                <w:szCs w:val="1"/>
                <w:color w:val="auto"/>
              </w:rPr>
            </w:pPr>
          </w:p>
        </w:tc>
      </w:tr>
      <w:tr>
        <w:trPr>
          <w:trHeight w:val="308"/>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(2)</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 (perennial allergens)</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vMerge w:val="continue"/>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440" w:type="dxa"/>
            <w:vAlign w:val="bottom"/>
            <w:tcBorders>
              <w:left w:val="single" w:sz="8" w:color="auto"/>
              <w:right w:val="single" w:sz="8" w:color="auto"/>
            </w:tcBorders>
            <w:vMerge w:val="continue"/>
          </w:tcPr>
          <w:p>
            <w:pPr>
              <w:spacing w:after="0"/>
              <w:rPr>
                <w:sz w:val="15"/>
                <w:szCs w:val="15"/>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CRSwNP</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33"/>
        </w:trPr>
        <w:tc>
          <w:tcPr>
            <w:tcW w:w="2440" w:type="dxa"/>
            <w:vAlign w:val="bottom"/>
            <w:tcBorders>
              <w:left w:val="single" w:sz="8" w:color="auto"/>
              <w:right w:val="single" w:sz="8" w:color="auto"/>
            </w:tcBorders>
          </w:tcPr>
          <w:p>
            <w:pPr>
              <w:spacing w:after="0"/>
              <w:rPr>
                <w:sz w:val="11"/>
                <w:szCs w:val="11"/>
                <w:color w:val="auto"/>
              </w:rPr>
            </w:pPr>
          </w:p>
        </w:tc>
        <w:tc>
          <w:tcPr>
            <w:tcW w:w="292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4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Donanemab (Kisunla)</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Early Alzheimer's disease</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in the U.S., the EU, and Japan.</w:t>
            </w: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vMerge w:val="continue"/>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440" w:type="dxa"/>
            <w:vAlign w:val="bottom"/>
            <w:tcBorders>
              <w:left w:val="single" w:sz="8" w:color="auto"/>
              <w:right w:val="single" w:sz="8" w:color="auto"/>
            </w:tcBorders>
            <w:vMerge w:val="continue"/>
          </w:tcPr>
          <w:p>
            <w:pPr>
              <w:spacing w:after="0"/>
              <w:rPr>
                <w:sz w:val="9"/>
                <w:szCs w:val="9"/>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Pre-clinical Alzheimer's disease</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43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Brenipatide</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Alcohol use disorder</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Ixo-vec</w:t>
            </w:r>
          </w:p>
        </w:tc>
        <w:tc>
          <w:tcPr>
            <w:tcW w:w="2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Wet age</w:t>
            </w:r>
            <w:r>
              <w:rPr>
                <w:rFonts w:ascii="MS PGothic" w:cs="MS PGothic" w:eastAsia="MS PGothic" w:hAnsi="MS PGothic"/>
                <w:sz w:val="18"/>
                <w:szCs w:val="18"/>
                <w:color w:val="auto"/>
              </w:rPr>
              <w:t>‑</w:t>
            </w:r>
            <w:r>
              <w:rPr>
                <w:rFonts w:ascii="Arial" w:cs="Arial" w:eastAsia="Arial" w:hAnsi="Arial"/>
                <w:sz w:val="18"/>
                <w:szCs w:val="18"/>
                <w:color w:val="auto"/>
              </w:rPr>
              <w:t>related macular</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Acquired in the acquisition of Adverum</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degeneration</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Biotechnologies, Inc. Phase 3 trial is ongoing.</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Remternetug</w:t>
            </w:r>
          </w:p>
        </w:tc>
        <w:tc>
          <w:tcPr>
            <w:tcW w:w="2920" w:type="dxa"/>
            <w:vAlign w:val="bottom"/>
            <w:tcBorders>
              <w:right w:val="single" w:sz="8" w:color="auto"/>
            </w:tcBorders>
          </w:tcPr>
          <w:p>
            <w:pPr>
              <w:spacing w:after="0" w:line="171" w:lineRule="exact"/>
              <w:rPr>
                <w:sz w:val="20"/>
                <w:szCs w:val="20"/>
                <w:color w:val="auto"/>
              </w:rPr>
            </w:pPr>
            <w:r>
              <w:rPr>
                <w:rFonts w:ascii="Arial" w:cs="Arial" w:eastAsia="Arial" w:hAnsi="Arial"/>
                <w:sz w:val="18"/>
                <w:szCs w:val="18"/>
                <w:color w:val="auto"/>
              </w:rPr>
              <w:t>Pre-clinical/MCI Alzheimer's</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disease</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440" w:type="dxa"/>
            <w:vAlign w:val="bottom"/>
            <w:tcBorders>
              <w:left w:val="single" w:sz="8" w:color="auto"/>
              <w:right w:val="single" w:sz="8" w:color="auto"/>
            </w:tcBorders>
          </w:tcPr>
          <w:p>
            <w:pPr>
              <w:spacing w:after="0"/>
              <w:rPr>
                <w:sz w:val="15"/>
                <w:szCs w:val="15"/>
                <w:color w:val="auto"/>
              </w:rPr>
            </w:pPr>
          </w:p>
        </w:tc>
        <w:tc>
          <w:tcPr>
            <w:tcW w:w="2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ER+, HER2-, ESR1-mutated</w:t>
            </w:r>
          </w:p>
        </w:tc>
        <w:tc>
          <w:tcPr>
            <w:tcW w:w="152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Imlunestrant</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advanced or metastatic breast</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in the U.S., the EU, and Japan.</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(Inluriyo)</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w:t>
            </w:r>
          </w:p>
        </w:tc>
        <w:tc>
          <w:tcPr>
            <w:tcW w:w="152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Adjuvant breast cancer</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74"/>
        </w:trPr>
        <w:tc>
          <w:tcPr>
            <w:tcW w:w="24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8"/>
                <w:szCs w:val="18"/>
                <w:color w:val="auto"/>
              </w:rPr>
              <w:t>Pirtobrutinib</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Chronic lymphocytic leukemia</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Full approval in the U.S., the EU, and Japan.</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(Jaypirca)</w:t>
            </w: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1L KRAS G12C+ NSCLC</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Olomorasib</w:t>
            </w:r>
            <w:r>
              <w:rPr>
                <w:rFonts w:ascii="Arial" w:cs="Arial" w:eastAsia="Arial" w:hAnsi="Arial"/>
                <w:sz w:val="23"/>
                <w:szCs w:val="23"/>
                <w:color w:val="auto"/>
                <w:vertAlign w:val="superscript"/>
              </w:rPr>
              <w:t>(3)</w:t>
            </w: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2440" w:type="dxa"/>
            <w:vAlign w:val="bottom"/>
            <w:tcBorders>
              <w:left w:val="single" w:sz="8" w:color="auto"/>
              <w:right w:val="single" w:sz="8" w:color="auto"/>
            </w:tcBorders>
            <w:vMerge w:val="continue"/>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Resected adjuvant NSCLC</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21"/>
        </w:trPr>
        <w:tc>
          <w:tcPr>
            <w:tcW w:w="2440" w:type="dxa"/>
            <w:vAlign w:val="bottom"/>
            <w:tcBorders>
              <w:left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Unresected adjuvant NSCLC</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91"/>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Sofetabart mipitecan (FRα</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Platinum-resistant ovarian cancer</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was initiated.</w:t>
            </w:r>
          </w:p>
        </w:tc>
        <w:tc>
          <w:tcPr>
            <w:tcW w:w="0" w:type="dxa"/>
            <w:vAlign w:val="bottom"/>
          </w:tcPr>
          <w:p>
            <w:pPr>
              <w:spacing w:after="0"/>
              <w:rPr>
                <w:sz w:val="1"/>
                <w:szCs w:val="1"/>
                <w:color w:val="auto"/>
              </w:rPr>
            </w:pPr>
          </w:p>
        </w:tc>
      </w:tr>
      <w:tr>
        <w:trPr>
          <w:trHeight w:val="243"/>
        </w:trPr>
        <w:tc>
          <w:tcPr>
            <w:tcW w:w="2440" w:type="dxa"/>
            <w:vAlign w:val="bottom"/>
            <w:tcBorders>
              <w:left w:val="single" w:sz="8" w:color="auto"/>
              <w:bottom w:val="single" w:sz="8" w:color="auto"/>
              <w:right w:val="single" w:sz="8" w:color="auto"/>
            </w:tcBorders>
          </w:tcPr>
          <w:p>
            <w:pPr>
              <w:ind w:left="40"/>
              <w:spacing w:after="0" w:line="243" w:lineRule="exact"/>
              <w:rPr>
                <w:sz w:val="20"/>
                <w:szCs w:val="20"/>
                <w:color w:val="auto"/>
              </w:rPr>
            </w:pPr>
            <w:r>
              <w:rPr>
                <w:rFonts w:ascii="Arial" w:cs="Arial" w:eastAsia="Arial" w:hAnsi="Arial"/>
                <w:sz w:val="18"/>
                <w:szCs w:val="18"/>
                <w:color w:val="auto"/>
              </w:rPr>
              <w:t>ADC)</w:t>
            </w:r>
            <w:r>
              <w:rPr>
                <w:rFonts w:ascii="Arial" w:cs="Arial" w:eastAsia="Arial" w:hAnsi="Arial"/>
                <w:sz w:val="23"/>
                <w:szCs w:val="23"/>
                <w:color w:val="auto"/>
                <w:vertAlign w:val="superscript"/>
              </w:rPr>
              <w:t>(3)</w:t>
            </w:r>
          </w:p>
        </w:tc>
        <w:tc>
          <w:tcPr>
            <w:tcW w:w="2920" w:type="dxa"/>
            <w:vAlign w:val="bottom"/>
            <w:tcBorders>
              <w:bottom w:val="single" w:sz="8" w:color="auto"/>
              <w:right w:val="single" w:sz="8" w:color="auto"/>
            </w:tcBorders>
            <w:vMerge w:val="continue"/>
          </w:tcPr>
          <w:p>
            <w:pPr>
              <w:spacing w:after="0"/>
              <w:rPr>
                <w:sz w:val="21"/>
                <w:szCs w:val="21"/>
                <w:color w:val="auto"/>
              </w:rPr>
            </w:pP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43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Granted a Commissioner's National Priority Voucher from the FDA.</w:t>
      </w:r>
    </w:p>
    <w:p>
      <w:pPr>
        <w:spacing w:after="0" w:line="1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spacing w:after="0" w:line="13" w:lineRule="exact"/>
        <w:rPr>
          <w:rFonts w:ascii="Arial" w:cs="Arial" w:eastAsia="Arial" w:hAnsi="Arial"/>
          <w:sz w:val="16"/>
          <w:szCs w:val="16"/>
          <w:color w:val="auto"/>
          <w:vertAlign w:val="superscript"/>
        </w:rPr>
      </w:pPr>
    </w:p>
    <w:p>
      <w:pPr>
        <w:ind w:left="180" w:right="180" w:hanging="172"/>
        <w:spacing w:after="0" w:line="269" w:lineRule="auto"/>
        <w:tabs>
          <w:tab w:leader="none" w:pos="158"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FDA granted Breakthrough Therapy designation for olomorasib for the treatment of certain newly diagnosed metastatic KRAS G12C-mutant lung cancers and for sofetabart mipitecan for the treatment of certain patients with platinum-resistant ovarian cancer. Breakthrough Therapy designation is designed to expedite the development and review of potential medicines that are intended to treat a serious condition when preliminary clinical evidence indicates that the treatment may demonstrate substantial improvement on a clinically significant endpoint(s) over already available therapies.</w:t>
      </w:r>
    </w:p>
    <w:p>
      <w:pPr>
        <w:spacing w:after="0" w:line="15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There are many difficulties and uncertainties inherent in pharmaceutical research and development, the introduction of new products and indications, business development activities to enhance or refine our product pipeline, and commercialization of our products. There is a high rate of failure inherent in drug discovery and development. To bring a product from the discovery phase to market takes considerable time and entails significant cost. See Item 1A, "Risk Factors—Risks Related to Our Business and Industry—Pharmaceutical research and development is very costly and highly uncertain; we may not succeed in developing, licensing, or acquiring commercially successful products sufficient in number or value to replace revenues of products that have lost or will lose intellectual property protection or are displaced by competing products or therapies," for additional information.</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45" w:name="page46"/>
    <w:bookmarkEnd w:id="45"/>
    <w:p>
      <w:pPr>
        <w:ind w:right="100"/>
        <w:spacing w:after="0" w:line="255" w:lineRule="auto"/>
        <w:rPr>
          <w:sz w:val="20"/>
          <w:szCs w:val="20"/>
          <w:color w:val="auto"/>
        </w:rPr>
      </w:pPr>
      <w:r>
        <w:rPr>
          <w:rFonts w:ascii="Arial" w:cs="Arial" w:eastAsia="Arial" w:hAnsi="Arial"/>
          <w:sz w:val="18"/>
          <w:szCs w:val="18"/>
          <w:color w:val="auto"/>
        </w:rPr>
        <w:t>We manage research and development spending across our portfolio of potential new medicines and indications.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any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Global concern over access to, and affordability of, pharmaceutical products continues to drive debate and action, as well as cost containment efforts by governmental authorities and scrutiny of pricing and access disparities. Cost containment measures include the use of mandated discounts, price reporting requirements, mandated reference prices, restrictive formularies, changes to available intellectual property protections, as well as other efforts.</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Reforms, initiatives, and other actions, including those that may stem from political initiatives, periods of uneven economic growth or downturns, or as a result of inflation or deflation, trade and other global disputes and interruptions including related to tariffs, trade protection measures, and similar restrictions, the emergence or escalation of, and responses to, international tension and conflicts, or government budgeting priorities, are expected to continue to result in added pressure on cost, pricing, reimbursement, and access for our products.</w:t>
      </w:r>
    </w:p>
    <w:p>
      <w:pPr>
        <w:spacing w:after="0" w:line="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2025, we announced preliminary voluntary agreements with the U.S. government in which, among other arrangements, we agreed to lower Medicaid and certain other drug prices for U.S. patients and to launch new medicines with a more balanced pricing approach across developed nations. We face risks and uncertainty associated with these arrangements and negotiating the definitive agreements, including potential delays and the possibility of unfavorable terms related to pricing, access, and other key objectives. Among other risks, we may fail to adequately capitalize on the additional U.S. access to our obesity medicines resulting from these agreements, particularly if the revenues generated from such expanded access are insufficient to offset pricing concessions. Moreover, the outcome of these arrangements and broader U.S. policy efforts to align domestic pharmaceutical pricing with international benchmarks from countries with competing healthcare cost containment priorities is uncertain and could negatively impact our pricing strategies, product demand or access, or competitive positioning across global markets, and may result in reduced revenue in certain markets.</w:t>
      </w:r>
    </w:p>
    <w:p>
      <w:pPr>
        <w:spacing w:after="0" w:line="7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Other policies, regulations, legislation, or enforcement, including those proposed or pursued by lawmakers, regulators, and other authorities in the U.S. and worldwide, have and may continue to adversely impact our business and consolidated results of operations.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IRA requires HHS to effectively set prices for certain single-source drugs and biologics reimbursed under Medicare Part B and Part D. Currently, these government prices generally apply beginning at nine years (for medicines approved under a New Drug Application) or thirteen years (for medicines approved under a Biologics License Application) following FDA approval or licensure for the molecule. In August 2023, HHS selected Jardiance, which is part of our collaboration with Boehringer Ingelheim, as one of the first ten medicines subject to government-set prices effective in 2026. In January 2026, HHS selected Trulicity and Verzenio as additional medicines subject to government-set prices to be effective in 2028. Given our product portfolio, we expect other significant products will be selected in future years. The IRA has, and will continue to, meaningfully influence our business strategies and those of our competitors and could significantly impact our business and consolidated results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ind w:right="40"/>
        <w:spacing w:after="0" w:line="257" w:lineRule="auto"/>
        <w:rPr>
          <w:sz w:val="20"/>
          <w:szCs w:val="20"/>
          <w:color w:val="auto"/>
        </w:rPr>
      </w:pPr>
      <w:r>
        <w:rPr>
          <w:rFonts w:ascii="Arial" w:cs="Arial" w:eastAsia="Arial" w:hAnsi="Arial"/>
          <w:sz w:val="18"/>
          <w:szCs w:val="18"/>
          <w:color w:val="auto"/>
        </w:rPr>
        <w:t>The U.S. and other countries have recently imposed or reached alignment on new tariffs. In some cases, imposed tariffs have been paused but may come into effect quickly and unpredictably. While pharmaceuticals are exempt from certain of these tariffs, such exemptions may be terminated or may not apply to any future tariffs. The precise impact of tariffs, trade protection measures, and other restrictions depend on their ultimate scope, timing, and other factors. If enacted, additional restrictions could result in supply disruptions or delays, further increase costs, or otherwise have a negative impact on our business. Given the nature of pharmaceutical regulation and commercialization, we may not be able to share the burden of increased costs from tariffs and related impacts to any meaningful degree.</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Private payers and pharmacy benefit managers in the U.S. continue to significantly impact the market for pharmaceuticals through negotiation of access, manufacturer price or rebate concessions and pharmacy reimbursement rates. Restrictive or unfavorable pricing, coverage, or reimbursement determinations for our medicines or product candidates by governments, regulatory agencies, courts, or private actors have and may continue to adversely impact our business and consolidated results of operations. In addition, we are engaged in litigation and investigations related to the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Incretin Medicines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Mounjaro and Zepbound accounted for 56 percent of our total revenues in 2025 and we expect cardiometabolic health products will continue to represent a significant and growing portion of our business, revenues, and prospects. In 2025, we reached preliminary drug pricing agreements with the U.S. government. As part of these agreements, Medicare beneficiaries will have access to discounted Lilly obesity medicines by July 1, 2026 and individual state Medicaid programs will have the option to expand access to these medicines. Also in 2025, we received a U.S. Commissioner’s National Priority Voucher for our product candidate orforglipron for the treatment of obesity, and we submitted to the FDA under that expedited review pathway. Internationally, we launched Mounjaro in all major markets. To support anticipated demand for our current and prospective products, we have undertaken significant manufacturing expansion initiatives. Additional capacity is expected to become operational over the next several years.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our near-term financial performance will be impacted by, among other factors, the timing of potential regulatory approvals for orforglipron and U.S. Medicare access for Zepbound (and, if approved, orforglipron), as well as the demand and pace of uptake in new incretin channels and markets. More generally, incretin volume fluctuations due to channel dynamics or demand can have a disproportionate impact on our results of operations in any given period. Longer term, the durability of our cardiometabolic health product offerings and sustainability of our growth and prospects will depend on our ability to maintain or strengthen our competitive position as the therapeutic landscape evolves and to deliver further innovations that provide sufficient value to sustain our growth momentum.</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see the production, marketing, and sale of counterfeit, misbranded, adulterated, and mass-compounded incretins. These practices may impact patient safety and undermine regulatory drug approval processes. While the FDA confirmed in late 2024 that the previous shortage of tirzepatide had ended and that compounding pharmacies are required to cease mass production, we cannot guarantee adequate regulation or compliance. Lilly will continue to consider all options, including filing lawsuits where appropriate, to address unlawful practices and the patient safety risks of unapproved, untested, and manipulated drugs.</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have a material adverse impact on our future consolidated results of operations and cash flows.</w:t>
      </w:r>
    </w:p>
    <w:p>
      <w:pPr>
        <w:spacing w:after="0" w:line="7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July 2025, the One Big Beautiful Bill Act (OBBBA), which implemented certain U.S. tax law changes, was enacted into law. The OBBBA modified and made permanent several provisions of the Tax Cuts and Jobs Act, including reductions in scheduled increases for the rate of taxation of foreign income, immediate deductibility of U.S. research and development expenses, and reinstatement of 100 percent bonus depreciation for capital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Continued regulatory focus on business combinations in our industry, including by the Federal Trade Commission and competition authorities in Europe and other jurisdictions, could continue to delay, jeopardize, or increase the costs of our business development activities and may negatively impact our consolidated financial position or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Chinese yuan, and British pound sterling.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supply chain and labor market complexities, international tension and conflicts, uneven economic growth, downturns or uncertainty, risks related to engaging in business globally, including legislation and regulatory action in or regarding foreign jurisdictions, and fluctuations due to channel dynamics or demand for certain products.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See Item 1, "Business" and Item 1A, "Risk Factors," and Notes 4, 14, and 16 to the consolidated financial statements for additional information and risks and uncertainties that could impact our business and operations, including the matters described within this Executive Overview.</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4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18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5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DBDBDB"/>
          </w:tcPr>
          <w:p>
            <w:pPr>
              <w:jc w:val="right"/>
              <w:ind w:right="901"/>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8"/>
              </w:rPr>
              <w:t>43,481</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30,375</w:t>
            </w:r>
          </w:p>
        </w:tc>
        <w:tc>
          <w:tcPr>
            <w:tcW w:w="1860" w:type="dxa"/>
            <w:vAlign w:val="bottom"/>
            <w:shd w:val="clear" w:color="auto" w:fill="DBDBDB"/>
          </w:tcPr>
          <w:p>
            <w:pPr>
              <w:jc w:val="right"/>
              <w:ind w:right="654"/>
              <w:spacing w:after="0"/>
              <w:rPr>
                <w:sz w:val="20"/>
                <w:szCs w:val="20"/>
                <w:color w:val="auto"/>
              </w:rPr>
            </w:pPr>
            <w:r>
              <w:rPr>
                <w:rFonts w:ascii="Arial" w:cs="Arial" w:eastAsia="Arial" w:hAnsi="Arial"/>
                <w:sz w:val="18"/>
                <w:szCs w:val="18"/>
                <w:color w:val="auto"/>
              </w:rPr>
              <w:t>43</w:t>
            </w:r>
          </w:p>
        </w:tc>
        <w:tc>
          <w:tcPr>
            <w:tcW w:w="20" w:type="dxa"/>
            <w:vAlign w:val="bottom"/>
            <w:shd w:val="clear" w:color="auto" w:fill="DBDBDB"/>
          </w:tcPr>
          <w:p>
            <w:pPr>
              <w:spacing w:after="0"/>
              <w:rPr>
                <w:sz w:val="19"/>
                <w:szCs w:val="19"/>
                <w:color w:val="auto"/>
              </w:rPr>
            </w:pPr>
          </w:p>
        </w:tc>
      </w:tr>
      <w:tr>
        <w:trPr>
          <w:trHeight w:val="229"/>
        </w:trPr>
        <w:tc>
          <w:tcPr>
            <w:tcW w:w="5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Outside U.S.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21,698</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14,668</w:t>
            </w:r>
          </w:p>
        </w:tc>
        <w:tc>
          <w:tcPr>
            <w:tcW w:w="1860" w:type="dxa"/>
            <w:vAlign w:val="bottom"/>
            <w:tcBorders>
              <w:bottom w:val="single" w:sz="8" w:color="DBDBDB"/>
            </w:tcBorders>
          </w:tcPr>
          <w:p>
            <w:pPr>
              <w:jc w:val="right"/>
              <w:ind w:right="654"/>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DBDBDB"/>
            </w:tcBorders>
          </w:tcPr>
          <w:p>
            <w:pPr>
              <w:spacing w:after="0"/>
              <w:rPr>
                <w:sz w:val="19"/>
                <w:szCs w:val="19"/>
                <w:color w:val="auto"/>
              </w:rPr>
            </w:pPr>
          </w:p>
        </w:tc>
      </w:tr>
      <w:tr>
        <w:trPr>
          <w:trHeight w:val="230"/>
        </w:trPr>
        <w:tc>
          <w:tcPr>
            <w:tcW w:w="5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auto"/>
            </w:tcBorders>
            <w:shd w:val="clear" w:color="auto" w:fill="DBDBDB"/>
          </w:tcPr>
          <w:p>
            <w:pPr>
              <w:jc w:val="right"/>
              <w:ind w:right="901"/>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8"/>
              </w:rPr>
              <w:t>65,179</w:t>
            </w: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45,043</w:t>
            </w:r>
          </w:p>
        </w:tc>
        <w:tc>
          <w:tcPr>
            <w:tcW w:w="1860" w:type="dxa"/>
            <w:vAlign w:val="bottom"/>
            <w:tcBorders>
              <w:bottom w:val="single" w:sz="8" w:color="DBDBDB"/>
            </w:tcBorders>
            <w:shd w:val="clear" w:color="auto" w:fill="DBDBDB"/>
          </w:tcPr>
          <w:p>
            <w:pPr>
              <w:jc w:val="right"/>
              <w:ind w:right="654"/>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DBDBDB"/>
            </w:tcBorders>
            <w:shd w:val="clear" w:color="auto" w:fill="DBDBDB"/>
          </w:tcPr>
          <w:p>
            <w:pPr>
              <w:spacing w:after="0"/>
              <w:rPr>
                <w:sz w:val="20"/>
                <w:szCs w:val="20"/>
                <w:color w:val="auto"/>
              </w:rPr>
            </w:pPr>
          </w:p>
        </w:tc>
      </w:tr>
      <w:tr>
        <w:trPr>
          <w:trHeight w:val="679"/>
        </w:trPr>
        <w:tc>
          <w:tcPr>
            <w:tcW w:w="6820" w:type="dxa"/>
            <w:vAlign w:val="bottom"/>
            <w:gridSpan w:val="3"/>
          </w:tcPr>
          <w:p>
            <w:pPr>
              <w:spacing w:after="0"/>
              <w:rPr>
                <w:sz w:val="20"/>
                <w:szCs w:val="20"/>
                <w:color w:val="auto"/>
              </w:rPr>
            </w:pPr>
            <w:r>
              <w:rPr>
                <w:rFonts w:ascii="Arial" w:cs="Arial" w:eastAsia="Arial" w:hAnsi="Arial"/>
                <w:sz w:val="18"/>
                <w:szCs w:val="18"/>
                <w:color w:val="auto"/>
                <w:w w:val="99"/>
              </w:rPr>
              <w:t>The following are components of the change in revenue compared with the prior year:</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5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 vs. 2024</w:t>
            </w:r>
          </w:p>
        </w:tc>
        <w:tc>
          <w:tcPr>
            <w:tcW w:w="1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61"/>
              <w:spacing w:after="0"/>
              <w:rPr>
                <w:sz w:val="20"/>
                <w:szCs w:val="20"/>
                <w:color w:val="auto"/>
              </w:rPr>
            </w:pPr>
            <w:r>
              <w:rPr>
                <w:rFonts w:ascii="Arial" w:cs="Arial" w:eastAsia="Arial" w:hAnsi="Arial"/>
                <w:sz w:val="14"/>
                <w:szCs w:val="14"/>
                <w:b w:val="1"/>
                <w:bCs w:val="1"/>
                <w:color w:val="auto"/>
              </w:rPr>
              <w:t>U.S.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515"/>
              <w:spacing w:after="0"/>
              <w:rPr>
                <w:sz w:val="20"/>
                <w:szCs w:val="20"/>
                <w:color w:val="auto"/>
              </w:rPr>
            </w:pPr>
            <w:r>
              <w:rPr>
                <w:rFonts w:ascii="Arial" w:cs="Arial" w:eastAsia="Arial" w:hAnsi="Arial"/>
                <w:sz w:val="14"/>
                <w:szCs w:val="14"/>
                <w:b w:val="1"/>
                <w:bCs w:val="1"/>
                <w:color w:val="auto"/>
              </w:rPr>
              <w:t>Outside U.S.</w:t>
            </w:r>
          </w:p>
        </w:tc>
        <w:tc>
          <w:tcPr>
            <w:tcW w:w="1880" w:type="dxa"/>
            <w:vAlign w:val="bottom"/>
            <w:gridSpan w:val="2"/>
          </w:tcPr>
          <w:p>
            <w:pPr>
              <w:ind w:left="440"/>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572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8"/>
                <w:szCs w:val="18"/>
                <w:color w:val="auto"/>
              </w:rPr>
              <w:t>Volume</w:t>
            </w:r>
          </w:p>
        </w:tc>
        <w:tc>
          <w:tcPr>
            <w:tcW w:w="1100" w:type="dxa"/>
            <w:vAlign w:val="bottom"/>
            <w:tcBorders>
              <w:top w:val="single" w:sz="8" w:color="auto"/>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53 %</w:t>
            </w:r>
          </w:p>
        </w:tc>
        <w:tc>
          <w:tcPr>
            <w:tcW w:w="300" w:type="dxa"/>
            <w:vAlign w:val="bottom"/>
            <w:tcBorders>
              <w:top w:val="single" w:sz="8" w:color="auto"/>
            </w:tcBorders>
            <w:shd w:val="clear" w:color="auto" w:fill="DBDBDB"/>
          </w:tcPr>
          <w:p>
            <w:pPr>
              <w:spacing w:after="0"/>
              <w:rPr>
                <w:sz w:val="19"/>
                <w:szCs w:val="19"/>
                <w:color w:val="auto"/>
              </w:rPr>
            </w:pPr>
          </w:p>
        </w:tc>
        <w:tc>
          <w:tcPr>
            <w:tcW w:w="1560" w:type="dxa"/>
            <w:vAlign w:val="bottom"/>
            <w:tcBorders>
              <w:top w:val="single" w:sz="8" w:color="auto"/>
            </w:tcBorders>
            <w:shd w:val="clear" w:color="auto" w:fill="DBDBDB"/>
          </w:tcPr>
          <w:p>
            <w:pPr>
              <w:jc w:val="right"/>
              <w:ind w:right="15"/>
              <w:spacing w:after="0"/>
              <w:rPr>
                <w:sz w:val="20"/>
                <w:szCs w:val="20"/>
                <w:color w:val="auto"/>
              </w:rPr>
            </w:pPr>
            <w:r>
              <w:rPr>
                <w:rFonts w:ascii="Arial" w:cs="Arial" w:eastAsia="Arial" w:hAnsi="Arial"/>
                <w:sz w:val="18"/>
                <w:szCs w:val="18"/>
                <w:color w:val="auto"/>
              </w:rPr>
              <w:t>46 %</w:t>
            </w:r>
          </w:p>
        </w:tc>
        <w:tc>
          <w:tcPr>
            <w:tcW w:w="1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50 %</w:t>
            </w:r>
          </w:p>
        </w:tc>
        <w:tc>
          <w:tcPr>
            <w:tcW w:w="20" w:type="dxa"/>
            <w:vAlign w:val="bottom"/>
          </w:tcPr>
          <w:p>
            <w:pPr>
              <w:spacing w:after="0"/>
              <w:rPr>
                <w:sz w:val="19"/>
                <w:szCs w:val="19"/>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11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 %</w:t>
            </w: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9"/>
        </w:trPr>
        <w:tc>
          <w:tcPr>
            <w:tcW w:w="5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exchange rates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ind w:right="15"/>
              <w:spacing w:after="0"/>
              <w:rPr>
                <w:sz w:val="20"/>
                <w:szCs w:val="20"/>
                <w:color w:val="auto"/>
              </w:rPr>
            </w:pPr>
            <w:r>
              <w:rPr>
                <w:rFonts w:ascii="Arial" w:cs="Arial" w:eastAsia="Arial" w:hAnsi="Arial"/>
                <w:sz w:val="18"/>
                <w:szCs w:val="18"/>
                <w:color w:val="auto"/>
              </w:rPr>
              <w:t>2 %</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43 %</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48 %</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20" w:type="dxa"/>
            <w:vAlign w:val="bottom"/>
          </w:tcPr>
          <w:p>
            <w:pPr>
              <w:spacing w:after="0"/>
              <w:rPr>
                <w:sz w:val="20"/>
                <w:szCs w:val="20"/>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 the U.S., the volume increase and the lower realized prices in 2025 were primarily driven by Mounjaro and Zepbound.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the volume increase in 2025 was primarily driven by Mounjaro.</w:t>
      </w:r>
    </w:p>
    <w:p>
      <w:pPr>
        <w:spacing w:after="0" w:line="11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in 2025 compared with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195"/>
        </w:trPr>
        <w:tc>
          <w:tcPr>
            <w:tcW w:w="3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480" w:type="dxa"/>
            <w:vAlign w:val="bottom"/>
          </w:tcPr>
          <w:p>
            <w:pPr>
              <w:spacing w:after="0"/>
              <w:rPr>
                <w:sz w:val="16"/>
                <w:szCs w:val="16"/>
                <w:color w:val="auto"/>
              </w:rPr>
            </w:pPr>
          </w:p>
        </w:tc>
      </w:tr>
      <w:tr>
        <w:trPr>
          <w:trHeight w:val="197"/>
        </w:trPr>
        <w:tc>
          <w:tcPr>
            <w:tcW w:w="3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3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13,651</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9,315</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22,965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11,540</w:t>
            </w:r>
          </w:p>
        </w:tc>
        <w:tc>
          <w:tcPr>
            <w:tcW w:w="1480" w:type="dxa"/>
            <w:vAlign w:val="bottom"/>
            <w:shd w:val="clear" w:color="auto" w:fill="DBDBDB"/>
          </w:tcPr>
          <w:p>
            <w:pPr>
              <w:jc w:val="center"/>
              <w:ind w:left="33"/>
              <w:spacing w:after="0"/>
              <w:rPr>
                <w:sz w:val="20"/>
                <w:szCs w:val="20"/>
                <w:color w:val="auto"/>
              </w:rPr>
            </w:pPr>
            <w:r>
              <w:rPr>
                <w:rFonts w:ascii="Arial" w:cs="Arial" w:eastAsia="Arial" w:hAnsi="Arial"/>
                <w:sz w:val="18"/>
                <w:szCs w:val="18"/>
                <w:color w:val="auto"/>
                <w:w w:val="99"/>
              </w:rPr>
              <w:t>99</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Zepbound</w:t>
            </w:r>
            <w:r>
              <w:rPr>
                <w:rFonts w:ascii="Arial" w:cs="Arial" w:eastAsia="Arial" w:hAnsi="Arial"/>
                <w:sz w:val="9"/>
                <w:szCs w:val="9"/>
                <w:color w:val="auto"/>
              </w:rPr>
              <w:t>(1)</w:t>
            </w:r>
          </w:p>
        </w:tc>
        <w:tc>
          <w:tcPr>
            <w:tcW w:w="3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13,484</w:t>
            </w:r>
          </w:p>
        </w:tc>
        <w:tc>
          <w:tcPr>
            <w:tcW w:w="26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b w:val="1"/>
                <w:bCs w:val="1"/>
                <w:color w:val="auto"/>
              </w:rPr>
              <w:t>58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4,926</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175</w:t>
            </w:r>
          </w:p>
        </w:tc>
      </w:tr>
      <w:tr>
        <w:trPr>
          <w:trHeight w:val="230"/>
        </w:trPr>
        <w:tc>
          <w:tcPr>
            <w:tcW w:w="3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3,464</w:t>
            </w: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2,259</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5,723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5,307</w:t>
            </w:r>
          </w:p>
        </w:tc>
        <w:tc>
          <w:tcPr>
            <w:tcW w:w="1480" w:type="dxa"/>
            <w:vAlign w:val="bottom"/>
            <w:shd w:val="clear" w:color="auto" w:fill="DBDBDB"/>
          </w:tcPr>
          <w:p>
            <w:pPr>
              <w:jc w:val="center"/>
              <w:ind w:left="13"/>
              <w:spacing w:after="0"/>
              <w:rPr>
                <w:sz w:val="20"/>
                <w:szCs w:val="20"/>
                <w:color w:val="auto"/>
              </w:rPr>
            </w:pPr>
            <w:r>
              <w:rPr>
                <w:rFonts w:ascii="Arial" w:cs="Arial" w:eastAsia="Arial" w:hAnsi="Arial"/>
                <w:sz w:val="18"/>
                <w:szCs w:val="18"/>
                <w:color w:val="auto"/>
                <w:w w:val="99"/>
              </w:rPr>
              <w:t>8</w:t>
            </w:r>
          </w:p>
        </w:tc>
      </w:tr>
      <w:tr>
        <w:trPr>
          <w:trHeight w:val="229"/>
        </w:trPr>
        <w:tc>
          <w:tcPr>
            <w:tcW w:w="3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12,882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10,066</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23,270</w:t>
            </w:r>
          </w:p>
        </w:tc>
        <w:tc>
          <w:tcPr>
            <w:tcW w:w="1480" w:type="dxa"/>
            <w:vAlign w:val="bottom"/>
            <w:tcBorders>
              <w:bottom w:val="single" w:sz="8" w:color="DBDBDB"/>
            </w:tcBorders>
          </w:tcPr>
          <w:p>
            <w:pPr>
              <w:jc w:val="center"/>
              <w:ind w:left="13"/>
              <w:spacing w:after="0"/>
              <w:rPr>
                <w:sz w:val="20"/>
                <w:szCs w:val="20"/>
                <w:color w:val="auto"/>
              </w:rPr>
            </w:pPr>
            <w:r>
              <w:rPr>
                <w:rFonts w:ascii="Arial" w:cs="Arial" w:eastAsia="Arial" w:hAnsi="Arial"/>
                <w:sz w:val="18"/>
                <w:szCs w:val="18"/>
                <w:color w:val="auto"/>
                <w:w w:val="99"/>
              </w:rPr>
              <w:t>(1)</w:t>
            </w:r>
          </w:p>
        </w:tc>
      </w:tr>
      <w:tr>
        <w:trPr>
          <w:trHeight w:val="230"/>
        </w:trPr>
        <w:tc>
          <w:tcPr>
            <w:tcW w:w="3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43,481</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21,698</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65,179</w:t>
            </w:r>
          </w:p>
        </w:tc>
        <w:tc>
          <w:tcPr>
            <w:tcW w:w="100" w:type="dxa"/>
            <w:vAlign w:val="bottom"/>
            <w:tcBorders>
              <w:bottom w:val="single" w:sz="8" w:color="auto"/>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45,043</w:t>
            </w:r>
          </w:p>
        </w:tc>
        <w:tc>
          <w:tcPr>
            <w:tcW w:w="1480" w:type="dxa"/>
            <w:vAlign w:val="bottom"/>
            <w:tcBorders>
              <w:bottom w:val="single" w:sz="8" w:color="DBDBDB"/>
            </w:tcBorders>
            <w:shd w:val="clear" w:color="auto" w:fill="DBDBDB"/>
          </w:tcPr>
          <w:p>
            <w:pPr>
              <w:jc w:val="center"/>
              <w:ind w:left="33"/>
              <w:spacing w:after="0"/>
              <w:rPr>
                <w:sz w:val="20"/>
                <w:szCs w:val="20"/>
                <w:color w:val="auto"/>
              </w:rPr>
            </w:pPr>
            <w:r>
              <w:rPr>
                <w:rFonts w:ascii="Arial" w:cs="Arial" w:eastAsia="Arial" w:hAnsi="Arial"/>
                <w:sz w:val="18"/>
                <w:szCs w:val="18"/>
                <w:color w:val="auto"/>
                <w:w w:val="99"/>
              </w:rPr>
              <w:t>45</w:t>
            </w:r>
          </w:p>
        </w:tc>
      </w:tr>
    </w:tbl>
    <w:p>
      <w:pPr>
        <w:spacing w:after="0" w:line="99"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Tirzepatide is marketed for obesity under the brand name Zepbound in Canada, Japan, and the U.S.</w:t>
      </w:r>
    </w:p>
    <w:p>
      <w:pPr>
        <w:spacing w:after="0" w:line="22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Revenue of Mounjaro increased 53 percent in the U.S., driven by strong demand, partially offset by lower realized prices. Revenue outside of the U.S. was $9.3 billion in 2025 compared to $2.6 billion in 2024, primarily driven by volume growth.</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Revenue of Zepbound increased 174 percent in the U.S., driven by increased demand, partially offset by lower realized prices.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of Verzenio increased 1 percent in the U.S. Revenue outside the U.S. increased 20 percent, driven by volume growth.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auto"/>
        </w:rPr>
        <w:t>Gross Margin, Costs, and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spacing w:after="0"/>
              <w:rPr>
                <w:sz w:val="17"/>
                <w:szCs w:val="17"/>
                <w:color w:val="auto"/>
              </w:rPr>
            </w:pPr>
          </w:p>
        </w:tc>
      </w:tr>
      <w:tr>
        <w:trPr>
          <w:trHeight w:val="197"/>
        </w:trPr>
        <w:tc>
          <w:tcPr>
            <w:tcW w:w="6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2024</w:t>
            </w: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DBDBDB"/>
          </w:tcPr>
          <w:p>
            <w:pPr>
              <w:jc w:val="right"/>
              <w:ind w:right="214"/>
              <w:spacing w:after="0"/>
              <w:rPr>
                <w:sz w:val="20"/>
                <w:szCs w:val="20"/>
                <w:color w:val="auto"/>
              </w:rPr>
            </w:pPr>
            <w:r>
              <w:rPr>
                <w:rFonts w:ascii="Arial" w:cs="Arial" w:eastAsia="Arial" w:hAnsi="Arial"/>
                <w:sz w:val="18"/>
                <w:szCs w:val="18"/>
                <w:b w:val="1"/>
                <w:bCs w:val="1"/>
                <w:color w:val="auto"/>
              </w:rPr>
              <w:t>54,127</w:t>
            </w:r>
          </w:p>
        </w:tc>
        <w:tc>
          <w:tcPr>
            <w:tcW w:w="50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36,625</w:t>
            </w:r>
          </w:p>
        </w:tc>
        <w:tc>
          <w:tcPr>
            <w:tcW w:w="1280" w:type="dxa"/>
            <w:vAlign w:val="bottom"/>
            <w:shd w:val="clear" w:color="auto" w:fill="DBDBDB"/>
          </w:tcPr>
          <w:p>
            <w:pPr>
              <w:jc w:val="center"/>
              <w:ind w:left="33"/>
              <w:spacing w:after="0"/>
              <w:rPr>
                <w:sz w:val="20"/>
                <w:szCs w:val="20"/>
                <w:color w:val="auto"/>
              </w:rPr>
            </w:pPr>
            <w:r>
              <w:rPr>
                <w:rFonts w:ascii="Arial" w:cs="Arial" w:eastAsia="Arial" w:hAnsi="Arial"/>
                <w:sz w:val="18"/>
                <w:szCs w:val="18"/>
                <w:color w:val="auto"/>
                <w:w w:val="99"/>
              </w:rPr>
              <w:t>48</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Gross margin as a percent of revenue</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83.0 %</w:t>
            </w: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81.3 %</w:t>
            </w:r>
          </w:p>
        </w:tc>
        <w:tc>
          <w:tcPr>
            <w:tcW w:w="1280" w:type="dxa"/>
            <w:vAlign w:val="bottom"/>
          </w:tcPr>
          <w:p>
            <w:pPr>
              <w:spacing w:after="0"/>
              <w:rPr>
                <w:sz w:val="19"/>
                <w:szCs w:val="19"/>
                <w:color w:val="auto"/>
              </w:rPr>
            </w:pPr>
          </w:p>
        </w:tc>
      </w:tr>
      <w:tr>
        <w:trPr>
          <w:trHeight w:val="230"/>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DBDBDB"/>
          </w:tcPr>
          <w:p>
            <w:pPr>
              <w:jc w:val="right"/>
              <w:ind w:right="214"/>
              <w:spacing w:after="0"/>
              <w:rPr>
                <w:sz w:val="20"/>
                <w:szCs w:val="20"/>
                <w:color w:val="auto"/>
              </w:rPr>
            </w:pPr>
            <w:r>
              <w:rPr>
                <w:rFonts w:ascii="Arial" w:cs="Arial" w:eastAsia="Arial" w:hAnsi="Arial"/>
                <w:sz w:val="18"/>
                <w:szCs w:val="18"/>
                <w:b w:val="1"/>
                <w:bCs w:val="1"/>
                <w:color w:val="auto"/>
              </w:rPr>
              <w:t>13,337</w:t>
            </w:r>
          </w:p>
        </w:tc>
        <w:tc>
          <w:tcPr>
            <w:tcW w:w="50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10,991</w:t>
            </w:r>
          </w:p>
        </w:tc>
        <w:tc>
          <w:tcPr>
            <w:tcW w:w="1280" w:type="dxa"/>
            <w:vAlign w:val="bottom"/>
            <w:shd w:val="clear" w:color="auto" w:fill="DBDBDB"/>
          </w:tcPr>
          <w:p>
            <w:pPr>
              <w:jc w:val="center"/>
              <w:ind w:left="33"/>
              <w:spacing w:after="0"/>
              <w:rPr>
                <w:sz w:val="20"/>
                <w:szCs w:val="20"/>
                <w:color w:val="auto"/>
              </w:rPr>
            </w:pPr>
            <w:r>
              <w:rPr>
                <w:rFonts w:ascii="Arial" w:cs="Arial" w:eastAsia="Arial" w:hAnsi="Arial"/>
                <w:sz w:val="18"/>
                <w:szCs w:val="18"/>
                <w:color w:val="auto"/>
                <w:w w:val="99"/>
              </w:rPr>
              <w:t>21</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Marketing, selling, and administrative</w:t>
            </w:r>
          </w:p>
        </w:tc>
        <w:tc>
          <w:tcPr>
            <w:tcW w:w="460" w:type="dxa"/>
            <w:vAlign w:val="bottom"/>
          </w:tcPr>
          <w:p>
            <w:pPr>
              <w:spacing w:after="0"/>
              <w:rPr>
                <w:sz w:val="19"/>
                <w:szCs w:val="19"/>
                <w:color w:val="auto"/>
              </w:rPr>
            </w:pPr>
          </w:p>
        </w:tc>
        <w:tc>
          <w:tcPr>
            <w:tcW w:w="1480" w:type="dxa"/>
            <w:vAlign w:val="bottom"/>
          </w:tcPr>
          <w:p>
            <w:pPr>
              <w:jc w:val="right"/>
              <w:ind w:right="214"/>
              <w:spacing w:after="0"/>
              <w:rPr>
                <w:sz w:val="20"/>
                <w:szCs w:val="20"/>
                <w:color w:val="auto"/>
              </w:rPr>
            </w:pPr>
            <w:r>
              <w:rPr>
                <w:rFonts w:ascii="Arial" w:cs="Arial" w:eastAsia="Arial" w:hAnsi="Arial"/>
                <w:sz w:val="18"/>
                <w:szCs w:val="18"/>
                <w:b w:val="1"/>
                <w:bCs w:val="1"/>
                <w:color w:val="auto"/>
              </w:rPr>
              <w:t>11,094</w:t>
            </w:r>
          </w:p>
        </w:tc>
        <w:tc>
          <w:tcPr>
            <w:tcW w:w="50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8,594</w:t>
            </w:r>
          </w:p>
        </w:tc>
        <w:tc>
          <w:tcPr>
            <w:tcW w:w="1280" w:type="dxa"/>
            <w:vAlign w:val="bottom"/>
          </w:tcPr>
          <w:p>
            <w:pPr>
              <w:jc w:val="center"/>
              <w:ind w:left="33"/>
              <w:spacing w:after="0"/>
              <w:rPr>
                <w:sz w:val="20"/>
                <w:szCs w:val="20"/>
                <w:color w:val="auto"/>
              </w:rPr>
            </w:pPr>
            <w:r>
              <w:rPr>
                <w:rFonts w:ascii="Arial" w:cs="Arial" w:eastAsia="Arial" w:hAnsi="Arial"/>
                <w:sz w:val="18"/>
                <w:szCs w:val="18"/>
                <w:color w:val="auto"/>
                <w:w w:val="99"/>
              </w:rPr>
              <w:t>29</w:t>
            </w:r>
          </w:p>
        </w:tc>
      </w:tr>
      <w:tr>
        <w:trPr>
          <w:trHeight w:val="229"/>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214"/>
              <w:spacing w:after="0"/>
              <w:rPr>
                <w:sz w:val="20"/>
                <w:szCs w:val="20"/>
                <w:color w:val="auto"/>
              </w:rPr>
            </w:pPr>
            <w:r>
              <w:rPr>
                <w:rFonts w:ascii="Arial" w:cs="Arial" w:eastAsia="Arial" w:hAnsi="Arial"/>
                <w:sz w:val="18"/>
                <w:szCs w:val="18"/>
                <w:b w:val="1"/>
                <w:bCs w:val="1"/>
                <w:color w:val="auto"/>
              </w:rPr>
              <w:t>2,910</w:t>
            </w:r>
          </w:p>
        </w:tc>
        <w:tc>
          <w:tcPr>
            <w:tcW w:w="500" w:type="dxa"/>
            <w:vAlign w:val="bottom"/>
            <w:shd w:val="clear" w:color="auto" w:fill="DBDBDB"/>
          </w:tcPr>
          <w:p>
            <w:pPr>
              <w:spacing w:after="0"/>
              <w:rPr>
                <w:sz w:val="19"/>
                <w:szCs w:val="19"/>
                <w:color w:val="auto"/>
              </w:rPr>
            </w:pPr>
          </w:p>
        </w:tc>
        <w:tc>
          <w:tcPr>
            <w:tcW w:w="14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3,280</w:t>
            </w:r>
          </w:p>
        </w:tc>
        <w:tc>
          <w:tcPr>
            <w:tcW w:w="1280" w:type="dxa"/>
            <w:vAlign w:val="bottom"/>
            <w:shd w:val="clear" w:color="auto" w:fill="DBDBDB"/>
          </w:tcPr>
          <w:p>
            <w:pPr>
              <w:jc w:val="center"/>
              <w:ind w:left="13"/>
              <w:spacing w:after="0"/>
              <w:rPr>
                <w:sz w:val="20"/>
                <w:szCs w:val="20"/>
                <w:color w:val="auto"/>
              </w:rPr>
            </w:pPr>
            <w:r>
              <w:rPr>
                <w:rFonts w:ascii="Arial" w:cs="Arial" w:eastAsia="Arial" w:hAnsi="Arial"/>
                <w:sz w:val="18"/>
                <w:szCs w:val="18"/>
                <w:color w:val="auto"/>
                <w:w w:val="93"/>
              </w:rPr>
              <w:t>(11)</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19"/>
                <w:szCs w:val="19"/>
                <w:color w:val="auto"/>
              </w:rPr>
            </w:pPr>
          </w:p>
        </w:tc>
        <w:tc>
          <w:tcPr>
            <w:tcW w:w="1480" w:type="dxa"/>
            <w:vAlign w:val="bottom"/>
          </w:tcPr>
          <w:p>
            <w:pPr>
              <w:jc w:val="right"/>
              <w:ind w:right="214"/>
              <w:spacing w:after="0"/>
              <w:rPr>
                <w:sz w:val="20"/>
                <w:szCs w:val="20"/>
                <w:color w:val="auto"/>
              </w:rPr>
            </w:pPr>
            <w:r>
              <w:rPr>
                <w:rFonts w:ascii="Arial" w:cs="Arial" w:eastAsia="Arial" w:hAnsi="Arial"/>
                <w:sz w:val="18"/>
                <w:szCs w:val="18"/>
                <w:b w:val="1"/>
                <w:bCs w:val="1"/>
                <w:color w:val="auto"/>
              </w:rPr>
              <w:t>5,091</w:t>
            </w:r>
          </w:p>
        </w:tc>
        <w:tc>
          <w:tcPr>
            <w:tcW w:w="50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2,090</w:t>
            </w:r>
          </w:p>
        </w:tc>
        <w:tc>
          <w:tcPr>
            <w:tcW w:w="1280" w:type="dxa"/>
            <w:vAlign w:val="bottom"/>
          </w:tcPr>
          <w:p>
            <w:pPr>
              <w:jc w:val="center"/>
              <w:ind w:left="13"/>
              <w:spacing w:after="0"/>
              <w:rPr>
                <w:sz w:val="20"/>
                <w:szCs w:val="20"/>
                <w:color w:val="auto"/>
              </w:rPr>
            </w:pPr>
            <w:r>
              <w:rPr>
                <w:rFonts w:ascii="Arial" w:cs="Arial" w:eastAsia="Arial" w:hAnsi="Arial"/>
                <w:sz w:val="18"/>
                <w:szCs w:val="18"/>
                <w:color w:val="auto"/>
                <w:w w:val="99"/>
              </w:rPr>
              <w:t>144</w:t>
            </w:r>
          </w:p>
        </w:tc>
      </w:tr>
      <w:tr>
        <w:trPr>
          <w:trHeight w:val="229"/>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19.8 %</w:t>
            </w:r>
          </w:p>
        </w:tc>
        <w:tc>
          <w:tcPr>
            <w:tcW w:w="50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16.5 %</w:t>
            </w:r>
          </w:p>
        </w:tc>
        <w:tc>
          <w:tcPr>
            <w:tcW w:w="1280" w:type="dxa"/>
            <w:vAlign w:val="bottom"/>
            <w:shd w:val="clear" w:color="auto" w:fill="DBDBDB"/>
          </w:tcPr>
          <w:p>
            <w:pPr>
              <w:spacing w:after="0"/>
              <w:rPr>
                <w:sz w:val="19"/>
                <w:szCs w:val="19"/>
                <w:color w:val="auto"/>
              </w:rPr>
            </w:pPr>
          </w:p>
        </w:tc>
      </w:tr>
    </w:tbl>
    <w:p>
      <w:pPr>
        <w:spacing w:after="0" w:line="23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Gross margin as a percent of revenue in 2025 increased 1.7 percentage points compared with 2024, primarily driven by favorable product mix and improved cost of production, partially offset by lower realized prices.</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Research and development expenses increased 21 percent in 2025, primarily driven by continued investments in our early and late-stage portfolio.</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Marketing, selling, and administrative expenses increased 29 percent in 2025, primarily driven by promotional efforts supporting ongoing and planned launches.</w:t>
      </w:r>
    </w:p>
    <w:p>
      <w:pPr>
        <w:spacing w:after="0" w:line="4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Acquired in-process research and development (IPR&amp;D) charges recognized in 2025 were primarily related to the acquisitions of Scorpion Therapeutics, Inc.'s (Scorpion) PI3Kα inhibitor program STX-478 and of SiteOne Therapeutics, Inc. (SiteOne). Acquired IPR&amp;D charges recognized in 2024 were primarily related to the acquisition of Morphic Holding, Inc. (Morphic). See Note 4 to the consolidated financial statements for additional information.</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effective tax rate was 19.8 percent in 2025 compared with an effective tax rate of 16.5 percent in 2024, primarily driven by unfavorable impacts related to the jurisdictional mix of earnings and U.S. tax law changes in 2025 relative to 2024. The effective tax rates for both periods were unfavorably impacted by non-deductible acquired IPR&amp;D charges, with a larger impact occurring in 2024. See Note 14 to the consolidated financial statements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Results—2024</w:t>
      </w:r>
    </w:p>
    <w:p>
      <w:pPr>
        <w:spacing w:after="0" w:line="117" w:lineRule="exact"/>
        <w:rPr>
          <w:sz w:val="20"/>
          <w:szCs w:val="20"/>
          <w:color w:val="auto"/>
        </w:rPr>
      </w:pPr>
    </w:p>
    <w:p>
      <w:pPr>
        <w:ind w:right="16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results of operations pertaining to 2024 and 2023 see Item 7, "Management's Discussion and Analysis of Results of Operations and Financial Condition" in our Annual Report on </w:t>
      </w:r>
      <w:hyperlink r:id="rId6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believe our available cash and cash equivalents, together with our ability to generate operating cash flow and our access to short-term and long-term borrowings, are sufficient to fund our existing and planned capital requirements, which include:</w:t>
      </w:r>
    </w:p>
    <w:p>
      <w:pPr>
        <w:spacing w:after="0" w:line="4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requirements, including related to employee payroll and benefits, clinical trials, manufacturing materials,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 repurchases and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repayment of outstanding short-term and long-term borrowings;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milestone and royalty payments;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acquisitions, collaborations, investments, and licensing arrangements.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management continuously evaluates our liquidity and capital resources, including our access to external capital, to ensure we can adequately and efficiently finance our capital requirements. As of December 31, 2025, our material cash requirements primarily related to purchases of goods and services to produce our products and conduct our operations, income tax payments, capital expenditures, dividends, milestone and royalty payments, business development activities, share repurchases and repayment of outstanding borrowings (see Notes 14, 3, 4, 13, and 11 to the consolidated financial statements). We anticipate our cash requirements related to ordinary course purchases of goods and services will be consistent with our past levels relative to revenues.</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Capital expenditures were $7.8 billion during 2025, compared to $5.1 billion in 2024. We are making investments in global facilities to manufacture existing and future products. These investments, and other capital investments that support our operations, have increased our capital expenditures and will result in meaningfully higher capital expenditures in the near term.</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medicines, we have entered, and expect to continue to enter, into various agreements for contract manufacturing and for supply of materials. Executed agreements related to our medicines in development could, under certain circumstances, require us to pay up to approximately $10 billion if we do not purchase specified amounts of goods or services over the durations of the agreements, which are generally up to 8 years.</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and cash equivalents increased to $ 7.3 billion as of December 31, 2025, compared with $3.3 billion at December 31, 2024. Net cash provided by operating activities increased to $16.8 billion in 2025, compared with $8.8 billion in 2024. Refer to the consolidated statements of cash flows for additional information on the significant sources and uses of cash for the years ended December 31, 2025 and 2024.</w:t>
      </w:r>
    </w:p>
    <w:p>
      <w:pPr>
        <w:spacing w:after="0" w:line="6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$ 2.9 billion and $3.4 billion as of December 31, 2025 and 2024, respectively. As of December 31, 2025, we had approximately $ 902 million of unfunded commitments to invest in venture capital funds, which we anticipate will be paid over a period of up to 10 years. See Note 7 to the consolidated financial statements for additional information.</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paid $3.0 billion in 2025 for acquired IPR&amp;D primarily related to the acquisitions of Scorpion's PI3Kα inhibitor program STX-478 and of SiteOne. We paid $3.3 billion in 2024 for acquired IPR&amp;D primarily related to the acquisition of Morphic. See Note 4 to the consolidated financial statements for additional information.</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part of our business development activities in 2026, we have entered into acquisition agreements, subject to closing conditions. Potential amounts payable at closing for these pending acquisitions would be less than $3 billion.</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As of December 31, 2025, total debt was $42.5 billion, an increase of $8.9 billion compared with $33.6 billion at December 31, 2024. See Note 11 to the consolidated financial statements for additional information.</w:t>
      </w:r>
    </w:p>
    <w:p>
      <w:pPr>
        <w:spacing w:after="0" w:line="45"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As of December 31, 2025, we had a total of $10.1 billion of unused committed bank credit facilities, $10.0 billion of which is available to support our commercial paper program. See Note 11 to the consolidated financial statements for additional information. We believe that amounts accessible through existing commercial paper markets should be adequate to fund short-term borrowing needs.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ind w:right="160"/>
        <w:spacing w:after="0" w:line="318" w:lineRule="auto"/>
        <w:rPr>
          <w:sz w:val="20"/>
          <w:szCs w:val="20"/>
          <w:color w:val="auto"/>
        </w:rPr>
      </w:pPr>
      <w:r>
        <w:rPr>
          <w:rFonts w:ascii="Arial" w:cs="Arial" w:eastAsia="Arial" w:hAnsi="Arial"/>
          <w:sz w:val="17"/>
          <w:szCs w:val="17"/>
          <w:color w:val="auto"/>
        </w:rPr>
        <w:t>Dividends of $6.00 per share and $ 5.20 per share were paid in 2025 and 2024, respectively. The quarterly dividend was increased to $1.73 per share effective for the dividend to be paid in the first quarter of 2026, resulting in an indicated annual rate for 2026 of $6.92 per share.</w:t>
      </w:r>
    </w:p>
    <w:p>
      <w:pPr>
        <w:spacing w:after="0" w:line="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2025, we repurchased $ 4.1 billion of shares under our $15.0 billion share repurchase program that our board authorized in December 2024. As of December 31, 2025, we had $10.9 billion remaining under this program. See Note 13 to the consolidated financial statements for additional information.</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and various international government funding levels.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normal course of business, our operations are exposed to fluctuations in interest rates, currency values, and fair values of equity securities. These fluctuations impact the costs of financing, investing, and operating our business. We seek to address a portion of these risks through a controlled program of risk management that includes the use of derivative financial instruments. The objective of this risk management program is to limit the impact on earnings of fluctuations in interest and currency exchange rates. All derivative activities are for purposes other than trading.</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interest-rate exposures, we may enter into derivative contracts to achieve an acceptable balance between fixed- and floating-rate debt or to reduce cash flow variability from changes in interest rates as part of anticipated debt issuances. Based on our overall interest rate exposure at December 31, 2025 and 2024, including derivatives and other interest rate risk-sensitive instruments, a hypothetical 10 percent change in interest rates applied to the fair value of the instruments as of December 31, 2025 and 2024, respectively, would not have a material impact on earnings, cash flows, or fair values of interest rate risk-sensitive instruments over a one-year period.</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Chinese yuan, and British pound sterling.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in some cases enter into foreign currency forward or option derivative contracts to reduce the effect of fluctuating currency exchange rates.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As of December 31, 2025 and 2024, a hypothetical 10 percent change in currency exchange rates (primarily against the U.S. dollar) applied to the fair values of our outstanding foreign currency derivative contracts and the underlying assets and liabilities would not have a material impact on earnings, cash flows, or financial position over a one-year period.</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fair value risk exposure relates primarily to our public equity investments and to our equity investments that do not have readily determinable fair values. As of December 31, 2025 and 2024, a hypothetical 10 percent change in fair value of the equity instruments would not have a material impact on earnings, cash flows, or financial position over a one-year period.</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product in the event that regulatory approval for marketing is obtained.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2" w:name="page53"/>
    <w:bookmarkEnd w:id="52"/>
    <w:p>
      <w:pPr>
        <w:ind w:right="40"/>
        <w:spacing w:after="0" w:line="256" w:lineRule="auto"/>
        <w:rPr>
          <w:sz w:val="20"/>
          <w:szCs w:val="20"/>
          <w:color w:val="auto"/>
        </w:rPr>
      </w:pPr>
      <w:r>
        <w:rPr>
          <w:rFonts w:ascii="Arial" w:cs="Arial" w:eastAsia="Arial" w:hAnsi="Arial"/>
          <w:sz w:val="18"/>
          <w:szCs w:val="18"/>
          <w:color w:val="auto"/>
        </w:rPr>
        <w:t>Individually, these arrangements are generally not material in any one annual reporting period. However, if milestones for multiple products covered by these arrangements were reached in the same reporting period, the aggregate expense or aggregate milestone payments made could be material to our results of operations or cash flows, respectively, in that period. See Note 3 to the consolidated financial statements for additional information. These arrangements often give us the discretion to unilaterally terminate development of the product, which would allow us to avoid making the contingent payments; however, we are unlikely to cease development if the compound successfully achieves milestone objectives. We view these payments as positive because they signify that the product is successfully moving through development and is now generating or is more likely to generate cash flows from sales of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APPLICATION OF CRITICAL ACCOUNTING ESTIMATES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Annual Report on Form 10-K. Our most critical accounting estimates have been discussed with our audit committee and are described below.</w:t>
      </w:r>
    </w:p>
    <w:p>
      <w:pPr>
        <w:spacing w:after="0" w:line="77" w:lineRule="exact"/>
        <w:rPr>
          <w:sz w:val="20"/>
          <w:szCs w:val="20"/>
          <w:color w:val="auto"/>
        </w:rPr>
      </w:pPr>
    </w:p>
    <w:p>
      <w:pPr>
        <w:ind w:right="5100"/>
        <w:spacing w:after="0" w:line="375" w:lineRule="auto"/>
        <w:rPr>
          <w:sz w:val="20"/>
          <w:szCs w:val="20"/>
          <w:color w:val="auto"/>
        </w:rPr>
      </w:pPr>
      <w:r>
        <w:rPr>
          <w:rFonts w:ascii="Arial" w:cs="Arial" w:eastAsia="Arial" w:hAnsi="Arial"/>
          <w:sz w:val="18"/>
          <w:szCs w:val="18"/>
          <w:b w:val="1"/>
          <w:bCs w:val="1"/>
          <w:color w:val="auto"/>
        </w:rPr>
        <w:t xml:space="preserve">Revenue Recognition and Sales Rebate, Discount, and Return Accruals </w:t>
      </w:r>
      <w:r>
        <w:rPr>
          <w:rFonts w:ascii="Arial" w:cs="Arial" w:eastAsia="Arial" w:hAnsi="Arial"/>
          <w:sz w:val="18"/>
          <w:szCs w:val="18"/>
          <w:i w:val="1"/>
          <w:iCs w:val="1"/>
          <w:u w:val="single" w:color="auto"/>
          <w:color w:val="auto"/>
        </w:rPr>
        <w:t>Background and Uncertainties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For product sales to customers, provisions for rebates, discounts, and returns are established in the same period the related product sales are recognized. Contracts with direct and indirect customers may provide for various rebates and discounts, which we estimate as a reduction of net product revenue at the time we recognize a sale to a direct customer. Significant judgments are required in making these estimates. The largest of our sales rebate and discount amounts include rebates associated with sales covered by managed care, Medicare, Medicaid, and chargeback programs, as well as reductions in revenue related to our patient assistance programs, in the U.S. In determining the appropriate accrual amount, we consider our historical payments for these programs by product as a percentage of our historical sales, any significant changes in sales trends, an evaluation of the current contracts for these programs, the percentage of our products that are sold via these programs, and our product pricing. Since there is a timing lag between the product sale and the settlement of accruals related to these programs, our net product revenue may incorporate revisions of accruals for several periods.</w:t>
      </w:r>
    </w:p>
    <w:p>
      <w:pPr>
        <w:spacing w:after="0" w:line="7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Refer to Note 2 to the consolidated financial statements for further information on revenue recognition and sales return, rebate, and discount accruals.</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Revenue recognized from collaborations and other arrangements includes our share of profits from the collaborations, as well as royalties, upfront and milestone payments we receive under these types of contracts.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our accruals for sales rebates, discounts, and returns are reasonable and appropriate based on current facts and circumstances. Our rebate and discount liabilities are included in sales rebates and discounts on our consolidated balance sheet. Our sales return liability is included in other current liabilities and other noncurrent liabilities on our consolidated balance sheet. As of December 31, 2025, a 5 percent change in our consolidated sales return, rebate, and discount liability would result in a change in revenue of approximately $897 million.</w:t>
      </w:r>
    </w:p>
    <w:p>
      <w:pPr>
        <w:spacing w:after="0" w:line="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portion of our consolidated sales rebate, discount, and return liability balances resulting from sales of our products in the U.S. was approximately 87 percent and 90 percent as of December 31, 2025 and 2024, respectively.</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represents a roll-forward of our most significant U.S. sales rebate, discount, and return liability balances, including managed care, Medicare, Medicaid, chargeback, and patient assistance programs: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r>
      <w:tr>
        <w:trPr>
          <w:trHeight w:val="224"/>
        </w:trPr>
        <w:tc>
          <w:tcPr>
            <w:tcW w:w="8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rebate, discount, and return liabilities, beginning of year</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center"/>
              <w:ind w:left="134"/>
              <w:spacing w:after="0"/>
              <w:rPr>
                <w:sz w:val="20"/>
                <w:szCs w:val="20"/>
                <w:color w:val="auto"/>
              </w:rPr>
            </w:pPr>
            <w:r>
              <w:rPr>
                <w:rFonts w:ascii="Arial" w:cs="Arial" w:eastAsia="Arial" w:hAnsi="Arial"/>
                <w:sz w:val="18"/>
                <w:szCs w:val="18"/>
                <w:b w:val="1"/>
                <w:bCs w:val="1"/>
                <w:color w:val="auto"/>
                <w:w w:val="98"/>
              </w:rPr>
              <w:t>10,313</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center"/>
              <w:ind w:left="174"/>
              <w:spacing w:after="0"/>
              <w:rPr>
                <w:sz w:val="20"/>
                <w:szCs w:val="20"/>
                <w:color w:val="auto"/>
              </w:rPr>
            </w:pPr>
            <w:r>
              <w:rPr>
                <w:rFonts w:ascii="Arial" w:cs="Arial" w:eastAsia="Arial" w:hAnsi="Arial"/>
                <w:sz w:val="18"/>
                <w:szCs w:val="18"/>
                <w:color w:val="auto"/>
              </w:rPr>
              <w:t>10,668</w:t>
            </w:r>
          </w:p>
        </w:tc>
      </w:tr>
      <w:tr>
        <w:trPr>
          <w:trHeight w:val="229"/>
        </w:trPr>
        <w:tc>
          <w:tcPr>
            <w:tcW w:w="8540" w:type="dxa"/>
            <w:vAlign w:val="bottom"/>
          </w:tcPr>
          <w:p>
            <w:pPr>
              <w:ind w:left="220"/>
              <w:spacing w:after="0" w:line="230" w:lineRule="exact"/>
              <w:rPr>
                <w:sz w:val="20"/>
                <w:szCs w:val="20"/>
                <w:color w:val="auto"/>
              </w:rPr>
            </w:pPr>
            <w:r>
              <w:rPr>
                <w:rFonts w:ascii="Arial" w:cs="Arial" w:eastAsia="Arial" w:hAnsi="Arial"/>
                <w:sz w:val="18"/>
                <w:szCs w:val="18"/>
                <w:color w:val="auto"/>
              </w:rPr>
              <w:t>Reduction of net sales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40" w:type="dxa"/>
            <w:vAlign w:val="bottom"/>
          </w:tcPr>
          <w:p>
            <w:pPr>
              <w:jc w:val="center"/>
              <w:ind w:left="134"/>
              <w:spacing w:after="0"/>
              <w:rPr>
                <w:sz w:val="20"/>
                <w:szCs w:val="20"/>
                <w:color w:val="auto"/>
              </w:rPr>
            </w:pPr>
            <w:r>
              <w:rPr>
                <w:rFonts w:ascii="Arial" w:cs="Arial" w:eastAsia="Arial" w:hAnsi="Arial"/>
                <w:sz w:val="18"/>
                <w:szCs w:val="18"/>
                <w:b w:val="1"/>
                <w:bCs w:val="1"/>
                <w:color w:val="auto"/>
                <w:w w:val="98"/>
              </w:rPr>
              <w:t>62,135</w:t>
            </w:r>
          </w:p>
        </w:tc>
        <w:tc>
          <w:tcPr>
            <w:tcW w:w="360" w:type="dxa"/>
            <w:vAlign w:val="bottom"/>
          </w:tcPr>
          <w:p>
            <w:pPr>
              <w:spacing w:after="0"/>
              <w:rPr>
                <w:sz w:val="19"/>
                <w:szCs w:val="19"/>
                <w:color w:val="auto"/>
              </w:rPr>
            </w:pPr>
          </w:p>
        </w:tc>
        <w:tc>
          <w:tcPr>
            <w:tcW w:w="980" w:type="dxa"/>
            <w:vAlign w:val="bottom"/>
          </w:tcPr>
          <w:p>
            <w:pPr>
              <w:jc w:val="center"/>
              <w:ind w:left="174"/>
              <w:spacing w:after="0"/>
              <w:rPr>
                <w:sz w:val="20"/>
                <w:szCs w:val="20"/>
                <w:color w:val="auto"/>
              </w:rPr>
            </w:pPr>
            <w:r>
              <w:rPr>
                <w:rFonts w:ascii="Arial" w:cs="Arial" w:eastAsia="Arial" w:hAnsi="Arial"/>
                <w:sz w:val="18"/>
                <w:szCs w:val="18"/>
                <w:color w:val="auto"/>
              </w:rPr>
              <w:t>41,452</w:t>
            </w:r>
          </w:p>
        </w:tc>
      </w:tr>
      <w:tr>
        <w:trPr>
          <w:trHeight w:val="230"/>
        </w:trPr>
        <w:tc>
          <w:tcPr>
            <w:tcW w:w="85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payments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center"/>
              <w:ind w:left="114"/>
              <w:spacing w:after="0"/>
              <w:rPr>
                <w:sz w:val="20"/>
                <w:szCs w:val="20"/>
                <w:color w:val="auto"/>
              </w:rPr>
            </w:pPr>
            <w:r>
              <w:rPr>
                <w:rFonts w:ascii="Arial" w:cs="Arial" w:eastAsia="Arial" w:hAnsi="Arial"/>
                <w:sz w:val="18"/>
                <w:szCs w:val="18"/>
                <w:b w:val="1"/>
                <w:bCs w:val="1"/>
                <w:color w:val="auto"/>
              </w:rPr>
              <w:t>(57,299)</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center"/>
              <w:ind w:left="154"/>
              <w:spacing w:after="0"/>
              <w:rPr>
                <w:sz w:val="20"/>
                <w:szCs w:val="20"/>
                <w:color w:val="auto"/>
              </w:rPr>
            </w:pPr>
            <w:r>
              <w:rPr>
                <w:rFonts w:ascii="Arial" w:cs="Arial" w:eastAsia="Arial" w:hAnsi="Arial"/>
                <w:sz w:val="18"/>
                <w:szCs w:val="18"/>
                <w:color w:val="auto"/>
                <w:w w:val="98"/>
              </w:rPr>
              <w:t>(41,807)</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Sales rebate, discount, and return liabilities,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center"/>
              <w:ind w:left="134"/>
              <w:spacing w:after="0"/>
              <w:rPr>
                <w:sz w:val="20"/>
                <w:szCs w:val="20"/>
                <w:color w:val="auto"/>
              </w:rPr>
            </w:pPr>
            <w:r>
              <w:rPr>
                <w:rFonts w:ascii="Arial" w:cs="Arial" w:eastAsia="Arial" w:hAnsi="Arial"/>
                <w:sz w:val="18"/>
                <w:szCs w:val="18"/>
                <w:b w:val="1"/>
                <w:bCs w:val="1"/>
                <w:color w:val="auto"/>
                <w:w w:val="98"/>
              </w:rPr>
              <w:t>15,148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left="174"/>
              <w:spacing w:after="0"/>
              <w:rPr>
                <w:sz w:val="20"/>
                <w:szCs w:val="20"/>
                <w:color w:val="auto"/>
              </w:rPr>
            </w:pPr>
            <w:r>
              <w:rPr>
                <w:rFonts w:ascii="Arial" w:cs="Arial" w:eastAsia="Arial" w:hAnsi="Arial"/>
                <w:sz w:val="18"/>
                <w:szCs w:val="18"/>
                <w:color w:val="auto"/>
              </w:rPr>
              <w:t>10,313</w:t>
            </w:r>
          </w:p>
        </w:tc>
      </w:tr>
    </w:tbl>
    <w:p>
      <w:pPr>
        <w:spacing w:after="0" w:line="99"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Adjustments of the estimates for these rebates, discounts, and returns to actual results were less than 2 percent of consolidated revenue for each of the years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Liabilities and Other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Litigation liabilities and other contingencies are, by their nature, uncertain and based upon complex judgments and probabilities. The factors we consider in developing our litigation liability reserves and other contingent liability amounts include the merits and jurisdiction of the litigation, the nature and the number of other similar current and past matters, the nature of the product and the current assessment of the science subject to the litigation, as applicable,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The ability to insure against such exposures is limited, and due to a very restrictive market for liability insurance we are predominantly self-insured for liability losses for all our currently and previously marketed products. In addition to insurance coverage, we consider any third-party indemnification to which we are entitled or under which we are obligated. With respect to our third-party indemnification rights, these considerations include the nature of the indemnification, the financial condition of the indemnifying party, and the possibility of and length of time for collection.</w:t>
      </w:r>
    </w:p>
    <w:p>
      <w:pPr>
        <w:spacing w:after="0" w:line="7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are reflected on a gross basis as liabilities and assets, respectively, on our consolidated balance sheets.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on our consolidated balance sheet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acquired IPR&amp;D on our consolidated statement of operations at the acquisition date, and goodwill is not recorded. See Note 4 to the consolidated financial statements for additional information.</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estimates and assumptions that are deemed reasonable by management. Significant estimates and assumptions include, but are not limited to, probability of technical success, revenue projections, and discount rate. Depending on the facts and circumstances, we may deem it necessary to engage an independent valuation expert to assist in valuing significant assets and liabilities.</w:t>
      </w:r>
    </w:p>
    <w:p>
      <w:pPr>
        <w:spacing w:after="0" w:line="74"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The fair values of identifiable intangible assets are primarily determined using the "income method," as described in Note 8 to the consolidated financial statements.</w:t>
      </w:r>
    </w:p>
    <w:p>
      <w:pPr>
        <w:spacing w:after="0" w:line="4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primarily determined using a discounted cash flow analysis. Estimating the fair value of contingent consideration requires the use of significant estimates and judgments, including, but not limited to, probability of technical success, timing of the potential milestone event, and the discount rate.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31, 2025, a 5 percent change in the contingent consideration liabilities would not result in a material impact on earnings or financial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Indefinite-Lived and Long-Lived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Goodwill and 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w:t>
      </w:r>
    </w:p>
    <w:p>
      <w:pPr>
        <w:spacing w:after="0" w:line="68"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Several methods may be used to determine the estimated fair value of long-lived assets, all of which require multiple assumptions. When determining the fair value of indefinite-lived acquired IPR&amp;D as well as the fair value of finite-lived intangible assets for impairment testing purposes, we utilize the "income method," as described in Note 8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5" w:name="page56"/>
    <w:bookmarkEnd w:id="55"/>
    <w:p>
      <w:pPr>
        <w:ind w:right="160"/>
        <w:spacing w:after="0" w:line="262"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"—Executive Overview—Clinical Development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6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file tax returns based upon our interpretation of tax laws and regulations, and we record estimates in our financial statements based upon these interpretations at the applicable tax rates in the jurisdictions in which we operate. Our tax returns are routinely subject to examination by taxing authorities, which could result in future tax, interest, and penalty assessments. Inherent uncertainties also exist in estimates of many tax positions due to the complexity of tax laws. We recognize the tax benefit from an uncertain tax position only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such as changes to existing tax law, the issuance of regulations by taxing authorities, new information obtained during a tax examination, or resolution of a tax examination. We believe our estimates for uncertain tax positions are both appropriate and sufficient to pay assessments that may result from examinations of our tax returns; however, given the uncertainty of positions that could be taken by taxing authorities during the examinations of our tax returns, the ultimate outcome of any tax matters may result in liabilities that are greater than amounts accrued. We recognize both accrued interest and penalties related to unrecognized tax benefits in income tax expense.</w:t>
      </w:r>
    </w:p>
    <w:p>
      <w:pPr>
        <w:spacing w:after="0" w:line="6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tax credits, and other tax carryforwards in certain taxing jurisdictions, when the amount of future taxable income is unlikely to support their utilization.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December 31, 2025, a 5 percent change in the amount of uncertain tax positions and the valuation allowance would result in a change in net income of $160 million and $61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MATTERS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relating to certain legal proceedings can be found in Note 16 to the consolidated financial statements and is incorporated here by reference.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You can find quantitative and qualitative disclosures about market risk (e.g.</w:t>
      </w:r>
      <w:r>
        <w:rPr>
          <w:rFonts w:ascii="Arial" w:cs="Arial" w:eastAsia="Arial" w:hAnsi="Arial"/>
          <w:sz w:val="18"/>
          <w:szCs w:val="18"/>
          <w:i w:val="1"/>
          <w:iCs w:val="1"/>
          <w:color w:val="auto"/>
        </w:rPr>
        <w:t>,</w:t>
      </w:r>
      <w:r>
        <w:rPr>
          <w:rFonts w:ascii="Arial" w:cs="Arial" w:eastAsia="Arial" w:hAnsi="Arial"/>
          <w:sz w:val="18"/>
          <w:szCs w:val="18"/>
          <w:color w:val="auto"/>
        </w:rPr>
        <w:t xml:space="preserve"> interest rate risk) at Item 7, "Management's Discussion and Analysis - Financial Condition and Liquidity."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Item 8. Financial Statements and Supplementary Data</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r>
      <w:tr>
        <w:trPr>
          <w:trHeight w:val="196"/>
        </w:trPr>
        <w:tc>
          <w:tcPr>
            <w:tcW w:w="6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24"/>
        </w:trPr>
        <w:tc>
          <w:tcPr>
            <w:tcW w:w="6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65,179</w:t>
            </w:r>
          </w:p>
        </w:tc>
        <w:tc>
          <w:tcPr>
            <w:tcW w:w="520" w:type="dxa"/>
            <w:vAlign w:val="bottom"/>
            <w:shd w:val="clear" w:color="auto" w:fill="DBDBDB"/>
          </w:tcPr>
          <w:p>
            <w:pPr>
              <w:jc w:val="right"/>
              <w:ind w:right="134"/>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45,043</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34,124</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8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11,052</w:t>
            </w:r>
          </w:p>
        </w:tc>
        <w:tc>
          <w:tcPr>
            <w:tcW w:w="5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8,418</w:t>
            </w:r>
          </w:p>
        </w:tc>
        <w:tc>
          <w:tcPr>
            <w:tcW w:w="4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7,082</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13,337</w:t>
            </w:r>
          </w:p>
        </w:tc>
        <w:tc>
          <w:tcPr>
            <w:tcW w:w="5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10,991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9,313</w:t>
            </w:r>
          </w:p>
        </w:tc>
      </w:tr>
      <w:tr>
        <w:trPr>
          <w:trHeight w:val="230"/>
        </w:trPr>
        <w:tc>
          <w:tcPr>
            <w:tcW w:w="68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Marketing, selling, and administrative</w:t>
            </w:r>
          </w:p>
        </w:tc>
        <w:tc>
          <w:tcPr>
            <w:tcW w:w="3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11,094</w:t>
            </w:r>
          </w:p>
        </w:tc>
        <w:tc>
          <w:tcPr>
            <w:tcW w:w="5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8,594</w:t>
            </w:r>
          </w:p>
        </w:tc>
        <w:tc>
          <w:tcPr>
            <w:tcW w:w="4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7,404</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2,910</w:t>
            </w:r>
          </w:p>
        </w:tc>
        <w:tc>
          <w:tcPr>
            <w:tcW w:w="5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3,280</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29"/>
        </w:trPr>
        <w:tc>
          <w:tcPr>
            <w:tcW w:w="68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484</w:t>
            </w:r>
          </w:p>
        </w:tc>
        <w:tc>
          <w:tcPr>
            <w:tcW w:w="5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861</w:t>
            </w:r>
          </w:p>
        </w:tc>
        <w:tc>
          <w:tcPr>
            <w:tcW w:w="4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68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Other—net, (income) expense</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68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39,448</w:t>
            </w:r>
          </w:p>
        </w:tc>
        <w:tc>
          <w:tcPr>
            <w:tcW w:w="5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32,363</w:t>
            </w:r>
          </w:p>
        </w:tc>
        <w:tc>
          <w:tcPr>
            <w:tcW w:w="4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27,570</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25,731</w:t>
            </w:r>
          </w:p>
        </w:tc>
        <w:tc>
          <w:tcPr>
            <w:tcW w:w="5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12,680</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6,554</w:t>
            </w:r>
          </w:p>
        </w:tc>
      </w:tr>
      <w:tr>
        <w:trPr>
          <w:trHeight w:val="229"/>
        </w:trPr>
        <w:tc>
          <w:tcPr>
            <w:tcW w:w="6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5,091</w:t>
            </w:r>
          </w:p>
        </w:tc>
        <w:tc>
          <w:tcPr>
            <w:tcW w:w="5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2,090</w:t>
            </w:r>
          </w:p>
        </w:tc>
        <w:tc>
          <w:tcPr>
            <w:tcW w:w="4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68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20,640</w:t>
            </w: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10,590</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r>
      <w:tr>
        <w:trPr>
          <w:trHeight w:val="243"/>
        </w:trPr>
        <w:tc>
          <w:tcPr>
            <w:tcW w:w="68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9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2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6"/>
        </w:trPr>
        <w:tc>
          <w:tcPr>
            <w:tcW w:w="68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23.00</w:t>
            </w:r>
          </w:p>
        </w:tc>
        <w:tc>
          <w:tcPr>
            <w:tcW w:w="5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11.76</w:t>
            </w:r>
          </w:p>
        </w:tc>
        <w:tc>
          <w:tcPr>
            <w:tcW w:w="4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5.82</w:t>
            </w:r>
          </w:p>
        </w:tc>
      </w:tr>
      <w:tr>
        <w:trPr>
          <w:trHeight w:val="224"/>
        </w:trPr>
        <w:tc>
          <w:tcPr>
            <w:tcW w:w="68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w:t>
            </w: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11.71</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68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9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2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8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897.3</w:t>
            </w:r>
          </w:p>
        </w:tc>
        <w:tc>
          <w:tcPr>
            <w:tcW w:w="5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900.6</w:t>
            </w:r>
          </w:p>
        </w:tc>
        <w:tc>
          <w:tcPr>
            <w:tcW w:w="4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900.2</w:t>
            </w:r>
          </w:p>
        </w:tc>
      </w:tr>
      <w:tr>
        <w:trPr>
          <w:trHeight w:val="247"/>
        </w:trPr>
        <w:tc>
          <w:tcPr>
            <w:tcW w:w="68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899.3</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904.1</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903.3</w:t>
            </w:r>
          </w:p>
        </w:tc>
      </w:tr>
    </w:tbl>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196"/>
        </w:trPr>
        <w:tc>
          <w:tcPr>
            <w:tcW w:w="7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r>
      <w:tr>
        <w:trPr>
          <w:trHeight w:val="224"/>
        </w:trPr>
        <w:tc>
          <w:tcPr>
            <w:tcW w:w="7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ind w:right="35"/>
              <w:spacing w:after="0"/>
              <w:rPr>
                <w:sz w:val="20"/>
                <w:szCs w:val="20"/>
                <w:color w:val="auto"/>
              </w:rPr>
            </w:pPr>
            <w:r>
              <w:rPr>
                <w:rFonts w:ascii="Arial" w:cs="Arial" w:eastAsia="Arial" w:hAnsi="Arial"/>
                <w:sz w:val="18"/>
                <w:szCs w:val="18"/>
                <w:b w:val="1"/>
                <w:bCs w:val="1"/>
                <w:color w:val="auto"/>
              </w:rPr>
              <w:t>20,640</w:t>
            </w:r>
          </w:p>
        </w:tc>
        <w:tc>
          <w:tcPr>
            <w:tcW w:w="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10,590</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5,240</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1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5"/>
              <w:spacing w:after="0"/>
              <w:rPr>
                <w:sz w:val="20"/>
                <w:szCs w:val="20"/>
                <w:color w:val="auto"/>
              </w:rPr>
            </w:pPr>
            <w:r>
              <w:rPr>
                <w:rFonts w:ascii="Arial" w:cs="Arial" w:eastAsia="Arial" w:hAnsi="Arial"/>
                <w:sz w:val="18"/>
                <w:szCs w:val="18"/>
                <w:b w:val="1"/>
                <w:bCs w:val="1"/>
                <w:color w:val="auto"/>
              </w:rPr>
              <w:t>1,241</w:t>
            </w:r>
          </w:p>
        </w:tc>
        <w:tc>
          <w:tcPr>
            <w:tcW w:w="36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Retirement benefit plans</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192</w:t>
            </w:r>
          </w:p>
        </w:tc>
        <w:tc>
          <w:tcPr>
            <w:tcW w:w="36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519</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71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b w:val="1"/>
                <w:bCs w:val="1"/>
                <w:color w:val="auto"/>
              </w:rPr>
              <w:t>9</w:t>
            </w:r>
          </w:p>
        </w:tc>
        <w:tc>
          <w:tcPr>
            <w:tcW w:w="3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7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1,442</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30"/>
        </w:trPr>
        <w:tc>
          <w:tcPr>
            <w:tcW w:w="7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b w:val="1"/>
                <w:bCs w:val="1"/>
                <w:color w:val="auto"/>
              </w:rPr>
              <w:t>22,082</w:t>
            </w:r>
          </w:p>
        </w:tc>
        <w:tc>
          <w:tcPr>
            <w:tcW w:w="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color w:val="auto"/>
              </w:rPr>
              <w:t>10,595</w:t>
            </w:r>
          </w:p>
        </w:tc>
        <w:tc>
          <w:tcPr>
            <w:tcW w:w="36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4,758</w:t>
            </w:r>
          </w:p>
        </w:tc>
      </w:tr>
    </w:tbl>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7,268</w:t>
            </w:r>
          </w:p>
        </w:tc>
        <w:tc>
          <w:tcPr>
            <w:tcW w:w="54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29"/>
        </w:trPr>
        <w:tc>
          <w:tcPr>
            <w:tcW w:w="83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17,760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11,006</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receivables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2,395</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13,744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14,315</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147</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55,629</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32,740</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Noncurrent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2,802</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5,898</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intangibles, net</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6,521</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9,959</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24,675</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17,102</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6,992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112,476</w:t>
            </w:r>
          </w:p>
        </w:tc>
        <w:tc>
          <w:tcPr>
            <w:tcW w:w="54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78,715</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1,635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5,379</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Employee compensation</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2,375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Sales rebates and discounts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17,382</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8,457</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23"/>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35,228</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28,376</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Noncurrent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40,868</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Long-term income taxes payable</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5,875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3,970</w:t>
            </w:r>
          </w:p>
        </w:tc>
        <w:tc>
          <w:tcPr>
            <w:tcW w:w="54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50,713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36,067</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Commitments and Contingencies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DBDBDB"/>
          </w:tcPr>
          <w:p>
            <w:pPr>
              <w:ind w:left="220"/>
              <w:spacing w:after="0" w:line="176" w:lineRule="exact"/>
              <w:rPr>
                <w:sz w:val="20"/>
                <w:szCs w:val="20"/>
                <w:color w:val="auto"/>
              </w:rPr>
            </w:pPr>
            <w:r>
              <w:rPr>
                <w:rFonts w:ascii="Arial" w:cs="Arial" w:eastAsia="Arial" w:hAnsi="Arial"/>
                <w:sz w:val="18"/>
                <w:szCs w:val="18"/>
                <w:color w:val="auto"/>
              </w:rPr>
              <w:t>Common stock—no par value</w:t>
            </w:r>
          </w:p>
        </w:tc>
        <w:tc>
          <w:tcPr>
            <w:tcW w:w="3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DBDBDB"/>
          </w:tcPr>
          <w:p>
            <w:pPr>
              <w:ind w:left="220"/>
              <w:spacing w:after="0" w:line="176" w:lineRule="exact"/>
              <w:rPr>
                <w:sz w:val="20"/>
                <w:szCs w:val="20"/>
                <w:color w:val="auto"/>
              </w:rPr>
            </w:pPr>
            <w:r>
              <w:rPr>
                <w:rFonts w:ascii="Arial" w:cs="Arial" w:eastAsia="Arial" w:hAnsi="Arial"/>
                <w:sz w:val="18"/>
                <w:szCs w:val="18"/>
                <w:color w:val="auto"/>
              </w:rPr>
              <w:t>Authorized shares: 3,200.0</w:t>
            </w:r>
          </w:p>
        </w:tc>
        <w:tc>
          <w:tcPr>
            <w:tcW w:w="32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590</w:t>
            </w:r>
          </w:p>
        </w:tc>
        <w:tc>
          <w:tcPr>
            <w:tcW w:w="540" w:type="dxa"/>
            <w:vAlign w:val="bottom"/>
            <w:shd w:val="clear" w:color="auto" w:fill="DBDBDB"/>
          </w:tcPr>
          <w:p>
            <w:pPr>
              <w:spacing w:after="0"/>
              <w:rPr>
                <w:sz w:val="15"/>
                <w:szCs w:val="15"/>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944.8 (2025)</w:t>
            </w:r>
            <w:r>
              <w:rPr>
                <w:rFonts w:ascii="Arial" w:cs="Arial" w:eastAsia="Arial" w:hAnsi="Arial"/>
                <w:sz w:val="18"/>
                <w:szCs w:val="18"/>
                <w:color w:val="auto"/>
              </w:rPr>
              <w:t xml:space="preserve"> and 947.9 (2024)</w:t>
            </w:r>
          </w:p>
        </w:tc>
        <w:tc>
          <w:tcPr>
            <w:tcW w:w="320" w:type="dxa"/>
            <w:vAlign w:val="bottom"/>
            <w:shd w:val="clear" w:color="auto" w:fill="DBDBDB"/>
          </w:tcPr>
          <w:p>
            <w:pPr>
              <w:spacing w:after="0"/>
              <w:rPr>
                <w:sz w:val="21"/>
                <w:szCs w:val="21"/>
                <w:color w:val="auto"/>
              </w:rPr>
            </w:pPr>
          </w:p>
        </w:tc>
        <w:tc>
          <w:tcPr>
            <w:tcW w:w="1120" w:type="dxa"/>
            <w:vAlign w:val="bottom"/>
            <w:vMerge w:val="continue"/>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9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7,346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24,470</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Employee benefit trust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(3,013)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(2,880)</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26,535</w:t>
            </w:r>
          </w:p>
        </w:tc>
        <w:tc>
          <w:tcPr>
            <w:tcW w:w="54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14,272</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112,476</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78,715</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40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40" w:type="dxa"/>
            <w:vAlign w:val="bottom"/>
          </w:tcPr>
          <w:p>
            <w:pPr>
              <w:jc w:val="right"/>
              <w:ind w:right="194"/>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vMerge w:val="restart"/>
          </w:tcPr>
          <w:p>
            <w:pPr>
              <w:jc w:val="right"/>
              <w:ind w:right="314"/>
              <w:spacing w:after="0" w:line="122" w:lineRule="exact"/>
              <w:rPr>
                <w:sz w:val="20"/>
                <w:szCs w:val="20"/>
                <w:color w:val="auto"/>
              </w:rPr>
            </w:pPr>
            <w:r>
              <w:rPr>
                <w:rFonts w:ascii="Arial" w:cs="Arial" w:eastAsia="Arial" w:hAnsi="Arial"/>
                <w:sz w:val="14"/>
                <w:szCs w:val="14"/>
                <w:b w:val="1"/>
                <w:bCs w:val="1"/>
                <w:color w:val="auto"/>
              </w:rPr>
              <w:t>Paid-in</w:t>
            </w:r>
          </w:p>
        </w:tc>
        <w:tc>
          <w:tcPr>
            <w:tcW w:w="300" w:type="dxa"/>
            <w:vAlign w:val="bottom"/>
          </w:tcPr>
          <w:p>
            <w:pPr>
              <w:spacing w:after="0"/>
              <w:rPr>
                <w:sz w:val="4"/>
                <w:szCs w:val="4"/>
                <w:color w:val="auto"/>
              </w:rPr>
            </w:pPr>
          </w:p>
        </w:tc>
        <w:tc>
          <w:tcPr>
            <w:tcW w:w="1180" w:type="dxa"/>
            <w:vAlign w:val="bottom"/>
            <w:vMerge w:val="restart"/>
          </w:tcPr>
          <w:p>
            <w:pPr>
              <w:jc w:val="right"/>
              <w:ind w:right="352"/>
              <w:spacing w:after="0" w:line="122"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1080" w:type="dxa"/>
            <w:vAlign w:val="bottom"/>
            <w:vMerge w:val="restart"/>
          </w:tcPr>
          <w:p>
            <w:pPr>
              <w:jc w:val="right"/>
              <w:ind w:right="196"/>
              <w:spacing w:after="0" w:line="122" w:lineRule="exact"/>
              <w:rPr>
                <w:sz w:val="20"/>
                <w:szCs w:val="20"/>
                <w:color w:val="auto"/>
              </w:rPr>
            </w:pPr>
            <w:r>
              <w:rPr>
                <w:rFonts w:ascii="Arial" w:cs="Arial" w:eastAsia="Arial" w:hAnsi="Arial"/>
                <w:sz w:val="14"/>
                <w:szCs w:val="14"/>
                <w:b w:val="1"/>
                <w:bCs w:val="1"/>
                <w:color w:val="auto"/>
              </w:rPr>
              <w:t>Employee</w:t>
            </w:r>
          </w:p>
        </w:tc>
        <w:tc>
          <w:tcPr>
            <w:tcW w:w="180" w:type="dxa"/>
            <w:vAlign w:val="bottom"/>
          </w:tcPr>
          <w:p>
            <w:pPr>
              <w:spacing w:after="0"/>
              <w:rPr>
                <w:sz w:val="4"/>
                <w:szCs w:val="4"/>
                <w:color w:val="auto"/>
              </w:rPr>
            </w:pPr>
          </w:p>
        </w:tc>
        <w:tc>
          <w:tcPr>
            <w:tcW w:w="1460" w:type="dxa"/>
            <w:vAlign w:val="bottom"/>
            <w:vMerge w:val="restart"/>
          </w:tcPr>
          <w:p>
            <w:pPr>
              <w:jc w:val="right"/>
              <w:ind w:right="32"/>
              <w:spacing w:after="0" w:line="122" w:lineRule="exact"/>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48"/>
        </w:trPr>
        <w:tc>
          <w:tcPr>
            <w:tcW w:w="3120" w:type="dxa"/>
            <w:vAlign w:val="bottom"/>
          </w:tcPr>
          <w:p>
            <w:pPr>
              <w:spacing w:after="0"/>
              <w:rPr>
                <w:sz w:val="4"/>
                <w:szCs w:val="4"/>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4"/>
                <w:szCs w:val="4"/>
                <w:color w:val="auto"/>
              </w:rPr>
            </w:pP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Capital</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Benefit Trust</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January 1, 2023</w:t>
            </w: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950.6</w:t>
            </w:r>
          </w:p>
        </w:tc>
        <w:tc>
          <w:tcPr>
            <w:tcW w:w="2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594</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6,921</w:t>
            </w:r>
          </w:p>
        </w:tc>
        <w:tc>
          <w:tcPr>
            <w:tcW w:w="3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10,043</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(3,013)</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5,240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Cash dividends declared per share:</w:t>
            </w: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(4,221)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$4.69</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Purchases of common stock</w:t>
            </w: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Issuance of stock under employee</w:t>
            </w:r>
          </w:p>
        </w:tc>
        <w:tc>
          <w:tcPr>
            <w:tcW w:w="1200" w:type="dxa"/>
            <w:vAlign w:val="bottom"/>
            <w:vMerge w:val="restart"/>
          </w:tcPr>
          <w:p>
            <w:pPr>
              <w:jc w:val="right"/>
              <w:ind w:right="53"/>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stock plans, net</w:t>
            </w:r>
          </w:p>
        </w:tc>
        <w:tc>
          <w:tcPr>
            <w:tcW w:w="1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629</w:t>
            </w: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December 31, 2023</w:t>
            </w: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949.8</w:t>
            </w: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594</w:t>
            </w: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10,312</w:t>
            </w: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(3,013)</w:t>
            </w: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10,590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Other comprehensive income, net of</w:t>
            </w:r>
          </w:p>
        </w:tc>
        <w:tc>
          <w:tcPr>
            <w:tcW w:w="120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10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118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108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14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tax</w:t>
            </w:r>
          </w:p>
        </w:tc>
        <w:tc>
          <w:tcPr>
            <w:tcW w:w="1200" w:type="dxa"/>
            <w:vAlign w:val="bottom"/>
            <w:shd w:val="clear" w:color="auto" w:fill="D8D8D8"/>
          </w:tcPr>
          <w:p>
            <w:pPr>
              <w:spacing w:after="0"/>
              <w:rPr>
                <w:sz w:val="21"/>
                <w:szCs w:val="21"/>
                <w:color w:val="auto"/>
              </w:rPr>
            </w:pPr>
          </w:p>
        </w:tc>
        <w:tc>
          <w:tcPr>
            <w:tcW w:w="260" w:type="dxa"/>
            <w:vAlign w:val="bottom"/>
            <w:shd w:val="clear" w:color="auto" w:fill="D8D8D8"/>
          </w:tcPr>
          <w:p>
            <w:pPr>
              <w:spacing w:after="0"/>
              <w:rPr>
                <w:sz w:val="21"/>
                <w:szCs w:val="21"/>
                <w:color w:val="auto"/>
              </w:rPr>
            </w:pPr>
          </w:p>
        </w:tc>
        <w:tc>
          <w:tcPr>
            <w:tcW w:w="94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04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180" w:type="dxa"/>
            <w:vAlign w:val="bottom"/>
            <w:shd w:val="clear" w:color="auto" w:fill="D8D8D8"/>
          </w:tcPr>
          <w:p>
            <w:pPr>
              <w:spacing w:after="0"/>
              <w:rPr>
                <w:sz w:val="21"/>
                <w:szCs w:val="21"/>
                <w:color w:val="auto"/>
              </w:rPr>
            </w:pPr>
          </w:p>
        </w:tc>
        <w:tc>
          <w:tcPr>
            <w:tcW w:w="180" w:type="dxa"/>
            <w:vAlign w:val="bottom"/>
            <w:shd w:val="clear" w:color="auto" w:fill="D8D8D8"/>
          </w:tcPr>
          <w:p>
            <w:pPr>
              <w:spacing w:after="0"/>
              <w:rPr>
                <w:sz w:val="21"/>
                <w:szCs w:val="21"/>
                <w:color w:val="auto"/>
              </w:rPr>
            </w:pPr>
          </w:p>
        </w:tc>
        <w:tc>
          <w:tcPr>
            <w:tcW w:w="1080" w:type="dxa"/>
            <w:vAlign w:val="bottom"/>
            <w:shd w:val="clear" w:color="auto" w:fill="D8D8D8"/>
          </w:tcPr>
          <w:p>
            <w:pPr>
              <w:spacing w:after="0"/>
              <w:rPr>
                <w:sz w:val="21"/>
                <w:szCs w:val="21"/>
                <w:color w:val="auto"/>
              </w:rPr>
            </w:pPr>
          </w:p>
        </w:tc>
        <w:tc>
          <w:tcPr>
            <w:tcW w:w="180" w:type="dxa"/>
            <w:vAlign w:val="bottom"/>
            <w:shd w:val="clear" w:color="auto" w:fill="D8D8D8"/>
          </w:tcPr>
          <w:p>
            <w:pPr>
              <w:spacing w:after="0"/>
              <w:rPr>
                <w:sz w:val="21"/>
                <w:szCs w:val="21"/>
                <w:color w:val="auto"/>
              </w:rPr>
            </w:pPr>
          </w:p>
        </w:tc>
        <w:tc>
          <w:tcPr>
            <w:tcW w:w="1460" w:type="dxa"/>
            <w:vAlign w:val="bottom"/>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Cash dividends declared per share:</w:t>
            </w: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(4,857)</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$5.40</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Purchases of common stock</w:t>
            </w: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(2,498)</w:t>
            </w: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Issuance of stock under employee</w:t>
            </w:r>
          </w:p>
        </w:tc>
        <w:tc>
          <w:tcPr>
            <w:tcW w:w="1200" w:type="dxa"/>
            <w:vAlign w:val="bottom"/>
            <w:vMerge w:val="restart"/>
          </w:tcPr>
          <w:p>
            <w:pPr>
              <w:jc w:val="right"/>
              <w:ind w:right="53"/>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stock plans, net</w:t>
            </w:r>
          </w:p>
        </w:tc>
        <w:tc>
          <w:tcPr>
            <w:tcW w:w="1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646</w:t>
            </w: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December 31, 2024</w:t>
            </w: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947.9</w:t>
            </w: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592</w:t>
            </w: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7,439</w:t>
            </w: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13,545</w:t>
            </w: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(3,013)</w:t>
            </w: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20,640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Other comprehensive income, net of</w:t>
            </w:r>
          </w:p>
        </w:tc>
        <w:tc>
          <w:tcPr>
            <w:tcW w:w="120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10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118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108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14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1,442</w:t>
            </w:r>
          </w:p>
        </w:tc>
        <w:tc>
          <w:tcPr>
            <w:tcW w:w="0" w:type="dxa"/>
            <w:vAlign w:val="bottom"/>
          </w:tcPr>
          <w:p>
            <w:pPr>
              <w:spacing w:after="0"/>
              <w:rPr>
                <w:sz w:val="1"/>
                <w:szCs w:val="1"/>
                <w:color w:val="auto"/>
              </w:rPr>
            </w:pPr>
          </w:p>
        </w:tc>
      </w:tr>
      <w:tr>
        <w:trPr>
          <w:trHeight w:val="243"/>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tax</w:t>
            </w:r>
          </w:p>
        </w:tc>
        <w:tc>
          <w:tcPr>
            <w:tcW w:w="1200" w:type="dxa"/>
            <w:vAlign w:val="bottom"/>
            <w:shd w:val="clear" w:color="auto" w:fill="D8D8D8"/>
          </w:tcPr>
          <w:p>
            <w:pPr>
              <w:spacing w:after="0"/>
              <w:rPr>
                <w:sz w:val="21"/>
                <w:szCs w:val="21"/>
                <w:color w:val="auto"/>
              </w:rPr>
            </w:pPr>
          </w:p>
        </w:tc>
        <w:tc>
          <w:tcPr>
            <w:tcW w:w="260" w:type="dxa"/>
            <w:vAlign w:val="bottom"/>
            <w:shd w:val="clear" w:color="auto" w:fill="D8D8D8"/>
          </w:tcPr>
          <w:p>
            <w:pPr>
              <w:spacing w:after="0"/>
              <w:rPr>
                <w:sz w:val="21"/>
                <w:szCs w:val="21"/>
                <w:color w:val="auto"/>
              </w:rPr>
            </w:pPr>
          </w:p>
        </w:tc>
        <w:tc>
          <w:tcPr>
            <w:tcW w:w="94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04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180" w:type="dxa"/>
            <w:vAlign w:val="bottom"/>
            <w:shd w:val="clear" w:color="auto" w:fill="D8D8D8"/>
          </w:tcPr>
          <w:p>
            <w:pPr>
              <w:spacing w:after="0"/>
              <w:rPr>
                <w:sz w:val="21"/>
                <w:szCs w:val="21"/>
                <w:color w:val="auto"/>
              </w:rPr>
            </w:pPr>
          </w:p>
        </w:tc>
        <w:tc>
          <w:tcPr>
            <w:tcW w:w="180" w:type="dxa"/>
            <w:vAlign w:val="bottom"/>
            <w:shd w:val="clear" w:color="auto" w:fill="D8D8D8"/>
          </w:tcPr>
          <w:p>
            <w:pPr>
              <w:spacing w:after="0"/>
              <w:rPr>
                <w:sz w:val="21"/>
                <w:szCs w:val="21"/>
                <w:color w:val="auto"/>
              </w:rPr>
            </w:pPr>
          </w:p>
        </w:tc>
        <w:tc>
          <w:tcPr>
            <w:tcW w:w="1080" w:type="dxa"/>
            <w:vAlign w:val="bottom"/>
            <w:shd w:val="clear" w:color="auto" w:fill="D8D8D8"/>
          </w:tcPr>
          <w:p>
            <w:pPr>
              <w:spacing w:after="0"/>
              <w:rPr>
                <w:sz w:val="21"/>
                <w:szCs w:val="21"/>
                <w:color w:val="auto"/>
              </w:rPr>
            </w:pPr>
          </w:p>
        </w:tc>
        <w:tc>
          <w:tcPr>
            <w:tcW w:w="180" w:type="dxa"/>
            <w:vAlign w:val="bottom"/>
            <w:shd w:val="clear" w:color="auto" w:fill="D8D8D8"/>
          </w:tcPr>
          <w:p>
            <w:pPr>
              <w:spacing w:after="0"/>
              <w:rPr>
                <w:sz w:val="21"/>
                <w:szCs w:val="21"/>
                <w:color w:val="auto"/>
              </w:rPr>
            </w:pPr>
          </w:p>
        </w:tc>
        <w:tc>
          <w:tcPr>
            <w:tcW w:w="1460" w:type="dxa"/>
            <w:vAlign w:val="bottom"/>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Cash dividends declared per share:</w:t>
            </w: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(5,586)</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$6.23</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Purchases of common stock</w:t>
            </w: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(4.8)</w:t>
            </w: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(4,105)</w:t>
            </w: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Issuance of stock under employee</w:t>
            </w:r>
          </w:p>
        </w:tc>
        <w:tc>
          <w:tcPr>
            <w:tcW w:w="12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1.7</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(719)</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stock plans, net</w:t>
            </w:r>
          </w:p>
        </w:tc>
        <w:tc>
          <w:tcPr>
            <w:tcW w:w="1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D8D8D8"/>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626</w:t>
            </w:r>
          </w:p>
        </w:tc>
        <w:tc>
          <w:tcPr>
            <w:tcW w:w="30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4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Balance at December 31, 2025</w:t>
            </w:r>
          </w:p>
        </w:tc>
        <w:tc>
          <w:tcPr>
            <w:tcW w:w="120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944.8</w:t>
            </w:r>
          </w:p>
        </w:tc>
        <w:tc>
          <w:tcPr>
            <w:tcW w:w="2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590</w:t>
            </w:r>
          </w:p>
        </w:tc>
        <w:tc>
          <w:tcPr>
            <w:tcW w:w="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7,346</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24,470</w:t>
            </w:r>
          </w:p>
        </w:tc>
        <w:tc>
          <w:tcPr>
            <w:tcW w:w="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(3,013)</w:t>
            </w:r>
          </w:p>
        </w:tc>
        <w:tc>
          <w:tcPr>
            <w:tcW w:w="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(2,880)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196"/>
        </w:trPr>
        <w:tc>
          <w:tcPr>
            <w:tcW w:w="7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r>
      <w:tr>
        <w:trPr>
          <w:trHeight w:val="224"/>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20,640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10,590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5,240</w:t>
            </w:r>
          </w:p>
        </w:tc>
      </w:tr>
      <w:tr>
        <w:trPr>
          <w:trHeight w:val="230"/>
        </w:trPr>
        <w:tc>
          <w:tcPr>
            <w:tcW w:w="712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1,997</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1,767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Change in deferred income taxes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(1,707)</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(2,683)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(2,341)</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626</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Gains on sale of product rights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(180)</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(1,879)</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2,910</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3,280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29"/>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operating activities, net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620</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826</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w:t>
            </w:r>
          </w:p>
        </w:tc>
      </w:tr>
      <w:tr>
        <w:trPr>
          <w:trHeight w:val="184"/>
        </w:trPr>
        <w:tc>
          <w:tcPr>
            <w:tcW w:w="7120" w:type="dxa"/>
            <w:vAlign w:val="bottom"/>
          </w:tcPr>
          <w:p>
            <w:pPr>
              <w:ind w:left="360"/>
              <w:spacing w:after="0" w:line="183" w:lineRule="exact"/>
              <w:rPr>
                <w:sz w:val="20"/>
                <w:szCs w:val="20"/>
                <w:color w:val="auto"/>
              </w:rPr>
            </w:pPr>
            <w:r>
              <w:rPr>
                <w:rFonts w:ascii="Arial" w:cs="Arial" w:eastAsia="Arial" w:hAnsi="Arial"/>
                <w:sz w:val="18"/>
                <w:szCs w:val="18"/>
                <w:color w:val="auto"/>
              </w:rPr>
              <w:t>Other changes in operating assets and liabilities, net of acquisitions and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5"/>
        </w:trPr>
        <w:tc>
          <w:tcPr>
            <w:tcW w:w="71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7120" w:type="dxa"/>
            <w:vAlign w:val="bottom"/>
            <w:shd w:val="clear" w:color="auto" w:fill="DBDBDB"/>
          </w:tcPr>
          <w:p>
            <w:pPr>
              <w:ind w:left="480"/>
              <w:spacing w:after="0"/>
              <w:rPr>
                <w:sz w:val="20"/>
                <w:szCs w:val="20"/>
                <w:color w:val="auto"/>
              </w:rPr>
            </w:pPr>
            <w:r>
              <w:rPr>
                <w:rFonts w:ascii="Arial" w:cs="Arial" w:eastAsia="Arial" w:hAnsi="Arial"/>
                <w:sz w:val="18"/>
                <w:szCs w:val="18"/>
                <w:color w:val="auto"/>
              </w:rPr>
              <w:t>Receivables—(increase) decrease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(7,000)</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(2,155)</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7120" w:type="dxa"/>
            <w:vAlign w:val="bottom"/>
          </w:tcPr>
          <w:p>
            <w:pPr>
              <w:ind w:left="480"/>
              <w:spacing w:after="0"/>
              <w:rPr>
                <w:sz w:val="20"/>
                <w:szCs w:val="20"/>
                <w:color w:val="auto"/>
              </w:rPr>
            </w:pPr>
            <w:r>
              <w:rPr>
                <w:rFonts w:ascii="Arial" w:cs="Arial" w:eastAsia="Arial" w:hAnsi="Arial"/>
                <w:sz w:val="18"/>
                <w:szCs w:val="18"/>
                <w:color w:val="auto"/>
              </w:rPr>
              <w:t>Inventories—(increase) decrease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(4,671)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29"/>
        </w:trPr>
        <w:tc>
          <w:tcPr>
            <w:tcW w:w="7120" w:type="dxa"/>
            <w:vAlign w:val="bottom"/>
            <w:shd w:val="clear" w:color="auto" w:fill="DBDBDB"/>
          </w:tcPr>
          <w:p>
            <w:pPr>
              <w:ind w:left="480"/>
              <w:spacing w:after="0"/>
              <w:rPr>
                <w:sz w:val="20"/>
                <w:szCs w:val="20"/>
                <w:color w:val="auto"/>
              </w:rPr>
            </w:pPr>
            <w:r>
              <w:rPr>
                <w:rFonts w:ascii="Arial" w:cs="Arial" w:eastAsia="Arial" w:hAnsi="Arial"/>
                <w:sz w:val="18"/>
                <w:szCs w:val="18"/>
                <w:color w:val="auto"/>
              </w:rPr>
              <w:t>Prepaid expenses and other assets—(increase) decrease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(6,609)</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(3,331)</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(3,453)</w:t>
            </w:r>
          </w:p>
        </w:tc>
      </w:tr>
      <w:tr>
        <w:trPr>
          <w:trHeight w:val="230"/>
        </w:trPr>
        <w:tc>
          <w:tcPr>
            <w:tcW w:w="7120" w:type="dxa"/>
            <w:vAlign w:val="bottom"/>
            <w:tcBorders>
              <w:bottom w:val="single" w:sz="8" w:color="DBDBDB"/>
            </w:tcBorders>
          </w:tcPr>
          <w:p>
            <w:pPr>
              <w:ind w:left="480"/>
              <w:spacing w:after="0"/>
              <w:rPr>
                <w:sz w:val="20"/>
                <w:szCs w:val="20"/>
                <w:color w:val="auto"/>
              </w:rPr>
            </w:pPr>
            <w:r>
              <w:rPr>
                <w:rFonts w:ascii="Arial" w:cs="Arial" w:eastAsia="Arial" w:hAnsi="Arial"/>
                <w:sz w:val="18"/>
                <w:szCs w:val="18"/>
                <w:color w:val="auto"/>
              </w:rPr>
              <w:t>Accounts payable and other liabilities—increase (decrease)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10,187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2,609</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r>
      <w:tr>
        <w:trPr>
          <w:trHeight w:val="223"/>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16,813</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8,818</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4,240</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(7,841)</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(5,058)</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(3,448)</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964</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noncurrent investments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(645)</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(677)</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(731)</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Proceeds from sale of product rights</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218</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1,604</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in-process research and development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(3,346)</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(3,944)</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(10,972)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(9,302)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(7,153)</w:t>
            </w:r>
          </w:p>
        </w:tc>
      </w:tr>
      <w:tr>
        <w:trPr>
          <w:trHeight w:val="230"/>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(5,384)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change in short-term borrowings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(4,338)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(1,852)</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4,691</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13,167</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11,417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3,959</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Repayments of long-term debt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(664)</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Purchases of common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(4,108)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(772)</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(491)</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(2,213)</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1,230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3,496</w:t>
            </w:r>
          </w:p>
        </w:tc>
      </w:tr>
      <w:tr>
        <w:trPr>
          <w:trHeight w:val="230"/>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372</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4,000</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30"/>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3,268</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color w:val="auto"/>
              </w:rPr>
              <w:t>2,819</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2,067</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7,268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r>
    </w:tbl>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(Tables present dollars in millions, except per-share data, and numbers may not add due to rounding)</w:t>
      </w:r>
    </w:p>
    <w:p>
      <w:pPr>
        <w:spacing w:after="0" w:line="200" w:lineRule="exact"/>
        <w:rPr>
          <w:sz w:val="20"/>
          <w:szCs w:val="20"/>
          <w:color w:val="auto"/>
        </w:rPr>
      </w:pPr>
    </w:p>
    <w:p>
      <w:pPr>
        <w:ind w:right="1580"/>
        <w:spacing w:after="0" w:line="375" w:lineRule="auto"/>
        <w:rPr>
          <w:sz w:val="20"/>
          <w:szCs w:val="20"/>
          <w:color w:val="auto"/>
        </w:rPr>
      </w:pPr>
      <w:r>
        <w:rPr>
          <w:rFonts w:ascii="Arial" w:cs="Arial" w:eastAsia="Arial" w:hAnsi="Arial"/>
          <w:sz w:val="18"/>
          <w:szCs w:val="18"/>
          <w:b w:val="1"/>
          <w:bCs w:val="1"/>
          <w:color w:val="auto"/>
        </w:rPr>
        <w:t>Note 1: Summary of Significant Accounting Policies and Implementation of New Financial Accounting Standards Basis of Presentation</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accompanying consolidated financial statements include Eli Lilly and Company and all subsidiaries and have been prepared in accordance with accounting principles generally accepted in the United States (GAAP). We consider majority voting interests, as well as effective economic or other control over an entity when deciding whether or not to consolidate an entity. We generally do not have control by means other than voting interests. All intercompany balances and transactions have been eliminated.</w:t>
      </w:r>
    </w:p>
    <w:p>
      <w:pPr>
        <w:spacing w:after="0" w:line="68"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them with the Securities and Exchange Commission (SEC) and have evaluated subsequent events up to the time of the filing of this Annual Report on Form 10-K.</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See Note 17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IPR&amp;D</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includes the initial costs and development milestones incurred related to externally developed IPR&amp;D projects, acquired directly in a transaction other than a business combination, that do not have an alternative future use. Development milestones are milestone payment obligations that are incurred prior to regulatory approval of the compound and are expensed when the event triggering an obligation to pay the milestone occurs.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All per-share amounts, unless otherwise stated in the notes to the consolidated financial statements, are presented on a diluted basis. We calculate basic EPS based on the weighted-average number of common shares outstanding plus the effect of incremental shares from potential participating securities. We calculate diluted EPS based on the weighted-average number of common shares outstanding plus the effect of incremental shares from our stock-based compensation programs.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Operations in our subsidiaries outside the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Costs associated with advertising are expensed as incurred and are generally included in marketing, selling, and administrative expenses. Global advertising expenses, comprised primarily of online marketing and television advertising, totaled $2.9 billion, $1.4 billion, and $1.1 billion in 2025, 2024, and 2023, respectively, which were less than 5 percent of revenue each year.</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27"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 xml:space="preserve">Effective January 1, 2025, we prospectively adopted Accounting Standards Update (ASU) 2023-09,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requires incremental disaggregation pertaining to the effective tax rate reconciliation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paid. See Note 14 for the income tax disclosures as required by Topic 740, as amended by ASU 2023-09.</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Statement—Reporting Comprehensive Income—Expense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of Income Statement Expenses, </w:t>
      </w:r>
      <w:r>
        <w:rPr>
          <w:rFonts w:ascii="Arial" w:cs="Arial" w:eastAsia="Arial" w:hAnsi="Arial"/>
          <w:sz w:val="18"/>
          <w:szCs w:val="18"/>
          <w:color w:val="auto"/>
        </w:rPr>
        <w:t>requires disaggregation of specific expense categories in the notes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 qualitative description of the remaining expense amounts not separately disaggregated. This standard is effective for annual reporting periods beginning after December 15, 2026, and requires prospective application with the option to apply it retrospectively. We intend to adopt this standard in our Annual Report on Form 10-K for the year ending December 31, 2027. We are currently evaluating the potential impact of adopting this standard on our disclosures.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r>
      <w:tr>
        <w:trPr>
          <w:trHeight w:val="224"/>
        </w:trPr>
        <w:tc>
          <w:tcPr>
            <w:tcW w:w="5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product revenue</w:t>
            </w:r>
          </w:p>
        </w:tc>
        <w:tc>
          <w:tcPr>
            <w:tcW w:w="1060" w:type="dxa"/>
            <w:vAlign w:val="bottom"/>
            <w:shd w:val="clear" w:color="auto" w:fill="DBDBDB"/>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60,958</w:t>
            </w:r>
          </w:p>
        </w:tc>
        <w:tc>
          <w:tcPr>
            <w:tcW w:w="5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40,748</w:t>
            </w:r>
          </w:p>
        </w:tc>
        <w:tc>
          <w:tcPr>
            <w:tcW w:w="5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28,814</w:t>
            </w:r>
          </w:p>
        </w:tc>
      </w:tr>
      <w:tr>
        <w:trPr>
          <w:trHeight w:val="230"/>
        </w:trPr>
        <w:tc>
          <w:tcPr>
            <w:tcW w:w="5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4,221</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4,295</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w:t>
            </w:r>
          </w:p>
        </w:tc>
      </w:tr>
      <w:tr>
        <w:trPr>
          <w:trHeight w:val="230"/>
        </w:trPr>
        <w:tc>
          <w:tcPr>
            <w:tcW w:w="5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auto"/>
            </w:tcBorders>
            <w:shd w:val="clear" w:color="auto" w:fill="DBDBDB"/>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65,179</w:t>
            </w:r>
          </w:p>
        </w:tc>
        <w:tc>
          <w:tcPr>
            <w:tcW w:w="50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ind w:right="15"/>
              <w:spacing w:after="0"/>
              <w:rPr>
                <w:sz w:val="20"/>
                <w:szCs w:val="20"/>
                <w:color w:val="auto"/>
              </w:rPr>
            </w:pPr>
            <w:r>
              <w:rPr>
                <w:rFonts w:ascii="Arial" w:cs="Arial" w:eastAsia="Arial" w:hAnsi="Arial"/>
                <w:sz w:val="18"/>
                <w:szCs w:val="18"/>
                <w:color w:val="auto"/>
              </w:rPr>
              <w:t>45,043</w:t>
            </w:r>
          </w:p>
        </w:tc>
        <w:tc>
          <w:tcPr>
            <w:tcW w:w="5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34,124</w:t>
            </w:r>
          </w:p>
        </w:tc>
      </w:tr>
    </w:tbl>
    <w:p>
      <w:pPr>
        <w:spacing w:after="0" w:line="1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3 for additional information related to our collaborations and other arrangements. Collaboration and other revenue disclosed above includes the revenue resulting from our collaboration with Boehringer Ingelheim, as well as the sale of product rights. Substantially all of the remainder of collaboration and other revenue is related to contracts accounted for as contracts with customers.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70 days from date of shipment. Provisions for rebates, discounts, and returns are established in the same period the related product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Most of our products are sold to wholesalers that serve pharmacies, physicians and other healthcare professionals, and hospitals. For the years ended December 31, 2025, 2024, and 2023, our three largest wholesalers each accounted for between 16 percent and 24 percent of consolidated revenue. Further, they each accounted for between 20 percent and 29 percent of accounts receivable as of December 31, 2025 and 2024. As of December 31, 2025 and 2024, our allowance for doubtful accounts was not material.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ind w:right="220"/>
        <w:spacing w:after="0" w:line="287"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discounts, and returns. The following describe the most significant of these judgments: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Rebates and Discounts - Background and Uncertainties</w:t>
      </w:r>
    </w:p>
    <w:p>
      <w:pPr>
        <w:spacing w:after="0" w:line="115" w:lineRule="exact"/>
        <w:rPr>
          <w:sz w:val="20"/>
          <w:szCs w:val="20"/>
          <w:color w:val="auto"/>
        </w:rPr>
      </w:pPr>
    </w:p>
    <w:p>
      <w:pPr>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initially invoice our customers at contractual list prices. Contracts with direct and indirect customers may provide for various rebates and discounts, which we estimate as a reduction of product revenue at the time we recognize a sale to a direct customer. We estimate these accruals using an expected value approach. Since there is often a timing lag between the product sale and the settlement of accruals relating to these programs, our net product revenue may incorporate revisions of accruals for several periods.</w:t>
      </w:r>
    </w:p>
    <w:p>
      <w:pPr>
        <w:spacing w:after="0" w:line="68"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U.S., the largest of our sales rebate and discount amounts include rebates associated with sales covered by managed care, Medicare, Medicaid, and chargeback programs, as well as reductions in revenue related to our patient assistance programs. In determining the appropriate accrual amount, we consider our historical payments for these programs by product as a percentage of our historical sales, any significant changes in sales trends, an evaluation of the current contracts for these programs, the percentage of our products that are sold via these programs, and our product pricing.</w:t>
      </w:r>
    </w:p>
    <w:p>
      <w:pPr>
        <w:spacing w:after="0" w:line="71"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Contractual rebates are generally provided as part of reimbursement programs for products. Government rebates are generally based on the anticipated budget for pharmaceutical payments in the country.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Returns - Background and Uncertainties</w:t>
      </w:r>
    </w:p>
    <w:p>
      <w:pPr>
        <w:spacing w:after="0" w:line="115" w:lineRule="exact"/>
        <w:rPr>
          <w:sz w:val="20"/>
          <w:szCs w:val="20"/>
          <w:color w:val="auto"/>
        </w:rPr>
      </w:pPr>
    </w:p>
    <w:p>
      <w:pPr>
        <w:ind w:left="660" w:right="6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estimated levels of inventory in the wholesale and retail channels, patent exclusivity, product recalls and discontinuations, or a changing competitive environment. We record the return amounts as a deduction to arrive at our net product revenue. Actual U.S. product returns have been less than 1 percent of our U.S. revenue during each of the past three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Adjustments to Revenue</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Adjustments to revenue recognized as a result of changes in estimates for our most significant U.S. sales returns, rebates, and discounts liability balances for products shipped in previous periods were less than 1 percent, 3 percent, and 1 percent of U.S. revenue during the years ended December 31, 2025, 2024, and 2023,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Other Arrangements</w:t>
      </w:r>
    </w:p>
    <w:p>
      <w:pPr>
        <w:spacing w:after="0" w:line="117"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We recognize several types of revenue from our collaborations and other arrangements, which we discuss in general terms immediately below and more specifically in Note 3 for each of our significant collaborations and other arrangements. Our collaborations and other arrangements are evaluated to determine if the arrangements in their entirety, or contain aspects that, are contracts with customers.</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Royalty revenue from licensees and certain of our collaboration partners, which is based on sales to third 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net gain or loss related to the sale of rights of a product is included in collaboration and other revenue when control of the asset transfers to the other party. For arrangements that involve variable consideration where we have sold intellectual property, we recognize revenue based on estimates of the amount of consideration we believe we will be entitled to receive from the other party, but only to the extent a significant reversal in the amount of revenue recognized is not probable of occurring when the uncertainties associated with the variable consideration are subsequently resolved. 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U.S.</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r>
      <w:tr>
        <w:trPr>
          <w:trHeight w:val="224"/>
        </w:trPr>
        <w:tc>
          <w:tcPr>
            <w:tcW w:w="3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640" w:type="dxa"/>
            <w:vAlign w:val="bottom"/>
          </w:tcPr>
          <w:p>
            <w:pPr>
              <w:ind w:left="80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13,651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8,950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9,315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2,590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36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Zepbound</w:t>
            </w:r>
            <w:r>
              <w:rPr>
                <w:rFonts w:ascii="Arial" w:cs="Arial" w:eastAsia="Arial" w:hAnsi="Arial"/>
                <w:sz w:val="23"/>
                <w:szCs w:val="23"/>
                <w:i w:val="1"/>
                <w:iCs w:val="1"/>
                <w:color w:val="auto"/>
                <w:vertAlign w:val="superscript"/>
              </w:rPr>
              <w:t>(1)</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13,484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4,926</w:t>
            </w: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tcPr>
          <w:p>
            <w:pPr>
              <w:ind w:left="800"/>
              <w:spacing w:after="0"/>
              <w:rPr>
                <w:sz w:val="20"/>
                <w:szCs w:val="20"/>
                <w:color w:val="auto"/>
              </w:rPr>
            </w:pPr>
            <w:r>
              <w:rPr>
                <w:rFonts w:ascii="Arial" w:cs="Arial" w:eastAsia="Arial" w:hAnsi="Arial"/>
                <w:sz w:val="18"/>
                <w:szCs w:val="18"/>
                <w:i w:val="1"/>
                <w:iCs w:val="1"/>
                <w:color w:val="auto"/>
              </w:rPr>
              <w:t>Trulicity</w:t>
            </w: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2,914</w:t>
            </w:r>
          </w:p>
        </w:tc>
        <w:tc>
          <w:tcPr>
            <w:tcW w:w="3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3,694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1,362</w:t>
            </w:r>
          </w:p>
        </w:tc>
        <w:tc>
          <w:tcPr>
            <w:tcW w:w="2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1,560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9"/>
        </w:trPr>
        <w:tc>
          <w:tcPr>
            <w:tcW w:w="36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i w:val="1"/>
                <w:iCs w:val="1"/>
                <w:color w:val="auto"/>
                <w:vertAlign w:val="superscript"/>
              </w:rPr>
              <w:t>(2)</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1,582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1,598</w:t>
            </w: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1,849</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1,743</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364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2,233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1,773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1,778</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r>
      <w:tr>
        <w:trPr>
          <w:trHeight w:val="223"/>
        </w:trPr>
        <w:tc>
          <w:tcPr>
            <w:tcW w:w="364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33,864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21,850</w:t>
            </w: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14,781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14,357</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7,671</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4,887</w:t>
            </w:r>
          </w:p>
        </w:tc>
      </w:tr>
      <w:tr>
        <w:trPr>
          <w:trHeight w:val="257"/>
        </w:trPr>
        <w:tc>
          <w:tcPr>
            <w:tcW w:w="3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3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30"/>
        </w:trPr>
        <w:tc>
          <w:tcPr>
            <w:tcW w:w="3640" w:type="dxa"/>
            <w:vAlign w:val="bottom"/>
          </w:tcPr>
          <w:p>
            <w:pPr>
              <w:ind w:left="80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3,464</w:t>
            </w:r>
          </w:p>
        </w:tc>
        <w:tc>
          <w:tcPr>
            <w:tcW w:w="3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3,421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2,259</w:t>
            </w:r>
          </w:p>
        </w:tc>
        <w:tc>
          <w:tcPr>
            <w:tcW w:w="2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1,886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364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1,888</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rPr>
              <w:t>1,615</w:t>
            </w:r>
          </w:p>
        </w:tc>
        <w:tc>
          <w:tcPr>
            <w:tcW w:w="36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1,765</w:t>
            </w:r>
          </w:p>
        </w:tc>
        <w:tc>
          <w:tcPr>
            <w:tcW w:w="24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rPr>
              <w:t>1,831</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1,507</w:t>
            </w:r>
          </w:p>
        </w:tc>
      </w:tr>
      <w:tr>
        <w:trPr>
          <w:trHeight w:val="223"/>
        </w:trPr>
        <w:tc>
          <w:tcPr>
            <w:tcW w:w="3640" w:type="dxa"/>
            <w:vAlign w:val="bottom"/>
          </w:tcPr>
          <w:p>
            <w:pPr>
              <w:ind w:left="46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5,352</w:t>
            </w:r>
          </w:p>
        </w:tc>
        <w:tc>
          <w:tcPr>
            <w:tcW w:w="3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5,036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4,024</w:t>
            </w:r>
          </w:p>
        </w:tc>
        <w:tc>
          <w:tcPr>
            <w:tcW w:w="2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3,717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2,861</w:t>
            </w:r>
          </w:p>
        </w:tc>
      </w:tr>
      <w:tr>
        <w:trPr>
          <w:trHeight w:val="256"/>
        </w:trPr>
        <w:tc>
          <w:tcPr>
            <w:tcW w:w="364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64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Taltz</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2,333</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2,152</w:t>
            </w: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1,230</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1,108</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928</w:t>
            </w:r>
          </w:p>
        </w:tc>
      </w:tr>
      <w:tr>
        <w:trPr>
          <w:trHeight w:val="229"/>
        </w:trPr>
        <w:tc>
          <w:tcPr>
            <w:tcW w:w="364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631</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1,053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827</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r>
      <w:tr>
        <w:trPr>
          <w:trHeight w:val="223"/>
        </w:trPr>
        <w:tc>
          <w:tcPr>
            <w:tcW w:w="364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2,964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2,458</w:t>
            </w: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2,283</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1,935</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1,740</w:t>
            </w:r>
          </w:p>
        </w:tc>
      </w:tr>
      <w:tr>
        <w:trPr>
          <w:trHeight w:val="257"/>
        </w:trPr>
        <w:tc>
          <w:tcPr>
            <w:tcW w:w="3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3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997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780</w:t>
            </w: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394</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694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2,183</w:t>
            </w:r>
          </w:p>
        </w:tc>
      </w:tr>
      <w:tr>
        <w:trPr>
          <w:trHeight w:val="257"/>
        </w:trPr>
        <w:tc>
          <w:tcPr>
            <w:tcW w:w="3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3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304</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639</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652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w:t>
            </w:r>
          </w:p>
        </w:tc>
      </w:tr>
      <w:tr>
        <w:trPr>
          <w:trHeight w:val="256"/>
        </w:trPr>
        <w:tc>
          <w:tcPr>
            <w:tcW w:w="3640" w:type="dxa"/>
            <w:vAlign w:val="bottom"/>
            <w:tcBorders>
              <w:bottom w:val="single" w:sz="8" w:color="DBDBDB"/>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30"/>
        </w:trPr>
        <w:tc>
          <w:tcPr>
            <w:tcW w:w="3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43,481</w:t>
            </w:r>
          </w:p>
        </w:tc>
        <w:tc>
          <w:tcPr>
            <w:tcW w:w="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rPr>
              <w:t>30,375</w:t>
            </w:r>
          </w:p>
        </w:tc>
        <w:tc>
          <w:tcPr>
            <w:tcW w:w="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21,791</w:t>
            </w:r>
          </w:p>
        </w:tc>
        <w:tc>
          <w:tcPr>
            <w:tcW w:w="100" w:type="dxa"/>
            <w:vAlign w:val="bottom"/>
            <w:tcBorders>
              <w:bottom w:val="single" w:sz="8" w:color="auto"/>
            </w:tcBorders>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21,698</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rPr>
              <w:t>14,668</w:t>
            </w:r>
          </w:p>
        </w:tc>
        <w:tc>
          <w:tcPr>
            <w:tcW w:w="3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12,333</w:t>
            </w:r>
          </w:p>
        </w:tc>
      </w:tr>
    </w:tbl>
    <w:p>
      <w:pPr>
        <w:spacing w:after="0" w:line="99"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Tirzepatide is marketed for obesity under the brand name Zepbound in Canada, Japan, and the U.S.</w:t>
      </w:r>
    </w:p>
    <w:p>
      <w:pPr>
        <w:spacing w:after="0" w:line="1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r>
      <w:tr>
        <w:trPr>
          <w:trHeight w:val="224"/>
        </w:trPr>
        <w:tc>
          <w:tcPr>
            <w:tcW w:w="6980" w:type="dxa"/>
            <w:vAlign w:val="bottom"/>
            <w:shd w:val="clear" w:color="auto" w:fill="DBDBDB"/>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43,481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30,375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21,791</w:t>
            </w:r>
          </w:p>
        </w:tc>
      </w:tr>
      <w:tr>
        <w:trPr>
          <w:trHeight w:val="229"/>
        </w:trPr>
        <w:tc>
          <w:tcPr>
            <w:tcW w:w="6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11,558</w:t>
            </w: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6,921</w:t>
            </w: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6,175</w:t>
            </w: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2,132</w:t>
            </w:r>
          </w:p>
        </w:tc>
        <w:tc>
          <w:tcPr>
            <w:tcW w:w="4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1,815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w:t>
            </w:r>
          </w:p>
        </w:tc>
      </w:tr>
      <w:tr>
        <w:trPr>
          <w:trHeight w:val="230"/>
        </w:trPr>
        <w:tc>
          <w:tcPr>
            <w:tcW w:w="6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1,951</w:t>
            </w: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1,660</w:t>
            </w: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1,540</w:t>
            </w:r>
          </w:p>
        </w:tc>
      </w:tr>
      <w:tr>
        <w:trPr>
          <w:trHeight w:val="230"/>
        </w:trPr>
        <w:tc>
          <w:tcPr>
            <w:tcW w:w="6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6,057</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4,271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r>
      <w:tr>
        <w:trPr>
          <w:trHeight w:val="230"/>
        </w:trPr>
        <w:tc>
          <w:tcPr>
            <w:tcW w:w="6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65,179</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color w:val="auto"/>
              </w:rPr>
              <w:t>45,043</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34,124</w:t>
            </w:r>
          </w:p>
        </w:tc>
      </w:tr>
    </w:tbl>
    <w:p>
      <w:pPr>
        <w:spacing w:after="0" w:line="99"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 or other party.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3: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Boehringer Ingelheim's Jardiance product family, which includes Glyxambi, Synjardy, and Trijardy XR, is the significant product family included in the collaboration.</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For the Jardiance product family in the most significant markets, which remains in the collaboration through December 31, 2028, we receive a share of net sales depending on performance of the product, which we recognize as collaboration and other revenue. The following table summarizes our revenue recognized: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r>
      <w:tr>
        <w:trPr>
          <w:trHeight w:val="224"/>
        </w:trPr>
        <w:tc>
          <w:tcPr>
            <w:tcW w:w="3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Jardiance</w:t>
            </w:r>
          </w:p>
        </w:tc>
        <w:tc>
          <w:tcPr>
            <w:tcW w:w="386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3,432</w:t>
            </w:r>
          </w:p>
        </w:tc>
        <w:tc>
          <w:tcPr>
            <w:tcW w:w="960" w:type="dxa"/>
            <w:vAlign w:val="bottom"/>
            <w:shd w:val="clear" w:color="auto" w:fill="DBDBDB"/>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7"/>
              </w:rPr>
              <w:t>3,341</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2,745</w:t>
            </w: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2025 and 2024, we and Boehringer Ingelheim entered into amendments to our collaboration to adjust commercialization responsibilities for the Jardiance product family in certain markets, resulting in our recognition of one-time benefits of $370 million and $300 million as Jardiance revenue during the years ended December 31, 2025 and 2024, respectively.</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 ended December 31, 2025, we recognized a $200 million sales-based milestone for Jardiance. As of December 31, 2025, we have the right to receive up to $910 million in potential sales-based milestones related to the Jardiance product family in certain markets in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December 31, 2025, Roche is eligible to receive additional payments from us, including up to $975 million in potential sales-based milestones.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As of December 31, 2025, we are eligible to receive additional payments up to $1.2 billion in a series of sales-based milestones.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In addition to milestone payment rights which are not material, Chugai has the right to receive tiered royalty payments on future worldwide net sales from mid single digits to low teens if the product is successfully commercialized.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Divestitures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2023, we sold the rights for the olanzapine portfolio, including Zyprexa, a neuroscience product, to Cheplapharm Arzneimittel GmbH, a European company. During the year ended December 31, 2023, we recognized $1.4 billion in revenue primarily related to the net gain on the sale of rights for the olanzapine portfolio.</w:t>
      </w:r>
    </w:p>
    <w:p>
      <w:pPr>
        <w:spacing w:after="0" w:line="6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2023, we sold the rights for Baqsimi, a cardiometabolic health product, to Amphastar Pharmaceuticals, Inc. During the year ended December 31, 2023, we recognized $579 million in revenue primarily related to the net gain on the sale of rights for Baqsimi. As of December 31, 2025, we are eligible to receive payments of up to $450 million in a series of sales-based milestones.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if the products are approved for commercialization and/or milestones based on the successful progress of compounds through the development process. We account for each arrangement as either a business combination or an asset acquisition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an acquisition met the definition of a business under GAAP,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financial statements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Verve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July 2025, we acquired all shares of Verve Therapeutics, Inc. (Verve) for a purchase price of $10.50 per share in cash (or an aggregate of $549 million, net of cash acquired), plus one non-tradeable contingent value right (CVR) per share that entitles the holder to receive up to an additional $3.00 per share (or an aggregate of up to approximately $300 million) payable, subject to certain terms and conditions, upon the achievement of a certain specified milestone. Verve is developing genetic medicines for cardiovascular disease.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access to information was limited prior to this acquisition. As a consequence, we are in the process of determining fair values and tax bases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July 25,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680" w:type="dxa"/>
            <w:vAlign w:val="bottom"/>
            <w:tcBorders>
              <w:top w:val="single" w:sz="8" w:color="auto"/>
            </w:tcBorders>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29"/>
        </w:trPr>
        <w:tc>
          <w:tcPr>
            <w:tcW w:w="948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6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9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9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6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1,163</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Less:</w:t>
            </w: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94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Cash acquired</w:t>
            </w:r>
          </w:p>
        </w:tc>
        <w:tc>
          <w:tcPr>
            <w:tcW w:w="6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9480" w:type="dxa"/>
            <w:vAlign w:val="bottom"/>
          </w:tcPr>
          <w:p>
            <w:pPr>
              <w:ind w:left="260"/>
              <w:spacing w:after="0"/>
              <w:rPr>
                <w:sz w:val="20"/>
                <w:szCs w:val="20"/>
                <w:color w:val="auto"/>
              </w:rPr>
            </w:pPr>
            <w:r>
              <w:rPr>
                <w:rFonts w:ascii="Arial" w:cs="Arial" w:eastAsia="Arial" w:hAnsi="Arial"/>
                <w:sz w:val="18"/>
                <w:szCs w:val="18"/>
                <w:color w:val="auto"/>
              </w:rPr>
              <w:t>Fair value of CVR liability</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94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Fair value of equity interest in Verve held before the business combination</w:t>
            </w:r>
          </w:p>
        </w:tc>
        <w:tc>
          <w:tcPr>
            <w:tcW w:w="6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bl>
    <w:p>
      <w:pPr>
        <w:spacing w:after="0" w:line="99"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VERVE-102 (PCSK9 Editor).</w:t>
      </w:r>
    </w:p>
    <w:p>
      <w:pPr>
        <w:spacing w:after="0" w:line="19" w:lineRule="exact"/>
        <w:rPr>
          <w:rFonts w:ascii="Arial" w:cs="Arial" w:eastAsia="Arial" w:hAnsi="Arial"/>
          <w:sz w:val="16"/>
          <w:szCs w:val="16"/>
          <w:color w:val="auto"/>
          <w:vertAlign w:val="superscript"/>
        </w:rPr>
      </w:pPr>
    </w:p>
    <w:p>
      <w:pPr>
        <w:ind w:left="180" w:right="620" w:hanging="172"/>
        <w:spacing w:after="0" w:line="222" w:lineRule="auto"/>
        <w:tabs>
          <w:tab w:leader="none" w:pos="172"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goodwill recognized from this acquisition is primarily attributable to future unidentified projects and products and the assembled workforce for Verve, which is not deductible for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Facility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May 2024, we acquired NexPharm Parent HoldCo, LLC and Isopro Holdings, LLC, which together own the assets of a manufacturing site in Wisconsin, for a purchase price of $925 million, net of cash acquired. The facility expands our global parenteral (injectable) product manufacturing network.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connection with this acquisition, we recognized $817 million of goodwill, which is primarily attributable to the synergies between the manufacturing capabilities of the site and our products as well as the assembled workforce of the site and is deductible for tax purposes, as well as $109 million of property and equipment.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POINT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December 2023, we acquired all shares of POINT Biopharma Global Inc. (POINT) for a purchase price of $12.50 per share in cash (or an aggregate of $ 1.0 billion, net of cash acquired). POINT has capabilities in radiopharmaceutical discovery, development, and manufacturing efforts, as well as clinical and pre-clinical radioligand therapies in development for the treatment of cancer.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27,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80" w:type="dxa"/>
            <w:vAlign w:val="bottom"/>
            <w:tcBorders>
              <w:top w:val="single" w:sz="8" w:color="auto"/>
            </w:tcBorders>
            <w:shd w:val="clear" w:color="auto" w:fill="DBDBDB"/>
          </w:tcPr>
          <w:p>
            <w:pPr>
              <w:jc w:val="right"/>
              <w:ind w:right="7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Acquired IPR&amp;D</w:t>
            </w:r>
          </w:p>
        </w:tc>
        <w:tc>
          <w:tcPr>
            <w:tcW w:w="9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8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98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8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8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1,339</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Less:</w:t>
            </w:r>
          </w:p>
        </w:tc>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acquired</w:t>
            </w:r>
          </w:p>
        </w:tc>
        <w:tc>
          <w:tcPr>
            <w:tcW w:w="98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bl>
    <w:p>
      <w:pPr>
        <w:spacing w:after="0" w:line="99" w:lineRule="exact"/>
        <w:rPr>
          <w:sz w:val="20"/>
          <w:szCs w:val="20"/>
          <w:color w:val="auto"/>
        </w:rPr>
      </w:pPr>
    </w:p>
    <w:p>
      <w:pPr>
        <w:ind w:left="180" w:right="200" w:hanging="172"/>
        <w:spacing w:after="0" w:line="229" w:lineRule="auto"/>
        <w:tabs>
          <w:tab w:leader="none" w:pos="158"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radiopharmaceutical discovery, development, and manufacturing capabilities and the assembled workforce for POINT, which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each asset acquisition, the cost allocated to acquired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 We recognized acquired IPR&amp;D charges of $2.9 billion, $3.3 billion, and $3.8 billion for the years ended December 31, 2025, 2024, and 2023, respectively. The following table summarizes our significant acquired IPR&amp;D charges during 2025, 2024, and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Counterparty</w:t>
            </w:r>
          </w:p>
        </w:tc>
        <w:tc>
          <w:tcPr>
            <w:tcW w:w="424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Compound, Therapy, or Asset</w:t>
            </w:r>
          </w:p>
        </w:tc>
        <w:tc>
          <w:tcPr>
            <w:tcW w:w="1300" w:type="dxa"/>
            <w:vAlign w:val="bottom"/>
          </w:tcPr>
          <w:p>
            <w:pPr>
              <w:jc w:val="center"/>
              <w:ind w:right="74"/>
              <w:spacing w:after="0"/>
              <w:rPr>
                <w:sz w:val="20"/>
                <w:szCs w:val="20"/>
                <w:color w:val="auto"/>
              </w:rPr>
            </w:pPr>
            <w:r>
              <w:rPr>
                <w:rFonts w:ascii="Arial" w:cs="Arial" w:eastAsia="Arial" w:hAnsi="Arial"/>
                <w:sz w:val="14"/>
                <w:szCs w:val="14"/>
                <w:b w:val="1"/>
                <w:bCs w:val="1"/>
                <w:color w:val="auto"/>
              </w:rPr>
              <w:t>Acquisition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40" w:type="dxa"/>
            <w:vAlign w:val="bottom"/>
          </w:tcPr>
          <w:p>
            <w:pPr>
              <w:spacing w:after="0"/>
              <w:rPr>
                <w:sz w:val="14"/>
                <w:szCs w:val="14"/>
                <w:color w:val="auto"/>
              </w:rPr>
            </w:pPr>
          </w:p>
        </w:tc>
        <w:tc>
          <w:tcPr>
            <w:tcW w:w="1480" w:type="dxa"/>
            <w:vAlign w:val="bottom"/>
          </w:tcPr>
          <w:p>
            <w:pPr>
              <w:jc w:val="right"/>
              <w:ind w:right="195"/>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vMerge w:val="continue"/>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Month</w:t>
            </w:r>
          </w:p>
        </w:tc>
        <w:tc>
          <w:tcPr>
            <w:tcW w:w="14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Charge</w:t>
            </w:r>
          </w:p>
        </w:tc>
        <w:tc>
          <w:tcPr>
            <w:tcW w:w="0" w:type="dxa"/>
            <w:vAlign w:val="bottom"/>
          </w:tcPr>
          <w:p>
            <w:pPr>
              <w:spacing w:after="0"/>
              <w:rPr>
                <w:sz w:val="1"/>
                <w:szCs w:val="1"/>
                <w:color w:val="auto"/>
              </w:rPr>
            </w:pPr>
          </w:p>
        </w:tc>
      </w:tr>
      <w:tr>
        <w:trPr>
          <w:trHeight w:val="169"/>
        </w:trPr>
        <w:tc>
          <w:tcPr>
            <w:tcW w:w="246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SiteOne</w:t>
            </w:r>
          </w:p>
        </w:tc>
        <w:tc>
          <w:tcPr>
            <w:tcW w:w="4240" w:type="dxa"/>
            <w:vAlign w:val="bottom"/>
            <w:vMerge w:val="restart"/>
            <w:shd w:val="clear" w:color="auto" w:fill="DBDBDB"/>
          </w:tcPr>
          <w:p>
            <w:pPr>
              <w:ind w:left="120"/>
              <w:spacing w:after="0"/>
              <w:rPr>
                <w:sz w:val="20"/>
                <w:szCs w:val="20"/>
                <w:color w:val="auto"/>
              </w:rPr>
            </w:pPr>
            <w:r>
              <w:rPr>
                <w:rFonts w:ascii="Arial" w:cs="Arial" w:eastAsia="Arial" w:hAnsi="Arial"/>
                <w:sz w:val="18"/>
                <w:szCs w:val="18"/>
                <w:color w:val="auto"/>
              </w:rPr>
              <w:t>STC-004, Nav1.8 inhibitor for the treatment of pain</w:t>
            </w:r>
          </w:p>
        </w:tc>
        <w:tc>
          <w:tcPr>
            <w:tcW w:w="1300" w:type="dxa"/>
            <w:vAlign w:val="bottom"/>
            <w:shd w:val="clear" w:color="auto" w:fill="DBDBDB"/>
          </w:tcPr>
          <w:p>
            <w:pPr>
              <w:jc w:val="center"/>
              <w:ind w:right="134"/>
              <w:spacing w:after="0" w:line="169" w:lineRule="exact"/>
              <w:rPr>
                <w:sz w:val="20"/>
                <w:szCs w:val="20"/>
                <w:color w:val="auto"/>
              </w:rPr>
            </w:pPr>
            <w:r>
              <w:rPr>
                <w:rFonts w:ascii="Arial" w:cs="Arial" w:eastAsia="Arial" w:hAnsi="Arial"/>
                <w:sz w:val="18"/>
                <w:szCs w:val="18"/>
                <w:color w:val="auto"/>
                <w:w w:val="99"/>
              </w:rPr>
              <w:t>July</w:t>
            </w:r>
          </w:p>
        </w:tc>
        <w:tc>
          <w:tcPr>
            <w:tcW w:w="14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Phase 1</w:t>
            </w:r>
          </w:p>
        </w:tc>
        <w:tc>
          <w:tcPr>
            <w:tcW w:w="3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494</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vMerge w:val="continue"/>
            <w:shd w:val="clear" w:color="auto" w:fill="DBDBDB"/>
          </w:tcPr>
          <w:p>
            <w:pPr>
              <w:spacing w:after="0"/>
              <w:rPr>
                <w:sz w:val="21"/>
                <w:szCs w:val="21"/>
                <w:color w:val="auto"/>
              </w:rPr>
            </w:pPr>
          </w:p>
        </w:tc>
        <w:tc>
          <w:tcPr>
            <w:tcW w:w="4240" w:type="dxa"/>
            <w:vAlign w:val="bottom"/>
            <w:tcBorders>
              <w:bottom w:val="single" w:sz="8" w:color="auto"/>
            </w:tcBorders>
            <w:vMerge w:val="continue"/>
            <w:shd w:val="clear" w:color="auto" w:fill="DBDBDB"/>
          </w:tcPr>
          <w:p>
            <w:pPr>
              <w:spacing w:after="0"/>
              <w:rPr>
                <w:sz w:val="21"/>
                <w:szCs w:val="21"/>
                <w:color w:val="auto"/>
              </w:rPr>
            </w:pPr>
          </w:p>
        </w:tc>
        <w:tc>
          <w:tcPr>
            <w:tcW w:w="1300" w:type="dxa"/>
            <w:vAlign w:val="bottom"/>
            <w:tcBorders>
              <w:bottom w:val="single" w:sz="8" w:color="auto"/>
            </w:tcBorders>
            <w:shd w:val="clear" w:color="auto" w:fill="DBDBDB"/>
          </w:tcPr>
          <w:p>
            <w:pPr>
              <w:jc w:val="center"/>
              <w:ind w:right="54"/>
              <w:spacing w:after="0"/>
              <w:rPr>
                <w:sz w:val="20"/>
                <w:szCs w:val="20"/>
                <w:color w:val="auto"/>
              </w:rPr>
            </w:pPr>
            <w:r>
              <w:rPr>
                <w:rFonts w:ascii="Arial" w:cs="Arial" w:eastAsia="Arial" w:hAnsi="Arial"/>
                <w:sz w:val="18"/>
                <w:szCs w:val="18"/>
                <w:color w:val="auto"/>
                <w:w w:val="99"/>
              </w:rPr>
              <w:t>2025</w:t>
            </w:r>
          </w:p>
        </w:tc>
        <w:tc>
          <w:tcPr>
            <w:tcW w:w="1420" w:type="dxa"/>
            <w:vAlign w:val="bottom"/>
            <w:tcBorders>
              <w:bottom w:val="single" w:sz="8" w:color="auto"/>
            </w:tcBorders>
            <w:vMerge w:val="continue"/>
            <w:shd w:val="clear" w:color="auto" w:fill="DBDBDB"/>
          </w:tcPr>
          <w:p>
            <w:pPr>
              <w:spacing w:after="0"/>
              <w:rPr>
                <w:sz w:val="21"/>
                <w:szCs w:val="21"/>
                <w:color w:val="auto"/>
              </w:rPr>
            </w:pPr>
          </w:p>
        </w:tc>
        <w:tc>
          <w:tcPr>
            <w:tcW w:w="340" w:type="dxa"/>
            <w:vAlign w:val="bottom"/>
            <w:tcBorders>
              <w:bottom w:val="single" w:sz="8" w:color="auto"/>
            </w:tcBorders>
            <w:vMerge w:val="continue"/>
            <w:shd w:val="clear" w:color="auto" w:fill="DBDBDB"/>
          </w:tcPr>
          <w:p>
            <w:pPr>
              <w:spacing w:after="0"/>
              <w:rPr>
                <w:sz w:val="21"/>
                <w:szCs w:val="21"/>
                <w:color w:val="auto"/>
              </w:rPr>
            </w:pPr>
          </w:p>
        </w:tc>
        <w:tc>
          <w:tcPr>
            <w:tcW w:w="1480" w:type="dxa"/>
            <w:vAlign w:val="bottom"/>
            <w:tcBorders>
              <w:bottom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460" w:type="dxa"/>
            <w:vAlign w:val="bottom"/>
            <w:vMerge w:val="restart"/>
          </w:tcPr>
          <w:p>
            <w:pPr>
              <w:ind w:left="20"/>
              <w:spacing w:after="0"/>
              <w:rPr>
                <w:sz w:val="20"/>
                <w:szCs w:val="20"/>
                <w:color w:val="auto"/>
              </w:rPr>
            </w:pPr>
            <w:r>
              <w:rPr>
                <w:rFonts w:ascii="Arial" w:cs="Arial" w:eastAsia="Arial" w:hAnsi="Arial"/>
                <w:sz w:val="18"/>
                <w:szCs w:val="18"/>
                <w:color w:val="auto"/>
              </w:rPr>
              <w:t>Scorpion</w:t>
            </w:r>
          </w:p>
        </w:tc>
        <w:tc>
          <w:tcPr>
            <w:tcW w:w="4240" w:type="dxa"/>
            <w:vAlign w:val="bottom"/>
          </w:tcPr>
          <w:p>
            <w:pPr>
              <w:ind w:left="120"/>
              <w:spacing w:after="0" w:line="169" w:lineRule="exact"/>
              <w:rPr>
                <w:sz w:val="20"/>
                <w:szCs w:val="20"/>
                <w:color w:val="auto"/>
              </w:rPr>
            </w:pPr>
            <w:r>
              <w:rPr>
                <w:rFonts w:ascii="Arial" w:cs="Arial" w:eastAsia="Arial" w:hAnsi="Arial"/>
                <w:sz w:val="18"/>
                <w:szCs w:val="18"/>
                <w:color w:val="auto"/>
              </w:rPr>
              <w:t>STX-478, PI3Kα inhibitor for the treatment of</w:t>
            </w:r>
          </w:p>
        </w:tc>
        <w:tc>
          <w:tcPr>
            <w:tcW w:w="1300" w:type="dxa"/>
            <w:vAlign w:val="bottom"/>
            <w:vMerge w:val="restart"/>
          </w:tcPr>
          <w:p>
            <w:pPr>
              <w:jc w:val="center"/>
              <w:ind w:right="74"/>
              <w:spacing w:after="0"/>
              <w:rPr>
                <w:sz w:val="20"/>
                <w:szCs w:val="20"/>
                <w:color w:val="auto"/>
              </w:rPr>
            </w:pPr>
            <w:r>
              <w:rPr>
                <w:rFonts w:ascii="Arial" w:cs="Arial" w:eastAsia="Arial" w:hAnsi="Arial"/>
                <w:sz w:val="18"/>
                <w:szCs w:val="18"/>
                <w:color w:val="auto"/>
                <w:w w:val="98"/>
              </w:rPr>
              <w:t>March 2025</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9"/>
              </w:rPr>
              <w:t>Phase 1</w:t>
            </w:r>
          </w:p>
        </w:tc>
        <w:tc>
          <w:tcPr>
            <w:tcW w:w="3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1,412</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vMerge w:val="continue"/>
          </w:tcPr>
          <w:p>
            <w:pPr>
              <w:spacing w:after="0"/>
              <w:rPr>
                <w:sz w:val="21"/>
                <w:szCs w:val="21"/>
                <w:color w:val="auto"/>
              </w:rPr>
            </w:pPr>
          </w:p>
        </w:tc>
        <w:tc>
          <w:tcPr>
            <w:tcW w:w="4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breast cancer and other advanced solid tumors</w:t>
            </w:r>
          </w:p>
        </w:tc>
        <w:tc>
          <w:tcPr>
            <w:tcW w:w="130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DBDBDB"/>
          </w:tcPr>
          <w:p>
            <w:pPr>
              <w:spacing w:after="0"/>
              <w:rPr>
                <w:sz w:val="12"/>
                <w:szCs w:val="12"/>
                <w:color w:val="auto"/>
              </w:rPr>
            </w:pPr>
          </w:p>
        </w:tc>
        <w:tc>
          <w:tcPr>
            <w:tcW w:w="4240" w:type="dxa"/>
            <w:vAlign w:val="bottom"/>
            <w:tcBorders>
              <w:bottom w:val="single" w:sz="8" w:color="auto"/>
            </w:tcBorders>
            <w:shd w:val="clear" w:color="auto" w:fill="DBDBDB"/>
          </w:tcPr>
          <w:p>
            <w:pPr>
              <w:spacing w:after="0"/>
              <w:rPr>
                <w:sz w:val="12"/>
                <w:szCs w:val="12"/>
                <w:color w:val="auto"/>
              </w:rPr>
            </w:pPr>
          </w:p>
        </w:tc>
        <w:tc>
          <w:tcPr>
            <w:tcW w:w="1300" w:type="dxa"/>
            <w:vAlign w:val="bottom"/>
            <w:tcBorders>
              <w:bottom w:val="single" w:sz="8" w:color="auto"/>
            </w:tcBorders>
            <w:shd w:val="clear" w:color="auto" w:fill="DBDBDB"/>
          </w:tcPr>
          <w:p>
            <w:pPr>
              <w:spacing w:after="0"/>
              <w:rPr>
                <w:sz w:val="12"/>
                <w:szCs w:val="12"/>
                <w:color w:val="auto"/>
              </w:rPr>
            </w:pPr>
          </w:p>
        </w:tc>
        <w:tc>
          <w:tcPr>
            <w:tcW w:w="1420" w:type="dxa"/>
            <w:vAlign w:val="bottom"/>
            <w:tcBorders>
              <w:bottom w:val="single" w:sz="8" w:color="auto"/>
            </w:tcBorders>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1480" w:type="dxa"/>
            <w:vAlign w:val="bottom"/>
            <w:tcBorders>
              <w:bottom w:val="single" w:sz="8" w:color="auto"/>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60" w:type="dxa"/>
            <w:vAlign w:val="bottom"/>
            <w:vMerge w:val="restart"/>
          </w:tcPr>
          <w:p>
            <w:pPr>
              <w:ind w:left="20"/>
              <w:spacing w:after="0"/>
              <w:rPr>
                <w:sz w:val="20"/>
                <w:szCs w:val="20"/>
                <w:color w:val="auto"/>
              </w:rPr>
            </w:pPr>
            <w:r>
              <w:rPr>
                <w:rFonts w:ascii="Arial" w:cs="Arial" w:eastAsia="Arial" w:hAnsi="Arial"/>
                <w:sz w:val="18"/>
                <w:szCs w:val="18"/>
                <w:color w:val="auto"/>
              </w:rPr>
              <w:t>Morphic</w:t>
            </w:r>
          </w:p>
        </w:tc>
        <w:tc>
          <w:tcPr>
            <w:tcW w:w="4240" w:type="dxa"/>
            <w:vAlign w:val="bottom"/>
          </w:tcPr>
          <w:p>
            <w:pPr>
              <w:ind w:left="120"/>
              <w:spacing w:after="0" w:line="169" w:lineRule="exact"/>
              <w:rPr>
                <w:sz w:val="20"/>
                <w:szCs w:val="20"/>
                <w:color w:val="auto"/>
              </w:rPr>
            </w:pPr>
            <w:r>
              <w:rPr>
                <w:rFonts w:ascii="Arial" w:cs="Arial" w:eastAsia="Arial" w:hAnsi="Arial"/>
                <w:sz w:val="18"/>
                <w:szCs w:val="18"/>
                <w:color w:val="auto"/>
              </w:rPr>
              <w:t>MORF-057, inhibitor of α4β7 integrin for the</w:t>
            </w:r>
          </w:p>
        </w:tc>
        <w:tc>
          <w:tcPr>
            <w:tcW w:w="1300" w:type="dxa"/>
            <w:vAlign w:val="bottom"/>
            <w:vMerge w:val="restart"/>
          </w:tcPr>
          <w:p>
            <w:pPr>
              <w:jc w:val="center"/>
              <w:ind w:right="74"/>
              <w:spacing w:after="0"/>
              <w:rPr>
                <w:sz w:val="20"/>
                <w:szCs w:val="20"/>
                <w:color w:val="auto"/>
              </w:rPr>
            </w:pPr>
            <w:r>
              <w:rPr>
                <w:rFonts w:ascii="Arial" w:cs="Arial" w:eastAsia="Arial" w:hAnsi="Arial"/>
                <w:sz w:val="18"/>
                <w:szCs w:val="18"/>
                <w:color w:val="auto"/>
              </w:rPr>
              <w:t>August 2024</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9"/>
              </w:rPr>
              <w:t>Phase 2</w:t>
            </w:r>
          </w:p>
        </w:tc>
        <w:tc>
          <w:tcPr>
            <w:tcW w:w="3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vMerge w:val="continue"/>
          </w:tcPr>
          <w:p>
            <w:pPr>
              <w:spacing w:after="0"/>
              <w:rPr>
                <w:sz w:val="21"/>
                <w:szCs w:val="21"/>
                <w:color w:val="auto"/>
              </w:rPr>
            </w:pPr>
          </w:p>
        </w:tc>
        <w:tc>
          <w:tcPr>
            <w:tcW w:w="4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treatment of inflammatory bowel disease</w:t>
            </w:r>
          </w:p>
        </w:tc>
        <w:tc>
          <w:tcPr>
            <w:tcW w:w="130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DBDBDB"/>
          </w:tcPr>
          <w:p>
            <w:pPr>
              <w:spacing w:after="0"/>
              <w:rPr>
                <w:sz w:val="12"/>
                <w:szCs w:val="12"/>
                <w:color w:val="auto"/>
              </w:rPr>
            </w:pPr>
          </w:p>
        </w:tc>
        <w:tc>
          <w:tcPr>
            <w:tcW w:w="4240" w:type="dxa"/>
            <w:vAlign w:val="bottom"/>
            <w:tcBorders>
              <w:bottom w:val="single" w:sz="8" w:color="auto"/>
            </w:tcBorders>
            <w:shd w:val="clear" w:color="auto" w:fill="DBDBDB"/>
          </w:tcPr>
          <w:p>
            <w:pPr>
              <w:spacing w:after="0"/>
              <w:rPr>
                <w:sz w:val="12"/>
                <w:szCs w:val="12"/>
                <w:color w:val="auto"/>
              </w:rPr>
            </w:pPr>
          </w:p>
        </w:tc>
        <w:tc>
          <w:tcPr>
            <w:tcW w:w="1300" w:type="dxa"/>
            <w:vAlign w:val="bottom"/>
            <w:tcBorders>
              <w:bottom w:val="single" w:sz="8" w:color="auto"/>
            </w:tcBorders>
            <w:shd w:val="clear" w:color="auto" w:fill="DBDBDB"/>
          </w:tcPr>
          <w:p>
            <w:pPr>
              <w:spacing w:after="0"/>
              <w:rPr>
                <w:sz w:val="12"/>
                <w:szCs w:val="12"/>
                <w:color w:val="auto"/>
              </w:rPr>
            </w:pPr>
          </w:p>
        </w:tc>
        <w:tc>
          <w:tcPr>
            <w:tcW w:w="1420" w:type="dxa"/>
            <w:vAlign w:val="bottom"/>
            <w:tcBorders>
              <w:bottom w:val="single" w:sz="8" w:color="auto"/>
            </w:tcBorders>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1480" w:type="dxa"/>
            <w:vAlign w:val="bottom"/>
            <w:tcBorders>
              <w:bottom w:val="single" w:sz="8" w:color="auto"/>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4240" w:type="dxa"/>
            <w:vAlign w:val="bottom"/>
          </w:tcPr>
          <w:p>
            <w:pPr>
              <w:ind w:left="120"/>
              <w:spacing w:after="0" w:line="169" w:lineRule="exact"/>
              <w:rPr>
                <w:sz w:val="20"/>
                <w:szCs w:val="20"/>
                <w:color w:val="auto"/>
              </w:rPr>
            </w:pPr>
            <w:r>
              <w:rPr>
                <w:rFonts w:ascii="Arial" w:cs="Arial" w:eastAsia="Arial" w:hAnsi="Arial"/>
                <w:sz w:val="18"/>
                <w:szCs w:val="18"/>
                <w:color w:val="auto"/>
              </w:rPr>
              <w:t>DC-806, an oral IL-17 inhibitor for the treatment of</w:t>
            </w:r>
          </w:p>
        </w:tc>
        <w:tc>
          <w:tcPr>
            <w:tcW w:w="1300" w:type="dxa"/>
            <w:vAlign w:val="bottom"/>
            <w:vMerge w:val="restart"/>
          </w:tcPr>
          <w:p>
            <w:pPr>
              <w:jc w:val="center"/>
              <w:ind w:right="74"/>
              <w:spacing w:after="0"/>
              <w:rPr>
                <w:sz w:val="20"/>
                <w:szCs w:val="20"/>
                <w:color w:val="auto"/>
              </w:rPr>
            </w:pPr>
            <w:r>
              <w:rPr>
                <w:rFonts w:ascii="Arial" w:cs="Arial" w:eastAsia="Arial" w:hAnsi="Arial"/>
                <w:sz w:val="18"/>
                <w:szCs w:val="18"/>
                <w:color w:val="auto"/>
              </w:rPr>
              <w:t>August 2023</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9"/>
              </w:rPr>
              <w:t>Phase 2</w:t>
            </w:r>
          </w:p>
        </w:tc>
        <w:tc>
          <w:tcPr>
            <w:tcW w:w="3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DICE Therapeutics, Inc. (DICE) chronic diseases in immunology</w:t>
            </w:r>
            <w:r>
              <w:rPr>
                <w:rFonts w:ascii="Arial" w:cs="Arial" w:eastAsia="Arial" w:hAnsi="Arial"/>
                <w:sz w:val="9"/>
                <w:szCs w:val="9"/>
                <w:b w:val="1"/>
                <w:bCs w:val="1"/>
                <w:color w:val="auto"/>
              </w:rPr>
              <w:t>(2)</w:t>
            </w:r>
          </w:p>
        </w:tc>
        <w:tc>
          <w:tcPr>
            <w:tcW w:w="130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DBDBDB"/>
          </w:tcPr>
          <w:p>
            <w:pPr>
              <w:spacing w:after="0"/>
              <w:rPr>
                <w:sz w:val="14"/>
                <w:szCs w:val="14"/>
                <w:color w:val="auto"/>
              </w:rPr>
            </w:pPr>
          </w:p>
        </w:tc>
        <w:tc>
          <w:tcPr>
            <w:tcW w:w="4240" w:type="dxa"/>
            <w:vAlign w:val="bottom"/>
            <w:shd w:val="clear" w:color="auto" w:fill="DBDBDB"/>
          </w:tcPr>
          <w:p>
            <w:pPr>
              <w:ind w:left="120"/>
              <w:spacing w:after="0" w:line="169" w:lineRule="exact"/>
              <w:rPr>
                <w:sz w:val="20"/>
                <w:szCs w:val="20"/>
                <w:color w:val="auto"/>
              </w:rPr>
            </w:pPr>
            <w:r>
              <w:rPr>
                <w:rFonts w:ascii="Arial" w:cs="Arial" w:eastAsia="Arial" w:hAnsi="Arial"/>
                <w:sz w:val="18"/>
                <w:szCs w:val="18"/>
                <w:color w:val="auto"/>
              </w:rPr>
              <w:t>Bimagrumab, a monoclonal antibody for the</w:t>
            </w:r>
          </w:p>
        </w:tc>
        <w:tc>
          <w:tcPr>
            <w:tcW w:w="130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Versanis Bio, Inc. (Versanis)</w:t>
            </w:r>
          </w:p>
        </w:tc>
        <w:tc>
          <w:tcPr>
            <w:tcW w:w="4240" w:type="dxa"/>
            <w:vAlign w:val="bottom"/>
            <w:shd w:val="clear" w:color="auto" w:fill="DBDBDB"/>
          </w:tcPr>
          <w:p>
            <w:pPr>
              <w:ind w:left="120"/>
              <w:spacing w:after="0" w:line="183" w:lineRule="exact"/>
              <w:rPr>
                <w:sz w:val="20"/>
                <w:szCs w:val="20"/>
                <w:color w:val="auto"/>
              </w:rPr>
            </w:pPr>
            <w:r>
              <w:rPr>
                <w:rFonts w:ascii="Arial" w:cs="Arial" w:eastAsia="Arial" w:hAnsi="Arial"/>
                <w:sz w:val="18"/>
                <w:szCs w:val="18"/>
                <w:color w:val="auto"/>
              </w:rPr>
              <w:t>treatment of people living with obesity and obesity-</w:t>
            </w:r>
          </w:p>
        </w:tc>
        <w:tc>
          <w:tcPr>
            <w:tcW w:w="1300" w:type="dxa"/>
            <w:vAlign w:val="bottom"/>
            <w:vMerge w:val="restart"/>
            <w:shd w:val="clear" w:color="auto" w:fill="DBDBDB"/>
          </w:tcPr>
          <w:p>
            <w:pPr>
              <w:jc w:val="center"/>
              <w:ind w:right="74"/>
              <w:spacing w:after="0"/>
              <w:rPr>
                <w:sz w:val="20"/>
                <w:szCs w:val="20"/>
                <w:color w:val="auto"/>
              </w:rPr>
            </w:pPr>
            <w:r>
              <w:rPr>
                <w:rFonts w:ascii="Arial" w:cs="Arial" w:eastAsia="Arial" w:hAnsi="Arial"/>
                <w:sz w:val="18"/>
                <w:szCs w:val="18"/>
                <w:color w:val="auto"/>
              </w:rPr>
              <w:t>August 2023</w:t>
            </w:r>
          </w:p>
        </w:tc>
        <w:tc>
          <w:tcPr>
            <w:tcW w:w="14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Phase 2</w:t>
            </w:r>
          </w:p>
        </w:tc>
        <w:tc>
          <w:tcPr>
            <w:tcW w:w="340" w:type="dxa"/>
            <w:vAlign w:val="bottom"/>
            <w:shd w:val="clear" w:color="auto" w:fill="DBDBDB"/>
          </w:tcPr>
          <w:p>
            <w:pPr>
              <w:spacing w:after="0"/>
              <w:rPr>
                <w:sz w:val="15"/>
                <w:szCs w:val="15"/>
                <w:color w:val="auto"/>
              </w:rPr>
            </w:pPr>
          </w:p>
        </w:tc>
        <w:tc>
          <w:tcPr>
            <w:tcW w:w="14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auto"/>
            </w:tcBorders>
            <w:vMerge w:val="continue"/>
            <w:shd w:val="clear" w:color="auto" w:fill="DBDBDB"/>
          </w:tcPr>
          <w:p>
            <w:pPr>
              <w:spacing w:after="0"/>
              <w:rPr>
                <w:sz w:val="20"/>
                <w:szCs w:val="20"/>
                <w:color w:val="auto"/>
              </w:rPr>
            </w:pPr>
          </w:p>
        </w:tc>
        <w:tc>
          <w:tcPr>
            <w:tcW w:w="424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8"/>
                <w:szCs w:val="18"/>
                <w:color w:val="auto"/>
              </w:rPr>
              <w:t>related complications</w:t>
            </w:r>
          </w:p>
        </w:tc>
        <w:tc>
          <w:tcPr>
            <w:tcW w:w="1300" w:type="dxa"/>
            <w:vAlign w:val="bottom"/>
            <w:tcBorders>
              <w:bottom w:val="single" w:sz="8" w:color="auto"/>
            </w:tcBorders>
            <w:vMerge w:val="continue"/>
            <w:shd w:val="clear" w:color="auto" w:fill="DBDBDB"/>
          </w:tcPr>
          <w:p>
            <w:pPr>
              <w:spacing w:after="0"/>
              <w:rPr>
                <w:sz w:val="20"/>
                <w:szCs w:val="20"/>
                <w:color w:val="auto"/>
              </w:rPr>
            </w:pPr>
          </w:p>
        </w:tc>
        <w:tc>
          <w:tcPr>
            <w:tcW w:w="1420" w:type="dxa"/>
            <w:vAlign w:val="bottom"/>
            <w:tcBorders>
              <w:bottom w:val="single" w:sz="8" w:color="auto"/>
            </w:tcBorders>
            <w:vMerge w:val="continue"/>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48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line="169" w:lineRule="exact"/>
              <w:rPr>
                <w:sz w:val="20"/>
                <w:szCs w:val="20"/>
                <w:color w:val="auto"/>
              </w:rPr>
            </w:pPr>
            <w:r>
              <w:rPr>
                <w:rFonts w:ascii="Arial" w:cs="Arial" w:eastAsia="Arial" w:hAnsi="Arial"/>
                <w:sz w:val="18"/>
                <w:szCs w:val="18"/>
                <w:color w:val="auto"/>
              </w:rPr>
              <w:t>Emergence Therapeutics AG</w:t>
            </w:r>
          </w:p>
        </w:tc>
        <w:tc>
          <w:tcPr>
            <w:tcW w:w="4240" w:type="dxa"/>
            <w:vAlign w:val="bottom"/>
          </w:tcPr>
          <w:p>
            <w:pPr>
              <w:ind w:left="120"/>
              <w:spacing w:after="0" w:line="169" w:lineRule="exact"/>
              <w:rPr>
                <w:sz w:val="20"/>
                <w:szCs w:val="20"/>
                <w:color w:val="auto"/>
              </w:rPr>
            </w:pPr>
            <w:r>
              <w:rPr>
                <w:rFonts w:ascii="Arial" w:cs="Arial" w:eastAsia="Arial" w:hAnsi="Arial"/>
                <w:sz w:val="18"/>
                <w:szCs w:val="18"/>
                <w:color w:val="auto"/>
              </w:rPr>
              <w:t>ETx-22, a Nectin-4 antibody-drug conjugate for the</w:t>
            </w:r>
          </w:p>
        </w:tc>
        <w:tc>
          <w:tcPr>
            <w:tcW w:w="1300" w:type="dxa"/>
            <w:vAlign w:val="bottom"/>
            <w:vMerge w:val="restart"/>
          </w:tcPr>
          <w:p>
            <w:pPr>
              <w:jc w:val="center"/>
              <w:ind w:right="74"/>
              <w:spacing w:after="0"/>
              <w:rPr>
                <w:sz w:val="20"/>
                <w:szCs w:val="20"/>
                <w:color w:val="auto"/>
              </w:rPr>
            </w:pPr>
            <w:r>
              <w:rPr>
                <w:rFonts w:ascii="Arial" w:cs="Arial" w:eastAsia="Arial" w:hAnsi="Arial"/>
                <w:sz w:val="18"/>
                <w:szCs w:val="18"/>
                <w:color w:val="auto"/>
              </w:rPr>
              <w:t>August 2023</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(Emergence)</w:t>
            </w:r>
          </w:p>
        </w:tc>
        <w:tc>
          <w:tcPr>
            <w:tcW w:w="4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treatment of urothelial cancer</w:t>
            </w:r>
          </w:p>
        </w:tc>
        <w:tc>
          <w:tcPr>
            <w:tcW w:w="130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The phase of development presented is as of the date of the arrangement and represents the phase of development of the most advanced asset acquired, where applicable.</w:t>
      </w:r>
    </w:p>
    <w:p>
      <w:pPr>
        <w:spacing w:after="0" w:line="1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In 2024, we discontinued development of this molecule in favor of another molecule in development.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ind w:right="1160"/>
        <w:spacing w:after="0" w:line="287" w:lineRule="auto"/>
        <w:rPr>
          <w:sz w:val="20"/>
          <w:szCs w:val="20"/>
          <w:color w:val="auto"/>
        </w:rPr>
      </w:pPr>
      <w:r>
        <w:rPr>
          <w:rFonts w:ascii="Arial" w:cs="Arial" w:eastAsia="Arial" w:hAnsi="Arial"/>
          <w:sz w:val="18"/>
          <w:szCs w:val="18"/>
          <w:color w:val="auto"/>
        </w:rPr>
        <w:t>Asset impairment, restructuring, and other special charges were $484 million, $861 million, and $68 million for the years ended December 31, 2025, 2024, and 2023, respectively.</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Asset impairment, restructuring, and other special charges recognized during the year ended December 31, 2025 were primarily related to a litigation charge and acquisition and integration costs associated with the acquisition of Verve. Asset impairment, restructuring, and other special charges recognized during the year ended December 31, 2024 were primarily related to a litigation charge and an intangible asset impairment for Vitrakvi, driven by expected commercial projections.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additional information related to our acquisition of Verve and Note 16 for additional information related to litigation charges.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use the last-in, first-out (LIFO) method for the majority of our inventories located in the continental U.S., which results in a better matching of costs and revenues. Other inventories are valued by the first-in, first-out (FIFO) method. FIFO cost approximates current replacement cost. Inventories measured using LIFO must be valued at the lower of cost or market. Inventories measured using FIFO must be valued at the lower of cost or net realizable value.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1,931</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1,221</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8,183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3,979</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3,587</w:t>
            </w:r>
          </w:p>
        </w:tc>
        <w:tc>
          <w:tcPr>
            <w:tcW w:w="4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2,326</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13,701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7,526</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Increase to LIFO cost</w:t>
            </w: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43</w:t>
            </w:r>
          </w:p>
        </w:tc>
        <w:tc>
          <w:tcPr>
            <w:tcW w:w="4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13,744</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w:t>
            </w:r>
          </w:p>
        </w:tc>
      </w:tr>
    </w:tbl>
    <w:p>
      <w:pPr>
        <w:spacing w:after="0" w:line="23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Inventories valued under the LIFO method comprised $5.8 billion and $2.7 billion of total inventories at December 31, 2025 and 2024, respectively.</w:t>
      </w:r>
    </w:p>
    <w:p>
      <w:pPr>
        <w:spacing w:after="0" w:line="4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When we believe that future commercialization is probable and the future economic benefit is expected to be realized, we capitalize pre-launch inventory prior to regulatory approval. A number of factors are considered, including the current status in the regulatory approval process, potential impediments to the approval process such as safety or efficacy, viability of commercialization, and marketplace trends. Pre-launch inventories capitalized as of December 31, 2025 were $1.5 billion, primarily related to orforglipron.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summarizes certain fair value information at December 31, 2025 and 2024 for investment assets measured at fair value on a recurring basis, as well as the carrying amount and amortized cost of certain other investments: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5"/>
          </w:tcPr>
          <w:p>
            <w:pPr>
              <w:jc w:val="center"/>
              <w:ind w:right="24"/>
              <w:spacing w:after="0"/>
              <w:rPr>
                <w:sz w:val="20"/>
                <w:szCs w:val="20"/>
                <w:color w:val="auto"/>
              </w:rPr>
            </w:pPr>
            <w:r>
              <w:rPr>
                <w:rFonts w:ascii="Arial" w:cs="Arial" w:eastAsia="Arial" w:hAnsi="Arial"/>
                <w:sz w:val="13"/>
                <w:szCs w:val="13"/>
                <w:b w:val="1"/>
                <w:bCs w:val="1"/>
                <w:color w:val="auto"/>
                <w:w w:val="95"/>
              </w:rPr>
              <w:t>Fair Value Measurements Using</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Quoted Prices in</w:t>
            </w:r>
          </w:p>
        </w:tc>
        <w:tc>
          <w:tcPr>
            <w:tcW w:w="240" w:type="dxa"/>
            <w:vAlign w:val="bottom"/>
          </w:tcPr>
          <w:p>
            <w:pPr>
              <w:spacing w:after="0"/>
              <w:rPr>
                <w:sz w:val="10"/>
                <w:szCs w:val="10"/>
                <w:color w:val="auto"/>
              </w:rPr>
            </w:pPr>
          </w:p>
        </w:tc>
        <w:tc>
          <w:tcPr>
            <w:tcW w:w="1060" w:type="dxa"/>
            <w:vAlign w:val="bottom"/>
          </w:tcPr>
          <w:p>
            <w:pPr>
              <w:jc w:val="center"/>
              <w:ind w:right="144"/>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060" w:type="dxa"/>
            <w:vAlign w:val="bottom"/>
            <w:vMerge w:val="restart"/>
          </w:tcPr>
          <w:p>
            <w:pPr>
              <w:jc w:val="center"/>
              <w:ind w:right="64"/>
              <w:spacing w:after="0"/>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Active Markets for</w:t>
            </w:r>
          </w:p>
        </w:tc>
        <w:tc>
          <w:tcPr>
            <w:tcW w:w="240" w:type="dxa"/>
            <w:vAlign w:val="bottom"/>
          </w:tcPr>
          <w:p>
            <w:pPr>
              <w:spacing w:after="0"/>
              <w:rPr>
                <w:sz w:val="10"/>
                <w:szCs w:val="10"/>
                <w:color w:val="auto"/>
              </w:rPr>
            </w:pPr>
          </w:p>
        </w:tc>
        <w:tc>
          <w:tcPr>
            <w:tcW w:w="1060" w:type="dxa"/>
            <w:vAlign w:val="bottom"/>
          </w:tcPr>
          <w:p>
            <w:pPr>
              <w:jc w:val="center"/>
              <w:ind w:right="144"/>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060" w:type="dxa"/>
            <w:vAlign w:val="bottom"/>
          </w:tcPr>
          <w:p>
            <w:pPr>
              <w:jc w:val="center"/>
              <w:ind w:right="64"/>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380" w:type="dxa"/>
            <w:vAlign w:val="bottom"/>
          </w:tcPr>
          <w:p>
            <w:pPr>
              <w:spacing w:after="0"/>
              <w:rPr>
                <w:sz w:val="10"/>
                <w:szCs w:val="10"/>
                <w:color w:val="auto"/>
              </w:rPr>
            </w:pPr>
          </w:p>
        </w:tc>
        <w:tc>
          <w:tcPr>
            <w:tcW w:w="940" w:type="dxa"/>
            <w:vAlign w:val="bottom"/>
            <w:vMerge w:val="restart"/>
          </w:tcPr>
          <w:p>
            <w:pPr>
              <w:jc w:val="right"/>
              <w:ind w:right="402"/>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1"/>
                <w:szCs w:val="11"/>
                <w:color w:val="auto"/>
              </w:rPr>
            </w:pPr>
          </w:p>
        </w:tc>
        <w:tc>
          <w:tcPr>
            <w:tcW w:w="112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40" w:type="dxa"/>
            <w:vAlign w:val="bottom"/>
          </w:tcPr>
          <w:p>
            <w:pPr>
              <w:spacing w:after="0"/>
              <w:rPr>
                <w:sz w:val="11"/>
                <w:szCs w:val="11"/>
                <w:color w:val="auto"/>
              </w:rPr>
            </w:pPr>
          </w:p>
        </w:tc>
        <w:tc>
          <w:tcPr>
            <w:tcW w:w="106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06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8"/>
              </w:rPr>
              <w:t>(Level 1)</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8"/>
              </w:rPr>
              <w:t>(Level 3)</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DBDBDB"/>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DBDBDB"/>
            </w:tcBorders>
          </w:tcPr>
          <w:p>
            <w:pPr>
              <w:jc w:val="right"/>
              <w:ind w:right="100"/>
              <w:spacing w:after="0"/>
              <w:rPr>
                <w:sz w:val="20"/>
                <w:szCs w:val="20"/>
                <w:color w:val="auto"/>
              </w:rPr>
            </w:pPr>
            <w:r>
              <w:rPr>
                <w:rFonts w:ascii="Arial" w:cs="Arial" w:eastAsia="Arial" w:hAnsi="Arial"/>
                <w:sz w:val="16"/>
                <w:szCs w:val="16"/>
                <w:b w:val="1"/>
                <w:bCs w:val="1"/>
                <w:color w:val="auto"/>
              </w:rPr>
              <w:t>4,392</w:t>
            </w:r>
          </w:p>
        </w:tc>
        <w:tc>
          <w:tcPr>
            <w:tcW w:w="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DBDBDB"/>
            </w:tcBorders>
          </w:tcPr>
          <w:p>
            <w:pPr>
              <w:jc w:val="right"/>
              <w:ind w:right="43"/>
              <w:spacing w:after="0"/>
              <w:rPr>
                <w:sz w:val="20"/>
                <w:szCs w:val="20"/>
                <w:color w:val="auto"/>
              </w:rPr>
            </w:pPr>
            <w:r>
              <w:rPr>
                <w:rFonts w:ascii="Arial" w:cs="Arial" w:eastAsia="Arial" w:hAnsi="Arial"/>
                <w:sz w:val="16"/>
                <w:szCs w:val="16"/>
                <w:b w:val="1"/>
                <w:bCs w:val="1"/>
                <w:color w:val="auto"/>
              </w:rPr>
              <w:t>4,392</w:t>
            </w:r>
          </w:p>
        </w:tc>
        <w:tc>
          <w:tcPr>
            <w:tcW w:w="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DBDBDB"/>
            </w:tcBorders>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DBDBDB"/>
            </w:tcBorders>
          </w:tcPr>
          <w:p>
            <w:pPr>
              <w:jc w:val="right"/>
              <w:ind w:right="2"/>
              <w:spacing w:after="0"/>
              <w:rPr>
                <w:sz w:val="20"/>
                <w:szCs w:val="20"/>
                <w:color w:val="auto"/>
              </w:rPr>
            </w:pPr>
            <w:r>
              <w:rPr>
                <w:rFonts w:ascii="Arial" w:cs="Arial" w:eastAsia="Arial" w:hAnsi="Arial"/>
                <w:sz w:val="16"/>
                <w:szCs w:val="16"/>
                <w:b w:val="1"/>
                <w:bCs w:val="1"/>
                <w:color w:val="auto"/>
              </w:rPr>
              <w:t>4,392</w:t>
            </w:r>
          </w:p>
        </w:tc>
        <w:tc>
          <w:tcPr>
            <w:tcW w:w="0" w:type="dxa"/>
            <w:vAlign w:val="bottom"/>
          </w:tcPr>
          <w:p>
            <w:pPr>
              <w:spacing w:after="0"/>
              <w:rPr>
                <w:sz w:val="1"/>
                <w:szCs w:val="1"/>
                <w:color w:val="auto"/>
              </w:rPr>
            </w:pPr>
          </w:p>
        </w:tc>
      </w:tr>
      <w:tr>
        <w:trPr>
          <w:trHeight w:val="203"/>
        </w:trPr>
        <w:tc>
          <w:tcPr>
            <w:tcW w:w="3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line="216"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60"/>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03"/>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216"/>
        </w:trPr>
        <w:tc>
          <w:tcPr>
            <w:tcW w:w="3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ind w:right="61"/>
              <w:spacing w:after="0"/>
              <w:rPr>
                <w:sz w:val="20"/>
                <w:szCs w:val="20"/>
                <w:color w:val="auto"/>
              </w:rPr>
            </w:pPr>
            <w:r>
              <w:rPr>
                <w:rFonts w:ascii="Arial" w:cs="Arial" w:eastAsia="Arial" w:hAnsi="Arial"/>
                <w:sz w:val="16"/>
                <w:szCs w:val="16"/>
                <w:b w:val="1"/>
                <w:bCs w:val="1"/>
                <w:color w:val="auto"/>
              </w:rPr>
              <w:t>89</w:t>
            </w: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160"/>
              <w:spacing w:after="0"/>
              <w:rPr>
                <w:sz w:val="20"/>
                <w:szCs w:val="20"/>
                <w:color w:val="auto"/>
              </w:rPr>
            </w:pPr>
            <w:r>
              <w:rPr>
                <w:rFonts w:ascii="Arial" w:cs="Arial" w:eastAsia="Arial" w:hAnsi="Arial"/>
                <w:sz w:val="16"/>
                <w:szCs w:val="16"/>
                <w:b w:val="1"/>
                <w:bCs w:val="1"/>
                <w:color w:val="auto"/>
              </w:rPr>
              <w:t>89</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103"/>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4"/>
              <w:spacing w:after="0"/>
              <w:rPr>
                <w:sz w:val="20"/>
                <w:szCs w:val="20"/>
                <w:color w:val="auto"/>
              </w:rPr>
            </w:pPr>
            <w:r>
              <w:rPr>
                <w:rFonts w:ascii="Arial" w:cs="Arial" w:eastAsia="Arial" w:hAnsi="Arial"/>
                <w:sz w:val="16"/>
                <w:szCs w:val="16"/>
                <w:b w:val="1"/>
                <w:bCs w:val="1"/>
                <w:color w:val="auto"/>
              </w:rPr>
              <w:t>12</w:t>
            </w: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44"/>
              <w:spacing w:after="0"/>
              <w:rPr>
                <w:sz w:val="20"/>
                <w:szCs w:val="20"/>
                <w:color w:val="auto"/>
              </w:rPr>
            </w:pPr>
            <w:r>
              <w:rPr>
                <w:rFonts w:ascii="Arial" w:cs="Arial" w:eastAsia="Arial" w:hAnsi="Arial"/>
                <w:sz w:val="16"/>
                <w:szCs w:val="16"/>
                <w:b w:val="1"/>
                <w:bCs w:val="1"/>
                <w:color w:val="auto"/>
              </w:rPr>
              <w:t>78</w:t>
            </w:r>
          </w:p>
        </w:tc>
        <w:tc>
          <w:tcPr>
            <w:tcW w:w="38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62"/>
              <w:spacing w:after="0"/>
              <w:rPr>
                <w:sz w:val="20"/>
                <w:szCs w:val="20"/>
                <w:color w:val="auto"/>
              </w:rPr>
            </w:pPr>
            <w:r>
              <w:rPr>
                <w:rFonts w:ascii="Arial" w:cs="Arial" w:eastAsia="Arial" w:hAnsi="Arial"/>
                <w:sz w:val="16"/>
                <w:szCs w:val="16"/>
                <w:b w:val="1"/>
                <w:bCs w:val="1"/>
                <w:color w:val="auto"/>
              </w:rPr>
              <w:t>89</w:t>
            </w:r>
          </w:p>
        </w:tc>
        <w:tc>
          <w:tcPr>
            <w:tcW w:w="0" w:type="dxa"/>
            <w:vAlign w:val="bottom"/>
          </w:tcPr>
          <w:p>
            <w:pPr>
              <w:spacing w:after="0"/>
              <w:rPr>
                <w:sz w:val="1"/>
                <w:szCs w:val="1"/>
                <w:color w:val="auto"/>
              </w:rPr>
            </w:pPr>
          </w:p>
        </w:tc>
      </w:tr>
      <w:tr>
        <w:trPr>
          <w:trHeight w:val="217"/>
        </w:trPr>
        <w:tc>
          <w:tcPr>
            <w:tcW w:w="34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2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38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Noncurrent investments:</w:t>
            </w:r>
          </w:p>
        </w:tc>
        <w:tc>
          <w:tcPr>
            <w:tcW w:w="2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line="216"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00"/>
              <w:spacing w:after="0"/>
              <w:rPr>
                <w:sz w:val="20"/>
                <w:szCs w:val="20"/>
                <w:color w:val="auto"/>
              </w:rPr>
            </w:pPr>
            <w:r>
              <w:rPr>
                <w:rFonts w:ascii="Arial" w:cs="Arial" w:eastAsia="Arial" w:hAnsi="Arial"/>
                <w:sz w:val="16"/>
                <w:szCs w:val="16"/>
                <w:b w:val="1"/>
                <w:bCs w:val="1"/>
                <w:color w:val="auto"/>
              </w:rPr>
              <w:t>368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b w:val="1"/>
                <w:bCs w:val="1"/>
                <w:color w:val="auto"/>
              </w:rPr>
              <w:t>69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291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360</w:t>
            </w:r>
          </w:p>
        </w:tc>
        <w:tc>
          <w:tcPr>
            <w:tcW w:w="0" w:type="dxa"/>
            <w:vAlign w:val="bottom"/>
          </w:tcPr>
          <w:p>
            <w:pPr>
              <w:spacing w:after="0"/>
              <w:rPr>
                <w:sz w:val="1"/>
                <w:szCs w:val="1"/>
                <w:color w:val="auto"/>
              </w:rPr>
            </w:pPr>
          </w:p>
        </w:tc>
      </w:tr>
      <w:tr>
        <w:trPr>
          <w:trHeight w:val="216"/>
        </w:trPr>
        <w:tc>
          <w:tcPr>
            <w:tcW w:w="3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85</w:t>
            </w: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54</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43"/>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4"/>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83</w:t>
            </w:r>
          </w:p>
        </w:tc>
        <w:tc>
          <w:tcPr>
            <w:tcW w:w="38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b w:val="1"/>
                <w:bCs w:val="1"/>
                <w:color w:val="auto"/>
              </w:rPr>
              <w:t>292</w:t>
            </w:r>
          </w:p>
        </w:tc>
        <w:tc>
          <w:tcPr>
            <w:tcW w:w="12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b w:val="1"/>
                <w:bCs w:val="1"/>
                <w:color w:val="auto"/>
              </w:rPr>
              <w:t>223</w:t>
            </w:r>
          </w:p>
        </w:tc>
        <w:tc>
          <w:tcPr>
            <w:tcW w:w="24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223</w:t>
            </w:r>
          </w:p>
        </w:tc>
        <w:tc>
          <w:tcPr>
            <w:tcW w:w="0" w:type="dxa"/>
            <w:vAlign w:val="bottom"/>
          </w:tcPr>
          <w:p>
            <w:pPr>
              <w:spacing w:after="0"/>
              <w:rPr>
                <w:sz w:val="1"/>
                <w:szCs w:val="1"/>
                <w:color w:val="auto"/>
              </w:rPr>
            </w:pPr>
          </w:p>
        </w:tc>
      </w:tr>
      <w:tr>
        <w:trPr>
          <w:trHeight w:val="162"/>
        </w:trPr>
        <w:tc>
          <w:tcPr>
            <w:tcW w:w="3440" w:type="dxa"/>
            <w:vAlign w:val="bottom"/>
            <w:shd w:val="clear" w:color="auto" w:fill="DBDBDB"/>
          </w:tcPr>
          <w:p>
            <w:pPr>
              <w:ind w:left="140"/>
              <w:spacing w:after="0" w:line="162" w:lineRule="exact"/>
              <w:rPr>
                <w:sz w:val="20"/>
                <w:szCs w:val="20"/>
                <w:color w:val="auto"/>
              </w:rPr>
            </w:pPr>
            <w:r>
              <w:rPr>
                <w:rFonts w:ascii="Arial" w:cs="Arial" w:eastAsia="Arial" w:hAnsi="Arial"/>
                <w:sz w:val="16"/>
                <w:szCs w:val="16"/>
                <w:color w:val="auto"/>
              </w:rPr>
              <w:t>Equity investments without readily</w:t>
            </w:r>
          </w:p>
        </w:tc>
        <w:tc>
          <w:tcPr>
            <w:tcW w:w="220" w:type="dxa"/>
            <w:vAlign w:val="bottom"/>
            <w:shd w:val="clear" w:color="auto" w:fill="DBDBDB"/>
          </w:tcPr>
          <w:p>
            <w:pPr>
              <w:spacing w:after="0"/>
              <w:rPr>
                <w:sz w:val="14"/>
                <w:szCs w:val="14"/>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846</w:t>
            </w:r>
          </w:p>
        </w:tc>
        <w:tc>
          <w:tcPr>
            <w:tcW w:w="12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(3)</w:t>
            </w:r>
          </w:p>
        </w:tc>
        <w:tc>
          <w:tcPr>
            <w:tcW w:w="220" w:type="dxa"/>
            <w:vAlign w:val="bottom"/>
            <w:shd w:val="clear" w:color="auto" w:fill="DBDBDB"/>
          </w:tcPr>
          <w:p>
            <w:pPr>
              <w:spacing w:after="0"/>
              <w:rPr>
                <w:sz w:val="18"/>
                <w:szCs w:val="18"/>
                <w:color w:val="auto"/>
              </w:rPr>
            </w:pPr>
          </w:p>
        </w:tc>
        <w:tc>
          <w:tcPr>
            <w:tcW w:w="96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DBDBDB"/>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1,288</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2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38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Noncurrent investments</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2,802</w:t>
            </w:r>
          </w:p>
        </w:tc>
        <w:tc>
          <w:tcPr>
            <w:tcW w:w="12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DBDBDB"/>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DBDBDB"/>
            </w:tcBorders>
          </w:tcPr>
          <w:p>
            <w:pPr>
              <w:jc w:val="right"/>
              <w:ind w:right="100"/>
              <w:spacing w:after="0"/>
              <w:rPr>
                <w:sz w:val="20"/>
                <w:szCs w:val="20"/>
                <w:color w:val="auto"/>
              </w:rPr>
            </w:pPr>
            <w:r>
              <w:rPr>
                <w:rFonts w:ascii="Arial" w:cs="Arial" w:eastAsia="Arial" w:hAnsi="Arial"/>
                <w:sz w:val="16"/>
                <w:szCs w:val="16"/>
                <w:color w:val="auto"/>
              </w:rPr>
              <w:t>1,507</w:t>
            </w:r>
          </w:p>
        </w:tc>
        <w:tc>
          <w:tcPr>
            <w:tcW w:w="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ind w:right="43"/>
              <w:spacing w:after="0"/>
              <w:rPr>
                <w:sz w:val="20"/>
                <w:szCs w:val="20"/>
                <w:color w:val="auto"/>
              </w:rPr>
            </w:pPr>
            <w:r>
              <w:rPr>
                <w:rFonts w:ascii="Arial" w:cs="Arial" w:eastAsia="Arial" w:hAnsi="Arial"/>
                <w:sz w:val="16"/>
                <w:szCs w:val="16"/>
                <w:color w:val="auto"/>
              </w:rPr>
              <w:t>1,494</w:t>
            </w:r>
          </w:p>
        </w:tc>
        <w:tc>
          <w:tcPr>
            <w:tcW w:w="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BDBDB"/>
            </w:tcBorders>
          </w:tcPr>
          <w:p>
            <w:pPr>
              <w:jc w:val="right"/>
              <w:ind w:right="24"/>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BDBDB"/>
            </w:tcBorders>
          </w:tcPr>
          <w:p>
            <w:pPr>
              <w:jc w:val="right"/>
              <w:ind w:right="2"/>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02"/>
        </w:trPr>
        <w:tc>
          <w:tcPr>
            <w:tcW w:w="3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line="216"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3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auto"/>
            </w:tcBorders>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17</w:t>
            </w: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c>
          <w:tcPr>
            <w:tcW w:w="38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34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2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38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Noncurrent investments:</w:t>
            </w:r>
          </w:p>
        </w:tc>
        <w:tc>
          <w:tcPr>
            <w:tcW w:w="2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line="216" w:lineRule="exact"/>
              <w:rPr>
                <w:sz w:val="20"/>
                <w:szCs w:val="20"/>
                <w:color w:val="auto"/>
              </w:rPr>
            </w:pPr>
            <w:r>
              <w:rPr>
                <w:rFonts w:ascii="Arial" w:cs="Arial" w:eastAsia="Arial" w:hAnsi="Arial"/>
                <w:sz w:val="16"/>
                <w:szCs w:val="16"/>
                <w:color w:val="auto"/>
              </w:rPr>
              <w:t>Available-for-sale debt securities</w:t>
            </w:r>
            <w:r>
              <w:rPr>
                <w:rFonts w:ascii="Arial" w:cs="Arial" w:eastAsia="Arial" w:hAnsi="Arial"/>
                <w:sz w:val="21"/>
                <w:szCs w:val="21"/>
                <w:color w:val="auto"/>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616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6"/>
        </w:trPr>
        <w:tc>
          <w:tcPr>
            <w:tcW w:w="3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6</w:t>
            </w: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w:t>
            </w:r>
          </w:p>
        </w:tc>
        <w:tc>
          <w:tcPr>
            <w:tcW w:w="38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5"/>
        </w:trPr>
        <w:tc>
          <w:tcPr>
            <w:tcW w:w="344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486</w:t>
            </w:r>
          </w:p>
        </w:tc>
        <w:tc>
          <w:tcPr>
            <w:tcW w:w="24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163"/>
        </w:trPr>
        <w:tc>
          <w:tcPr>
            <w:tcW w:w="3440" w:type="dxa"/>
            <w:vAlign w:val="bottom"/>
            <w:shd w:val="clear" w:color="auto" w:fill="DBDBDB"/>
          </w:tcPr>
          <w:p>
            <w:pPr>
              <w:ind w:left="140"/>
              <w:spacing w:after="0" w:line="163" w:lineRule="exact"/>
              <w:rPr>
                <w:sz w:val="20"/>
                <w:szCs w:val="20"/>
                <w:color w:val="auto"/>
              </w:rPr>
            </w:pPr>
            <w:r>
              <w:rPr>
                <w:rFonts w:ascii="Arial" w:cs="Arial" w:eastAsia="Arial" w:hAnsi="Arial"/>
                <w:sz w:val="16"/>
                <w:szCs w:val="16"/>
                <w:color w:val="auto"/>
              </w:rPr>
              <w:t>Equity investments without readily</w:t>
            </w:r>
          </w:p>
        </w:tc>
        <w:tc>
          <w:tcPr>
            <w:tcW w:w="220" w:type="dxa"/>
            <w:vAlign w:val="bottom"/>
            <w:shd w:val="clear" w:color="auto" w:fill="DBDBDB"/>
          </w:tcPr>
          <w:p>
            <w:pPr>
              <w:spacing w:after="0"/>
              <w:rPr>
                <w:sz w:val="14"/>
                <w:szCs w:val="14"/>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(3)</w:t>
            </w:r>
          </w:p>
        </w:tc>
        <w:tc>
          <w:tcPr>
            <w:tcW w:w="220" w:type="dxa"/>
            <w:vAlign w:val="bottom"/>
            <w:shd w:val="clear" w:color="auto" w:fill="DBDBDB"/>
          </w:tcPr>
          <w:p>
            <w:pPr>
              <w:spacing w:after="0"/>
              <w:rPr>
                <w:sz w:val="18"/>
                <w:szCs w:val="18"/>
                <w:color w:val="auto"/>
              </w:rPr>
            </w:pPr>
          </w:p>
        </w:tc>
        <w:tc>
          <w:tcPr>
            <w:tcW w:w="96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DBDBDB"/>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DBDBDB"/>
            </w:tcBorders>
          </w:tcPr>
          <w:p>
            <w:pPr>
              <w:spacing w:after="0"/>
              <w:rPr>
                <w:sz w:val="18"/>
                <w:szCs w:val="18"/>
                <w:color w:val="auto"/>
              </w:rPr>
            </w:pPr>
          </w:p>
        </w:tc>
        <w:tc>
          <w:tcPr>
            <w:tcW w:w="100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2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38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Noncurrent investments</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3,216</w:t>
            </w:r>
          </w:p>
        </w:tc>
        <w:tc>
          <w:tcPr>
            <w:tcW w:w="12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800" w:hanging="172"/>
        <w:spacing w:after="0" w:line="231" w:lineRule="auto"/>
        <w:tabs>
          <w:tab w:leader="none" w:pos="172"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19" w:lineRule="auto"/>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12"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1" w:right="4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 and fair value using Level 2 inputs for our short-term and long-term debt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2025</w:t>
            </w:r>
          </w:p>
        </w:tc>
        <w:tc>
          <w:tcPr>
            <w:tcW w:w="18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4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tcPr>
          <w:p>
            <w:pPr>
              <w:ind w:left="240"/>
              <w:spacing w:after="0" w:line="116" w:lineRule="exact"/>
              <w:rPr>
                <w:sz w:val="20"/>
                <w:szCs w:val="20"/>
                <w:color w:val="auto"/>
              </w:rPr>
            </w:pPr>
            <w:r>
              <w:rPr>
                <w:rFonts w:ascii="Arial" w:cs="Arial" w:eastAsia="Arial" w:hAnsi="Arial"/>
                <w:sz w:val="13"/>
                <w:szCs w:val="13"/>
                <w:b w:val="1"/>
                <w:bCs w:val="1"/>
                <w:color w:val="auto"/>
              </w:rPr>
              <w:t>Carrying</w:t>
            </w:r>
          </w:p>
        </w:tc>
        <w:tc>
          <w:tcPr>
            <w:tcW w:w="1800" w:type="dxa"/>
            <w:vAlign w:val="bottom"/>
            <w:vMerge w:val="restart"/>
          </w:tcPr>
          <w:p>
            <w:pPr>
              <w:jc w:val="right"/>
              <w:ind w:right="939"/>
              <w:spacing w:after="0"/>
              <w:rPr>
                <w:sz w:val="20"/>
                <w:szCs w:val="20"/>
                <w:color w:val="auto"/>
              </w:rPr>
            </w:pPr>
            <w:r>
              <w:rPr>
                <w:rFonts w:ascii="Arial" w:cs="Arial" w:eastAsia="Arial" w:hAnsi="Arial"/>
                <w:sz w:val="13"/>
                <w:szCs w:val="13"/>
                <w:b w:val="1"/>
                <w:bCs w:val="1"/>
                <w:color w:val="auto"/>
              </w:rPr>
              <w:t>Fair Value</w:t>
            </w:r>
          </w:p>
        </w:tc>
        <w:tc>
          <w:tcPr>
            <w:tcW w:w="1340" w:type="dxa"/>
            <w:vAlign w:val="bottom"/>
          </w:tcPr>
          <w:p>
            <w:pPr>
              <w:jc w:val="right"/>
              <w:ind w:right="504"/>
              <w:spacing w:after="0" w:line="116" w:lineRule="exact"/>
              <w:rPr>
                <w:sz w:val="20"/>
                <w:szCs w:val="20"/>
                <w:color w:val="auto"/>
              </w:rPr>
            </w:pPr>
            <w:r>
              <w:rPr>
                <w:rFonts w:ascii="Arial" w:cs="Arial" w:eastAsia="Arial" w:hAnsi="Arial"/>
                <w:sz w:val="13"/>
                <w:szCs w:val="13"/>
                <w:b w:val="1"/>
                <w:bCs w:val="1"/>
                <w:color w:val="auto"/>
              </w:rPr>
              <w:t>Carrying</w:t>
            </w:r>
          </w:p>
        </w:tc>
        <w:tc>
          <w:tcPr>
            <w:tcW w:w="400" w:type="dxa"/>
            <w:vAlign w:val="bottom"/>
          </w:tcPr>
          <w:p>
            <w:pPr>
              <w:spacing w:after="0"/>
              <w:rPr>
                <w:sz w:val="10"/>
                <w:szCs w:val="10"/>
                <w:color w:val="auto"/>
              </w:rPr>
            </w:pPr>
          </w:p>
        </w:tc>
        <w:tc>
          <w:tcPr>
            <w:tcW w:w="1380" w:type="dxa"/>
            <w:vAlign w:val="bottom"/>
            <w:vMerge w:val="restart"/>
          </w:tcPr>
          <w:p>
            <w:pPr>
              <w:jc w:val="right"/>
              <w:ind w:right="49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Amount</w:t>
            </w:r>
          </w:p>
        </w:tc>
        <w:tc>
          <w:tcPr>
            <w:tcW w:w="18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Amount</w:t>
            </w: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commercial paper borrowings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DBDBDB"/>
          </w:tcPr>
          <w:p>
            <w:pPr>
              <w:ind w:left="1080"/>
              <w:spacing w:after="0"/>
              <w:rPr>
                <w:sz w:val="20"/>
                <w:szCs w:val="20"/>
                <w:color w:val="auto"/>
              </w:rPr>
            </w:pPr>
            <w:r>
              <w:rPr>
                <w:rFonts w:ascii="Arial" w:cs="Arial" w:eastAsia="Arial" w:hAnsi="Arial"/>
                <w:sz w:val="18"/>
                <w:szCs w:val="18"/>
                <w:b w:val="1"/>
                <w:bCs w:val="1"/>
                <w:color w:val="auto"/>
              </w:rPr>
              <w:t>— $</w:t>
            </w:r>
          </w:p>
        </w:tc>
        <w:tc>
          <w:tcPr>
            <w:tcW w:w="1800" w:type="dxa"/>
            <w:vAlign w:val="bottom"/>
            <w:shd w:val="clear" w:color="auto" w:fill="DBDBDB"/>
          </w:tcPr>
          <w:p>
            <w:pPr>
              <w:jc w:val="right"/>
              <w:ind w:right="159"/>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4,338</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40" w:type="dxa"/>
            <w:vAlign w:val="bottom"/>
          </w:tcPr>
          <w:p>
            <w:pPr>
              <w:spacing w:after="0"/>
              <w:rPr>
                <w:sz w:val="21"/>
                <w:szCs w:val="21"/>
                <w:color w:val="auto"/>
              </w:rPr>
            </w:pPr>
          </w:p>
        </w:tc>
        <w:tc>
          <w:tcPr>
            <w:tcW w:w="1700" w:type="dxa"/>
            <w:vAlign w:val="bottom"/>
          </w:tcPr>
          <w:p>
            <w:pPr>
              <w:jc w:val="right"/>
              <w:ind w:right="364"/>
              <w:spacing w:after="0"/>
              <w:rPr>
                <w:sz w:val="20"/>
                <w:szCs w:val="20"/>
                <w:color w:val="auto"/>
              </w:rPr>
            </w:pPr>
            <w:r>
              <w:rPr>
                <w:rFonts w:ascii="Arial" w:cs="Arial" w:eastAsia="Arial" w:hAnsi="Arial"/>
                <w:sz w:val="18"/>
                <w:szCs w:val="18"/>
                <w:b w:val="1"/>
                <w:bCs w:val="1"/>
                <w:color w:val="auto"/>
              </w:rPr>
              <w:t>42,503</w:t>
            </w:r>
          </w:p>
        </w:tc>
        <w:tc>
          <w:tcPr>
            <w:tcW w:w="1800" w:type="dxa"/>
            <w:vAlign w:val="bottom"/>
          </w:tcPr>
          <w:p>
            <w:pPr>
              <w:jc w:val="right"/>
              <w:ind w:right="459"/>
              <w:spacing w:after="0"/>
              <w:rPr>
                <w:sz w:val="20"/>
                <w:szCs w:val="20"/>
                <w:color w:val="auto"/>
              </w:rPr>
            </w:pPr>
            <w:r>
              <w:rPr>
                <w:rFonts w:ascii="Arial" w:cs="Arial" w:eastAsia="Arial" w:hAnsi="Arial"/>
                <w:sz w:val="18"/>
                <w:szCs w:val="18"/>
                <w:b w:val="1"/>
                <w:bCs w:val="1"/>
                <w:color w:val="auto"/>
              </w:rPr>
              <w:t>39,799</w:t>
            </w:r>
          </w:p>
        </w:tc>
        <w:tc>
          <w:tcPr>
            <w:tcW w:w="1340" w:type="dxa"/>
            <w:vAlign w:val="bottom"/>
          </w:tcPr>
          <w:p>
            <w:pPr>
              <w:jc w:val="right"/>
              <w:spacing w:after="0"/>
              <w:rPr>
                <w:sz w:val="20"/>
                <w:szCs w:val="20"/>
                <w:color w:val="auto"/>
              </w:rPr>
            </w:pPr>
            <w:r>
              <w:rPr>
                <w:rFonts w:ascii="Arial" w:cs="Arial" w:eastAsia="Arial" w:hAnsi="Arial"/>
                <w:sz w:val="18"/>
                <w:szCs w:val="18"/>
                <w:color w:val="auto"/>
              </w:rPr>
              <w:t>29,307</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 manage foreign currency and interest rate risk, we may enter into derivative instruments intended to offset losses and gains on the assets, liabilities, and transactions being hedged. Such instruments are entered into in accordance with documented corporate risk-management policies. Management reviews the correlation and effectiveness of our derivatives on a quarterly basis. Derivative instruments are recorded at fair value, with gains and losses recognized as follows:</w:t>
      </w:r>
    </w:p>
    <w:p>
      <w:pPr>
        <w:spacing w:after="0" w:line="68" w:lineRule="exact"/>
        <w:rPr>
          <w:sz w:val="20"/>
          <w:szCs w:val="20"/>
          <w:color w:val="auto"/>
        </w:rPr>
      </w:pPr>
    </w:p>
    <w:p>
      <w:pPr>
        <w:ind w:left="660" w:right="4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derivative instruments designated as fair value hedges, gains and losses are recognized in earnings to offset the respective losses and gains recognized on the underlying exposure.</w:t>
      </w:r>
    </w:p>
    <w:p>
      <w:pPr>
        <w:spacing w:after="0" w:line="44" w:lineRule="exact"/>
        <w:rPr>
          <w:rFonts w:ascii="Arial" w:cs="Arial" w:eastAsia="Arial" w:hAnsi="Arial"/>
          <w:sz w:val="18"/>
          <w:szCs w:val="18"/>
          <w:color w:val="auto"/>
        </w:rPr>
      </w:pPr>
    </w:p>
    <w:p>
      <w:pPr>
        <w:ind w:left="660" w:right="100" w:hanging="328"/>
        <w:spacing w:after="0" w:line="31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derivative instruments designated as cash flow hedges, gains and losses are reported as a component of accumulated other comprehensive income (loss) and reclassified into earnings as an offset in the same period the hedged transaction affects earnings.</w:t>
      </w:r>
    </w:p>
    <w:p>
      <w:pPr>
        <w:spacing w:after="0" w:line="21" w:lineRule="exact"/>
        <w:rPr>
          <w:rFonts w:ascii="Arial" w:cs="Arial" w:eastAsia="Arial" w:hAnsi="Arial"/>
          <w:sz w:val="17"/>
          <w:szCs w:val="17"/>
          <w:color w:val="auto"/>
        </w:rPr>
      </w:pPr>
    </w:p>
    <w:p>
      <w:pPr>
        <w:jc w:val="both"/>
        <w:ind w:left="660" w:right="1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derivative and non-derivative instruments designated as net investment hedges, gains and losses are reported as a component of accumulated other comprehensive income (loss) and reclassified into earnings upon the sale or substantial liquidation of our net investments.</w:t>
      </w:r>
    </w:p>
    <w:p>
      <w:pPr>
        <w:spacing w:after="0" w:line="62"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derivative contracts not designated as hedging instruments, gains and losses are recognized in earnings to offset the respective losses and gains recognized on the underlying exposure.</w:t>
      </w:r>
    </w:p>
    <w:p>
      <w:pPr>
        <w:spacing w:after="0" w:line="45" w:lineRule="exact"/>
        <w:rPr>
          <w:sz w:val="20"/>
          <w:szCs w:val="20"/>
          <w:color w:val="auto"/>
        </w:rPr>
      </w:pPr>
    </w:p>
    <w:p>
      <w:pPr>
        <w:ind w:right="1020"/>
        <w:spacing w:after="0" w:line="375" w:lineRule="auto"/>
        <w:rPr>
          <w:sz w:val="20"/>
          <w:szCs w:val="20"/>
          <w:color w:val="auto"/>
        </w:rPr>
      </w:pPr>
      <w:r>
        <w:rPr>
          <w:rFonts w:ascii="Arial" w:cs="Arial" w:eastAsia="Arial" w:hAnsi="Arial"/>
          <w:sz w:val="18"/>
          <w:szCs w:val="18"/>
          <w:color w:val="auto"/>
        </w:rPr>
        <w:t xml:space="preserve">Cash settlements of our derivative instruments are classified as operating activities in our consolidated statements of cash flows. </w:t>
      </w:r>
      <w:r>
        <w:rPr>
          <w:rFonts w:ascii="Arial" w:cs="Arial" w:eastAsia="Arial" w:hAnsi="Arial"/>
          <w:sz w:val="18"/>
          <w:szCs w:val="18"/>
          <w:i w:val="1"/>
          <w:iCs w:val="1"/>
          <w:u w:val="single" w:color="auto"/>
          <w:color w:val="auto"/>
        </w:rPr>
        <w:t>Foreign Currency Risk</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Chinese yuan, and British pound sterling. We manage foreign currency risk primarily through the use of foreign currency debt and foreign currency forward contracts. Our foreign currency-denominated notes designated as accounting hedges had carrying amounts of $6.0 billion and $5.3 billion as of December 31, 2025 and 2024, respectively. Below summarizes the aggregate outstanding notional amounts of our foreign currency forward contracts in U.S. dollar equivalent as of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7"/>
                <w:szCs w:val="17"/>
                <w:color w:val="auto"/>
              </w:rPr>
            </w:pPr>
          </w:p>
        </w:tc>
      </w:tr>
      <w:tr>
        <w:trPr>
          <w:trHeight w:val="196"/>
        </w:trPr>
        <w:tc>
          <w:tcPr>
            <w:tcW w:w="5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Sell</w:t>
            </w: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Purchase</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Sell</w:t>
            </w:r>
          </w:p>
        </w:tc>
      </w:tr>
      <w:tr>
        <w:trPr>
          <w:trHeight w:val="224"/>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Designated as accounting hedges</w:t>
            </w:r>
          </w:p>
        </w:tc>
        <w:tc>
          <w:tcPr>
            <w:tcW w:w="1080" w:type="dxa"/>
            <w:vAlign w:val="bottom"/>
            <w:shd w:val="clear" w:color="auto" w:fill="DBDBDB"/>
          </w:tcPr>
          <w:p>
            <w:pPr>
              <w:jc w:val="right"/>
              <w:ind w:right="876"/>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w:t>
            </w:r>
          </w:p>
        </w:tc>
        <w:tc>
          <w:tcPr>
            <w:tcW w:w="90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8,909</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400" w:type="dxa"/>
            <w:vAlign w:val="bottom"/>
          </w:tcPr>
          <w:p>
            <w:pPr>
              <w:ind w:left="20"/>
              <w:spacing w:after="0"/>
              <w:rPr>
                <w:sz w:val="20"/>
                <w:szCs w:val="20"/>
                <w:color w:val="auto"/>
              </w:rPr>
            </w:pPr>
            <w:r>
              <w:rPr>
                <w:rFonts w:ascii="Arial" w:cs="Arial" w:eastAsia="Arial" w:hAnsi="Arial"/>
                <w:sz w:val="18"/>
                <w:szCs w:val="18"/>
                <w:color w:val="auto"/>
              </w:rPr>
              <w:t>Not designated as accounting hedges</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14,281</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9,264</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8,755</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Forward contracts generally have maturities not exceeding 12 months.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Our primary interest-rate risk exposure results from changes in short-term U.S. dollar interest rates. In an effort to manage interest-rate exposures, we may enter into derivative contracts to achieve an acceptable balance between fixed- and floating-rate debt or to reduce cash flow variability from changes in interest rates as part of anticipated debt issuances. For 2025, 2024, and 2023, the impact of our interest rate contracts on our consolidated financial statements was not material.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auto"/>
        </w:rPr>
        <w:t>Credit Risk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that potentially subject us to credit risk include the following:</w:t>
      </w:r>
    </w:p>
    <w:p>
      <w:pPr>
        <w:spacing w:after="0" w:line="117" w:lineRule="exact"/>
        <w:rPr>
          <w:sz w:val="20"/>
          <w:szCs w:val="20"/>
          <w:color w:val="auto"/>
        </w:rPr>
      </w:pPr>
    </w:p>
    <w:p>
      <w:pPr>
        <w:ind w:left="660" w:right="50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receivables: Wholesale distributors of our products account for a substantial portion of our trade receivables; collateral is generally not required. We seek to mitigate the risk through our ongoing credit-review procedures and insurance.</w:t>
      </w:r>
    </w:p>
    <w:p>
      <w:pPr>
        <w:spacing w:after="0" w:line="44"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Interest-bearing investments: In accordance with documented corporate risk-management policies, we monitor the amount of credit exposure to any one issuer based on credit rating of our counterparty.</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Derivatives: In accordance with documented corporate risk-management policies, we monitor the amount of credit exposure to any one counterparty based on the credit rating of our counterparty.</w:t>
      </w:r>
    </w:p>
    <w:p>
      <w:pPr>
        <w:spacing w:after="0" w:line="45"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Significant Risk Management Programs on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significant risk-management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r>
      <w:tr>
        <w:trPr>
          <w:trHeight w:val="224"/>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Recognized in other–net, (income) expense:</w:t>
            </w:r>
          </w:p>
        </w:tc>
        <w:tc>
          <w:tcPr>
            <w:tcW w:w="13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 forward contracts not designated as accounting hedges</w:t>
            </w:r>
          </w:p>
        </w:tc>
        <w:tc>
          <w:tcPr>
            <w:tcW w:w="1300" w:type="dxa"/>
            <w:vAlign w:val="bottom"/>
          </w:tcPr>
          <w:p>
            <w:pPr>
              <w:jc w:val="right"/>
              <w:ind w:right="699"/>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9"/>
              </w:rPr>
              <w:t>489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Recognized in other comprehensive income (loss):</w:t>
            </w:r>
          </w:p>
        </w:tc>
        <w:tc>
          <w:tcPr>
            <w:tcW w:w="13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4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Designated as accounting hedges</w:t>
            </w:r>
          </w:p>
        </w:tc>
        <w:tc>
          <w:tcPr>
            <w:tcW w:w="1300" w:type="dxa"/>
            <w:vAlign w:val="bottom"/>
            <w:shd w:val="clear" w:color="auto" w:fill="DBDBDB"/>
          </w:tcPr>
          <w:p>
            <w:pPr>
              <w:spacing w:after="0"/>
              <w:rPr>
                <w:sz w:val="19"/>
                <w:szCs w:val="19"/>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(690)</w:t>
            </w: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338</w:t>
            </w: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4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Designated as accounting hedges</w:t>
            </w:r>
          </w:p>
        </w:tc>
        <w:tc>
          <w:tcPr>
            <w:tcW w:w="1300" w:type="dxa"/>
            <w:vAlign w:val="bottom"/>
            <w:shd w:val="clear" w:color="auto" w:fill="DBDBDB"/>
          </w:tcPr>
          <w:p>
            <w:pPr>
              <w:spacing w:after="0"/>
              <w:rPr>
                <w:sz w:val="19"/>
                <w:szCs w:val="19"/>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(643)</w:t>
            </w: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343</w:t>
            </w: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r>
    </w:tbl>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summarizes the fair value of assets and liabilities on a gross basis for significant risk-management programs using Level 2 inputs as of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2024</w:t>
            </w:r>
          </w:p>
        </w:tc>
      </w:tr>
      <w:tr>
        <w:trPr>
          <w:trHeight w:val="224"/>
        </w:trPr>
        <w:tc>
          <w:tcPr>
            <w:tcW w:w="5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currency forward contracts:</w:t>
            </w:r>
          </w:p>
        </w:tc>
        <w:tc>
          <w:tcPr>
            <w:tcW w:w="330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Designated as accounting hedges:</w:t>
            </w:r>
          </w:p>
        </w:tc>
        <w:tc>
          <w:tcPr>
            <w:tcW w:w="3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 receivables</w:t>
            </w:r>
          </w:p>
        </w:tc>
        <w:tc>
          <w:tcPr>
            <w:tcW w:w="3300" w:type="dxa"/>
            <w:vAlign w:val="bottom"/>
            <w:shd w:val="clear" w:color="auto" w:fill="DBDBDB"/>
          </w:tcPr>
          <w:p>
            <w:pPr>
              <w:jc w:val="right"/>
              <w:ind w:right="1019"/>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DBDBDB"/>
          </w:tcPr>
          <w:p>
            <w:pPr>
              <w:ind w:left="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Not designated as accounting hedges:</w:t>
            </w:r>
          </w:p>
        </w:tc>
        <w:tc>
          <w:tcPr>
            <w:tcW w:w="3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 receivables</w:t>
            </w:r>
          </w:p>
        </w:tc>
        <w:tc>
          <w:tcPr>
            <w:tcW w:w="3300" w:type="dxa"/>
            <w:vAlign w:val="bottom"/>
            <w:shd w:val="clear" w:color="auto" w:fill="DBDBDB"/>
          </w:tcPr>
          <w:p>
            <w:pPr>
              <w:spacing w:after="0"/>
              <w:rPr>
                <w:sz w:val="19"/>
                <w:szCs w:val="19"/>
                <w:color w:val="auto"/>
              </w:rPr>
            </w:pPr>
          </w:p>
        </w:tc>
        <w:tc>
          <w:tcPr>
            <w:tcW w:w="1160" w:type="dxa"/>
            <w:vAlign w:val="bottom"/>
            <w:shd w:val="clear" w:color="auto" w:fill="DBDBDB"/>
          </w:tcPr>
          <w:p>
            <w:pPr>
              <w:ind w:left="320"/>
              <w:spacing w:after="0"/>
              <w:rPr>
                <w:sz w:val="20"/>
                <w:szCs w:val="20"/>
                <w:color w:val="auto"/>
              </w:rPr>
            </w:pPr>
            <w:r>
              <w:rPr>
                <w:rFonts w:ascii="Arial" w:cs="Arial" w:eastAsia="Arial" w:hAnsi="Arial"/>
                <w:sz w:val="18"/>
                <w:szCs w:val="18"/>
                <w:b w:val="1"/>
                <w:bCs w:val="1"/>
                <w:color w:val="auto"/>
              </w:rPr>
              <w:t>39</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r>
      <w:tr>
        <w:trPr>
          <w:trHeight w:val="247"/>
        </w:trPr>
        <w:tc>
          <w:tcPr>
            <w:tcW w:w="52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300" w:type="dxa"/>
            <w:vAlign w:val="bottom"/>
          </w:tcPr>
          <w:p>
            <w:pPr>
              <w:spacing w:after="0"/>
              <w:rPr>
                <w:sz w:val="21"/>
                <w:szCs w:val="21"/>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(329)</w:t>
            </w: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8: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or more frequently if impairment indicators are present, by first assessing qualitative factors to determine whether it is more likely than not that the fair value is less than its carrying amount. If we conclude it is more likely than not that the fair value is less than the carrying amount, a quantitative test that compares the fair value to its carrying value is performed to determine the amount of any impairment. The change in goodwill during 2025 was primarily related to our acquisition of Verve. See Note 4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2025, 2024, and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9"/>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40" w:type="dxa"/>
            <w:vAlign w:val="bottom"/>
          </w:tcPr>
          <w:p>
            <w:pPr>
              <w:jc w:val="center"/>
              <w:ind w:right="159"/>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040" w:type="dxa"/>
            <w:vAlign w:val="bottom"/>
          </w:tcPr>
          <w:p>
            <w:pPr>
              <w:jc w:val="center"/>
              <w:ind w:right="139"/>
              <w:spacing w:after="0" w:line="14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99"/>
              <w:spacing w:after="0" w:line="14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40" w:type="dxa"/>
            <w:vAlign w:val="bottom"/>
          </w:tcPr>
          <w:p>
            <w:pPr>
              <w:jc w:val="center"/>
              <w:ind w:right="179"/>
              <w:spacing w:after="0" w:line="14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79"/>
              <w:spacing w:after="0" w:line="14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3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Net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3"/>
        </w:trPr>
        <w:tc>
          <w:tcPr>
            <w:tcW w:w="3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b w:val="1"/>
                <w:bCs w:val="1"/>
                <w:color w:val="auto"/>
              </w:rPr>
              <w:t>7,916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(2,963)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8,090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(2,822)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29"/>
        </w:trPr>
        <w:tc>
          <w:tcPr>
            <w:tcW w:w="3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Acquired IPR&amp;D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1,569</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898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8"/>
                <w:szCs w:val="18"/>
                <w:b w:val="1"/>
                <w:bCs w:val="1"/>
                <w:color w:val="auto"/>
              </w:rPr>
              <w:t>9,485</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(2,963)</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6,521</w:t>
            </w:r>
          </w:p>
        </w:tc>
        <w:tc>
          <w:tcPr>
            <w:tcW w:w="100" w:type="dxa"/>
            <w:vAlign w:val="bottom"/>
            <w:tcBorders>
              <w:bottom w:val="single" w:sz="8" w:color="auto"/>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8"/>
                <w:szCs w:val="18"/>
                <w:color w:val="auto"/>
              </w:rPr>
              <w:t>8,988</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(2,822)</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Marketed products consist primarily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consists of the fair values of acquired IPR&amp;D projects acquired in business combinations, adjusted for subsequent impairments, if any. The costs of acquired IPR&amp;D projects acquired directly in a transaction other than a business combination are capitalized as other intangible assets if the projects have an alternative future use; otherwise, they are expensed immediately. See Note 4 for significant acquired IPR&amp;D projects that had no alternative future use.</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analyst expectations,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4" w:name="page75"/>
    <w:bookmarkEnd w:id="74"/>
    <w:p>
      <w:pPr>
        <w:ind w:right="300"/>
        <w:spacing w:after="0" w:line="268" w:lineRule="auto"/>
        <w:rPr>
          <w:sz w:val="20"/>
          <w:szCs w:val="20"/>
          <w:color w:val="auto"/>
        </w:rPr>
      </w:pPr>
      <w:r>
        <w:rPr>
          <w:rFonts w:ascii="Arial" w:cs="Arial" w:eastAsia="Arial" w:hAnsi="Arial"/>
          <w:sz w:val="18"/>
          <w:szCs w:val="18"/>
          <w:color w:val="auto"/>
        </w:rPr>
        <w:t>Intangible assets with finite lives are capitalized and are amortized primarily to cost of sales over their estimated useful lives, ranging from one to 20 years. As of December 31, 2025, the remaining weighted-average amortization period for finite-lived intangible assets was approximately 11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r>
      <w:tr>
        <w:trPr>
          <w:trHeight w:val="224"/>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expense</w:t>
            </w:r>
          </w:p>
        </w:tc>
        <w:tc>
          <w:tcPr>
            <w:tcW w:w="3460" w:type="dxa"/>
            <w:vAlign w:val="bottom"/>
            <w:shd w:val="clear" w:color="auto" w:fill="DBDBDB"/>
          </w:tcPr>
          <w:p>
            <w:pPr>
              <w:jc w:val="right"/>
              <w:ind w:right="739"/>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488</w:t>
            </w:r>
          </w:p>
        </w:tc>
        <w:tc>
          <w:tcPr>
            <w:tcW w:w="1020" w:type="dxa"/>
            <w:vAlign w:val="bottom"/>
            <w:shd w:val="clear" w:color="auto" w:fill="DBDBDB"/>
          </w:tcPr>
          <w:p>
            <w:pPr>
              <w:jc w:val="right"/>
              <w:ind w:right="739"/>
              <w:spacing w:after="0"/>
              <w:rPr>
                <w:sz w:val="20"/>
                <w:szCs w:val="20"/>
                <w:color w:val="auto"/>
              </w:rPr>
            </w:pPr>
            <w:r>
              <w:rPr>
                <w:rFonts w:ascii="Arial" w:cs="Arial" w:eastAsia="Arial" w:hAnsi="Arial"/>
                <w:sz w:val="18"/>
                <w:szCs w:val="18"/>
                <w:color w:val="auto"/>
              </w:rPr>
              <w:t>$</w:t>
            </w:r>
          </w:p>
        </w:tc>
        <w:tc>
          <w:tcPr>
            <w:tcW w:w="5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553</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506</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2025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2027</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2028</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2029</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2030</w:t>
            </w:r>
          </w:p>
        </w:tc>
      </w:tr>
      <w:tr>
        <w:trPr>
          <w:trHeight w:val="224"/>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Estimated amortization expense</w:t>
            </w:r>
          </w:p>
        </w:tc>
        <w:tc>
          <w:tcPr>
            <w:tcW w:w="17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488</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486</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480</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466</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432</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three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7"/>
                <w:szCs w:val="17"/>
                <w:color w:val="auto"/>
              </w:rPr>
            </w:pPr>
          </w:p>
        </w:tc>
      </w:tr>
      <w:tr>
        <w:trPr>
          <w:trHeight w:val="224"/>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647</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9"/>
                <w:szCs w:val="19"/>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10,088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8,807</w:t>
            </w:r>
          </w:p>
        </w:tc>
        <w:tc>
          <w:tcPr>
            <w:tcW w:w="40" w:type="dxa"/>
            <w:vAlign w:val="bottom"/>
          </w:tcPr>
          <w:p>
            <w:pPr>
              <w:spacing w:after="0"/>
              <w:rPr>
                <w:sz w:val="19"/>
                <w:szCs w:val="19"/>
                <w:color w:val="auto"/>
              </w:rPr>
            </w:pPr>
          </w:p>
        </w:tc>
      </w:tr>
      <w:tr>
        <w:trPr>
          <w:trHeight w:val="230"/>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Equipment</w:t>
            </w: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13,486</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11,458</w:t>
            </w:r>
          </w:p>
        </w:tc>
        <w:tc>
          <w:tcPr>
            <w:tcW w:w="40" w:type="dxa"/>
            <w:vAlign w:val="bottom"/>
          </w:tcPr>
          <w:p>
            <w:pPr>
              <w:spacing w:after="0"/>
              <w:rPr>
                <w:sz w:val="19"/>
                <w:szCs w:val="19"/>
                <w:color w:val="auto"/>
              </w:rPr>
            </w:pPr>
          </w:p>
        </w:tc>
      </w:tr>
      <w:tr>
        <w:trPr>
          <w:trHeight w:val="230"/>
        </w:trPr>
        <w:tc>
          <w:tcPr>
            <w:tcW w:w="63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Construction in progress</w:t>
            </w:r>
          </w:p>
        </w:tc>
        <w:tc>
          <w:tcPr>
            <w:tcW w:w="840" w:type="dxa"/>
            <w:vAlign w:val="bottom"/>
            <w:tcBorders>
              <w:bottom w:val="single" w:sz="8" w:color="DBDBDB"/>
            </w:tcBorders>
          </w:tcPr>
          <w:p>
            <w:pPr>
              <w:spacing w:after="0"/>
              <w:rPr>
                <w:sz w:val="19"/>
                <w:szCs w:val="19"/>
                <w:color w:val="auto"/>
              </w:rPr>
            </w:pPr>
          </w:p>
        </w:tc>
        <w:tc>
          <w:tcPr>
            <w:tcW w:w="1140" w:type="dxa"/>
            <w:vAlign w:val="bottom"/>
            <w:tcBorders>
              <w:bottom w:val="single" w:sz="8" w:color="DBDBDB"/>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13,013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40" w:type="dxa"/>
            <w:vAlign w:val="bottom"/>
          </w:tcPr>
          <w:p>
            <w:pPr>
              <w:spacing w:after="0"/>
              <w:rPr>
                <w:sz w:val="19"/>
                <w:szCs w:val="19"/>
                <w:color w:val="auto"/>
              </w:rPr>
            </w:pPr>
          </w:p>
        </w:tc>
      </w:tr>
      <w:tr>
        <w:trPr>
          <w:trHeight w:val="223"/>
        </w:trPr>
        <w:tc>
          <w:tcPr>
            <w:tcW w:w="63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37,235</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28,891</w:t>
            </w:r>
          </w:p>
        </w:tc>
        <w:tc>
          <w:tcPr>
            <w:tcW w:w="40" w:type="dxa"/>
            <w:vAlign w:val="bottom"/>
          </w:tcPr>
          <w:p>
            <w:pPr>
              <w:spacing w:after="0"/>
              <w:rPr>
                <w:sz w:val="19"/>
                <w:szCs w:val="19"/>
                <w:color w:val="auto"/>
              </w:rPr>
            </w:pPr>
          </w:p>
        </w:tc>
      </w:tr>
      <w:tr>
        <w:trPr>
          <w:trHeight w:val="230"/>
        </w:trPr>
        <w:tc>
          <w:tcPr>
            <w:tcW w:w="63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840" w:type="dxa"/>
            <w:vAlign w:val="bottom"/>
            <w:tcBorders>
              <w:bottom w:val="single" w:sz="8" w:color="DBDBDB"/>
            </w:tcBorders>
          </w:tcPr>
          <w:p>
            <w:pPr>
              <w:spacing w:after="0"/>
              <w:rPr>
                <w:sz w:val="19"/>
                <w:szCs w:val="19"/>
                <w:color w:val="auto"/>
              </w:rPr>
            </w:pPr>
          </w:p>
        </w:tc>
        <w:tc>
          <w:tcPr>
            <w:tcW w:w="1140" w:type="dxa"/>
            <w:vAlign w:val="bottom"/>
            <w:tcBorders>
              <w:bottom w:val="single" w:sz="8" w:color="DBDBDB"/>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40" w:type="dxa"/>
            <w:vAlign w:val="bottom"/>
          </w:tcPr>
          <w:p>
            <w:pPr>
              <w:spacing w:after="0"/>
              <w:rPr>
                <w:sz w:val="19"/>
                <w:szCs w:val="19"/>
                <w:color w:val="auto"/>
              </w:rPr>
            </w:pPr>
          </w:p>
        </w:tc>
      </w:tr>
      <w:tr>
        <w:trPr>
          <w:trHeight w:val="243"/>
        </w:trPr>
        <w:tc>
          <w:tcPr>
            <w:tcW w:w="6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Property and equipment, net</w:t>
            </w:r>
          </w:p>
        </w:tc>
        <w:tc>
          <w:tcPr>
            <w:tcW w:w="84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gridSpan w:val="2"/>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24,675</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17,102</w:t>
            </w:r>
          </w:p>
        </w:tc>
        <w:tc>
          <w:tcPr>
            <w:tcW w:w="40" w:type="dxa"/>
            <w:vAlign w:val="bottom"/>
          </w:tcPr>
          <w:p>
            <w:pPr>
              <w:spacing w:after="0"/>
              <w:rPr>
                <w:sz w:val="21"/>
                <w:szCs w:val="21"/>
                <w:color w:val="auto"/>
              </w:rPr>
            </w:pPr>
          </w:p>
        </w:tc>
      </w:tr>
      <w:tr>
        <w:trPr>
          <w:trHeight w:val="409"/>
        </w:trPr>
        <w:tc>
          <w:tcPr>
            <w:tcW w:w="6300" w:type="dxa"/>
            <w:vAlign w:val="bottom"/>
          </w:tcPr>
          <w:p>
            <w:pPr>
              <w:spacing w:after="0"/>
              <w:rPr>
                <w:sz w:val="20"/>
                <w:szCs w:val="20"/>
                <w:color w:val="auto"/>
              </w:rPr>
            </w:pPr>
            <w:r>
              <w:rPr>
                <w:rFonts w:ascii="Arial" w:cs="Arial" w:eastAsia="Arial" w:hAnsi="Arial"/>
                <w:sz w:val="18"/>
                <w:szCs w:val="18"/>
                <w:color w:val="auto"/>
              </w:rPr>
              <w:t>Depreciation expense related to property and equipment was as follows:</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3"/>
        </w:trPr>
        <w:tc>
          <w:tcPr>
            <w:tcW w:w="6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24"/>
                <w:szCs w:val="24"/>
                <w:color w:val="auto"/>
              </w:rPr>
            </w:pPr>
          </w:p>
        </w:tc>
      </w:tr>
      <w:tr>
        <w:trPr>
          <w:trHeight w:val="224"/>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Depreciation expense</w:t>
            </w:r>
          </w:p>
        </w:tc>
        <w:tc>
          <w:tcPr>
            <w:tcW w:w="84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9"/>
              <w:spacing w:after="0"/>
              <w:rPr>
                <w:sz w:val="20"/>
                <w:szCs w:val="20"/>
                <w:color w:val="auto"/>
              </w:rPr>
            </w:pPr>
            <w:r>
              <w:rPr>
                <w:rFonts w:ascii="Arial" w:cs="Arial" w:eastAsia="Arial" w:hAnsi="Arial"/>
                <w:sz w:val="18"/>
                <w:szCs w:val="18"/>
                <w:b w:val="1"/>
                <w:bCs w:val="1"/>
                <w:color w:val="auto"/>
              </w:rPr>
              <w:t>1,314</w:t>
            </w:r>
          </w:p>
        </w:tc>
        <w:tc>
          <w:tcPr>
            <w:tcW w:w="36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1,058</w:t>
            </w:r>
          </w:p>
        </w:tc>
        <w:tc>
          <w:tcPr>
            <w:tcW w:w="4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902</w:t>
            </w:r>
          </w:p>
        </w:tc>
        <w:tc>
          <w:tcPr>
            <w:tcW w:w="40" w:type="dxa"/>
            <w:vAlign w:val="bottom"/>
            <w:shd w:val="clear" w:color="auto" w:fill="DBDBDB"/>
          </w:tcPr>
          <w:p>
            <w:pPr>
              <w:spacing w:after="0"/>
              <w:rPr>
                <w:sz w:val="19"/>
                <w:szCs w:val="19"/>
                <w:color w:val="auto"/>
              </w:rPr>
            </w:pPr>
          </w:p>
        </w:tc>
      </w:tr>
      <w:tr>
        <w:trPr>
          <w:trHeight w:val="423"/>
        </w:trPr>
        <w:tc>
          <w:tcPr>
            <w:tcW w:w="6300" w:type="dxa"/>
            <w:vAlign w:val="bottom"/>
          </w:tcPr>
          <w:p>
            <w:pPr>
              <w:spacing w:after="0"/>
              <w:rPr>
                <w:sz w:val="20"/>
                <w:szCs w:val="20"/>
                <w:color w:val="auto"/>
              </w:rPr>
            </w:pPr>
            <w:r>
              <w:rPr>
                <w:rFonts w:ascii="Arial" w:cs="Arial" w:eastAsia="Arial" w:hAnsi="Arial"/>
                <w:sz w:val="18"/>
                <w:szCs w:val="18"/>
                <w:color w:val="auto"/>
              </w:rPr>
              <w:t>The following table summarizes long-lived assets by geographical area:</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3"/>
        </w:trPr>
        <w:tc>
          <w:tcPr>
            <w:tcW w:w="6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24"/>
                <w:szCs w:val="24"/>
                <w:color w:val="auto"/>
              </w:rPr>
            </w:pPr>
          </w:p>
        </w:tc>
      </w:tr>
      <w:tr>
        <w:trPr>
          <w:trHeight w:val="224"/>
        </w:trPr>
        <w:tc>
          <w:tcPr>
            <w:tcW w:w="6300" w:type="dxa"/>
            <w:vAlign w:val="bottom"/>
            <w:shd w:val="clear" w:color="auto" w:fill="DBDBDB"/>
          </w:tcPr>
          <w:p>
            <w:pPr>
              <w:ind w:left="20"/>
              <w:spacing w:after="0" w:line="224" w:lineRule="exact"/>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U.S. and Puerto Rico</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18,764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13,402</w:t>
            </w:r>
          </w:p>
        </w:tc>
        <w:tc>
          <w:tcPr>
            <w:tcW w:w="40" w:type="dxa"/>
            <w:vAlign w:val="bottom"/>
          </w:tcPr>
          <w:p>
            <w:pPr>
              <w:spacing w:after="0"/>
              <w:rPr>
                <w:sz w:val="19"/>
                <w:szCs w:val="19"/>
                <w:color w:val="auto"/>
              </w:rPr>
            </w:pPr>
          </w:p>
        </w:tc>
      </w:tr>
      <w:tr>
        <w:trPr>
          <w:trHeight w:val="230"/>
        </w:trPr>
        <w:tc>
          <w:tcPr>
            <w:tcW w:w="6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Ireland</w:t>
            </w: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4,321</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3,205</w:t>
            </w:r>
          </w:p>
        </w:tc>
        <w:tc>
          <w:tcPr>
            <w:tcW w:w="40" w:type="dxa"/>
            <w:vAlign w:val="bottom"/>
            <w:shd w:val="clear" w:color="auto" w:fill="DBDBDB"/>
          </w:tcPr>
          <w:p>
            <w:pPr>
              <w:spacing w:after="0"/>
              <w:rPr>
                <w:sz w:val="19"/>
                <w:szCs w:val="19"/>
                <w:color w:val="auto"/>
              </w:rPr>
            </w:pPr>
          </w:p>
        </w:tc>
      </w:tr>
      <w:tr>
        <w:trPr>
          <w:trHeight w:val="230"/>
        </w:trPr>
        <w:tc>
          <w:tcPr>
            <w:tcW w:w="63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840" w:type="dxa"/>
            <w:vAlign w:val="bottom"/>
            <w:tcBorders>
              <w:bottom w:val="single" w:sz="8" w:color="DBDBDB"/>
            </w:tcBorders>
          </w:tcPr>
          <w:p>
            <w:pPr>
              <w:spacing w:after="0"/>
              <w:rPr>
                <w:sz w:val="19"/>
                <w:szCs w:val="19"/>
                <w:color w:val="auto"/>
              </w:rPr>
            </w:pPr>
          </w:p>
        </w:tc>
        <w:tc>
          <w:tcPr>
            <w:tcW w:w="114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3,516</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40" w:type="dxa"/>
            <w:vAlign w:val="bottom"/>
            <w:tcBorders>
              <w:bottom w:val="single" w:sz="8" w:color="auto"/>
            </w:tcBorders>
          </w:tcPr>
          <w:p>
            <w:pPr>
              <w:spacing w:after="0"/>
              <w:rPr>
                <w:sz w:val="19"/>
                <w:szCs w:val="19"/>
                <w:color w:val="auto"/>
              </w:rPr>
            </w:pPr>
          </w:p>
        </w:tc>
      </w:tr>
      <w:tr>
        <w:trPr>
          <w:trHeight w:val="230"/>
        </w:trPr>
        <w:tc>
          <w:tcPr>
            <w:tcW w:w="6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Long-lived assets</w:t>
            </w:r>
          </w:p>
        </w:tc>
        <w:tc>
          <w:tcPr>
            <w:tcW w:w="840" w:type="dxa"/>
            <w:vAlign w:val="bottom"/>
            <w:tcBorders>
              <w:bottom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spacing w:after="0"/>
              <w:rPr>
                <w:sz w:val="20"/>
                <w:szCs w:val="20"/>
                <w:color w:val="auto"/>
              </w:rPr>
            </w:pPr>
          </w:p>
        </w:tc>
        <w:tc>
          <w:tcPr>
            <w:tcW w:w="4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26,601</w:t>
            </w:r>
          </w:p>
        </w:tc>
        <w:tc>
          <w:tcPr>
            <w:tcW w:w="4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18,765</w:t>
            </w:r>
          </w:p>
        </w:tc>
        <w:tc>
          <w:tcPr>
            <w:tcW w:w="40" w:type="dxa"/>
            <w:vAlign w:val="bottom"/>
            <w:tcBorders>
              <w:bottom w:val="single" w:sz="8" w:color="auto"/>
            </w:tcBorders>
            <w:shd w:val="clear" w:color="auto" w:fill="DBDBDB"/>
          </w:tcPr>
          <w:p>
            <w:pPr>
              <w:spacing w:after="0"/>
              <w:rPr>
                <w:sz w:val="20"/>
                <w:szCs w:val="20"/>
                <w:color w:val="auto"/>
              </w:rPr>
            </w:pPr>
          </w:p>
        </w:tc>
      </w:tr>
    </w:tbl>
    <w:p>
      <w:pPr>
        <w:spacing w:after="0" w:line="99"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Long-lived assets consist of property and equipment, net, operating lease assets, and unamortized computer software costs.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10: Leases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primarily have leases for corporate offices, research and development facilities, vehicles, and equipment. Information related to operating leases as of December 31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Balance Sheet Classification</w:t>
            </w:r>
          </w:p>
        </w:tc>
      </w:tr>
      <w:tr>
        <w:trPr>
          <w:trHeight w:val="224"/>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right-of-use assets</w:t>
            </w:r>
          </w:p>
        </w:tc>
        <w:tc>
          <w:tcPr>
            <w:tcW w:w="1620" w:type="dxa"/>
            <w:vAlign w:val="bottom"/>
            <w:shd w:val="clear" w:color="auto" w:fill="DBDBDB"/>
          </w:tcPr>
          <w:p>
            <w:pPr>
              <w:jc w:val="right"/>
              <w:ind w:right="1019"/>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1,260</w:t>
            </w:r>
          </w:p>
        </w:tc>
        <w:tc>
          <w:tcPr>
            <w:tcW w:w="1220" w:type="dxa"/>
            <w:vAlign w:val="bottom"/>
            <w:shd w:val="clear" w:color="auto" w:fill="DBDBDB"/>
          </w:tcPr>
          <w:p>
            <w:pPr>
              <w:jc w:val="right"/>
              <w:ind w:right="101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1,050</w:t>
            </w:r>
          </w:p>
        </w:tc>
        <w:tc>
          <w:tcPr>
            <w:tcW w:w="2900" w:type="dxa"/>
            <w:vAlign w:val="bottom"/>
            <w:shd w:val="clear" w:color="auto" w:fill="DBDBDB"/>
          </w:tcPr>
          <w:p>
            <w:pPr>
              <w:ind w:left="60"/>
              <w:spacing w:after="0"/>
              <w:rPr>
                <w:sz w:val="20"/>
                <w:szCs w:val="20"/>
                <w:color w:val="auto"/>
              </w:rPr>
            </w:pPr>
            <w:r>
              <w:rPr>
                <w:rFonts w:ascii="Arial" w:cs="Arial" w:eastAsia="Arial" w:hAnsi="Arial"/>
                <w:sz w:val="18"/>
                <w:szCs w:val="18"/>
                <w:color w:val="auto"/>
              </w:rPr>
              <w:t>Other noncurrent assets</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16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222</w:t>
            </w:r>
          </w:p>
        </w:tc>
        <w:tc>
          <w:tcPr>
            <w:tcW w:w="12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176</w:t>
            </w:r>
          </w:p>
        </w:tc>
        <w:tc>
          <w:tcPr>
            <w:tcW w:w="2900" w:type="dxa"/>
            <w:vAlign w:val="bottom"/>
          </w:tcPr>
          <w:p>
            <w:pPr>
              <w:ind w:left="60"/>
              <w:spacing w:after="0"/>
              <w:rPr>
                <w:sz w:val="20"/>
                <w:szCs w:val="20"/>
                <w:color w:val="auto"/>
              </w:rPr>
            </w:pPr>
            <w:r>
              <w:rPr>
                <w:rFonts w:ascii="Arial" w:cs="Arial" w:eastAsia="Arial" w:hAnsi="Arial"/>
                <w:sz w:val="18"/>
                <w:szCs w:val="18"/>
                <w:color w:val="auto"/>
              </w:rPr>
              <w:t>Other current liabilities</w:t>
            </w:r>
          </w:p>
        </w:tc>
      </w:tr>
      <w:tr>
        <w:trPr>
          <w:trHeight w:val="229"/>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liabilities, noncurrent portion</w:t>
            </w:r>
          </w:p>
        </w:tc>
        <w:tc>
          <w:tcPr>
            <w:tcW w:w="16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1,140</w:t>
            </w:r>
          </w:p>
        </w:tc>
        <w:tc>
          <w:tcPr>
            <w:tcW w:w="12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971</w:t>
            </w:r>
          </w:p>
        </w:tc>
        <w:tc>
          <w:tcPr>
            <w:tcW w:w="2900" w:type="dxa"/>
            <w:vAlign w:val="bottom"/>
            <w:shd w:val="clear" w:color="auto" w:fill="DBDBDB"/>
          </w:tcPr>
          <w:p>
            <w:pPr>
              <w:ind w:left="60"/>
              <w:spacing w:after="0"/>
              <w:rPr>
                <w:sz w:val="20"/>
                <w:szCs w:val="20"/>
                <w:color w:val="auto"/>
              </w:rPr>
            </w:pPr>
            <w:r>
              <w:rPr>
                <w:rFonts w:ascii="Arial" w:cs="Arial" w:eastAsia="Arial" w:hAnsi="Arial"/>
                <w:sz w:val="18"/>
                <w:szCs w:val="18"/>
                <w:color w:val="auto"/>
              </w:rPr>
              <w:t>Other noncurrent liabilities</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1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 years</w:t>
            </w:r>
          </w:p>
        </w:tc>
        <w:tc>
          <w:tcPr>
            <w:tcW w:w="1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 years</w:t>
            </w:r>
          </w:p>
        </w:tc>
        <w:tc>
          <w:tcPr>
            <w:tcW w:w="2900" w:type="dxa"/>
            <w:vAlign w:val="bottom"/>
          </w:tcPr>
          <w:p>
            <w:pPr>
              <w:spacing w:after="0"/>
              <w:rPr>
                <w:sz w:val="19"/>
                <w:szCs w:val="19"/>
                <w:color w:val="auto"/>
              </w:rPr>
            </w:pPr>
          </w:p>
        </w:tc>
      </w:tr>
      <w:tr>
        <w:trPr>
          <w:trHeight w:val="229"/>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Weighted-average discount rate</w:t>
            </w:r>
          </w:p>
        </w:tc>
        <w:tc>
          <w:tcPr>
            <w:tcW w:w="16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4.7 %</w:t>
            </w:r>
          </w:p>
        </w:tc>
        <w:tc>
          <w:tcPr>
            <w:tcW w:w="12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4.6 %</w:t>
            </w:r>
          </w:p>
        </w:tc>
        <w:tc>
          <w:tcPr>
            <w:tcW w:w="290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determine the lease term by assuming the exercise of any renewal and/or early-termination options that are reasonably assured. We generally use our incremental borrowing rate in determining the present value of lease payments.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Stated Interest Rate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24"/>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notes:</w:t>
            </w:r>
          </w:p>
        </w:tc>
        <w:tc>
          <w:tcPr>
            <w:tcW w:w="34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Notes due 2025</w:t>
            </w:r>
          </w:p>
        </w:tc>
        <w:tc>
          <w:tcPr>
            <w:tcW w:w="3420" w:type="dxa"/>
            <w:vAlign w:val="bottom"/>
          </w:tcPr>
          <w:p>
            <w:pPr>
              <w:jc w:val="center"/>
              <w:ind w:left="1272"/>
              <w:spacing w:after="0"/>
              <w:rPr>
                <w:sz w:val="20"/>
                <w:szCs w:val="20"/>
                <w:color w:val="auto"/>
              </w:rPr>
            </w:pPr>
            <w:r>
              <w:rPr>
                <w:rFonts w:ascii="Arial" w:cs="Arial" w:eastAsia="Arial" w:hAnsi="Arial"/>
                <w:sz w:val="18"/>
                <w:szCs w:val="18"/>
                <w:color w:val="auto"/>
                <w:w w:val="99"/>
              </w:rPr>
              <w:t>2.750% - 7.125%</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29"/>
        </w:trPr>
        <w:tc>
          <w:tcPr>
            <w:tcW w:w="49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Notes due 2026</w:t>
            </w:r>
          </w:p>
        </w:tc>
        <w:tc>
          <w:tcPr>
            <w:tcW w:w="3420" w:type="dxa"/>
            <w:vAlign w:val="bottom"/>
            <w:shd w:val="clear" w:color="auto" w:fill="DBDBDB"/>
          </w:tcPr>
          <w:p>
            <w:pPr>
              <w:jc w:val="center"/>
              <w:ind w:left="1272"/>
              <w:spacing w:after="0"/>
              <w:rPr>
                <w:sz w:val="20"/>
                <w:szCs w:val="20"/>
                <w:color w:val="auto"/>
              </w:rPr>
            </w:pPr>
            <w:r>
              <w:rPr>
                <w:rFonts w:ascii="Arial" w:cs="Arial" w:eastAsia="Arial" w:hAnsi="Arial"/>
                <w:sz w:val="18"/>
                <w:szCs w:val="18"/>
                <w:color w:val="auto"/>
                <w:w w:val="99"/>
              </w:rPr>
              <w:t>1.625% - 5.000%</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1,632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1,529</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Notes due 2027</w:t>
            </w:r>
          </w:p>
        </w:tc>
        <w:tc>
          <w:tcPr>
            <w:tcW w:w="3420" w:type="dxa"/>
            <w:vAlign w:val="bottom"/>
          </w:tcPr>
          <w:p>
            <w:pPr>
              <w:jc w:val="center"/>
              <w:ind w:left="1272"/>
              <w:spacing w:after="0"/>
              <w:rPr>
                <w:sz w:val="20"/>
                <w:szCs w:val="20"/>
                <w:color w:val="auto"/>
              </w:rPr>
            </w:pPr>
            <w:r>
              <w:rPr>
                <w:rFonts w:ascii="Arial" w:cs="Arial" w:eastAsia="Arial" w:hAnsi="Arial"/>
                <w:sz w:val="18"/>
                <w:szCs w:val="18"/>
                <w:color w:val="auto"/>
                <w:w w:val="99"/>
              </w:rPr>
              <w:t>3.100% - 5.500%</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2,516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30"/>
        </w:trPr>
        <w:tc>
          <w:tcPr>
            <w:tcW w:w="49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Notes due 2028</w:t>
            </w:r>
          </w:p>
        </w:tc>
        <w:tc>
          <w:tcPr>
            <w:tcW w:w="3420" w:type="dxa"/>
            <w:vAlign w:val="bottom"/>
            <w:shd w:val="clear" w:color="auto" w:fill="DBDBDB"/>
          </w:tcPr>
          <w:p>
            <w:pPr>
              <w:jc w:val="center"/>
              <w:ind w:left="1252"/>
              <w:spacing w:after="0" w:line="230" w:lineRule="exact"/>
              <w:rPr>
                <w:sz w:val="20"/>
                <w:szCs w:val="20"/>
                <w:color w:val="auto"/>
              </w:rPr>
            </w:pPr>
            <w:r>
              <w:rPr>
                <w:rFonts w:ascii="Arial" w:cs="Arial" w:eastAsia="Arial" w:hAnsi="Arial"/>
                <w:sz w:val="18"/>
                <w:szCs w:val="18"/>
                <w:color w:val="auto"/>
                <w:w w:val="96"/>
              </w:rPr>
              <w:t>0.450% - 4.550%</w:t>
            </w:r>
            <w:r>
              <w:rPr>
                <w:rFonts w:ascii="Arial" w:cs="Arial" w:eastAsia="Arial" w:hAnsi="Arial"/>
                <w:sz w:val="23"/>
                <w:szCs w:val="23"/>
                <w:color w:val="auto"/>
                <w:w w:val="96"/>
                <w:vertAlign w:val="superscript"/>
              </w:rPr>
              <w:t>(1)</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3,256</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Notes due 2029</w:t>
            </w:r>
          </w:p>
        </w:tc>
        <w:tc>
          <w:tcPr>
            <w:tcW w:w="3420" w:type="dxa"/>
            <w:vAlign w:val="bottom"/>
          </w:tcPr>
          <w:p>
            <w:pPr>
              <w:jc w:val="center"/>
              <w:ind w:left="1272"/>
              <w:spacing w:after="0"/>
              <w:rPr>
                <w:sz w:val="20"/>
                <w:szCs w:val="20"/>
                <w:color w:val="auto"/>
              </w:rPr>
            </w:pPr>
            <w:r>
              <w:rPr>
                <w:rFonts w:ascii="Arial" w:cs="Arial" w:eastAsia="Arial" w:hAnsi="Arial"/>
                <w:sz w:val="18"/>
                <w:szCs w:val="18"/>
                <w:color w:val="auto"/>
                <w:w w:val="99"/>
              </w:rPr>
              <w:t>0.420% - 4.500%</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3,077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3,076</w:t>
            </w:r>
          </w:p>
        </w:tc>
      </w:tr>
      <w:tr>
        <w:trPr>
          <w:trHeight w:val="230"/>
        </w:trPr>
        <w:tc>
          <w:tcPr>
            <w:tcW w:w="49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Notes due 2030</w:t>
            </w:r>
          </w:p>
        </w:tc>
        <w:tc>
          <w:tcPr>
            <w:tcW w:w="3420" w:type="dxa"/>
            <w:vAlign w:val="bottom"/>
            <w:shd w:val="clear" w:color="auto" w:fill="DBDBDB"/>
          </w:tcPr>
          <w:p>
            <w:pPr>
              <w:jc w:val="center"/>
              <w:ind w:left="1272"/>
              <w:spacing w:after="0"/>
              <w:rPr>
                <w:sz w:val="20"/>
                <w:szCs w:val="20"/>
                <w:color w:val="auto"/>
              </w:rPr>
            </w:pPr>
            <w:r>
              <w:rPr>
                <w:rFonts w:ascii="Arial" w:cs="Arial" w:eastAsia="Arial" w:hAnsi="Arial"/>
                <w:sz w:val="18"/>
                <w:szCs w:val="18"/>
                <w:color w:val="auto"/>
                <w:w w:val="99"/>
              </w:rPr>
              <w:t>2.125% - 4.750%</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2,132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779</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Notes due 2031 - 2040</w:t>
            </w:r>
          </w:p>
        </w:tc>
        <w:tc>
          <w:tcPr>
            <w:tcW w:w="3420" w:type="dxa"/>
            <w:vAlign w:val="bottom"/>
          </w:tcPr>
          <w:p>
            <w:pPr>
              <w:jc w:val="center"/>
              <w:ind w:left="1272"/>
              <w:spacing w:after="0"/>
              <w:rPr>
                <w:sz w:val="20"/>
                <w:szCs w:val="20"/>
                <w:color w:val="auto"/>
              </w:rPr>
            </w:pPr>
            <w:r>
              <w:rPr>
                <w:rFonts w:ascii="Arial" w:cs="Arial" w:eastAsia="Arial" w:hAnsi="Arial"/>
                <w:sz w:val="18"/>
                <w:szCs w:val="18"/>
                <w:color w:val="auto"/>
                <w:w w:val="99"/>
              </w:rPr>
              <w:t>0.500% - 6.770%</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11,582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6,166</w:t>
            </w:r>
          </w:p>
        </w:tc>
      </w:tr>
      <w:tr>
        <w:trPr>
          <w:trHeight w:val="230"/>
        </w:trPr>
        <w:tc>
          <w:tcPr>
            <w:tcW w:w="49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Notes due 2041 - 2050</w:t>
            </w:r>
          </w:p>
        </w:tc>
        <w:tc>
          <w:tcPr>
            <w:tcW w:w="3420" w:type="dxa"/>
            <w:vAlign w:val="bottom"/>
            <w:shd w:val="clear" w:color="auto" w:fill="DBDBDB"/>
          </w:tcPr>
          <w:p>
            <w:pPr>
              <w:jc w:val="center"/>
              <w:ind w:left="1272"/>
              <w:spacing w:after="0"/>
              <w:rPr>
                <w:sz w:val="20"/>
                <w:szCs w:val="20"/>
                <w:color w:val="auto"/>
              </w:rPr>
            </w:pPr>
            <w:r>
              <w:rPr>
                <w:rFonts w:ascii="Arial" w:cs="Arial" w:eastAsia="Arial" w:hAnsi="Arial"/>
                <w:sz w:val="18"/>
                <w:szCs w:val="18"/>
                <w:color w:val="auto"/>
                <w:w w:val="99"/>
              </w:rPr>
              <w:t>0.970% - 4.650%</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4,543</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4,381</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Notes due 2051 - 2060</w:t>
            </w:r>
          </w:p>
        </w:tc>
        <w:tc>
          <w:tcPr>
            <w:tcW w:w="3420" w:type="dxa"/>
            <w:vAlign w:val="bottom"/>
          </w:tcPr>
          <w:p>
            <w:pPr>
              <w:jc w:val="center"/>
              <w:ind w:left="1272"/>
              <w:spacing w:after="0"/>
              <w:rPr>
                <w:sz w:val="20"/>
                <w:szCs w:val="20"/>
                <w:color w:val="auto"/>
              </w:rPr>
            </w:pPr>
            <w:r>
              <w:rPr>
                <w:rFonts w:ascii="Arial" w:cs="Arial" w:eastAsia="Arial" w:hAnsi="Arial"/>
                <w:sz w:val="18"/>
                <w:szCs w:val="18"/>
                <w:color w:val="auto"/>
                <w:w w:val="99"/>
              </w:rPr>
              <w:t>1.125% - 5.550%</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8,280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5,961</w:t>
            </w:r>
          </w:p>
        </w:tc>
      </w:tr>
      <w:tr>
        <w:trPr>
          <w:trHeight w:val="230"/>
        </w:trPr>
        <w:tc>
          <w:tcPr>
            <w:tcW w:w="49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Notes due 2061 - 2070</w:t>
            </w:r>
          </w:p>
        </w:tc>
        <w:tc>
          <w:tcPr>
            <w:tcW w:w="3420" w:type="dxa"/>
            <w:vAlign w:val="bottom"/>
            <w:shd w:val="clear" w:color="auto" w:fill="DBDBDB"/>
          </w:tcPr>
          <w:p>
            <w:pPr>
              <w:jc w:val="center"/>
              <w:ind w:left="1272"/>
              <w:spacing w:after="0"/>
              <w:rPr>
                <w:sz w:val="20"/>
                <w:szCs w:val="20"/>
                <w:color w:val="auto"/>
              </w:rPr>
            </w:pPr>
            <w:r>
              <w:rPr>
                <w:rFonts w:ascii="Arial" w:cs="Arial" w:eastAsia="Arial" w:hAnsi="Arial"/>
                <w:sz w:val="18"/>
                <w:szCs w:val="18"/>
                <w:color w:val="auto"/>
                <w:w w:val="99"/>
              </w:rPr>
              <w:t>1.375% - 5.650%</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5,824</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3,977</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Other long term debt and adjustments</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commercial paper borrowings</w:t>
            </w:r>
          </w:p>
        </w:tc>
        <w:tc>
          <w:tcPr>
            <w:tcW w:w="34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4,338</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42,503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33,644</w:t>
            </w:r>
          </w:p>
        </w:tc>
      </w:tr>
      <w:tr>
        <w:trPr>
          <w:trHeight w:val="230"/>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current portion</w:t>
            </w:r>
          </w:p>
        </w:tc>
        <w:tc>
          <w:tcPr>
            <w:tcW w:w="34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(1,635)</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(5,117)</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40,868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28,527</w:t>
            </w:r>
          </w:p>
        </w:tc>
      </w:tr>
    </w:tbl>
    <w:p>
      <w:pPr>
        <w:spacing w:after="0" w:line="99" w:lineRule="exact"/>
        <w:rPr>
          <w:sz w:val="20"/>
          <w:szCs w:val="20"/>
          <w:color w:val="auto"/>
        </w:rPr>
      </w:pPr>
    </w:p>
    <w:p>
      <w:pPr>
        <w:ind w:left="180" w:right="240" w:hanging="172"/>
        <w:spacing w:after="0" w:line="229" w:lineRule="auto"/>
        <w:tabs>
          <w:tab w:leader="none" w:pos="158"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Included in the 2028 tranche is $750 million of floating-rate notes issued in August 2025, with interest reset and paid quarterly using the Secured Overnight Financing Rate (SOFR) plus .530 percent.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effective borrowing rate on short-term commercial paper borrowings was 4.61 percent at December 31, 2024.</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December 31, 2025, we had $10.1 billion of unused committed bank credit facilities, which consisted primarily of a $4.0 billion credit facility that expires in December 2029 and a $6.0 billion 364-day facility that expires in August 2026, both of which are available to support our commercial paper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ind w:right="360"/>
        <w:spacing w:after="0" w:line="287" w:lineRule="auto"/>
        <w:rPr>
          <w:sz w:val="20"/>
          <w:szCs w:val="20"/>
          <w:color w:val="auto"/>
        </w:rPr>
      </w:pPr>
      <w:r>
        <w:rPr>
          <w:rFonts w:ascii="Arial" w:cs="Arial" w:eastAsia="Arial" w:hAnsi="Arial"/>
          <w:sz w:val="18"/>
          <w:szCs w:val="18"/>
          <w:color w:val="auto"/>
        </w:rPr>
        <w:t>Below are the details of our issuances of long-term debt for the periods presented, from which the cash proceeds were used for business development activities and general business purposes, including the repayment of commercial paper: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 of Issuance</w:t>
            </w:r>
          </w:p>
        </w:tc>
        <w:tc>
          <w:tcPr>
            <w:tcW w:w="2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Amount</w:t>
            </w:r>
          </w:p>
        </w:tc>
        <w:tc>
          <w:tcPr>
            <w:tcW w:w="15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Maturity</w:t>
            </w:r>
          </w:p>
        </w:tc>
        <w:tc>
          <w:tcPr>
            <w:tcW w:w="2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Stated Interest Rate</w:t>
            </w:r>
          </w:p>
        </w:tc>
      </w:tr>
      <w:tr>
        <w:trPr>
          <w:trHeight w:val="224"/>
        </w:trPr>
        <w:tc>
          <w:tcPr>
            <w:tcW w:w="3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August 2025</w:t>
            </w:r>
          </w:p>
        </w:tc>
        <w:tc>
          <w:tcPr>
            <w:tcW w:w="2440" w:type="dxa"/>
            <w:vAlign w:val="bottom"/>
            <w:shd w:val="clear" w:color="auto" w:fill="DBDBDB"/>
          </w:tcPr>
          <w:p>
            <w:pPr>
              <w:jc w:val="right"/>
              <w:ind w:right="17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DBDBDB"/>
          </w:tcPr>
          <w:p>
            <w:pPr>
              <w:jc w:val="right"/>
              <w:ind w:right="133"/>
              <w:spacing w:after="0"/>
              <w:rPr>
                <w:sz w:val="20"/>
                <w:szCs w:val="20"/>
                <w:color w:val="auto"/>
              </w:rPr>
            </w:pPr>
            <w:r>
              <w:rPr>
                <w:rFonts w:ascii="Arial" w:cs="Arial" w:eastAsia="Arial" w:hAnsi="Arial"/>
                <w:sz w:val="18"/>
                <w:szCs w:val="18"/>
                <w:b w:val="1"/>
                <w:bCs w:val="1"/>
                <w:color w:val="auto"/>
              </w:rPr>
              <w:t>6,750</w:t>
            </w:r>
          </w:p>
        </w:tc>
        <w:tc>
          <w:tcPr>
            <w:tcW w:w="1520" w:type="dxa"/>
            <w:vAlign w:val="bottom"/>
            <w:shd w:val="clear" w:color="auto" w:fill="DBDBDB"/>
          </w:tcPr>
          <w:p>
            <w:pPr>
              <w:jc w:val="center"/>
              <w:ind w:right="133"/>
              <w:spacing w:after="0"/>
              <w:rPr>
                <w:sz w:val="20"/>
                <w:szCs w:val="20"/>
                <w:color w:val="auto"/>
              </w:rPr>
            </w:pPr>
            <w:r>
              <w:rPr>
                <w:rFonts w:ascii="Arial" w:cs="Arial" w:eastAsia="Arial" w:hAnsi="Arial"/>
                <w:sz w:val="18"/>
                <w:szCs w:val="18"/>
                <w:color w:val="auto"/>
                <w:w w:val="99"/>
              </w:rPr>
              <w:t>2028-2065</w:t>
            </w:r>
          </w:p>
        </w:tc>
        <w:tc>
          <w:tcPr>
            <w:tcW w:w="2360" w:type="dxa"/>
            <w:vAlign w:val="bottom"/>
            <w:shd w:val="clear" w:color="auto" w:fill="DBDBDB"/>
          </w:tcPr>
          <w:p>
            <w:pPr>
              <w:jc w:val="center"/>
              <w:ind w:right="13"/>
              <w:spacing w:after="0" w:line="224" w:lineRule="exact"/>
              <w:rPr>
                <w:sz w:val="20"/>
                <w:szCs w:val="20"/>
                <w:color w:val="auto"/>
              </w:rPr>
            </w:pPr>
            <w:r>
              <w:rPr>
                <w:rFonts w:ascii="Arial" w:cs="Arial" w:eastAsia="Arial" w:hAnsi="Arial"/>
                <w:sz w:val="18"/>
                <w:szCs w:val="18"/>
                <w:color w:val="auto"/>
                <w:w w:val="96"/>
              </w:rPr>
              <w:t>4.000%-5.650%</w:t>
            </w:r>
            <w:r>
              <w:rPr>
                <w:rFonts w:ascii="Arial" w:cs="Arial" w:eastAsia="Arial" w:hAnsi="Arial"/>
                <w:sz w:val="23"/>
                <w:szCs w:val="23"/>
                <w:color w:val="auto"/>
                <w:w w:val="96"/>
                <w:vertAlign w:val="superscript"/>
              </w:rPr>
              <w:t>(1)</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February 2025</w:t>
            </w:r>
          </w:p>
        </w:tc>
        <w:tc>
          <w:tcPr>
            <w:tcW w:w="244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b w:val="1"/>
                <w:bCs w:val="1"/>
                <w:color w:val="auto"/>
              </w:rPr>
              <w:t>6,500</w:t>
            </w:r>
          </w:p>
        </w:tc>
        <w:tc>
          <w:tcPr>
            <w:tcW w:w="1520" w:type="dxa"/>
            <w:vAlign w:val="bottom"/>
          </w:tcPr>
          <w:p>
            <w:pPr>
              <w:jc w:val="center"/>
              <w:ind w:right="133"/>
              <w:spacing w:after="0"/>
              <w:rPr>
                <w:sz w:val="20"/>
                <w:szCs w:val="20"/>
                <w:color w:val="auto"/>
              </w:rPr>
            </w:pPr>
            <w:r>
              <w:rPr>
                <w:rFonts w:ascii="Arial" w:cs="Arial" w:eastAsia="Arial" w:hAnsi="Arial"/>
                <w:sz w:val="18"/>
                <w:szCs w:val="18"/>
                <w:color w:val="auto"/>
                <w:w w:val="99"/>
              </w:rPr>
              <w:t>2028-2065</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4.550%-5.600%</w:t>
            </w:r>
          </w:p>
        </w:tc>
      </w:tr>
      <w:tr>
        <w:trPr>
          <w:trHeight w:val="230"/>
        </w:trPr>
        <w:tc>
          <w:tcPr>
            <w:tcW w:w="3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August 2024</w:t>
            </w:r>
          </w:p>
        </w:tc>
        <w:tc>
          <w:tcPr>
            <w:tcW w:w="2440" w:type="dxa"/>
            <w:vAlign w:val="bottom"/>
            <w:shd w:val="clear" w:color="auto" w:fill="DBDBDB"/>
          </w:tcPr>
          <w:p>
            <w:pPr>
              <w:spacing w:after="0"/>
              <w:rPr>
                <w:sz w:val="19"/>
                <w:szCs w:val="19"/>
                <w:color w:val="auto"/>
              </w:rPr>
            </w:pPr>
          </w:p>
        </w:tc>
        <w:tc>
          <w:tcPr>
            <w:tcW w:w="154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5,000</w:t>
            </w:r>
          </w:p>
        </w:tc>
        <w:tc>
          <w:tcPr>
            <w:tcW w:w="1520" w:type="dxa"/>
            <w:vAlign w:val="bottom"/>
            <w:shd w:val="clear" w:color="auto" w:fill="DBDBDB"/>
          </w:tcPr>
          <w:p>
            <w:pPr>
              <w:jc w:val="center"/>
              <w:ind w:right="133"/>
              <w:spacing w:after="0"/>
              <w:rPr>
                <w:sz w:val="20"/>
                <w:szCs w:val="20"/>
                <w:color w:val="auto"/>
              </w:rPr>
            </w:pPr>
            <w:r>
              <w:rPr>
                <w:rFonts w:ascii="Arial" w:cs="Arial" w:eastAsia="Arial" w:hAnsi="Arial"/>
                <w:sz w:val="18"/>
                <w:szCs w:val="18"/>
                <w:color w:val="auto"/>
                <w:w w:val="99"/>
              </w:rPr>
              <w:t>2027-2064</w:t>
            </w: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4.150%-5.200%</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February 2024</w:t>
            </w:r>
          </w:p>
        </w:tc>
        <w:tc>
          <w:tcPr>
            <w:tcW w:w="244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6,500</w:t>
            </w:r>
          </w:p>
        </w:tc>
        <w:tc>
          <w:tcPr>
            <w:tcW w:w="1520" w:type="dxa"/>
            <w:vAlign w:val="bottom"/>
          </w:tcPr>
          <w:p>
            <w:pPr>
              <w:jc w:val="center"/>
              <w:ind w:right="133"/>
              <w:spacing w:after="0"/>
              <w:rPr>
                <w:sz w:val="20"/>
                <w:szCs w:val="20"/>
                <w:color w:val="auto"/>
              </w:rPr>
            </w:pPr>
            <w:r>
              <w:rPr>
                <w:rFonts w:ascii="Arial" w:cs="Arial" w:eastAsia="Arial" w:hAnsi="Arial"/>
                <w:sz w:val="18"/>
                <w:szCs w:val="18"/>
                <w:color w:val="auto"/>
                <w:w w:val="99"/>
              </w:rPr>
              <w:t>2027-2064</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4.500%-5.100%</w:t>
            </w:r>
          </w:p>
        </w:tc>
      </w:tr>
      <w:tr>
        <w:trPr>
          <w:trHeight w:val="229"/>
        </w:trPr>
        <w:tc>
          <w:tcPr>
            <w:tcW w:w="3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February 2023</w:t>
            </w:r>
          </w:p>
        </w:tc>
        <w:tc>
          <w:tcPr>
            <w:tcW w:w="2440" w:type="dxa"/>
            <w:vAlign w:val="bottom"/>
            <w:shd w:val="clear" w:color="auto" w:fill="DBDBDB"/>
          </w:tcPr>
          <w:p>
            <w:pPr>
              <w:spacing w:after="0"/>
              <w:rPr>
                <w:sz w:val="19"/>
                <w:szCs w:val="19"/>
                <w:color w:val="auto"/>
              </w:rPr>
            </w:pPr>
          </w:p>
        </w:tc>
        <w:tc>
          <w:tcPr>
            <w:tcW w:w="154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4,000</w:t>
            </w:r>
          </w:p>
        </w:tc>
        <w:tc>
          <w:tcPr>
            <w:tcW w:w="1520" w:type="dxa"/>
            <w:vAlign w:val="bottom"/>
            <w:shd w:val="clear" w:color="auto" w:fill="DBDBDB"/>
          </w:tcPr>
          <w:p>
            <w:pPr>
              <w:jc w:val="center"/>
              <w:ind w:right="133"/>
              <w:spacing w:after="0"/>
              <w:rPr>
                <w:sz w:val="20"/>
                <w:szCs w:val="20"/>
                <w:color w:val="auto"/>
              </w:rPr>
            </w:pPr>
            <w:r>
              <w:rPr>
                <w:rFonts w:ascii="Arial" w:cs="Arial" w:eastAsia="Arial" w:hAnsi="Arial"/>
                <w:sz w:val="18"/>
                <w:szCs w:val="18"/>
                <w:color w:val="auto"/>
                <w:w w:val="99"/>
              </w:rPr>
              <w:t>2026-2063</w:t>
            </w:r>
          </w:p>
        </w:tc>
        <w:tc>
          <w:tcPr>
            <w:tcW w:w="23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4.700%-5.000%</w:t>
            </w:r>
          </w:p>
        </w:tc>
      </w:tr>
    </w:tbl>
    <w:p>
      <w:pPr>
        <w:spacing w:after="0" w:line="99"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Included in the 2028 tranche is $750 million of floating-rate notes, with interest reset and paid quarterly using SOFR plus .530 percent.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interest on borrowings, net of capitalized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r>
      <w:tr>
        <w:trPr>
          <w:trHeight w:val="224"/>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 on borrowings</w:t>
            </w:r>
          </w:p>
        </w:tc>
        <w:tc>
          <w:tcPr>
            <w:tcW w:w="2660" w:type="dxa"/>
            <w:vAlign w:val="bottom"/>
            <w:shd w:val="clear" w:color="auto" w:fill="DBDBDB"/>
          </w:tcPr>
          <w:p>
            <w:pPr>
              <w:jc w:val="right"/>
              <w:ind w:right="739"/>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895</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781</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486</w:t>
            </w:r>
          </w:p>
        </w:tc>
      </w:tr>
      <w:tr>
        <w:trPr>
          <w:trHeight w:val="247"/>
        </w:trPr>
        <w:tc>
          <w:tcPr>
            <w:tcW w:w="5100" w:type="dxa"/>
            <w:vAlign w:val="bottom"/>
          </w:tcPr>
          <w:p>
            <w:pPr>
              <w:ind w:left="20"/>
              <w:spacing w:after="0"/>
              <w:rPr>
                <w:sz w:val="20"/>
                <w:szCs w:val="20"/>
                <w:color w:val="auto"/>
              </w:rPr>
            </w:pPr>
            <w:r>
              <w:rPr>
                <w:rFonts w:ascii="Arial" w:cs="Arial" w:eastAsia="Arial" w:hAnsi="Arial"/>
                <w:sz w:val="18"/>
                <w:szCs w:val="18"/>
                <w:color w:val="auto"/>
              </w:rPr>
              <w:t>Cash payments for interest on borrowings</w:t>
            </w:r>
          </w:p>
        </w:tc>
        <w:tc>
          <w:tcPr>
            <w:tcW w:w="26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633</w:t>
            </w:r>
          </w:p>
        </w:tc>
        <w:tc>
          <w:tcPr>
            <w:tcW w:w="4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17" w:lineRule="exact"/>
        <w:rPr>
          <w:sz w:val="20"/>
          <w:szCs w:val="20"/>
          <w:color w:val="auto"/>
        </w:rPr>
      </w:pPr>
    </w:p>
    <w:p>
      <w:pPr>
        <w:jc w:val="both"/>
        <w:ind w:right="400"/>
        <w:spacing w:after="0" w:line="291" w:lineRule="auto"/>
        <w:rPr>
          <w:sz w:val="20"/>
          <w:szCs w:val="20"/>
          <w:color w:val="auto"/>
        </w:rPr>
      </w:pPr>
      <w:r>
        <w:rPr>
          <w:rFonts w:ascii="Arial" w:cs="Arial" w:eastAsia="Arial" w:hAnsi="Arial"/>
          <w:sz w:val="17"/>
          <w:szCs w:val="17"/>
          <w:color w:val="auto"/>
        </w:rPr>
        <w:t>Our stock-based compensation expense includes restricted stock units (RSUs), relative value awards (RVAs), shareholder value awards (SVAs), and performance awards (PAs). We recognize the fair value of stock-based compensation as expense over the requisite service period of the individual grantees, which generally equals the vesting period. Stock-based compensation expense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r>
      <w:tr>
        <w:trPr>
          <w:trHeight w:val="224"/>
        </w:trPr>
        <w:tc>
          <w:tcPr>
            <w:tcW w:w="4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Stock-based compensation expense</w:t>
            </w:r>
          </w:p>
        </w:tc>
        <w:tc>
          <w:tcPr>
            <w:tcW w:w="2880" w:type="dxa"/>
            <w:vAlign w:val="bottom"/>
            <w:shd w:val="clear" w:color="auto" w:fill="DBDBDB"/>
          </w:tcPr>
          <w:p>
            <w:pPr>
              <w:jc w:val="right"/>
              <w:ind w:right="739"/>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626</w:t>
            </w:r>
          </w:p>
        </w:tc>
        <w:tc>
          <w:tcPr>
            <w:tcW w:w="1020" w:type="dxa"/>
            <w:vAlign w:val="bottom"/>
            <w:shd w:val="clear" w:color="auto" w:fill="DBDBDB"/>
          </w:tcPr>
          <w:p>
            <w:pPr>
              <w:jc w:val="right"/>
              <w:ind w:right="739"/>
              <w:spacing w:after="0"/>
              <w:rPr>
                <w:sz w:val="20"/>
                <w:szCs w:val="20"/>
                <w:color w:val="auto"/>
              </w:rPr>
            </w:pPr>
            <w:r>
              <w:rPr>
                <w:rFonts w:ascii="Arial" w:cs="Arial" w:eastAsia="Arial" w:hAnsi="Arial"/>
                <w:sz w:val="18"/>
                <w:szCs w:val="18"/>
                <w:color w:val="auto"/>
              </w:rPr>
              <w:t>$</w:t>
            </w:r>
          </w:p>
        </w:tc>
        <w:tc>
          <w:tcPr>
            <w:tcW w:w="5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646</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629</w:t>
            </w:r>
          </w:p>
        </w:tc>
      </w:tr>
    </w:tbl>
    <w:p>
      <w:pPr>
        <w:spacing w:after="0" w:line="18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December 31, 2025, the total estimated remaining unrecognized compensation cost of $554 million was primarily related to 2.3 million of nonvested RSUs and will be amortized over the weighted-average remaining requisite service period of 21 months. We provide newly issued shares of our common stock to satisfy the issuance of shares under our stock-based compensation awards. At December 31, 2025, stock-based compensation awards may be granted under the 2002 Lilly Stock Plan for not more than 42.4 million additional shares.</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RSUs are granted to certain employees with a vesting period of typically three years. RSU shares are accounted for at fair value based upon the closing stock price on the date of grant.</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RVAs are granted to officers and management. The number of shares actually issued, if any, varies depending on the growth of our stock price at the end of the three-year vesting period compared to our peers. We measure the fair value of the RVA unit on the grant date using a Monte Carlo simulation model.</w:t>
      </w:r>
    </w:p>
    <w:p>
      <w:pPr>
        <w:spacing w:after="0" w:line="6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SVAs have been granted to officers and management. The number of shares actually issued, if any, varies depending on our stock price at the end of the three-year vesting period compared to pre-established target stock prices. We measure the fair value of the SVA unit on the grant date using a Monte Carlo simulation model.</w:t>
      </w:r>
    </w:p>
    <w:p>
      <w:pPr>
        <w:spacing w:after="0" w:line="6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PAs were granted to officers and management prior to 2024, as we discontinued the program. The number of PA shares actually issued varied depending on the achievement of certain pre-established earnings-per-share targets over a two-year period. PA shares were accounted for at fair value based upon the closing stock price on the date of grant.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weighted-average grant date fair value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r>
      <w:tr>
        <w:trPr>
          <w:trHeight w:val="224"/>
        </w:trPr>
        <w:tc>
          <w:tcPr>
            <w:tcW w:w="3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RSUs</w:t>
            </w:r>
          </w:p>
        </w:tc>
        <w:tc>
          <w:tcPr>
            <w:tcW w:w="408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844.85</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749.74</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339.30</w:t>
            </w: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RVAs</w:t>
            </w:r>
          </w:p>
        </w:tc>
        <w:tc>
          <w:tcPr>
            <w:tcW w:w="408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1,154.90</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1,106.40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397.95</w:t>
            </w:r>
          </w:p>
        </w:tc>
      </w:tr>
      <w:tr>
        <w:trPr>
          <w:trHeight w:val="230"/>
        </w:trPr>
        <w:tc>
          <w:tcPr>
            <w:tcW w:w="3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SVAs</w:t>
            </w:r>
          </w:p>
        </w:tc>
        <w:tc>
          <w:tcPr>
            <w:tcW w:w="40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1,056.09</w:t>
            </w:r>
          </w:p>
        </w:tc>
        <w:tc>
          <w:tcPr>
            <w:tcW w:w="4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1,030.87</w:t>
            </w:r>
          </w:p>
        </w:tc>
        <w:tc>
          <w:tcPr>
            <w:tcW w:w="4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349.63</w:t>
            </w:r>
          </w:p>
        </w:tc>
      </w:tr>
      <w:tr>
        <w:trPr>
          <w:trHeight w:val="239"/>
        </w:trPr>
        <w:tc>
          <w:tcPr>
            <w:tcW w:w="3060" w:type="dxa"/>
            <w:vAlign w:val="bottom"/>
          </w:tcPr>
          <w:p>
            <w:pPr>
              <w:ind w:left="140"/>
              <w:spacing w:after="0"/>
              <w:rPr>
                <w:sz w:val="20"/>
                <w:szCs w:val="20"/>
                <w:color w:val="auto"/>
              </w:rPr>
            </w:pPr>
            <w:r>
              <w:rPr>
                <w:rFonts w:ascii="Arial" w:cs="Arial" w:eastAsia="Arial" w:hAnsi="Arial"/>
                <w:sz w:val="18"/>
                <w:szCs w:val="18"/>
                <w:color w:val="auto"/>
              </w:rPr>
              <w:t>PAs</w:t>
            </w:r>
          </w:p>
        </w:tc>
        <w:tc>
          <w:tcPr>
            <w:tcW w:w="4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335.86</w:t>
            </w:r>
          </w:p>
        </w:tc>
      </w:tr>
      <w:tr>
        <w:trPr>
          <w:trHeight w:val="899"/>
        </w:trPr>
        <w:tc>
          <w:tcPr>
            <w:tcW w:w="3060" w:type="dxa"/>
            <w:vAlign w:val="bottom"/>
          </w:tcPr>
          <w:p>
            <w:pPr>
              <w:spacing w:after="0"/>
              <w:rPr>
                <w:sz w:val="24"/>
                <w:szCs w:val="24"/>
                <w:color w:val="auto"/>
              </w:rPr>
            </w:pPr>
          </w:p>
        </w:tc>
        <w:tc>
          <w:tcPr>
            <w:tcW w:w="4080" w:type="dxa"/>
            <w:vAlign w:val="bottom"/>
          </w:tcPr>
          <w:p>
            <w:pPr>
              <w:jc w:val="right"/>
              <w:ind w:right="1330"/>
              <w:spacing w:after="0"/>
              <w:rPr>
                <w:sz w:val="20"/>
                <w:szCs w:val="20"/>
                <w:color w:val="auto"/>
              </w:rPr>
            </w:pPr>
            <w:r>
              <w:rPr>
                <w:rFonts w:ascii="Arial" w:cs="Arial" w:eastAsia="Arial" w:hAnsi="Arial"/>
                <w:sz w:val="18"/>
                <w:szCs w:val="18"/>
                <w:color w:val="auto"/>
              </w:rPr>
              <w:t>77</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306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7" w:name="page78"/>
    <w:bookmarkEnd w:id="77"/>
    <w:p>
      <w:pPr>
        <w:ind w:right="20"/>
        <w:spacing w:after="0" w:line="259" w:lineRule="auto"/>
        <w:rPr>
          <w:sz w:val="20"/>
          <w:szCs w:val="20"/>
          <w:color w:val="auto"/>
        </w:rPr>
      </w:pPr>
      <w:r>
        <w:rPr>
          <w:rFonts w:ascii="Arial" w:cs="Arial" w:eastAsia="Arial" w:hAnsi="Arial"/>
          <w:sz w:val="18"/>
          <w:szCs w:val="18"/>
          <w:color w:val="auto"/>
        </w:rPr>
        <w:t>For RVAs and SVAs, the Monte Carlo simulation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historical volatility of our peers' stock price for RVAs, and other factors. Similarly, the dividend yield is based on historical experience and our estimate of future dividend yields. The risk-free interest rate is derived from the U.S. Treasury yield curve in effect at the time of grant.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assumptions used in determining the weighted-average grant date fair value for the RVAs and SVAs: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2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RVAs</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SVAs</w:t>
            </w:r>
          </w:p>
        </w:tc>
        <w:tc>
          <w:tcPr>
            <w:tcW w:w="1200" w:type="dxa"/>
            <w:vAlign w:val="bottom"/>
            <w:tcBorders>
              <w:bottom w:val="single" w:sz="8" w:color="auto"/>
            </w:tcBorders>
          </w:tcPr>
          <w:p>
            <w:pPr>
              <w:spacing w:after="0"/>
              <w:rPr>
                <w:sz w:val="17"/>
                <w:szCs w:val="17"/>
                <w:color w:val="auto"/>
              </w:rPr>
            </w:pPr>
          </w:p>
        </w:tc>
      </w:tr>
      <w:tr>
        <w:trPr>
          <w:trHeight w:val="196"/>
        </w:trPr>
        <w:tc>
          <w:tcPr>
            <w:tcW w:w="2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2025</w:t>
            </w:r>
          </w:p>
        </w:tc>
        <w:tc>
          <w:tcPr>
            <w:tcW w:w="152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2025</w:t>
            </w:r>
          </w:p>
        </w:tc>
        <w:tc>
          <w:tcPr>
            <w:tcW w:w="154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224"/>
        </w:trPr>
        <w:tc>
          <w:tcPr>
            <w:tcW w:w="2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dividend yield</w:t>
            </w:r>
          </w:p>
        </w:tc>
        <w:tc>
          <w:tcPr>
            <w:tcW w:w="1720" w:type="dxa"/>
            <w:vAlign w:val="bottom"/>
            <w:shd w:val="clear" w:color="auto" w:fill="DBDBDB"/>
          </w:tcPr>
          <w:p>
            <w:pPr>
              <w:jc w:val="right"/>
              <w:ind w:right="235"/>
              <w:spacing w:after="0"/>
              <w:rPr>
                <w:sz w:val="20"/>
                <w:szCs w:val="20"/>
                <w:color w:val="auto"/>
              </w:rPr>
            </w:pPr>
            <w:r>
              <w:rPr>
                <w:rFonts w:ascii="Arial" w:cs="Arial" w:eastAsia="Arial" w:hAnsi="Arial"/>
                <w:sz w:val="18"/>
                <w:szCs w:val="18"/>
                <w:b w:val="1"/>
                <w:bCs w:val="1"/>
                <w:color w:val="auto"/>
              </w:rPr>
              <w:t>0.70 %</w:t>
            </w:r>
          </w:p>
        </w:tc>
        <w:tc>
          <w:tcPr>
            <w:tcW w:w="1520" w:type="dxa"/>
            <w:vAlign w:val="bottom"/>
            <w:shd w:val="clear" w:color="auto" w:fill="DBDBDB"/>
          </w:tcPr>
          <w:p>
            <w:pPr>
              <w:jc w:val="right"/>
              <w:ind w:right="237"/>
              <w:spacing w:after="0"/>
              <w:rPr>
                <w:sz w:val="20"/>
                <w:szCs w:val="20"/>
                <w:color w:val="auto"/>
              </w:rPr>
            </w:pPr>
            <w:r>
              <w:rPr>
                <w:rFonts w:ascii="Arial" w:cs="Arial" w:eastAsia="Arial" w:hAnsi="Arial"/>
                <w:sz w:val="18"/>
                <w:szCs w:val="18"/>
                <w:color w:val="auto"/>
              </w:rPr>
              <w:t>0.70 %</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DBDBDB"/>
          </w:tcPr>
          <w:p>
            <w:pPr>
              <w:spacing w:after="0"/>
              <w:rPr>
                <w:sz w:val="19"/>
                <w:szCs w:val="19"/>
                <w:color w:val="auto"/>
              </w:rPr>
            </w:pPr>
          </w:p>
        </w:tc>
        <w:tc>
          <w:tcPr>
            <w:tcW w:w="1740" w:type="dxa"/>
            <w:vAlign w:val="bottom"/>
            <w:shd w:val="clear" w:color="auto" w:fill="DBDBDB"/>
          </w:tcPr>
          <w:p>
            <w:pPr>
              <w:jc w:val="right"/>
              <w:ind w:right="235"/>
              <w:spacing w:after="0"/>
              <w:rPr>
                <w:sz w:val="20"/>
                <w:szCs w:val="20"/>
                <w:color w:val="auto"/>
              </w:rPr>
            </w:pPr>
            <w:r>
              <w:rPr>
                <w:rFonts w:ascii="Arial" w:cs="Arial" w:eastAsia="Arial" w:hAnsi="Arial"/>
                <w:sz w:val="18"/>
                <w:szCs w:val="18"/>
                <w:b w:val="1"/>
                <w:bCs w:val="1"/>
                <w:color w:val="auto"/>
              </w:rPr>
              <w:t>0.70 %</w:t>
            </w:r>
          </w:p>
        </w:tc>
        <w:tc>
          <w:tcPr>
            <w:tcW w:w="1540" w:type="dxa"/>
            <w:vAlign w:val="bottom"/>
            <w:shd w:val="clear" w:color="auto" w:fill="DBDBDB"/>
          </w:tcPr>
          <w:p>
            <w:pPr>
              <w:jc w:val="right"/>
              <w:ind w:right="257"/>
              <w:spacing w:after="0"/>
              <w:rPr>
                <w:sz w:val="20"/>
                <w:szCs w:val="20"/>
                <w:color w:val="auto"/>
              </w:rPr>
            </w:pPr>
            <w:r>
              <w:rPr>
                <w:rFonts w:ascii="Arial" w:cs="Arial" w:eastAsia="Arial" w:hAnsi="Arial"/>
                <w:sz w:val="18"/>
                <w:szCs w:val="18"/>
                <w:color w:val="auto"/>
              </w:rPr>
              <w:t>0.70 %</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1.07 %</w:t>
            </w: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tcPr>
          <w:p>
            <w:pPr>
              <w:jc w:val="right"/>
              <w:ind w:right="455"/>
              <w:spacing w:after="0"/>
              <w:rPr>
                <w:sz w:val="20"/>
                <w:szCs w:val="20"/>
                <w:color w:val="auto"/>
              </w:rPr>
            </w:pPr>
            <w:r>
              <w:rPr>
                <w:rFonts w:ascii="Arial" w:cs="Arial" w:eastAsia="Arial" w:hAnsi="Arial"/>
                <w:sz w:val="18"/>
                <w:szCs w:val="18"/>
                <w:b w:val="1"/>
                <w:bCs w:val="1"/>
                <w:color w:val="auto"/>
              </w:rPr>
              <w:t>4.21</w:t>
            </w:r>
          </w:p>
        </w:tc>
        <w:tc>
          <w:tcPr>
            <w:tcW w:w="1520" w:type="dxa"/>
            <w:vAlign w:val="bottom"/>
          </w:tcPr>
          <w:p>
            <w:pPr>
              <w:jc w:val="right"/>
              <w:ind w:right="457"/>
              <w:spacing w:after="0"/>
              <w:rPr>
                <w:sz w:val="20"/>
                <w:szCs w:val="20"/>
                <w:color w:val="auto"/>
              </w:rPr>
            </w:pPr>
            <w:r>
              <w:rPr>
                <w:rFonts w:ascii="Arial" w:cs="Arial" w:eastAsia="Arial" w:hAnsi="Arial"/>
                <w:sz w:val="18"/>
                <w:szCs w:val="18"/>
                <w:color w:val="auto"/>
              </w:rPr>
              <w:t>4.26</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1740" w:type="dxa"/>
            <w:vAlign w:val="bottom"/>
          </w:tcPr>
          <w:p>
            <w:pPr>
              <w:jc w:val="right"/>
              <w:ind w:right="455"/>
              <w:spacing w:after="0"/>
              <w:rPr>
                <w:sz w:val="20"/>
                <w:szCs w:val="20"/>
                <w:color w:val="auto"/>
              </w:rPr>
            </w:pPr>
            <w:r>
              <w:rPr>
                <w:rFonts w:ascii="Arial" w:cs="Arial" w:eastAsia="Arial" w:hAnsi="Arial"/>
                <w:sz w:val="18"/>
                <w:szCs w:val="18"/>
                <w:b w:val="1"/>
                <w:bCs w:val="1"/>
                <w:color w:val="auto"/>
              </w:rPr>
              <w:t>4.21</w:t>
            </w:r>
          </w:p>
        </w:tc>
        <w:tc>
          <w:tcPr>
            <w:tcW w:w="1540" w:type="dxa"/>
            <w:vAlign w:val="bottom"/>
          </w:tcPr>
          <w:p>
            <w:pPr>
              <w:jc w:val="right"/>
              <w:ind w:right="477"/>
              <w:spacing w:after="0"/>
              <w:rPr>
                <w:sz w:val="20"/>
                <w:szCs w:val="20"/>
                <w:color w:val="auto"/>
              </w:rPr>
            </w:pPr>
            <w:r>
              <w:rPr>
                <w:rFonts w:ascii="Arial" w:cs="Arial" w:eastAsia="Arial" w:hAnsi="Arial"/>
                <w:sz w:val="18"/>
                <w:szCs w:val="18"/>
                <w:color w:val="auto"/>
              </w:rPr>
              <w:t>4.26</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4.08</w:t>
            </w:r>
          </w:p>
        </w:tc>
      </w:tr>
      <w:tr>
        <w:trPr>
          <w:trHeight w:val="229"/>
        </w:trPr>
        <w:tc>
          <w:tcPr>
            <w:tcW w:w="2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Volatility</w:t>
            </w:r>
          </w:p>
        </w:tc>
        <w:tc>
          <w:tcPr>
            <w:tcW w:w="1720" w:type="dxa"/>
            <w:vAlign w:val="bottom"/>
            <w:shd w:val="clear" w:color="auto" w:fill="DBDBDB"/>
          </w:tcPr>
          <w:p>
            <w:pPr>
              <w:jc w:val="right"/>
              <w:ind w:right="455"/>
              <w:spacing w:after="0"/>
              <w:rPr>
                <w:sz w:val="20"/>
                <w:szCs w:val="20"/>
                <w:color w:val="auto"/>
              </w:rPr>
            </w:pPr>
            <w:r>
              <w:rPr>
                <w:rFonts w:ascii="Arial" w:cs="Arial" w:eastAsia="Arial" w:hAnsi="Arial"/>
                <w:sz w:val="18"/>
                <w:szCs w:val="18"/>
                <w:b w:val="1"/>
                <w:bCs w:val="1"/>
                <w:color w:val="auto"/>
              </w:rPr>
              <w:t>29.10</w:t>
            </w:r>
          </w:p>
        </w:tc>
        <w:tc>
          <w:tcPr>
            <w:tcW w:w="1520" w:type="dxa"/>
            <w:vAlign w:val="bottom"/>
            <w:shd w:val="clear" w:color="auto" w:fill="DBDBDB"/>
          </w:tcPr>
          <w:p>
            <w:pPr>
              <w:jc w:val="right"/>
              <w:ind w:right="457"/>
              <w:spacing w:after="0"/>
              <w:rPr>
                <w:sz w:val="20"/>
                <w:szCs w:val="20"/>
                <w:color w:val="auto"/>
              </w:rPr>
            </w:pPr>
            <w:r>
              <w:rPr>
                <w:rFonts w:ascii="Arial" w:cs="Arial" w:eastAsia="Arial" w:hAnsi="Arial"/>
                <w:sz w:val="18"/>
                <w:szCs w:val="18"/>
                <w:color w:val="auto"/>
              </w:rPr>
              <w:t>27.69</w:t>
            </w:r>
          </w:p>
        </w:tc>
        <w:tc>
          <w:tcPr>
            <w:tcW w:w="120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DBDBDB"/>
          </w:tcPr>
          <w:p>
            <w:pPr>
              <w:spacing w:after="0"/>
              <w:rPr>
                <w:sz w:val="19"/>
                <w:szCs w:val="19"/>
                <w:color w:val="auto"/>
              </w:rPr>
            </w:pPr>
          </w:p>
        </w:tc>
        <w:tc>
          <w:tcPr>
            <w:tcW w:w="1740" w:type="dxa"/>
            <w:vAlign w:val="bottom"/>
            <w:shd w:val="clear" w:color="auto" w:fill="DBDBDB"/>
          </w:tcPr>
          <w:p>
            <w:pPr>
              <w:jc w:val="right"/>
              <w:ind w:right="455"/>
              <w:spacing w:after="0"/>
              <w:rPr>
                <w:sz w:val="20"/>
                <w:szCs w:val="20"/>
                <w:color w:val="auto"/>
              </w:rPr>
            </w:pPr>
            <w:r>
              <w:rPr>
                <w:rFonts w:ascii="Arial" w:cs="Arial" w:eastAsia="Arial" w:hAnsi="Arial"/>
                <w:sz w:val="18"/>
                <w:szCs w:val="18"/>
                <w:b w:val="1"/>
                <w:bCs w:val="1"/>
                <w:color w:val="auto"/>
              </w:rPr>
              <w:t>31.54</w:t>
            </w:r>
          </w:p>
        </w:tc>
        <w:tc>
          <w:tcPr>
            <w:tcW w:w="1540" w:type="dxa"/>
            <w:vAlign w:val="bottom"/>
            <w:shd w:val="clear" w:color="auto" w:fill="DBDBDB"/>
          </w:tcPr>
          <w:p>
            <w:pPr>
              <w:jc w:val="right"/>
              <w:ind w:right="477"/>
              <w:spacing w:after="0"/>
              <w:rPr>
                <w:sz w:val="20"/>
                <w:szCs w:val="20"/>
                <w:color w:val="auto"/>
              </w:rPr>
            </w:pPr>
            <w:r>
              <w:rPr>
                <w:rFonts w:ascii="Arial" w:cs="Arial" w:eastAsia="Arial" w:hAnsi="Arial"/>
                <w:sz w:val="18"/>
                <w:szCs w:val="18"/>
                <w:color w:val="auto"/>
              </w:rPr>
              <w:t>28.64</w:t>
            </w:r>
          </w:p>
        </w:tc>
        <w:tc>
          <w:tcPr>
            <w:tcW w:w="120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29.87</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Shareholders' Equity</w:t>
      </w:r>
    </w:p>
    <w:p>
      <w:pPr>
        <w:spacing w:after="0" w:line="11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2025, 2024, and 2023, we repurchased $4.1 billion, $2.5 billion, and $750 million, respectively, of shares associated with our share repurchase programs. As of December 31, 2025, we had $10.9 billion remaining under our $15.0 billion share repurchase program authorized in December 2024. We retire shares once we repurchase them.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5 million authorized shares of preferred stock. As of December 31, 2025 and 2024, no preferred stock was issued.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an employee benefit trust that held 50 million shares of our common stock at both December 31, 2025 and 2024, to provide a source of funds to assist us in meeting our obligations under various employee benefit plans. The cost basis of the shares held in the trust was $3.0 billion at both December 31, 2025 and 2024,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2025, 2024, and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accumulated other comprehensive income (loss):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Foreign Currency</w:t>
            </w:r>
          </w:p>
        </w:tc>
        <w:tc>
          <w:tcPr>
            <w:tcW w:w="240" w:type="dxa"/>
            <w:vAlign w:val="bottom"/>
          </w:tcPr>
          <w:p>
            <w:pPr>
              <w:spacing w:after="0"/>
              <w:rPr>
                <w:sz w:val="14"/>
                <w:szCs w:val="14"/>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rPr>
              <w:t>Retirement</w:t>
            </w:r>
          </w:p>
        </w:tc>
        <w:tc>
          <w:tcPr>
            <w:tcW w:w="38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89"/>
        </w:trPr>
        <w:tc>
          <w:tcPr>
            <w:tcW w:w="5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Translation</w:t>
            </w:r>
            <w:r>
              <w:rPr>
                <w:rFonts w:ascii="Arial" w:cs="Arial" w:eastAsia="Arial" w:hAnsi="Arial"/>
                <w:sz w:val="9"/>
                <w:szCs w:val="9"/>
                <w:b w:val="1"/>
                <w:bCs w:val="1"/>
                <w:color w:val="auto"/>
              </w:rPr>
              <w:t>(1)</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Benefit Plans</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 at January 1, 2023</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(1,874)</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(2,062)</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91</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3"/>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2023</w:t>
            </w:r>
          </w:p>
        </w:tc>
        <w:tc>
          <w:tcPr>
            <w:tcW w:w="1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(1,819)</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(2,697)</w:t>
            </w: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2024</w:t>
            </w:r>
          </w:p>
        </w:tc>
        <w:tc>
          <w:tcPr>
            <w:tcW w:w="18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(2,390)</w:t>
            </w:r>
          </w:p>
        </w:tc>
        <w:tc>
          <w:tcPr>
            <w:tcW w:w="2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(2,179)</w:t>
            </w:r>
          </w:p>
        </w:tc>
        <w:tc>
          <w:tcPr>
            <w:tcW w:w="380" w:type="dxa"/>
            <w:vAlign w:val="bottom"/>
            <w:shd w:val="clear" w:color="auto" w:fill="DBDBDB"/>
          </w:tcPr>
          <w:p>
            <w:pPr>
              <w:spacing w:after="0"/>
              <w:rPr>
                <w:sz w:val="21"/>
                <w:szCs w:val="21"/>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1,241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Ending balance at December 31, 2025</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(1,149)</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(1,987)</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255</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(2,880)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9"/>
          <w:szCs w:val="9"/>
          <w:color w:val="auto"/>
        </w:rPr>
      </w:pPr>
      <w:r>
        <w:rPr>
          <w:rFonts w:ascii="Arial" w:cs="Arial" w:eastAsia="Arial" w:hAnsi="Arial"/>
          <w:sz w:val="14"/>
          <w:szCs w:val="14"/>
          <w:color w:val="auto"/>
        </w:rPr>
        <w:t>Includes the impact of foreign currency transactions designated as net investment hedges. See Note 7 for additional information.</w:t>
      </w:r>
    </w:p>
    <w:p>
      <w:pPr>
        <w:spacing w:after="0" w:line="11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Where our ownership of consolidated subsidiaries is less than 100 percent, the noncontrolling shareholders' interests are reflected in other equity as of December 31, 2025 and 2024 and are not material to our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14: Income Taxes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Deferred taxes related to global intangible low-taxed income (GILTI) are also recognized for the future tax effects of temporary differences.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based on its technical merits, will be sustained upon examination by the taxing authority. The tax benefits recognized in the financial statements from such a position are measured based on the largest benefit that has a greater than 50 percent likelihood of being realized upon ultimate resolution.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r>
      <w:tr>
        <w:trPr>
          <w:trHeight w:val="224"/>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4,639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3,343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3,042</w:t>
            </w:r>
          </w:p>
        </w:tc>
        <w:tc>
          <w:tcPr>
            <w:tcW w:w="20" w:type="dxa"/>
            <w:vAlign w:val="bottom"/>
          </w:tcPr>
          <w:p>
            <w:pPr>
              <w:spacing w:after="0"/>
              <w:rPr>
                <w:sz w:val="19"/>
                <w:szCs w:val="19"/>
                <w:color w:val="auto"/>
              </w:rPr>
            </w:pPr>
          </w:p>
        </w:tc>
      </w:tr>
      <w:tr>
        <w:trPr>
          <w:trHeight w:val="229"/>
        </w:trPr>
        <w:tc>
          <w:tcPr>
            <w:tcW w:w="6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2,159</w:t>
            </w:r>
          </w:p>
        </w:tc>
        <w:tc>
          <w:tcPr>
            <w:tcW w:w="3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4"/>
              <w:spacing w:after="0"/>
              <w:rPr>
                <w:sz w:val="20"/>
                <w:szCs w:val="20"/>
                <w:color w:val="auto"/>
              </w:rPr>
            </w:pPr>
            <w:r>
              <w:rPr>
                <w:rFonts w:ascii="Arial" w:cs="Arial" w:eastAsia="Arial" w:hAnsi="Arial"/>
                <w:sz w:val="18"/>
                <w:szCs w:val="18"/>
                <w:color w:val="auto"/>
              </w:rPr>
              <w:t>1,430</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613</w:t>
            </w:r>
          </w:p>
        </w:tc>
        <w:tc>
          <w:tcPr>
            <w:tcW w:w="20" w:type="dxa"/>
            <w:vAlign w:val="bottom"/>
            <w:tcBorders>
              <w:bottom w:val="single" w:sz="8" w:color="auto"/>
            </w:tcBorders>
            <w:shd w:val="clear" w:color="auto" w:fill="DBDBDB"/>
          </w:tcPr>
          <w:p>
            <w:pPr>
              <w:spacing w:after="0"/>
              <w:rPr>
                <w:sz w:val="19"/>
                <w:szCs w:val="19"/>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Total current tax expense</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6,798</w:t>
            </w:r>
          </w:p>
        </w:tc>
        <w:tc>
          <w:tcPr>
            <w:tcW w:w="38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4,773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3,655</w:t>
            </w:r>
          </w:p>
        </w:tc>
        <w:tc>
          <w:tcPr>
            <w:tcW w:w="20" w:type="dxa"/>
            <w:vAlign w:val="bottom"/>
          </w:tcPr>
          <w:p>
            <w:pPr>
              <w:spacing w:after="0"/>
              <w:rPr>
                <w:sz w:val="19"/>
                <w:szCs w:val="19"/>
                <w:color w:val="auto"/>
              </w:rPr>
            </w:pPr>
          </w:p>
        </w:tc>
      </w:tr>
      <w:tr>
        <w:trPr>
          <w:trHeight w:val="229"/>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(1,149)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(2,210)</w:t>
            </w:r>
          </w:p>
        </w:tc>
        <w:tc>
          <w:tcPr>
            <w:tcW w:w="400" w:type="dxa"/>
            <w:vAlign w:val="bottom"/>
          </w:tcPr>
          <w:p>
            <w:pPr>
              <w:spacing w:after="0"/>
              <w:rPr>
                <w:sz w:val="19"/>
                <w:szCs w:val="19"/>
                <w:color w:val="auto"/>
              </w:rPr>
            </w:pPr>
          </w:p>
        </w:tc>
        <w:tc>
          <w:tcPr>
            <w:tcW w:w="1080" w:type="dxa"/>
            <w:vAlign w:val="bottom"/>
            <w:gridSpan w:val="2"/>
          </w:tcPr>
          <w:p>
            <w:pPr>
              <w:jc w:val="center"/>
              <w:ind w:left="374"/>
              <w:spacing w:after="0"/>
              <w:rPr>
                <w:sz w:val="20"/>
                <w:szCs w:val="20"/>
                <w:color w:val="auto"/>
              </w:rPr>
            </w:pPr>
            <w:r>
              <w:rPr>
                <w:rFonts w:ascii="Arial" w:cs="Arial" w:eastAsia="Arial" w:hAnsi="Arial"/>
                <w:sz w:val="18"/>
                <w:szCs w:val="18"/>
                <w:color w:val="auto"/>
              </w:rPr>
              <w:t>(2,375)</w:t>
            </w:r>
          </w:p>
        </w:tc>
      </w:tr>
      <w:tr>
        <w:trPr>
          <w:trHeight w:val="230"/>
        </w:trPr>
        <w:tc>
          <w:tcPr>
            <w:tcW w:w="6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(558)</w:t>
            </w:r>
          </w:p>
        </w:tc>
        <w:tc>
          <w:tcPr>
            <w:tcW w:w="3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(473)</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shd w:val="clear" w:color="auto" w:fill="DBDBDB"/>
          </w:tcPr>
          <w:p>
            <w:pPr>
              <w:spacing w:after="0"/>
              <w:rPr>
                <w:sz w:val="19"/>
                <w:szCs w:val="19"/>
                <w:color w:val="auto"/>
              </w:rPr>
            </w:pPr>
          </w:p>
        </w:tc>
      </w:tr>
      <w:tr>
        <w:trPr>
          <w:trHeight w:val="223"/>
        </w:trPr>
        <w:tc>
          <w:tcPr>
            <w:tcW w:w="682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Total deferred tax benefit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(1,707)</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8"/>
                <w:szCs w:val="18"/>
                <w:color w:val="auto"/>
              </w:rPr>
              <w:t>(2,341)</w:t>
            </w:r>
          </w:p>
        </w:tc>
      </w:tr>
      <w:tr>
        <w:trPr>
          <w:trHeight w:val="230"/>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5,091</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BDBDB"/>
          </w:tcPr>
          <w:p>
            <w:pPr>
              <w:jc w:val="right"/>
              <w:ind w:right="14"/>
              <w:spacing w:after="0"/>
              <w:rPr>
                <w:sz w:val="20"/>
                <w:szCs w:val="20"/>
                <w:color w:val="auto"/>
              </w:rPr>
            </w:pPr>
            <w:r>
              <w:rPr>
                <w:rFonts w:ascii="Arial" w:cs="Arial" w:eastAsia="Arial" w:hAnsi="Arial"/>
                <w:sz w:val="18"/>
                <w:szCs w:val="18"/>
                <w:color w:val="auto"/>
              </w:rPr>
              <w:t>2,090</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Borders>
              <w:bottom w:val="single" w:sz="8" w:color="auto"/>
            </w:tcBorders>
            <w:shd w:val="clear" w:color="auto" w:fill="DBDBDB"/>
          </w:tcPr>
          <w:p>
            <w:pPr>
              <w:spacing w:after="0"/>
              <w:rPr>
                <w:sz w:val="20"/>
                <w:szCs w:val="20"/>
                <w:color w:val="auto"/>
              </w:rPr>
            </w:pPr>
          </w:p>
        </w:tc>
      </w:tr>
      <w:tr>
        <w:trPr>
          <w:trHeight w:val="423"/>
        </w:trPr>
        <w:tc>
          <w:tcPr>
            <w:tcW w:w="8260" w:type="dxa"/>
            <w:vAlign w:val="bottom"/>
            <w:gridSpan w:val="3"/>
          </w:tcPr>
          <w:p>
            <w:pPr>
              <w:spacing w:after="0"/>
              <w:rPr>
                <w:sz w:val="20"/>
                <w:szCs w:val="20"/>
                <w:color w:val="auto"/>
              </w:rPr>
            </w:pPr>
            <w:r>
              <w:rPr>
                <w:rFonts w:ascii="Arial" w:cs="Arial" w:eastAsia="Arial" w:hAnsi="Arial"/>
                <w:sz w:val="18"/>
                <w:szCs w:val="18"/>
                <w:color w:val="auto"/>
              </w:rPr>
              <w:t>Cash payments of U.S. federal, state, and foreign income taxes, net of refunds, were as follows: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6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24"/>
                <w:szCs w:val="24"/>
                <w:color w:val="auto"/>
              </w:rPr>
            </w:pPr>
          </w:p>
        </w:tc>
      </w:tr>
      <w:tr>
        <w:trPr>
          <w:trHeight w:val="224"/>
        </w:trPr>
        <w:tc>
          <w:tcPr>
            <w:tcW w:w="6820" w:type="dxa"/>
            <w:vAlign w:val="bottom"/>
            <w:shd w:val="clear" w:color="auto" w:fill="DBDBDB"/>
          </w:tcPr>
          <w:p>
            <w:pPr>
              <w:ind w:left="20"/>
              <w:spacing w:after="0" w:line="224" w:lineRule="exact"/>
              <w:rPr>
                <w:sz w:val="20"/>
                <w:szCs w:val="20"/>
                <w:color w:val="auto"/>
              </w:rPr>
            </w:pPr>
            <w:r>
              <w:rPr>
                <w:rFonts w:ascii="Arial" w:cs="Arial" w:eastAsia="Arial" w:hAnsi="Arial"/>
                <w:sz w:val="18"/>
                <w:szCs w:val="18"/>
                <w:color w:val="auto"/>
              </w:rPr>
              <w:t>Cash payments of income taxes</w:t>
            </w:r>
            <w:r>
              <w:rPr>
                <w:rFonts w:ascii="Arial" w:cs="Arial" w:eastAsia="Arial" w:hAnsi="Arial"/>
                <w:sz w:val="23"/>
                <w:szCs w:val="23"/>
                <w:color w:val="auto"/>
                <w:vertAlign w:val="superscript"/>
              </w:rPr>
              <w:t>(1)</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54"/>
              <w:spacing w:after="0"/>
              <w:rPr>
                <w:sz w:val="20"/>
                <w:szCs w:val="20"/>
                <w:color w:val="auto"/>
              </w:rPr>
            </w:pPr>
            <w:r>
              <w:rPr>
                <w:rFonts w:ascii="Arial" w:cs="Arial" w:eastAsia="Arial" w:hAnsi="Arial"/>
                <w:sz w:val="18"/>
                <w:szCs w:val="18"/>
                <w:b w:val="1"/>
                <w:bCs w:val="1"/>
                <w:color w:val="auto"/>
              </w:rPr>
              <w:t>10,814</w:t>
            </w:r>
          </w:p>
        </w:tc>
        <w:tc>
          <w:tcPr>
            <w:tcW w:w="3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6,562</w:t>
            </w:r>
          </w:p>
        </w:tc>
        <w:tc>
          <w:tcPr>
            <w:tcW w:w="4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center"/>
              <w:ind w:left="354"/>
              <w:spacing w:after="0"/>
              <w:rPr>
                <w:sz w:val="20"/>
                <w:szCs w:val="20"/>
                <w:color w:val="auto"/>
              </w:rPr>
            </w:pPr>
            <w:r>
              <w:rPr>
                <w:rFonts w:ascii="Arial" w:cs="Arial" w:eastAsia="Arial" w:hAnsi="Arial"/>
                <w:sz w:val="18"/>
                <w:szCs w:val="18"/>
                <w:color w:val="auto"/>
              </w:rPr>
              <w:t>5,559</w:t>
            </w:r>
          </w:p>
        </w:tc>
        <w:tc>
          <w:tcPr>
            <w:tcW w:w="20" w:type="dxa"/>
            <w:vAlign w:val="bottom"/>
          </w:tcPr>
          <w:p>
            <w:pPr>
              <w:spacing w:after="0"/>
              <w:rPr>
                <w:sz w:val="19"/>
                <w:szCs w:val="19"/>
                <w:color w:val="auto"/>
              </w:rPr>
            </w:pPr>
          </w:p>
        </w:tc>
      </w:tr>
    </w:tbl>
    <w:p>
      <w:pPr>
        <w:spacing w:after="0" w:line="82"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2025 included U.S. federal cash payments of $3.3 billion and cash payments to Ireland of $6.6 billion.</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payments of income taxes increased $4.3 billion in 2025 compared with 2024, driven primarily by a $ 4.2 billion increase in Ireland resulting from higher production activity to meet growing global demand for our medicines and a prior year tax payment. U.S. federal cash payments decreased from $3.8 billion in 2024 to $3.3 billion in 2025, driven primarily by immediate deductibility of U.S. research and development expenses, a prior year tax refund, and accelerated depreciation on U.S. capital investments, partially offset by higher U.S. income. Refer to the composition of income tax expense above regarding current income tax expense on current-year income.</w:t>
      </w:r>
    </w:p>
    <w:p>
      <w:pPr>
        <w:spacing w:after="0" w:line="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At December 31, 2025 and 2024, prepaid expenses included prepaid taxes of $12.9 billion and $7.1 billion, respectively. Prepaid taxes largely reflect taxes paid on intercompany profit not yet recognized, primarily related to Ireland.</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As of December 31, 2025, we have long-term income taxes payables of $1.1 billion that we expect to pay in 2027 and $4.8 billion that we cannot reasonably estimate the timing of future cash outflows.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9" w:name="page80"/>
    <w:bookmarkEnd w:id="79"/>
    <w:p>
      <w:pPr>
        <w:ind w:right="20"/>
        <w:spacing w:after="0" w:line="286" w:lineRule="auto"/>
        <w:rPr>
          <w:sz w:val="20"/>
          <w:szCs w:val="20"/>
          <w:color w:val="auto"/>
        </w:rPr>
      </w:pPr>
      <w:r>
        <w:rPr>
          <w:rFonts w:ascii="Arial" w:cs="Arial" w:eastAsia="Arial" w:hAnsi="Arial"/>
          <w:sz w:val="18"/>
          <w:szCs w:val="18"/>
          <w:color w:val="auto"/>
        </w:rPr>
        <w:t xml:space="preserve">Following is a reconciliation of the consolidated income tax expense applying </w:t>
      </w:r>
      <w:r>
        <w:rPr>
          <w:rFonts w:ascii="Times New Roman" w:cs="Times New Roman" w:eastAsia="Times New Roman" w:hAnsi="Times New Roman"/>
          <w:sz w:val="18"/>
          <w:szCs w:val="18"/>
          <w:color w:val="auto"/>
        </w:rPr>
        <w:t>th</w:t>
      </w:r>
      <w:r>
        <w:rPr>
          <w:rFonts w:ascii="Arial" w:cs="Arial" w:eastAsia="Arial" w:hAnsi="Arial"/>
          <w:sz w:val="18"/>
          <w:szCs w:val="18"/>
          <w:color w:val="auto"/>
        </w:rPr>
        <w:t>e U.S. federal statutory rate to income before income taxes to the reported consolidated income tax expense for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2025</w:t>
            </w:r>
          </w:p>
        </w:tc>
        <w:tc>
          <w:tcPr>
            <w:tcW w:w="1200" w:type="dxa"/>
            <w:vAlign w:val="bottom"/>
            <w:tcBorders>
              <w:bottom w:val="single" w:sz="8" w:color="auto"/>
            </w:tcBorders>
          </w:tcPr>
          <w:p>
            <w:pPr>
              <w:spacing w:after="0"/>
              <w:rPr>
                <w:sz w:val="17"/>
                <w:szCs w:val="17"/>
                <w:color w:val="auto"/>
              </w:rPr>
            </w:pPr>
          </w:p>
        </w:tc>
      </w:tr>
      <w:tr>
        <w:trPr>
          <w:trHeight w:val="197"/>
        </w:trPr>
        <w:tc>
          <w:tcPr>
            <w:tcW w:w="8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33"/>
              <w:spacing w:after="0" w:line="197" w:lineRule="exact"/>
              <w:rPr>
                <w:sz w:val="20"/>
                <w:szCs w:val="20"/>
                <w:color w:val="auto"/>
              </w:rPr>
            </w:pPr>
            <w:r>
              <w:rPr>
                <w:rFonts w:ascii="Arial" w:cs="Arial" w:eastAsia="Arial" w:hAnsi="Arial"/>
                <w:sz w:val="14"/>
                <w:szCs w:val="14"/>
                <w:b w:val="1"/>
                <w:bCs w:val="1"/>
                <w:color w:val="auto"/>
              </w:rPr>
              <w:t>Amount</w:t>
            </w:r>
            <w:r>
              <w:rPr>
                <w:rFonts w:ascii="Arial" w:cs="Arial" w:eastAsia="Arial" w:hAnsi="Arial"/>
                <w:sz w:val="18"/>
                <w:szCs w:val="18"/>
                <w:color w:val="auto"/>
                <w:vertAlign w:val="superscript"/>
              </w:rPr>
              <w:t>(1)</w:t>
            </w: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Percent</w:t>
            </w:r>
          </w:p>
        </w:tc>
      </w:tr>
      <w:tr>
        <w:trPr>
          <w:trHeight w:val="223"/>
        </w:trPr>
        <w:tc>
          <w:tcPr>
            <w:tcW w:w="8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federal statutory tax rate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ind w:right="433"/>
              <w:spacing w:after="0"/>
              <w:rPr>
                <w:sz w:val="20"/>
                <w:szCs w:val="20"/>
                <w:color w:val="auto"/>
              </w:rPr>
            </w:pPr>
            <w:r>
              <w:rPr>
                <w:rFonts w:ascii="Arial" w:cs="Arial" w:eastAsia="Arial" w:hAnsi="Arial"/>
                <w:sz w:val="18"/>
                <w:szCs w:val="18"/>
                <w:color w:val="auto"/>
              </w:rPr>
              <w:t>5,404</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Foreign tax effects: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8200" w:type="dxa"/>
            <w:vAlign w:val="bottom"/>
          </w:tcPr>
          <w:p>
            <w:pPr>
              <w:ind w:left="240"/>
              <w:spacing w:after="0"/>
              <w:rPr>
                <w:sz w:val="20"/>
                <w:szCs w:val="20"/>
                <w:color w:val="auto"/>
              </w:rPr>
            </w:pPr>
            <w:r>
              <w:rPr>
                <w:rFonts w:ascii="Arial" w:cs="Arial" w:eastAsia="Arial" w:hAnsi="Arial"/>
                <w:sz w:val="18"/>
                <w:szCs w:val="18"/>
                <w:color w:val="auto"/>
              </w:rPr>
              <w:t>Statutory tax rate difference between Ireland and the U.S.</w:t>
            </w:r>
          </w:p>
        </w:tc>
        <w:tc>
          <w:tcPr>
            <w:tcW w:w="240" w:type="dxa"/>
            <w:vAlign w:val="bottom"/>
          </w:tcPr>
          <w:p>
            <w:pPr>
              <w:spacing w:after="0"/>
              <w:rPr>
                <w:sz w:val="19"/>
                <w:szCs w:val="19"/>
                <w:color w:val="auto"/>
              </w:rPr>
            </w:pPr>
          </w:p>
        </w:tc>
        <w:tc>
          <w:tcPr>
            <w:tcW w:w="1600" w:type="dxa"/>
            <w:vAlign w:val="bottom"/>
          </w:tcPr>
          <w:p>
            <w:pPr>
              <w:jc w:val="right"/>
              <w:ind w:right="393"/>
              <w:spacing w:after="0"/>
              <w:rPr>
                <w:sz w:val="20"/>
                <w:szCs w:val="20"/>
                <w:color w:val="auto"/>
              </w:rPr>
            </w:pPr>
            <w:r>
              <w:rPr>
                <w:rFonts w:ascii="Arial" w:cs="Arial" w:eastAsia="Arial" w:hAnsi="Arial"/>
                <w:sz w:val="18"/>
                <w:szCs w:val="18"/>
                <w:color w:val="auto"/>
              </w:rPr>
              <w:t>(346)</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600" w:type="dxa"/>
            <w:vAlign w:val="bottom"/>
            <w:shd w:val="clear" w:color="auto" w:fill="DBDBDB"/>
          </w:tcPr>
          <w:p>
            <w:pPr>
              <w:jc w:val="right"/>
              <w:ind w:right="433"/>
              <w:spacing w:after="0"/>
              <w:rPr>
                <w:sz w:val="20"/>
                <w:szCs w:val="20"/>
                <w:color w:val="auto"/>
              </w:rPr>
            </w:pPr>
            <w:r>
              <w:rPr>
                <w:rFonts w:ascii="Arial" w:cs="Arial" w:eastAsia="Arial" w:hAnsi="Arial"/>
                <w:sz w:val="18"/>
                <w:szCs w:val="18"/>
                <w:color w:val="auto"/>
              </w:rPr>
              <w:t>269</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Other foreign jurisdictions</w:t>
            </w:r>
          </w:p>
        </w:tc>
        <w:tc>
          <w:tcPr>
            <w:tcW w:w="240" w:type="dxa"/>
            <w:vAlign w:val="bottom"/>
          </w:tcPr>
          <w:p>
            <w:pPr>
              <w:spacing w:after="0"/>
              <w:rPr>
                <w:sz w:val="19"/>
                <w:szCs w:val="19"/>
                <w:color w:val="auto"/>
              </w:rPr>
            </w:pPr>
          </w:p>
        </w:tc>
        <w:tc>
          <w:tcPr>
            <w:tcW w:w="1600" w:type="dxa"/>
            <w:vAlign w:val="bottom"/>
          </w:tcPr>
          <w:p>
            <w:pPr>
              <w:jc w:val="right"/>
              <w:ind w:right="393"/>
              <w:spacing w:after="0"/>
              <w:rPr>
                <w:sz w:val="20"/>
                <w:szCs w:val="20"/>
                <w:color w:val="auto"/>
              </w:rPr>
            </w:pPr>
            <w:r>
              <w:rPr>
                <w:rFonts w:ascii="Arial" w:cs="Arial" w:eastAsia="Arial" w:hAnsi="Arial"/>
                <w:sz w:val="18"/>
                <w:szCs w:val="18"/>
                <w:color w:val="auto"/>
              </w:rPr>
              <w:t>(53)</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20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Effect of cross-border tax laws</w:t>
            </w:r>
            <w:r>
              <w:rPr>
                <w:rFonts w:ascii="Arial" w:cs="Arial" w:eastAsia="Arial" w:hAnsi="Arial"/>
                <w:sz w:val="23"/>
                <w:szCs w:val="23"/>
                <w:color w:val="auto"/>
                <w:vertAlign w:val="superscript"/>
              </w:rPr>
              <w:t>(2)</w:t>
            </w:r>
          </w:p>
        </w:tc>
        <w:tc>
          <w:tcPr>
            <w:tcW w:w="24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Foreign-derived intangible income</w:t>
            </w:r>
          </w:p>
        </w:tc>
        <w:tc>
          <w:tcPr>
            <w:tcW w:w="240" w:type="dxa"/>
            <w:vAlign w:val="bottom"/>
          </w:tcPr>
          <w:p>
            <w:pPr>
              <w:spacing w:after="0"/>
              <w:rPr>
                <w:sz w:val="19"/>
                <w:szCs w:val="19"/>
                <w:color w:val="auto"/>
              </w:rPr>
            </w:pPr>
          </w:p>
        </w:tc>
        <w:tc>
          <w:tcPr>
            <w:tcW w:w="1600" w:type="dxa"/>
            <w:vAlign w:val="bottom"/>
          </w:tcPr>
          <w:p>
            <w:pPr>
              <w:jc w:val="right"/>
              <w:ind w:right="393"/>
              <w:spacing w:after="0"/>
              <w:rPr>
                <w:sz w:val="20"/>
                <w:szCs w:val="20"/>
                <w:color w:val="auto"/>
              </w:rPr>
            </w:pPr>
            <w:r>
              <w:rPr>
                <w:rFonts w:ascii="Arial" w:cs="Arial" w:eastAsia="Arial" w:hAnsi="Arial"/>
                <w:sz w:val="18"/>
                <w:szCs w:val="18"/>
                <w:color w:val="auto"/>
              </w:rPr>
              <w:t>(334)</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2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600" w:type="dxa"/>
            <w:vAlign w:val="bottom"/>
            <w:shd w:val="clear" w:color="auto" w:fill="DBDBDB"/>
          </w:tcPr>
          <w:p>
            <w:pPr>
              <w:jc w:val="right"/>
              <w:ind w:right="393"/>
              <w:spacing w:after="0"/>
              <w:rPr>
                <w:sz w:val="20"/>
                <w:szCs w:val="20"/>
                <w:color w:val="auto"/>
              </w:rPr>
            </w:pPr>
            <w:r>
              <w:rPr>
                <w:rFonts w:ascii="Arial" w:cs="Arial" w:eastAsia="Arial" w:hAnsi="Arial"/>
                <w:sz w:val="18"/>
                <w:szCs w:val="18"/>
                <w:color w:val="auto"/>
              </w:rPr>
              <w:t>(149)</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19"/>
                <w:szCs w:val="19"/>
                <w:color w:val="auto"/>
              </w:rPr>
            </w:pPr>
          </w:p>
        </w:tc>
        <w:tc>
          <w:tcPr>
            <w:tcW w:w="1600" w:type="dxa"/>
            <w:vAlign w:val="bottom"/>
          </w:tcPr>
          <w:p>
            <w:pPr>
              <w:jc w:val="right"/>
              <w:ind w:right="393"/>
              <w:spacing w:after="0"/>
              <w:rPr>
                <w:sz w:val="20"/>
                <w:szCs w:val="20"/>
                <w:color w:val="auto"/>
              </w:rPr>
            </w:pPr>
            <w:r>
              <w:rPr>
                <w:rFonts w:ascii="Arial" w:cs="Arial" w:eastAsia="Arial" w:hAnsi="Arial"/>
                <w:sz w:val="18"/>
                <w:szCs w:val="18"/>
                <w:color w:val="auto"/>
              </w:rPr>
              <w:t>(327)</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Nontaxable or nondeductible items:</w:t>
            </w:r>
          </w:p>
        </w:tc>
        <w:tc>
          <w:tcPr>
            <w:tcW w:w="24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8200" w:type="dxa"/>
            <w:vAlign w:val="bottom"/>
          </w:tcPr>
          <w:p>
            <w:pPr>
              <w:ind w:left="140"/>
              <w:spacing w:after="0" w:line="230" w:lineRule="exact"/>
              <w:rPr>
                <w:sz w:val="20"/>
                <w:szCs w:val="20"/>
                <w:color w:val="auto"/>
              </w:rPr>
            </w:pPr>
            <w:r>
              <w:rPr>
                <w:rFonts w:ascii="Arial" w:cs="Arial" w:eastAsia="Arial" w:hAnsi="Arial"/>
                <w:sz w:val="18"/>
                <w:szCs w:val="18"/>
                <w:color w:val="auto"/>
              </w:rPr>
              <w:t>Non-deductible acquired IPR&amp;D</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1600" w:type="dxa"/>
            <w:vAlign w:val="bottom"/>
          </w:tcPr>
          <w:p>
            <w:pPr>
              <w:jc w:val="right"/>
              <w:ind w:right="433"/>
              <w:spacing w:after="0"/>
              <w:rPr>
                <w:sz w:val="20"/>
                <w:szCs w:val="20"/>
                <w:color w:val="auto"/>
              </w:rPr>
            </w:pPr>
            <w:r>
              <w:rPr>
                <w:rFonts w:ascii="Arial" w:cs="Arial" w:eastAsia="Arial" w:hAnsi="Arial"/>
                <w:sz w:val="18"/>
                <w:szCs w:val="18"/>
                <w:color w:val="auto"/>
              </w:rPr>
              <w:t>442</w:t>
            </w:r>
          </w:p>
        </w:tc>
        <w:tc>
          <w:tcPr>
            <w:tcW w:w="12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82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600" w:type="dxa"/>
            <w:vAlign w:val="bottom"/>
            <w:shd w:val="clear" w:color="auto" w:fill="DBDBDB"/>
          </w:tcPr>
          <w:p>
            <w:pPr>
              <w:jc w:val="right"/>
              <w:ind w:right="393"/>
              <w:spacing w:after="0"/>
              <w:rPr>
                <w:sz w:val="20"/>
                <w:szCs w:val="20"/>
                <w:color w:val="auto"/>
              </w:rPr>
            </w:pPr>
            <w:r>
              <w:rPr>
                <w:rFonts w:ascii="Arial" w:cs="Arial" w:eastAsia="Arial" w:hAnsi="Arial"/>
                <w:sz w:val="18"/>
                <w:szCs w:val="18"/>
                <w:color w:val="auto"/>
              </w:rPr>
              <w:t>(121)</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200" w:type="dxa"/>
            <w:vAlign w:val="bottom"/>
            <w:tcBorders>
              <w:bottom w:val="single" w:sz="8" w:color="DBDBDB"/>
            </w:tcBorders>
          </w:tcPr>
          <w:p>
            <w:pPr>
              <w:ind w:left="20"/>
              <w:spacing w:after="0" w:line="230" w:lineRule="exact"/>
              <w:rPr>
                <w:sz w:val="20"/>
                <w:szCs w:val="20"/>
                <w:color w:val="auto"/>
              </w:rPr>
            </w:pPr>
            <w:r>
              <w:rPr>
                <w:rFonts w:ascii="Arial" w:cs="Arial" w:eastAsia="Arial" w:hAnsi="Arial"/>
                <w:sz w:val="18"/>
                <w:szCs w:val="18"/>
                <w:color w:val="auto"/>
              </w:rPr>
              <w:t>Other adjustments</w:t>
            </w:r>
            <w:r>
              <w:rPr>
                <w:rFonts w:ascii="Arial" w:cs="Arial" w:eastAsia="Arial" w:hAnsi="Arial"/>
                <w:sz w:val="23"/>
                <w:szCs w:val="23"/>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306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8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ind w:right="433"/>
              <w:spacing w:after="0"/>
              <w:rPr>
                <w:sz w:val="20"/>
                <w:szCs w:val="20"/>
                <w:color w:val="auto"/>
              </w:rPr>
            </w:pPr>
            <w:r>
              <w:rPr>
                <w:rFonts w:ascii="Arial" w:cs="Arial" w:eastAsia="Arial" w:hAnsi="Arial"/>
                <w:sz w:val="18"/>
                <w:szCs w:val="18"/>
                <w:color w:val="auto"/>
              </w:rPr>
              <w:t>5,091</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19.8 %</w:t>
            </w:r>
          </w:p>
        </w:tc>
      </w:tr>
    </w:tbl>
    <w:p>
      <w:pPr>
        <w:spacing w:after="0" w:line="82"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Unrecognized tax benefits related to the current year are presented on a net basis in the category where the tax position is presented.</w:t>
      </w:r>
    </w:p>
    <w:p>
      <w:pPr>
        <w:spacing w:after="0" w:line="12" w:lineRule="exact"/>
        <w:rPr>
          <w:rFonts w:ascii="Arial" w:cs="Arial" w:eastAsia="Arial" w:hAnsi="Arial"/>
          <w:sz w:val="18"/>
          <w:szCs w:val="18"/>
          <w:color w:val="auto"/>
          <w:vertAlign w:val="superscript"/>
        </w:rPr>
      </w:pPr>
    </w:p>
    <w:p>
      <w:pPr>
        <w:ind w:left="140" w:hanging="132"/>
        <w:spacing w:after="0" w:line="229" w:lineRule="auto"/>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color w:val="auto"/>
        </w:rPr>
        <w:t>The effect of cross-border tax laws includes the tax effects of both the cross-border tax and the related foreign tax credit allowed.</w:t>
      </w:r>
    </w:p>
    <w:p>
      <w:pPr>
        <w:spacing w:after="0" w:line="13"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0"/>
        </w:numPr>
        <w:rPr>
          <w:rFonts w:ascii="Arial" w:cs="Arial" w:eastAsia="Arial" w:hAnsi="Arial"/>
          <w:sz w:val="9"/>
          <w:szCs w:val="9"/>
          <w:color w:val="auto"/>
        </w:rPr>
      </w:pPr>
      <w:r>
        <w:rPr>
          <w:rFonts w:ascii="Arial" w:cs="Arial" w:eastAsia="Arial" w:hAnsi="Arial"/>
          <w:sz w:val="14"/>
          <w:szCs w:val="14"/>
          <w:color w:val="auto"/>
        </w:rPr>
        <w:t>Non-deductible acquired IPR&amp;D was primarily related to the acquisitions of Scorpion and SiteOne in 2025. See Note 4 for additional information related to acquisitions.</w:t>
      </w:r>
    </w:p>
    <w:p>
      <w:pPr>
        <w:spacing w:after="0" w:line="15" w:lineRule="exact"/>
        <w:rPr>
          <w:rFonts w:ascii="Arial" w:cs="Arial" w:eastAsia="Arial" w:hAnsi="Arial"/>
          <w:sz w:val="9"/>
          <w:szCs w:val="9"/>
          <w:color w:val="auto"/>
        </w:rPr>
      </w:pPr>
    </w:p>
    <w:p>
      <w:pPr>
        <w:ind w:left="180" w:right="400" w:hanging="172"/>
        <w:spacing w:after="0" w:line="303" w:lineRule="auto"/>
        <w:tabs>
          <w:tab w:leader="none" w:pos="155" w:val="left"/>
        </w:tabs>
        <w:numPr>
          <w:ilvl w:val="0"/>
          <w:numId w:val="30"/>
        </w:numPr>
        <w:rPr>
          <w:rFonts w:ascii="Arial" w:cs="Arial" w:eastAsia="Arial" w:hAnsi="Arial"/>
          <w:sz w:val="9"/>
          <w:szCs w:val="9"/>
          <w:color w:val="auto"/>
        </w:rPr>
      </w:pPr>
      <w:r>
        <w:rPr>
          <w:rFonts w:ascii="Arial" w:cs="Arial" w:eastAsia="Arial" w:hAnsi="Arial"/>
          <w:sz w:val="14"/>
          <w:szCs w:val="14"/>
          <w:color w:val="auto"/>
        </w:rPr>
        <w:t>Other adjustments include individually immaterial amounts for effects of changes in tax laws or rates enacted in the current period, changes in unrecognized tax benefits related to prior years, state and local income tax, and changes in valuation allowances.</w:t>
      </w:r>
    </w:p>
    <w:p>
      <w:pPr>
        <w:spacing w:after="0" w:line="4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effective tax rate was 19.8 percent in 2025 compared with an effective tax rate of 16.5 percent in 2024, primarily driven by unfavorable impacts related to the jurisdictional mix of earnings and U.S. tax law changes (OBBBA) in 2025. The effective tax rates for both periods were unfavorably impacted by non-deductible acquired IPR&amp;D charges, with a larger impact occurring in 2024.</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July 2025, the OBBBA, which implemented certain U.S. tax law changes, was enacted into law. The OBBBA modified and made permanent several provisions of the Tax Cuts and Jobs Act, including reductions in scheduled increases for the rate of taxation of foreign income, immediate deductibility of U.S. research and development expenses, and reinstatement of 100 percent bonus depreciation for capital assets.</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Following is a reconciliation of the consolidated income tax expense applying the U.S. federal statutory rate to income before income taxes to the reported consolidated income tax expense for 2024 and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at the U.S. federal statutory tax rate</w:t>
            </w:r>
          </w:p>
        </w:tc>
        <w:tc>
          <w:tcPr>
            <w:tcW w:w="880" w:type="dxa"/>
            <w:vAlign w:val="bottom"/>
            <w:shd w:val="clear" w:color="auto" w:fill="DBDBDB"/>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7"/>
              </w:rPr>
              <w:t>2,663</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1,377</w:t>
            </w:r>
          </w:p>
        </w:tc>
      </w:tr>
      <w:tr>
        <w:trPr>
          <w:trHeight w:val="229"/>
        </w:trPr>
        <w:tc>
          <w:tcPr>
            <w:tcW w:w="8320" w:type="dxa"/>
            <w:vAlign w:val="bottom"/>
          </w:tcPr>
          <w:p>
            <w:pPr>
              <w:ind w:left="140"/>
              <w:spacing w:after="0" w:line="230" w:lineRule="exact"/>
              <w:rPr>
                <w:sz w:val="20"/>
                <w:szCs w:val="20"/>
                <w:color w:val="auto"/>
              </w:rPr>
            </w:pPr>
            <w:r>
              <w:rPr>
                <w:rFonts w:ascii="Arial" w:cs="Arial" w:eastAsia="Arial" w:hAnsi="Arial"/>
                <w:sz w:val="18"/>
                <w:szCs w:val="18"/>
                <w:color w:val="auto"/>
              </w:rPr>
              <w:t>Non-deductible acquired IPR&amp;D</w:t>
            </w:r>
            <w:r>
              <w:rPr>
                <w:rFonts w:ascii="Arial" w:cs="Arial" w:eastAsia="Arial" w:hAnsi="Arial"/>
                <w:sz w:val="23"/>
                <w:szCs w:val="23"/>
                <w:color w:val="auto"/>
                <w:vertAlign w:val="superscript"/>
              </w:rPr>
              <w:t>(1)</w:t>
            </w:r>
          </w:p>
        </w:tc>
        <w:tc>
          <w:tcPr>
            <w:tcW w:w="8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30"/>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Foreign-derived intangible income</w:t>
            </w:r>
          </w:p>
        </w:tc>
        <w:tc>
          <w:tcPr>
            <w:tcW w:w="88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8320" w:type="dxa"/>
            <w:vAlign w:val="bottom"/>
          </w:tcPr>
          <w:p>
            <w:pPr>
              <w:ind w:left="140"/>
              <w:spacing w:after="0" w:line="230" w:lineRule="exact"/>
              <w:rPr>
                <w:sz w:val="20"/>
                <w:szCs w:val="20"/>
                <w:color w:val="auto"/>
              </w:rPr>
            </w:pPr>
            <w:r>
              <w:rPr>
                <w:rFonts w:ascii="Arial" w:cs="Arial" w:eastAsia="Arial" w:hAnsi="Arial"/>
                <w:sz w:val="18"/>
                <w:szCs w:val="18"/>
                <w:color w:val="auto"/>
              </w:rPr>
              <w:t>International operations, including Puerto Rico</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business credits</w:t>
            </w:r>
          </w:p>
        </w:tc>
        <w:tc>
          <w:tcPr>
            <w:tcW w:w="88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83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880" w:type="dxa"/>
            <w:vAlign w:val="bottom"/>
            <w:tcBorders>
              <w:bottom w:val="single" w:sz="8" w:color="auto"/>
            </w:tcBorders>
            <w:shd w:val="clear" w:color="auto" w:fill="DBDBDB"/>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7"/>
              </w:rPr>
              <w:t>2,090</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1,314</w:t>
            </w:r>
          </w:p>
        </w:tc>
      </w:tr>
    </w:tbl>
    <w:p>
      <w:pPr>
        <w:spacing w:after="0" w:line="99" w:lineRule="exact"/>
        <w:rPr>
          <w:sz w:val="20"/>
          <w:szCs w:val="20"/>
          <w:color w:val="auto"/>
        </w:rPr>
      </w:pPr>
    </w:p>
    <w:p>
      <w:pPr>
        <w:ind w:left="180" w:right="680" w:hanging="172"/>
        <w:spacing w:after="0" w:line="238" w:lineRule="auto"/>
        <w:tabs>
          <w:tab w:leader="none" w:pos="158"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Non-deductible acquired IPR&amp;D was primarily related to the acquisitions of Morphic in 2024, and DICE, Versanis, and Emergence in 2023. See Note 4 for additional information related to acquisitions.</w:t>
      </w: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Includes the impact of GILTI tax and other U.S. taxation of foreign income.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p>
      <w:pPr>
        <w:ind w:right="80"/>
        <w:spacing w:after="0" w:line="287" w:lineRule="auto"/>
        <w:rPr>
          <w:sz w:val="20"/>
          <w:szCs w:val="20"/>
          <w:color w:val="auto"/>
        </w:rPr>
      </w:pPr>
      <w:r>
        <w:rPr>
          <w:rFonts w:ascii="Arial" w:cs="Arial" w:eastAsia="Arial" w:hAnsi="Arial"/>
          <w:sz w:val="18"/>
          <w:szCs w:val="18"/>
          <w:color w:val="auto"/>
        </w:rPr>
        <w:t>Domestic and Puerto Rican companies contributed approximately 54 percent, 20 percent, and 14 percent for the years ended December 31, 2025, 2024, and 2023, respectively, to consolidated income before income taxes.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assets and liabilities as of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Capitalized 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4,518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4,599</w:t>
            </w:r>
          </w:p>
        </w:tc>
      </w:tr>
      <w:tr>
        <w:trPr>
          <w:trHeight w:val="229"/>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Sales rebates and discounts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2,779</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1,776</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Correlative tax adjustments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2,392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1,604</w:t>
            </w:r>
          </w:p>
        </w:tc>
      </w:tr>
      <w:tr>
        <w:trPr>
          <w:trHeight w:val="229"/>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Purchases of intangible assets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1,721</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1,781</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Tax loss and other tax carryforwards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911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711</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649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556</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Foreign tax redeterminations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367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1,004</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599</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Total gross deferred tax assets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15,608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12,423</w:t>
            </w:r>
          </w:p>
        </w:tc>
      </w:tr>
      <w:tr>
        <w:trPr>
          <w:trHeight w:val="229"/>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(1,223)</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14,385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11,459</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Earnings of foreign subsidiaries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(1,291)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(1,258)</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8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Prepaid employee benefits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(707)</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83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23"/>
        </w:trPr>
        <w:tc>
          <w:tcPr>
            <w:tcW w:w="83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(4,544)</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(3,532)</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9,841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w:t>
            </w:r>
          </w:p>
        </w:tc>
      </w:tr>
    </w:tbl>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deferred tax asset and related valuation allowance amounts for U.S. federal, international, and state net operating losses and tax credits shown above have been reduced for differences between financial reporting and tax return filings.</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December 31, 2025, based on filed tax returns we have tax credit carryforwards and carrybacks of $1.4 billion available to reduce future income taxes; $253 million will expire if unused. The remaining portion of the tax credit carryforwards are fully reserved and primarily related to state tax credits of $899 million.</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At December 31, 2025, based on filed tax returns we have net operating losses and other carryforwards for U.S. federal and international tax purposes of $2.9 billion available to reduce future income taxes; $1.6 billion will never expire. The remaining portion of the U.S. federal and international net operating losses and other carryforwards are substantially reserved. Deferred tax assets related to state net operating losses and other carryforwards of $357 million are fully reserved as of December 31, 2025.</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Substantially all of the unremitted earnings of our foreign subsidiaries are considered not to be indefinitely reinvested for continued use in our foreign operations. At December 31, 2025 and 2024, we accrued an immaterial amount of U.S. federal tax, foreign withholding taxes, and state income tax that would be owed upon future distributions of unremitted earnings of our foreign subsidiaries that are not indefinitely reinvested. For the amount considered to be indefinitely reinvested, it is not practicable to determine the amount of the related deferred income tax liability due to the complexities in the tax laws and assumptions we would have to make.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Following is a reconciliation of the beginning and ending amount of gross unrecognized tax benefits: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r>
      <w:tr>
        <w:trPr>
          <w:trHeight w:val="224"/>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 at January 1</w:t>
            </w:r>
          </w:p>
        </w:tc>
        <w:tc>
          <w:tcPr>
            <w:tcW w:w="860" w:type="dxa"/>
            <w:vAlign w:val="bottom"/>
            <w:shd w:val="clear" w:color="auto" w:fill="DBDBDB"/>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3,976</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3,395</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8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1,020</w:t>
            </w:r>
          </w:p>
        </w:tc>
        <w:tc>
          <w:tcPr>
            <w:tcW w:w="4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694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682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Other adjustments</w:t>
            </w:r>
            <w:r>
              <w:rPr>
                <w:rFonts w:ascii="Arial" w:cs="Arial" w:eastAsia="Arial" w:hAnsi="Arial"/>
                <w:sz w:val="23"/>
                <w:szCs w:val="23"/>
                <w:color w:val="auto"/>
                <w:vertAlign w:val="superscript"/>
              </w:rPr>
              <w:t>(1)</w:t>
            </w:r>
          </w:p>
        </w:tc>
        <w:tc>
          <w:tcPr>
            <w:tcW w:w="86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86</w:t>
            </w:r>
          </w:p>
        </w:tc>
        <w:tc>
          <w:tcPr>
            <w:tcW w:w="4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Ending balance at December 31</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5,082</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3,976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r>
    </w:tbl>
    <w:p>
      <w:pPr>
        <w:spacing w:after="0" w:line="99"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Other adjustments include individually immaterial changes related to prior-year positions, settlements, lapses of statutes of limitation, and foreign currency translation impacts.</w:t>
      </w:r>
    </w:p>
    <w:p>
      <w:pPr>
        <w:spacing w:after="0" w:line="19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$3.2 billion and $2.6 billion at December 31, 2025 and 2024, respectively.</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file U.S. federal, foreign, and various state and local income tax returns. We are no longer subject to U.S. federal income tax examination for years before 2016. In most major foreign and state jurisdictions, we are no longer subject to income tax examination for years before 2015.</w:t>
      </w:r>
    </w:p>
    <w:p>
      <w:pPr>
        <w:spacing w:after="0" w:line="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U.S. examination of tax years 2019-2021 remains ongoing. For tax years 2016-2018, we are pursuing competent authority assistance through the Mutual Agreement Procedure (MAP) process for the pricing of certain intercompany transactions. The resolution of both examination periods will likely extend beyond the next 12 months.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Interest and penalties related to unrecognized tax benefits are recognized in income tax expense and were not material for the years ended December 31, 2025, 2024, and 2023. Our accrued interest and penalties related to unrecognized tax benefits were $798 million and $594 million at December 31, 2025 and 2024,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15: Retirement Benefits</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use a measurement date of December 31 to determine the change in benefit obligation, change in plan assets, funded status, and amounts recognized in the consolidated balance sheets at December 31 for our defined benefit pension and retiree health benefit plans, which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Defined Benefit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185"/>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6"/>
                <w:szCs w:val="16"/>
                <w:color w:val="auto"/>
              </w:rPr>
            </w:pPr>
          </w:p>
        </w:tc>
      </w:tr>
      <w:tr>
        <w:trPr>
          <w:trHeight w:val="195"/>
        </w:trPr>
        <w:tc>
          <w:tcPr>
            <w:tcW w:w="5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r>
      <w:tr>
        <w:trPr>
          <w:trHeight w:val="224"/>
        </w:trPr>
        <w:tc>
          <w:tcPr>
            <w:tcW w:w="5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 in benefit obligation:</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13,415</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14,258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1,223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29"/>
        </w:trPr>
        <w:tc>
          <w:tcPr>
            <w:tcW w:w="5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324</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33</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697</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64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5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Actuarial (gain) loss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232</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33</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(661)</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5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Foreign currency exchange rate changes and other adjustments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255</w:t>
            </w:r>
          </w:p>
        </w:tc>
        <w:tc>
          <w:tcPr>
            <w:tcW w:w="5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9</w:t>
            </w:r>
          </w:p>
        </w:tc>
        <w:tc>
          <w:tcPr>
            <w:tcW w:w="5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760" w:type="dxa"/>
            <w:vAlign w:val="bottom"/>
          </w:tcPr>
          <w:p>
            <w:pPr>
              <w:ind w:left="14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14,262</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1,274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29"/>
        </w:trPr>
        <w:tc>
          <w:tcPr>
            <w:tcW w:w="5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 in plan assets: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3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13,658</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2,566</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2,580</w:t>
            </w:r>
          </w:p>
        </w:tc>
      </w:tr>
      <w:tr>
        <w:trPr>
          <w:trHeight w:val="229"/>
        </w:trPr>
        <w:tc>
          <w:tcPr>
            <w:tcW w:w="5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Actual return on plan assets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1,456</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283</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Employer contribution</w:t>
            </w:r>
          </w:p>
        </w:tc>
        <w:tc>
          <w:tcPr>
            <w:tcW w:w="3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119</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(661)</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(88)</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57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Foreign currency exchange rate changes and other adjustments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248</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14,820</w:t>
            </w:r>
          </w:p>
        </w:tc>
        <w:tc>
          <w:tcPr>
            <w:tcW w:w="5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2,775</w:t>
            </w:r>
          </w:p>
        </w:tc>
        <w:tc>
          <w:tcPr>
            <w:tcW w:w="5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2,566</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Funded status</w:t>
            </w:r>
          </w:p>
        </w:tc>
        <w:tc>
          <w:tcPr>
            <w:tcW w:w="3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558</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1,501</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5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Unrecognized net actuarial loss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2,499</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87</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5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Unrecognized prior service (benefit) cost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5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3,059</w:t>
            </w:r>
          </w:p>
        </w:tc>
        <w:tc>
          <w:tcPr>
            <w:tcW w:w="52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1,584</w:t>
            </w:r>
          </w:p>
        </w:tc>
        <w:tc>
          <w:tcPr>
            <w:tcW w:w="52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1,489</w:t>
            </w:r>
          </w:p>
        </w:tc>
      </w:tr>
      <w:tr>
        <w:trPr>
          <w:trHeight w:val="243"/>
        </w:trPr>
        <w:tc>
          <w:tcPr>
            <w:tcW w:w="5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Amounts recognized in the consolidated balance sheets consisted of:</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1,857</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1,656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29"/>
        </w:trPr>
        <w:tc>
          <w:tcPr>
            <w:tcW w:w="5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5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(1,226)</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5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2,501</w:t>
            </w:r>
          </w:p>
        </w:tc>
        <w:tc>
          <w:tcPr>
            <w:tcW w:w="5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83</w:t>
            </w:r>
          </w:p>
        </w:tc>
        <w:tc>
          <w:tcPr>
            <w:tcW w:w="5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3,059</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1,584</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r>
    </w:tbl>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unrecognized net actuarial loss has not yet been recognized in net periodic pension costs and was included in accumulated other comprehensive loss at December 31, 2025 and 2024. Unrecognized net actuarial loss for the U.S. and Puerto Rico defined benefit pension and retiree health benefit plans is amortized over the average remaining service period of active employees in the plan. The amortization of actuarial (gains) losses for U.S. and Puerto Rico defined benefit pension plans are determined by using a 10% corridor of the greater of the market related value of assets or the projected benefit obligations.</w:t>
      </w:r>
    </w:p>
    <w:p>
      <w:pPr>
        <w:spacing w:after="0" w:line="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$898 million increase in benefit obligation in 2025 was primarily driven by service and interest costs in excess of benefit payments. The $930 million decrease in benefit obligation in 2024 was primarily driven by increases in the discount rates primarily reflected in actuarial (gain) loss.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following represents our weighted-average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rPr>
              <w:t>Defined Benefit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left="677"/>
              <w:spacing w:after="0"/>
              <w:rPr>
                <w:sz w:val="20"/>
                <w:szCs w:val="20"/>
                <w:color w:val="auto"/>
              </w:rPr>
            </w:pPr>
            <w:r>
              <w:rPr>
                <w:rFonts w:ascii="Arial" w:cs="Arial" w:eastAsia="Arial" w:hAnsi="Arial"/>
                <w:sz w:val="14"/>
                <w:szCs w:val="14"/>
                <w:b w:val="1"/>
                <w:bCs w:val="1"/>
                <w:color w:val="auto"/>
              </w:rPr>
              <w:t>Retiree Health</w:t>
            </w:r>
          </w:p>
        </w:tc>
        <w:tc>
          <w:tcPr>
            <w:tcW w:w="760" w:type="dxa"/>
            <w:vAlign w:val="bottom"/>
          </w:tcPr>
          <w:p>
            <w:pPr>
              <w:spacing w:after="0"/>
              <w:rPr>
                <w:sz w:val="14"/>
                <w:szCs w:val="14"/>
                <w:color w:val="auto"/>
              </w:rPr>
            </w:pPr>
          </w:p>
        </w:tc>
      </w:tr>
      <w:tr>
        <w:trPr>
          <w:trHeight w:val="185"/>
        </w:trPr>
        <w:tc>
          <w:tcPr>
            <w:tcW w:w="5620" w:type="dxa"/>
            <w:vAlign w:val="bottom"/>
          </w:tcPr>
          <w:p>
            <w:pPr>
              <w:spacing w:after="0"/>
              <w:rPr>
                <w:sz w:val="16"/>
                <w:szCs w:val="16"/>
                <w:color w:val="auto"/>
              </w:rPr>
            </w:pPr>
          </w:p>
        </w:tc>
        <w:tc>
          <w:tcPr>
            <w:tcW w:w="200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4"/>
                <w:szCs w:val="14"/>
                <w:b w:val="1"/>
                <w:bCs w:val="1"/>
                <w:color w:val="auto"/>
              </w:rPr>
              <w:t>Pension Plans</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Benefit Plans</w:t>
            </w:r>
          </w:p>
        </w:tc>
        <w:tc>
          <w:tcPr>
            <w:tcW w:w="76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2025</w:t>
            </w: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r>
      <w:tr>
        <w:trPr>
          <w:trHeight w:val="170"/>
        </w:trPr>
        <w:tc>
          <w:tcPr>
            <w:tcW w:w="5620" w:type="dxa"/>
            <w:vAlign w:val="bottom"/>
            <w:shd w:val="clear" w:color="auto" w:fill="DBDBDB"/>
          </w:tcPr>
          <w:p>
            <w:pPr>
              <w:ind w:left="20"/>
              <w:spacing w:after="0" w:line="170" w:lineRule="exact"/>
              <w:rPr>
                <w:sz w:val="20"/>
                <w:szCs w:val="20"/>
                <w:color w:val="auto"/>
              </w:rPr>
            </w:pPr>
            <w:r>
              <w:rPr>
                <w:rFonts w:ascii="Arial" w:cs="Arial" w:eastAsia="Arial" w:hAnsi="Arial"/>
                <w:sz w:val="18"/>
                <w:szCs w:val="18"/>
                <w:color w:val="auto"/>
              </w:rPr>
              <w:t>Weighted-average assumptions used to determine net periodic</w:t>
            </w:r>
          </w:p>
        </w:tc>
        <w:tc>
          <w:tcPr>
            <w:tcW w:w="104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r>
      <w:tr>
        <w:trPr>
          <w:trHeight w:val="243"/>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benefit costs:</w:t>
            </w:r>
          </w:p>
        </w:tc>
        <w:tc>
          <w:tcPr>
            <w:tcW w:w="104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5.5 %</w:t>
            </w:r>
          </w:p>
        </w:tc>
        <w:tc>
          <w:tcPr>
            <w:tcW w:w="960" w:type="dxa"/>
            <w:vAlign w:val="bottom"/>
          </w:tcPr>
          <w:p>
            <w:pPr>
              <w:ind w:left="280"/>
              <w:spacing w:after="0"/>
              <w:rPr>
                <w:sz w:val="20"/>
                <w:szCs w:val="20"/>
                <w:color w:val="auto"/>
              </w:rPr>
            </w:pPr>
            <w:r>
              <w:rPr>
                <w:rFonts w:ascii="Arial" w:cs="Arial" w:eastAsia="Arial" w:hAnsi="Arial"/>
                <w:sz w:val="18"/>
                <w:szCs w:val="18"/>
                <w:color w:val="auto"/>
              </w:rPr>
              <w:t>4.8 %</w:t>
            </w:r>
          </w:p>
        </w:tc>
        <w:tc>
          <w:tcPr>
            <w:tcW w:w="720" w:type="dxa"/>
            <w:vAlign w:val="bottom"/>
          </w:tcPr>
          <w:p>
            <w:pPr>
              <w:ind w:left="220"/>
              <w:spacing w:after="0"/>
              <w:rPr>
                <w:sz w:val="20"/>
                <w:szCs w:val="20"/>
                <w:color w:val="auto"/>
              </w:rPr>
            </w:pPr>
            <w:r>
              <w:rPr>
                <w:rFonts w:ascii="Arial" w:cs="Arial" w:eastAsia="Arial" w:hAnsi="Arial"/>
                <w:sz w:val="18"/>
                <w:szCs w:val="18"/>
                <w:color w:val="auto"/>
              </w:rPr>
              <w:t>5.1 %</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w w:val="99"/>
              </w:rPr>
              <w:t>5.7 %</w:t>
            </w:r>
          </w:p>
        </w:tc>
        <w:tc>
          <w:tcPr>
            <w:tcW w:w="1080" w:type="dxa"/>
            <w:vAlign w:val="bottom"/>
          </w:tcPr>
          <w:p>
            <w:pPr>
              <w:ind w:left="440"/>
              <w:spacing w:after="0"/>
              <w:rPr>
                <w:sz w:val="20"/>
                <w:szCs w:val="20"/>
                <w:color w:val="auto"/>
              </w:rPr>
            </w:pPr>
            <w:r>
              <w:rPr>
                <w:rFonts w:ascii="Arial" w:cs="Arial" w:eastAsia="Arial" w:hAnsi="Arial"/>
                <w:sz w:val="18"/>
                <w:szCs w:val="18"/>
                <w:color w:val="auto"/>
              </w:rPr>
              <w:t>5.0 %</w:t>
            </w:r>
          </w:p>
        </w:tc>
        <w:tc>
          <w:tcPr>
            <w:tcW w:w="760" w:type="dxa"/>
            <w:vAlign w:val="bottom"/>
          </w:tcPr>
          <w:p>
            <w:pPr>
              <w:ind w:left="280"/>
              <w:spacing w:after="0"/>
              <w:rPr>
                <w:sz w:val="20"/>
                <w:szCs w:val="20"/>
                <w:color w:val="auto"/>
              </w:rPr>
            </w:pPr>
            <w:r>
              <w:rPr>
                <w:rFonts w:ascii="Arial" w:cs="Arial" w:eastAsia="Arial" w:hAnsi="Arial"/>
                <w:sz w:val="18"/>
                <w:szCs w:val="18"/>
                <w:color w:val="auto"/>
                <w:w w:val="99"/>
              </w:rPr>
              <w:t>5.2 %</w:t>
            </w:r>
          </w:p>
        </w:tc>
      </w:tr>
      <w:tr>
        <w:trPr>
          <w:trHeight w:val="230"/>
        </w:trPr>
        <w:tc>
          <w:tcPr>
            <w:tcW w:w="5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DBDBDB"/>
          </w:tcPr>
          <w:p>
            <w:pPr>
              <w:ind w:left="420"/>
              <w:spacing w:after="0"/>
              <w:rPr>
                <w:sz w:val="20"/>
                <w:szCs w:val="20"/>
                <w:color w:val="auto"/>
              </w:rPr>
            </w:pPr>
            <w:r>
              <w:rPr>
                <w:rFonts w:ascii="Arial" w:cs="Arial" w:eastAsia="Arial" w:hAnsi="Arial"/>
                <w:sz w:val="18"/>
                <w:szCs w:val="18"/>
                <w:b w:val="1"/>
                <w:bCs w:val="1"/>
                <w:color w:val="auto"/>
              </w:rPr>
              <w:t>4.0</w:t>
            </w:r>
          </w:p>
        </w:tc>
        <w:tc>
          <w:tcPr>
            <w:tcW w:w="960" w:type="dxa"/>
            <w:vAlign w:val="bottom"/>
            <w:shd w:val="clear" w:color="auto" w:fill="DBDBDB"/>
          </w:tcPr>
          <w:p>
            <w:pPr>
              <w:ind w:left="280"/>
              <w:spacing w:after="0"/>
              <w:rPr>
                <w:sz w:val="20"/>
                <w:szCs w:val="20"/>
                <w:color w:val="auto"/>
              </w:rPr>
            </w:pPr>
            <w:r>
              <w:rPr>
                <w:rFonts w:ascii="Arial" w:cs="Arial" w:eastAsia="Arial" w:hAnsi="Arial"/>
                <w:sz w:val="18"/>
                <w:szCs w:val="18"/>
                <w:color w:val="auto"/>
              </w:rPr>
              <w:t>4.3</w:t>
            </w:r>
          </w:p>
        </w:tc>
        <w:tc>
          <w:tcPr>
            <w:tcW w:w="7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7.9</w:t>
            </w:r>
          </w:p>
        </w:tc>
        <w:tc>
          <w:tcPr>
            <w:tcW w:w="960" w:type="dxa"/>
            <w:vAlign w:val="bottom"/>
          </w:tcPr>
          <w:p>
            <w:pPr>
              <w:ind w:left="280"/>
              <w:spacing w:after="0"/>
              <w:rPr>
                <w:sz w:val="20"/>
                <w:szCs w:val="20"/>
                <w:color w:val="auto"/>
              </w:rPr>
            </w:pPr>
            <w:r>
              <w:rPr>
                <w:rFonts w:ascii="Arial" w:cs="Arial" w:eastAsia="Arial" w:hAnsi="Arial"/>
                <w:sz w:val="18"/>
                <w:szCs w:val="18"/>
                <w:color w:val="auto"/>
              </w:rPr>
              <w:t>8.1</w:t>
            </w:r>
          </w:p>
        </w:tc>
        <w:tc>
          <w:tcPr>
            <w:tcW w:w="720" w:type="dxa"/>
            <w:vAlign w:val="bottom"/>
          </w:tcPr>
          <w:p>
            <w:pPr>
              <w:ind w:left="2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rPr>
              <w:t>7.0</w:t>
            </w:r>
          </w:p>
        </w:tc>
        <w:tc>
          <w:tcPr>
            <w:tcW w:w="1080" w:type="dxa"/>
            <w:vAlign w:val="bottom"/>
          </w:tcPr>
          <w:p>
            <w:pPr>
              <w:ind w:left="440"/>
              <w:spacing w:after="0"/>
              <w:rPr>
                <w:sz w:val="20"/>
                <w:szCs w:val="20"/>
                <w:color w:val="auto"/>
              </w:rPr>
            </w:pPr>
            <w:r>
              <w:rPr>
                <w:rFonts w:ascii="Arial" w:cs="Arial" w:eastAsia="Arial" w:hAnsi="Arial"/>
                <w:sz w:val="18"/>
                <w:szCs w:val="18"/>
                <w:color w:val="auto"/>
              </w:rPr>
              <w:t>7.3</w:t>
            </w:r>
          </w:p>
        </w:tc>
        <w:tc>
          <w:tcPr>
            <w:tcW w:w="760" w:type="dxa"/>
            <w:vAlign w:val="bottom"/>
          </w:tcPr>
          <w:p>
            <w:pPr>
              <w:ind w:left="280"/>
              <w:spacing w:after="0"/>
              <w:rPr>
                <w:sz w:val="20"/>
                <w:szCs w:val="20"/>
                <w:color w:val="auto"/>
              </w:rPr>
            </w:pPr>
            <w:r>
              <w:rPr>
                <w:rFonts w:ascii="Arial" w:cs="Arial" w:eastAsia="Arial" w:hAnsi="Arial"/>
                <w:sz w:val="18"/>
                <w:szCs w:val="18"/>
                <w:color w:val="auto"/>
              </w:rPr>
              <w:t>7.3</w:t>
            </w:r>
          </w:p>
        </w:tc>
      </w:tr>
      <w:tr>
        <w:trPr>
          <w:trHeight w:val="176"/>
        </w:trPr>
        <w:tc>
          <w:tcPr>
            <w:tcW w:w="562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Weighted-average assumptions used to determine benefit obligation</w:t>
            </w:r>
          </w:p>
        </w:tc>
        <w:tc>
          <w:tcPr>
            <w:tcW w:w="104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r>
      <w:tr>
        <w:trPr>
          <w:trHeight w:val="243"/>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 of December 31:</w:t>
            </w:r>
          </w:p>
        </w:tc>
        <w:tc>
          <w:tcPr>
            <w:tcW w:w="104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5.5</w:t>
            </w:r>
          </w:p>
        </w:tc>
        <w:tc>
          <w:tcPr>
            <w:tcW w:w="960" w:type="dxa"/>
            <w:vAlign w:val="bottom"/>
          </w:tcPr>
          <w:p>
            <w:pPr>
              <w:ind w:left="280"/>
              <w:spacing w:after="0"/>
              <w:rPr>
                <w:sz w:val="20"/>
                <w:szCs w:val="20"/>
                <w:color w:val="auto"/>
              </w:rPr>
            </w:pPr>
            <w:r>
              <w:rPr>
                <w:rFonts w:ascii="Arial" w:cs="Arial" w:eastAsia="Arial" w:hAnsi="Arial"/>
                <w:sz w:val="18"/>
                <w:szCs w:val="18"/>
                <w:color w:val="auto"/>
              </w:rPr>
              <w:t>5.5</w:t>
            </w:r>
          </w:p>
        </w:tc>
        <w:tc>
          <w:tcPr>
            <w:tcW w:w="720" w:type="dxa"/>
            <w:vAlign w:val="bottom"/>
          </w:tcPr>
          <w:p>
            <w:pPr>
              <w:ind w:left="2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rPr>
              <w:t>5.5</w:t>
            </w:r>
          </w:p>
        </w:tc>
        <w:tc>
          <w:tcPr>
            <w:tcW w:w="1080" w:type="dxa"/>
            <w:vAlign w:val="bottom"/>
          </w:tcPr>
          <w:p>
            <w:pPr>
              <w:ind w:left="440"/>
              <w:spacing w:after="0"/>
              <w:rPr>
                <w:sz w:val="20"/>
                <w:szCs w:val="20"/>
                <w:color w:val="auto"/>
              </w:rPr>
            </w:pPr>
            <w:r>
              <w:rPr>
                <w:rFonts w:ascii="Arial" w:cs="Arial" w:eastAsia="Arial" w:hAnsi="Arial"/>
                <w:sz w:val="18"/>
                <w:szCs w:val="18"/>
                <w:color w:val="auto"/>
              </w:rPr>
              <w:t>5.7</w:t>
            </w:r>
          </w:p>
        </w:tc>
        <w:tc>
          <w:tcPr>
            <w:tcW w:w="760" w:type="dxa"/>
            <w:vAlign w:val="bottom"/>
          </w:tcPr>
          <w:p>
            <w:pPr>
              <w:ind w:left="280"/>
              <w:spacing w:after="0"/>
              <w:rPr>
                <w:sz w:val="20"/>
                <w:szCs w:val="20"/>
                <w:color w:val="auto"/>
              </w:rPr>
            </w:pPr>
            <w:r>
              <w:rPr>
                <w:rFonts w:ascii="Arial" w:cs="Arial" w:eastAsia="Arial" w:hAnsi="Arial"/>
                <w:sz w:val="18"/>
                <w:szCs w:val="18"/>
                <w:color w:val="auto"/>
              </w:rPr>
              <w:t>5.0</w:t>
            </w:r>
          </w:p>
        </w:tc>
      </w:tr>
      <w:tr>
        <w:trPr>
          <w:trHeight w:val="229"/>
        </w:trPr>
        <w:tc>
          <w:tcPr>
            <w:tcW w:w="56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DBDBDB"/>
          </w:tcPr>
          <w:p>
            <w:pPr>
              <w:ind w:left="420"/>
              <w:spacing w:after="0"/>
              <w:rPr>
                <w:sz w:val="20"/>
                <w:szCs w:val="20"/>
                <w:color w:val="auto"/>
              </w:rPr>
            </w:pPr>
            <w:r>
              <w:rPr>
                <w:rFonts w:ascii="Arial" w:cs="Arial" w:eastAsia="Arial" w:hAnsi="Arial"/>
                <w:sz w:val="18"/>
                <w:szCs w:val="18"/>
                <w:b w:val="1"/>
                <w:bCs w:val="1"/>
                <w:color w:val="auto"/>
              </w:rPr>
              <w:t>4.0</w:t>
            </w:r>
          </w:p>
        </w:tc>
        <w:tc>
          <w:tcPr>
            <w:tcW w:w="960" w:type="dxa"/>
            <w:vAlign w:val="bottom"/>
            <w:shd w:val="clear" w:color="auto" w:fill="DBDBDB"/>
          </w:tcPr>
          <w:p>
            <w:pPr>
              <w:ind w:left="280"/>
              <w:spacing w:after="0"/>
              <w:rPr>
                <w:sz w:val="20"/>
                <w:szCs w:val="20"/>
                <w:color w:val="auto"/>
              </w:rPr>
            </w:pPr>
            <w:r>
              <w:rPr>
                <w:rFonts w:ascii="Arial" w:cs="Arial" w:eastAsia="Arial" w:hAnsi="Arial"/>
                <w:sz w:val="18"/>
                <w:szCs w:val="18"/>
                <w:color w:val="auto"/>
              </w:rPr>
              <w:t>4.0</w:t>
            </w:r>
          </w:p>
        </w:tc>
        <w:tc>
          <w:tcPr>
            <w:tcW w:w="7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return on plan assets, we consider many factors, with a primary analysis of current and projected market conditions; asset returns and asset allocations; and the views of leading financial advisers and economists. In U.S. and Puerto Rico, the expected return on plan assets uses a market-related value of assets. For U.S. dollar denominated investment grade debt securities and derivatives, the market-related value of assets is the actual fair value. For all other asset categories, the market-related value of assets uses a method that recognizes investment gains and losses arising from the difference between expected and actual returns on plan assets over a five-year period.</w:t>
      </w:r>
    </w:p>
    <w:p>
      <w:pPr>
        <w:spacing w:after="0" w:line="7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may also review our historical assumptions compared with actual results, as well as the assumptions and trend rates utilized by similar plans, where applicable.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Expected benefit payments, which reflect expected future service,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2027</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2028</w:t>
            </w: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2029</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2030</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2031 - 2035</w:t>
            </w:r>
          </w:p>
        </w:tc>
      </w:tr>
      <w:tr>
        <w:trPr>
          <w:trHeight w:val="224"/>
        </w:trPr>
        <w:tc>
          <w:tcPr>
            <w:tcW w:w="2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Defined benefit pension plans</w:t>
            </w:r>
          </w:p>
        </w:tc>
        <w:tc>
          <w:tcPr>
            <w:tcW w:w="1260" w:type="dxa"/>
            <w:vAlign w:val="bottom"/>
            <w:shd w:val="clear" w:color="auto" w:fill="DBDBDB"/>
          </w:tcPr>
          <w:p>
            <w:pPr>
              <w:jc w:val="right"/>
              <w:ind w:right="599"/>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720</w:t>
            </w:r>
          </w:p>
        </w:tc>
        <w:tc>
          <w:tcPr>
            <w:tcW w:w="900" w:type="dxa"/>
            <w:vAlign w:val="bottom"/>
            <w:shd w:val="clear" w:color="auto" w:fill="DBDBDB"/>
          </w:tcPr>
          <w:p>
            <w:pPr>
              <w:jc w:val="right"/>
              <w:ind w:right="599"/>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746</w:t>
            </w:r>
          </w:p>
        </w:tc>
        <w:tc>
          <w:tcPr>
            <w:tcW w:w="900" w:type="dxa"/>
            <w:vAlign w:val="bottom"/>
            <w:shd w:val="clear" w:color="auto" w:fill="DBDBDB"/>
          </w:tcPr>
          <w:p>
            <w:pPr>
              <w:jc w:val="right"/>
              <w:ind w:right="619"/>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770</w:t>
            </w:r>
          </w:p>
        </w:tc>
        <w:tc>
          <w:tcPr>
            <w:tcW w:w="3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803</w:t>
            </w:r>
          </w:p>
        </w:tc>
        <w:tc>
          <w:tcPr>
            <w:tcW w:w="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4,711</w:t>
            </w:r>
          </w:p>
        </w:tc>
      </w:tr>
      <w:tr>
        <w:trPr>
          <w:trHeight w:val="239"/>
        </w:trPr>
        <w:tc>
          <w:tcPr>
            <w:tcW w:w="2860" w:type="dxa"/>
            <w:vAlign w:val="bottom"/>
          </w:tcPr>
          <w:p>
            <w:pPr>
              <w:ind w:left="20"/>
              <w:spacing w:after="0"/>
              <w:rPr>
                <w:sz w:val="20"/>
                <w:szCs w:val="20"/>
                <w:color w:val="auto"/>
              </w:rPr>
            </w:pPr>
            <w:r>
              <w:rPr>
                <w:rFonts w:ascii="Arial" w:cs="Arial" w:eastAsia="Arial" w:hAnsi="Arial"/>
                <w:sz w:val="18"/>
                <w:szCs w:val="18"/>
                <w:color w:val="auto"/>
              </w:rPr>
              <w:t>Retiree health benefit plans</w:t>
            </w:r>
          </w:p>
        </w:tc>
        <w:tc>
          <w:tcPr>
            <w:tcW w:w="126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90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90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2024</w:t>
            </w:r>
          </w:p>
        </w:tc>
      </w:tr>
      <w:tr>
        <w:trPr>
          <w:trHeight w:val="224"/>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Projected benefit obligation</w:t>
            </w:r>
          </w:p>
        </w:tc>
        <w:tc>
          <w:tcPr>
            <w:tcW w:w="3940" w:type="dxa"/>
            <w:vAlign w:val="bottom"/>
            <w:shd w:val="clear" w:color="auto" w:fill="DBDBDB"/>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2,360</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2,297</w:t>
            </w: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1,061</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w:t>
            </w:r>
          </w:p>
        </w:tc>
      </w:tr>
    </w:tbl>
    <w:p>
      <w:pPr>
        <w:spacing w:after="0" w:line="16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0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rPr>
              <w:t>Retiree Health</w:t>
            </w:r>
          </w:p>
        </w:tc>
        <w:tc>
          <w:tcPr>
            <w:tcW w:w="800" w:type="dxa"/>
            <w:vAlign w:val="bottom"/>
          </w:tcPr>
          <w:p>
            <w:pPr>
              <w:spacing w:after="0"/>
              <w:rPr>
                <w:sz w:val="14"/>
                <w:szCs w:val="14"/>
                <w:color w:val="auto"/>
              </w:rPr>
            </w:pPr>
          </w:p>
        </w:tc>
      </w:tr>
      <w:tr>
        <w:trPr>
          <w:trHeight w:val="185"/>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Benefit Plans</w:t>
            </w:r>
          </w:p>
        </w:tc>
        <w:tc>
          <w:tcPr>
            <w:tcW w:w="800" w:type="dxa"/>
            <w:vAlign w:val="bottom"/>
            <w:tcBorders>
              <w:bottom w:val="single" w:sz="8" w:color="auto"/>
            </w:tcBorders>
          </w:tcPr>
          <w:p>
            <w:pPr>
              <w:spacing w:after="0"/>
              <w:rPr>
                <w:sz w:val="16"/>
                <w:szCs w:val="16"/>
                <w:color w:val="auto"/>
              </w:rPr>
            </w:pPr>
          </w:p>
        </w:tc>
      </w:tr>
      <w:tr>
        <w:trPr>
          <w:trHeight w:val="195"/>
        </w:trPr>
        <w:tc>
          <w:tcPr>
            <w:tcW w:w="5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r>
      <w:tr>
        <w:trPr>
          <w:trHeight w:val="224"/>
        </w:trPr>
        <w:tc>
          <w:tcPr>
            <w:tcW w:w="5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Accumulated benefit obligation</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BDBDB"/>
          </w:tcPr>
          <w:p>
            <w:pPr>
              <w:jc w:val="right"/>
              <w:ind w:right="21"/>
              <w:spacing w:after="0"/>
              <w:rPr>
                <w:sz w:val="20"/>
                <w:szCs w:val="20"/>
                <w:color w:val="auto"/>
              </w:rPr>
            </w:pPr>
            <w:r>
              <w:rPr>
                <w:rFonts w:ascii="Arial" w:cs="Arial" w:eastAsia="Arial" w:hAnsi="Arial"/>
                <w:sz w:val="18"/>
                <w:szCs w:val="18"/>
                <w:b w:val="1"/>
                <w:bCs w:val="1"/>
                <w:color w:val="auto"/>
              </w:rPr>
              <w:t>1,810</w:t>
            </w:r>
          </w:p>
        </w:tc>
        <w:tc>
          <w:tcPr>
            <w:tcW w:w="54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BDBDB"/>
          </w:tcPr>
          <w:p>
            <w:pPr>
              <w:jc w:val="right"/>
              <w:ind w:right="21"/>
              <w:spacing w:after="0"/>
              <w:rPr>
                <w:sz w:val="20"/>
                <w:szCs w:val="20"/>
                <w:color w:val="auto"/>
              </w:rPr>
            </w:pPr>
            <w:r>
              <w:rPr>
                <w:rFonts w:ascii="Arial" w:cs="Arial" w:eastAsia="Arial" w:hAnsi="Arial"/>
                <w:sz w:val="18"/>
                <w:szCs w:val="18"/>
                <w:b w:val="1"/>
                <w:bCs w:val="1"/>
                <w:color w:val="auto"/>
              </w:rPr>
              <w:t>155</w:t>
            </w:r>
          </w:p>
        </w:tc>
        <w:tc>
          <w:tcPr>
            <w:tcW w:w="52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r>
      <w:tr>
        <w:trPr>
          <w:trHeight w:val="247"/>
        </w:trPr>
        <w:tc>
          <w:tcPr>
            <w:tcW w:w="59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702</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total accumulated benefit obligation for our defined benefit pension plans was $13.0 billion and $12.2 billion at December 31, 2025 and 2024,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Net periodic (benefit) cost included the following components: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5"/>
        </w:trPr>
        <w:tc>
          <w:tcPr>
            <w:tcW w:w="4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r>
      <w:tr>
        <w:trPr>
          <w:trHeight w:val="224"/>
        </w:trPr>
        <w:tc>
          <w:tcPr>
            <w:tcW w:w="4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324</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339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697</w:t>
            </w:r>
          </w:p>
        </w:tc>
        <w:tc>
          <w:tcPr>
            <w:tcW w:w="32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662</w:t>
            </w:r>
          </w:p>
        </w:tc>
        <w:tc>
          <w:tcPr>
            <w:tcW w:w="2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64</w:t>
            </w:r>
          </w:p>
        </w:tc>
        <w:tc>
          <w:tcPr>
            <w:tcW w:w="30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62</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(1,086)</w:t>
            </w:r>
          </w:p>
        </w:tc>
        <w:tc>
          <w:tcPr>
            <w:tcW w:w="32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4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2</w:t>
            </w:r>
          </w:p>
        </w:tc>
        <w:tc>
          <w:tcPr>
            <w:tcW w:w="2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24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Recognized actuarial (gain) loss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76</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24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13</w:t>
            </w:r>
          </w:p>
        </w:tc>
        <w:tc>
          <w:tcPr>
            <w:tcW w:w="32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(92)</w:t>
            </w:r>
          </w:p>
        </w:tc>
        <w:tc>
          <w:tcPr>
            <w:tcW w:w="30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Actuarial gain (loss) arising during period</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138</w:t>
            </w:r>
          </w:p>
        </w:tc>
        <w:tc>
          <w:tcPr>
            <w:tcW w:w="300" w:type="dxa"/>
            <w:vAlign w:val="bottom"/>
            <w:shd w:val="clear" w:color="auto" w:fill="DBDBDB"/>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65</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net actuarial (gain) loss included in</w:t>
            </w:r>
          </w:p>
        </w:tc>
        <w:tc>
          <w:tcPr>
            <w:tcW w:w="240" w:type="dxa"/>
            <w:vAlign w:val="bottom"/>
          </w:tcPr>
          <w:p>
            <w:pPr>
              <w:spacing w:after="0"/>
              <w:rPr>
                <w:sz w:val="15"/>
                <w:szCs w:val="15"/>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spacing w:after="0"/>
              <w:rPr>
                <w:sz w:val="15"/>
                <w:szCs w:val="15"/>
                <w:color w:val="auto"/>
              </w:rPr>
            </w:pPr>
          </w:p>
        </w:tc>
        <w:tc>
          <w:tcPr>
            <w:tcW w:w="880" w:type="dxa"/>
            <w:vAlign w:val="bottom"/>
            <w:vMerge w:val="restart"/>
          </w:tcPr>
          <w:p>
            <w:pPr>
              <w:jc w:val="right"/>
              <w:ind w:right="54"/>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currency exchange rate changes and other</w:t>
            </w:r>
          </w:p>
        </w:tc>
        <w:tc>
          <w:tcPr>
            <w:tcW w:w="2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30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56"/>
        </w:trPr>
        <w:tc>
          <w:tcPr>
            <w:tcW w:w="4320" w:type="dxa"/>
            <w:vAlign w:val="bottom"/>
          </w:tcPr>
          <w:p>
            <w:pPr>
              <w:ind w:left="20"/>
              <w:spacing w:after="0" w:line="156" w:lineRule="exact"/>
              <w:rPr>
                <w:sz w:val="20"/>
                <w:szCs w:val="20"/>
                <w:color w:val="auto"/>
              </w:rPr>
            </w:pPr>
            <w:r>
              <w:rPr>
                <w:rFonts w:ascii="Arial" w:cs="Arial" w:eastAsia="Arial" w:hAnsi="Arial"/>
                <w:sz w:val="18"/>
                <w:szCs w:val="18"/>
                <w:color w:val="auto"/>
              </w:rPr>
              <w:t>Total other comprehensive income (loss) during</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166</w:t>
            </w:r>
          </w:p>
        </w:tc>
        <w:tc>
          <w:tcPr>
            <w:tcW w:w="3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4"/>
              <w:spacing w:after="0"/>
              <w:rPr>
                <w:sz w:val="20"/>
                <w:szCs w:val="20"/>
                <w:color w:val="auto"/>
              </w:rPr>
            </w:pPr>
            <w:r>
              <w:rPr>
                <w:rFonts w:ascii="Arial" w:cs="Arial" w:eastAsia="Arial" w:hAnsi="Arial"/>
                <w:sz w:val="18"/>
                <w:szCs w:val="18"/>
                <w:color w:val="auto"/>
              </w:rPr>
              <w:t>697</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62</w:t>
            </w:r>
          </w:p>
        </w:tc>
        <w:tc>
          <w:tcPr>
            <w:tcW w:w="300" w:type="dxa"/>
            <w:vAlign w:val="bottom"/>
            <w:vMerge w:val="restart"/>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85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 Our global benefit plans may enter into contractual arrangements (derivatives) to implement the local investment policy or manage particular portfolio risks.</w:t>
      </w:r>
    </w:p>
    <w:p>
      <w:pPr>
        <w:spacing w:after="0" w:line="6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85 percent growth investments and 15 percent fixed-income investments. The growth investment allocation encompasses public equity securities, hedge funds, private equity-like investments, and real estate. These portfolio allocations are intended to reduce overall risk by providing diversification, while seeking moderate to high returns over the long term.</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Public equity securities </w:t>
      </w:r>
      <w:r>
        <w:rPr>
          <w:rFonts w:ascii="Arial" w:cs="Arial" w:eastAsia="Arial" w:hAnsi="Arial"/>
          <w:sz w:val="18"/>
          <w:szCs w:val="18"/>
          <w:color w:val="auto"/>
        </w:rPr>
        <w:t>- Securities are well diversified and invested in U.S. and international companies across various asset managers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styles.</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Fixed-income investments </w:t>
      </w:r>
      <w:r>
        <w:rPr>
          <w:rFonts w:ascii="Arial" w:cs="Arial" w:eastAsia="Arial" w:hAnsi="Arial"/>
          <w:sz w:val="18"/>
          <w:szCs w:val="18"/>
          <w:color w:val="auto"/>
        </w:rPr>
        <w:t>- These investments primarily consist of fixed-income securities in U.S. treasuries and agencies, emerging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debt obligations, corporate bonds, bank loans, mortgage-backed securities, commercial mortgage-backed obligations, and any related repurchase agreements.</w:t>
      </w:r>
    </w:p>
    <w:p>
      <w:pPr>
        <w:spacing w:after="0" w:line="6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 Our hedge fund investments are made through limited partnership interests in fund-of-funds structures and directly into hedge</w:t>
      </w:r>
      <w:r>
        <w:rPr>
          <w:rFonts w:ascii="Arial" w:cs="Arial" w:eastAsia="Arial" w:hAnsi="Arial"/>
          <w:sz w:val="18"/>
          <w:szCs w:val="18"/>
          <w:i w:val="1"/>
          <w:iCs w:val="1"/>
          <w:color w:val="auto"/>
        </w:rPr>
        <w:t xml:space="preserve"> </w:t>
      </w:r>
      <w:r>
        <w:rPr>
          <w:rFonts w:ascii="Arial" w:cs="Arial" w:eastAsia="Arial" w:hAnsi="Arial"/>
          <w:sz w:val="18"/>
          <w:szCs w:val="18"/>
          <w:color w:val="auto"/>
        </w:rPr>
        <w:t>funds. Plan holdings in hedge funds are valued based on net asset values (NAVs) calculated by each fund or general partner, as applicable, and we have the ability to redeem these investments at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ind w:right="100"/>
        <w:spacing w:after="0" w:line="255" w:lineRule="auto"/>
        <w:rPr>
          <w:sz w:val="20"/>
          <w:szCs w:val="20"/>
          <w:color w:val="auto"/>
        </w:rPr>
      </w:pPr>
      <w:r>
        <w:rPr>
          <w:rFonts w:ascii="Arial" w:cs="Arial" w:eastAsia="Arial" w:hAnsi="Arial"/>
          <w:sz w:val="18"/>
          <w:szCs w:val="18"/>
          <w:i w:val="1"/>
          <w:iCs w:val="1"/>
          <w:color w:val="auto"/>
        </w:rPr>
        <w:t xml:space="preserve">Private equity-like investments </w:t>
      </w:r>
      <w:r>
        <w:rPr>
          <w:rFonts w:ascii="Arial" w:cs="Arial" w:eastAsia="Arial" w:hAnsi="Arial"/>
          <w:sz w:val="18"/>
          <w:szCs w:val="18"/>
          <w:color w:val="auto"/>
        </w:rPr>
        <w:t>- Private equity-like investments are made through long-term partnerships or joint ventures with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and typical fund lives of 10 to 15 years. Underlying investments include venture capital, buyout, special situations, private debt, and private real estate. These investments are made both directly into funds and through fund-of-funds structures to ensure broad diversification across management styles and asset types. Plan holdings in private equity-like investments are valued using partnership-reported values, adjusted for known cash flows and significant events through the reporting date. Valuation inputs include underlying NAVs, discounted cash flow analyses, and comparable market data, with adjustments for currency, credit, liquidity, and other risks as applicable. The majority of these partnerships provide annual audited financial statements confirming compliance with fair valuation procedures consistent with applicable accounting standards.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 Real estate investments in registered investment companies that trade on an exchange are classified as Level 1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Other assets include cash and cash equivalents and mark-to-market value of derivatives.</w:t>
      </w:r>
    </w:p>
    <w:p>
      <w:pPr>
        <w:spacing w:after="0" w:line="11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cash value of the trust-owned insurance contract is primarily invested in investment-grade publicly traded equity and fixed-income securities.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Other than hedge funds, private equity-like investments, and a portion of the real estate holdings, which are discussed above, we determine fair values based on a market approach using quoted market values, significant other observable inputs for identical or comparable assets or liabilities, or discounted cash flow analyses.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pension plan assets by asset category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320" w:type="dxa"/>
            <w:vAlign w:val="bottom"/>
          </w:tcPr>
          <w:p>
            <w:pPr>
              <w:spacing w:after="0"/>
              <w:rPr>
                <w:sz w:val="10"/>
                <w:szCs w:val="10"/>
                <w:color w:val="auto"/>
              </w:rPr>
            </w:pPr>
          </w:p>
        </w:tc>
        <w:tc>
          <w:tcPr>
            <w:tcW w:w="1240" w:type="dxa"/>
            <w:vAlign w:val="bottom"/>
          </w:tcPr>
          <w:p>
            <w:pPr>
              <w:jc w:val="center"/>
              <w:ind w:right="196"/>
              <w:spacing w:after="0" w:line="119" w:lineRule="exact"/>
              <w:rPr>
                <w:sz w:val="20"/>
                <w:szCs w:val="20"/>
                <w:color w:val="auto"/>
              </w:rPr>
            </w:pPr>
            <w:r>
              <w:rPr>
                <w:rFonts w:ascii="Arial" w:cs="Arial" w:eastAsia="Arial" w:hAnsi="Arial"/>
                <w:sz w:val="13"/>
                <w:szCs w:val="13"/>
                <w:b w:val="1"/>
                <w:bCs w:val="1"/>
                <w:color w:val="auto"/>
                <w:w w:val="96"/>
              </w:rPr>
              <w:t>Significant</w:t>
            </w:r>
          </w:p>
        </w:tc>
        <w:tc>
          <w:tcPr>
            <w:tcW w:w="340" w:type="dxa"/>
            <w:vAlign w:val="bottom"/>
          </w:tcPr>
          <w:p>
            <w:pPr>
              <w:spacing w:after="0"/>
              <w:rPr>
                <w:sz w:val="10"/>
                <w:szCs w:val="10"/>
                <w:color w:val="auto"/>
              </w:rPr>
            </w:pPr>
          </w:p>
        </w:tc>
        <w:tc>
          <w:tcPr>
            <w:tcW w:w="1180" w:type="dxa"/>
            <w:vAlign w:val="bottom"/>
            <w:vMerge w:val="restart"/>
          </w:tcPr>
          <w:p>
            <w:pPr>
              <w:jc w:val="center"/>
              <w:ind w:right="173"/>
              <w:spacing w:after="0"/>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320" w:type="dxa"/>
            <w:vAlign w:val="bottom"/>
          </w:tcPr>
          <w:p>
            <w:pPr>
              <w:spacing w:after="0"/>
              <w:rPr>
                <w:sz w:val="10"/>
                <w:szCs w:val="10"/>
                <w:color w:val="auto"/>
              </w:rPr>
            </w:pPr>
          </w:p>
        </w:tc>
        <w:tc>
          <w:tcPr>
            <w:tcW w:w="1240" w:type="dxa"/>
            <w:vAlign w:val="bottom"/>
          </w:tcPr>
          <w:p>
            <w:pPr>
              <w:jc w:val="center"/>
              <w:ind w:right="236"/>
              <w:spacing w:after="0" w:line="122" w:lineRule="exact"/>
              <w:rPr>
                <w:sz w:val="20"/>
                <w:szCs w:val="20"/>
                <w:color w:val="auto"/>
              </w:rPr>
            </w:pPr>
            <w:r>
              <w:rPr>
                <w:rFonts w:ascii="Arial" w:cs="Arial" w:eastAsia="Arial" w:hAnsi="Arial"/>
                <w:sz w:val="13"/>
                <w:szCs w:val="13"/>
                <w:b w:val="1"/>
                <w:bCs w:val="1"/>
                <w:color w:val="auto"/>
                <w:w w:val="95"/>
              </w:rPr>
              <w:t>Observable</w:t>
            </w:r>
          </w:p>
        </w:tc>
        <w:tc>
          <w:tcPr>
            <w:tcW w:w="3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572"/>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13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20" w:type="dxa"/>
            <w:vAlign w:val="bottom"/>
          </w:tcPr>
          <w:p>
            <w:pPr>
              <w:spacing w:after="0"/>
              <w:rPr>
                <w:sz w:val="11"/>
                <w:szCs w:val="11"/>
                <w:color w:val="auto"/>
              </w:rPr>
            </w:pPr>
          </w:p>
        </w:tc>
        <w:tc>
          <w:tcPr>
            <w:tcW w:w="1240" w:type="dxa"/>
            <w:vAlign w:val="bottom"/>
          </w:tcPr>
          <w:p>
            <w:pPr>
              <w:jc w:val="center"/>
              <w:ind w:right="176"/>
              <w:spacing w:after="0" w:line="135" w:lineRule="exact"/>
              <w:rPr>
                <w:sz w:val="20"/>
                <w:szCs w:val="20"/>
                <w:color w:val="auto"/>
              </w:rPr>
            </w:pPr>
            <w:r>
              <w:rPr>
                <w:rFonts w:ascii="Arial" w:cs="Arial" w:eastAsia="Arial" w:hAnsi="Arial"/>
                <w:sz w:val="13"/>
                <w:szCs w:val="13"/>
                <w:b w:val="1"/>
                <w:bCs w:val="1"/>
                <w:color w:val="auto"/>
                <w:w w:val="97"/>
              </w:rPr>
              <w:t>Inputs</w:t>
            </w:r>
          </w:p>
        </w:tc>
        <w:tc>
          <w:tcPr>
            <w:tcW w:w="1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4"/>
              </w:rPr>
              <w:t>(Level 1)</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98"/>
              </w:rPr>
              <w:t>(Level 2)</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8"/>
              </w:rPr>
              <w:t>(Level 3)</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2"/>
              <w:spacing w:after="0" w:line="175" w:lineRule="exact"/>
              <w:rPr>
                <w:sz w:val="20"/>
                <w:szCs w:val="20"/>
                <w:color w:val="auto"/>
              </w:rPr>
            </w:pPr>
            <w:r>
              <w:rPr>
                <w:rFonts w:ascii="Arial" w:cs="Arial" w:eastAsia="Arial" w:hAnsi="Arial"/>
                <w:sz w:val="13"/>
                <w:szCs w:val="13"/>
                <w:b w:val="1"/>
                <w:bCs w:val="1"/>
                <w:color w:val="auto"/>
                <w:w w:val="97"/>
              </w:rPr>
              <w:t>Net Asset Value</w:t>
            </w:r>
            <w:r>
              <w:rPr>
                <w:rFonts w:ascii="Arial" w:cs="Arial" w:eastAsia="Arial" w:hAnsi="Arial"/>
                <w:sz w:val="16"/>
                <w:szCs w:val="16"/>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 of December 31, 2025</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4,277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b w:val="1"/>
                <w:bCs w:val="1"/>
                <w:color w:val="auto"/>
              </w:rPr>
              <w:t>1,179</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b w:val="1"/>
                <w:bCs w:val="1"/>
                <w:color w:val="auto"/>
              </w:rPr>
              <w:t>403</w:t>
            </w:r>
          </w:p>
        </w:tc>
        <w:tc>
          <w:tcPr>
            <w:tcW w:w="34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2,695</w:t>
            </w:r>
          </w:p>
        </w:tc>
        <w:tc>
          <w:tcPr>
            <w:tcW w:w="0" w:type="dxa"/>
            <w:vAlign w:val="bottom"/>
          </w:tcPr>
          <w:p>
            <w:pPr>
              <w:spacing w:after="0"/>
              <w:rPr>
                <w:sz w:val="1"/>
                <w:szCs w:val="1"/>
                <w:color w:val="auto"/>
              </w:rPr>
            </w:pPr>
          </w:p>
        </w:tc>
      </w:tr>
      <w:tr>
        <w:trPr>
          <w:trHeight w:val="230"/>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Fixed-income investments</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92"/>
              <w:spacing w:after="0"/>
              <w:rPr>
                <w:sz w:val="20"/>
                <w:szCs w:val="20"/>
                <w:color w:val="auto"/>
              </w:rPr>
            </w:pPr>
            <w:r>
              <w:rPr>
                <w:rFonts w:ascii="Arial" w:cs="Arial" w:eastAsia="Arial" w:hAnsi="Arial"/>
                <w:sz w:val="18"/>
                <w:szCs w:val="18"/>
                <w:b w:val="1"/>
                <w:bCs w:val="1"/>
                <w:color w:val="auto"/>
              </w:rPr>
              <w:t>2,083</w:t>
            </w: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55</w:t>
            </w: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36"/>
              <w:spacing w:after="0"/>
              <w:rPr>
                <w:sz w:val="20"/>
                <w:szCs w:val="20"/>
                <w:color w:val="auto"/>
              </w:rPr>
            </w:pPr>
            <w:r>
              <w:rPr>
                <w:rFonts w:ascii="Arial" w:cs="Arial" w:eastAsia="Arial" w:hAnsi="Arial"/>
                <w:sz w:val="18"/>
                <w:szCs w:val="18"/>
                <w:b w:val="1"/>
                <w:bCs w:val="1"/>
                <w:color w:val="auto"/>
              </w:rPr>
              <w:t>1,517</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3,240</w:t>
            </w:r>
          </w:p>
        </w:tc>
        <w:tc>
          <w:tcPr>
            <w:tcW w:w="160" w:type="dxa"/>
            <w:vAlign w:val="bottom"/>
          </w:tcPr>
          <w:p>
            <w:pPr>
              <w:spacing w:after="0"/>
              <w:rPr>
                <w:sz w:val="19"/>
                <w:szCs w:val="19"/>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3,240</w:t>
            </w:r>
          </w:p>
        </w:tc>
        <w:tc>
          <w:tcPr>
            <w:tcW w:w="0" w:type="dxa"/>
            <w:vAlign w:val="bottom"/>
          </w:tcPr>
          <w:p>
            <w:pPr>
              <w:spacing w:after="0"/>
              <w:rPr>
                <w:sz w:val="1"/>
                <w:szCs w:val="1"/>
                <w:color w:val="auto"/>
              </w:rPr>
            </w:pPr>
          </w:p>
        </w:tc>
      </w:tr>
      <w:tr>
        <w:trPr>
          <w:trHeight w:val="229"/>
        </w:trPr>
        <w:tc>
          <w:tcPr>
            <w:tcW w:w="3460" w:type="dxa"/>
            <w:vAlign w:val="bottom"/>
            <w:shd w:val="clear" w:color="auto" w:fill="DBDBDB"/>
          </w:tcPr>
          <w:p>
            <w:pPr>
              <w:ind w:left="40"/>
              <w:spacing w:after="0"/>
              <w:rPr>
                <w:sz w:val="20"/>
                <w:szCs w:val="20"/>
                <w:color w:val="auto"/>
              </w:rPr>
            </w:pPr>
            <w:r>
              <w:rPr>
                <w:rFonts w:ascii="Arial" w:cs="Arial" w:eastAsia="Arial" w:hAnsi="Arial"/>
                <w:sz w:val="18"/>
                <w:szCs w:val="18"/>
                <w:color w:val="auto"/>
              </w:rPr>
              <w:t>Private equity-like investments</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92"/>
              <w:spacing w:after="0"/>
              <w:rPr>
                <w:sz w:val="20"/>
                <w:szCs w:val="20"/>
                <w:color w:val="auto"/>
              </w:rPr>
            </w:pPr>
            <w:r>
              <w:rPr>
                <w:rFonts w:ascii="Arial" w:cs="Arial" w:eastAsia="Arial" w:hAnsi="Arial"/>
                <w:sz w:val="18"/>
                <w:szCs w:val="18"/>
                <w:b w:val="1"/>
                <w:bCs w:val="1"/>
                <w:color w:val="auto"/>
              </w:rPr>
              <w:t>3,927</w:t>
            </w: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36"/>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3,921</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460</w:t>
            </w:r>
          </w:p>
        </w:tc>
        <w:tc>
          <w:tcPr>
            <w:tcW w:w="160" w:type="dxa"/>
            <w:vAlign w:val="bottom"/>
          </w:tcPr>
          <w:p>
            <w:pPr>
              <w:spacing w:after="0"/>
              <w:rPr>
                <w:sz w:val="19"/>
                <w:szCs w:val="19"/>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b w:val="1"/>
                <w:bCs w:val="1"/>
                <w:color w:val="auto"/>
              </w:rPr>
              <w:t>312</w:t>
            </w:r>
          </w:p>
        </w:tc>
        <w:tc>
          <w:tcPr>
            <w:tcW w:w="3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230"/>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8"/>
                <w:szCs w:val="18"/>
                <w:b w:val="1"/>
                <w:bCs w:val="1"/>
                <w:color w:val="auto"/>
              </w:rPr>
              <w:t>833</w:t>
            </w:r>
          </w:p>
        </w:tc>
        <w:tc>
          <w:tcPr>
            <w:tcW w:w="16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49</w:t>
            </w:r>
          </w:p>
        </w:tc>
        <w:tc>
          <w:tcPr>
            <w:tcW w:w="3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36"/>
              <w:spacing w:after="0"/>
              <w:rPr>
                <w:sz w:val="20"/>
                <w:szCs w:val="20"/>
                <w:color w:val="auto"/>
              </w:rPr>
            </w:pPr>
            <w:r>
              <w:rPr>
                <w:rFonts w:ascii="Arial" w:cs="Arial" w:eastAsia="Arial" w:hAnsi="Arial"/>
                <w:sz w:val="18"/>
                <w:szCs w:val="18"/>
                <w:b w:val="1"/>
                <w:bCs w:val="1"/>
                <w:color w:val="auto"/>
              </w:rPr>
              <w:t>103</w:t>
            </w: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681</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14,820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1,595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11,196</w:t>
            </w:r>
          </w:p>
        </w:tc>
        <w:tc>
          <w:tcPr>
            <w:tcW w:w="0" w:type="dxa"/>
            <w:vAlign w:val="bottom"/>
          </w:tcPr>
          <w:p>
            <w:pPr>
              <w:spacing w:after="0"/>
              <w:rPr>
                <w:sz w:val="1"/>
                <w:szCs w:val="1"/>
                <w:color w:val="auto"/>
              </w:rPr>
            </w:pPr>
          </w:p>
        </w:tc>
      </w:tr>
      <w:tr>
        <w:trPr>
          <w:trHeight w:val="95"/>
        </w:trPr>
        <w:tc>
          <w:tcPr>
            <w:tcW w:w="346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18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320" w:type="dxa"/>
            <w:vAlign w:val="bottom"/>
            <w:shd w:val="clear" w:color="auto" w:fill="DBDBDB"/>
          </w:tcPr>
          <w:p>
            <w:pPr>
              <w:spacing w:after="0"/>
              <w:rPr>
                <w:sz w:val="8"/>
                <w:szCs w:val="8"/>
                <w:color w:val="auto"/>
              </w:rPr>
            </w:pPr>
          </w:p>
        </w:tc>
        <w:tc>
          <w:tcPr>
            <w:tcW w:w="124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180" w:type="dxa"/>
            <w:vAlign w:val="bottom"/>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2024</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3,423</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1,056</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36"/>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Fixed-income investments</w:t>
            </w:r>
          </w:p>
        </w:tc>
        <w:tc>
          <w:tcPr>
            <w:tcW w:w="34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1,556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3460" w:type="dxa"/>
            <w:vAlign w:val="bottom"/>
            <w:shd w:val="clear" w:color="auto" w:fill="DBDBDB"/>
          </w:tcPr>
          <w:p>
            <w:pPr>
              <w:ind w:left="40"/>
              <w:spacing w:after="0"/>
              <w:rPr>
                <w:sz w:val="20"/>
                <w:szCs w:val="20"/>
                <w:color w:val="auto"/>
              </w:rPr>
            </w:pPr>
            <w:r>
              <w:rPr>
                <w:rFonts w:ascii="Arial" w:cs="Arial" w:eastAsia="Arial" w:hAnsi="Arial"/>
                <w:sz w:val="18"/>
                <w:szCs w:val="18"/>
                <w:color w:val="auto"/>
              </w:rPr>
              <w:t>Hedge funds</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Private equity-like investments</w:t>
            </w:r>
          </w:p>
        </w:tc>
        <w:tc>
          <w:tcPr>
            <w:tcW w:w="34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3,931</w:t>
            </w:r>
          </w:p>
        </w:tc>
        <w:tc>
          <w:tcPr>
            <w:tcW w:w="160" w:type="dxa"/>
            <w:vAlign w:val="bottom"/>
          </w:tcPr>
          <w:p>
            <w:pPr>
              <w:spacing w:after="0"/>
              <w:rPr>
                <w:sz w:val="19"/>
                <w:szCs w:val="19"/>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30"/>
        </w:trPr>
        <w:tc>
          <w:tcPr>
            <w:tcW w:w="3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773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8"/>
                <w:szCs w:val="18"/>
                <w:color w:val="auto"/>
              </w:rPr>
              <w:t>13,658</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ind w:right="17"/>
              <w:spacing w:after="0"/>
              <w:rPr>
                <w:sz w:val="20"/>
                <w:szCs w:val="20"/>
                <w:color w:val="auto"/>
              </w:rPr>
            </w:pPr>
            <w:r>
              <w:rPr>
                <w:rFonts w:ascii="Arial" w:cs="Arial" w:eastAsia="Arial" w:hAnsi="Arial"/>
                <w:sz w:val="18"/>
                <w:szCs w:val="18"/>
                <w:color w:val="auto"/>
              </w:rPr>
              <w:t>1,409</w:t>
            </w:r>
          </w:p>
        </w:tc>
        <w:tc>
          <w:tcPr>
            <w:tcW w:w="3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BDBDB"/>
          </w:tcPr>
          <w:p>
            <w:pPr>
              <w:jc w:val="right"/>
              <w:ind w:right="36"/>
              <w:spacing w:after="0"/>
              <w:rPr>
                <w:sz w:val="20"/>
                <w:szCs w:val="20"/>
                <w:color w:val="auto"/>
              </w:rPr>
            </w:pPr>
            <w:r>
              <w:rPr>
                <w:rFonts w:ascii="Arial" w:cs="Arial" w:eastAsia="Arial" w:hAnsi="Arial"/>
                <w:sz w:val="18"/>
                <w:szCs w:val="18"/>
                <w:color w:val="auto"/>
              </w:rPr>
              <w:t>1,919</w:t>
            </w:r>
          </w:p>
        </w:tc>
        <w:tc>
          <w:tcPr>
            <w:tcW w:w="34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10,321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fair values of our retiree health plan assets by asset category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15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Significant Observable</w:t>
            </w:r>
          </w:p>
        </w:tc>
        <w:tc>
          <w:tcPr>
            <w:tcW w:w="320" w:type="dxa"/>
            <w:vAlign w:val="bottom"/>
          </w:tcPr>
          <w:p>
            <w:pPr>
              <w:spacing w:after="0"/>
              <w:rPr>
                <w:sz w:val="10"/>
                <w:szCs w:val="10"/>
                <w:color w:val="auto"/>
              </w:rPr>
            </w:pPr>
          </w:p>
        </w:tc>
        <w:tc>
          <w:tcPr>
            <w:tcW w:w="1180" w:type="dxa"/>
            <w:vAlign w:val="bottom"/>
            <w:vMerge w:val="restart"/>
          </w:tcPr>
          <w:p>
            <w:pPr>
              <w:jc w:val="center"/>
              <w:ind w:right="173"/>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Markets for Identical</w:t>
            </w:r>
          </w:p>
        </w:tc>
        <w:tc>
          <w:tcPr>
            <w:tcW w:w="1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75"/>
              <w:spacing w:after="0" w:line="129" w:lineRule="exact"/>
              <w:rPr>
                <w:sz w:val="20"/>
                <w:szCs w:val="20"/>
                <w:color w:val="auto"/>
              </w:rPr>
            </w:pPr>
            <w:r>
              <w:rPr>
                <w:rFonts w:ascii="Arial" w:cs="Arial" w:eastAsia="Arial" w:hAnsi="Arial"/>
                <w:sz w:val="13"/>
                <w:szCs w:val="13"/>
                <w:b w:val="1"/>
                <w:bCs w:val="1"/>
                <w:color w:val="auto"/>
                <w:w w:val="98"/>
              </w:rPr>
              <w:t>Assets</w:t>
            </w:r>
          </w:p>
        </w:tc>
        <w:tc>
          <w:tcPr>
            <w:tcW w:w="360" w:type="dxa"/>
            <w:vAlign w:val="bottom"/>
          </w:tcPr>
          <w:p>
            <w:pPr>
              <w:spacing w:after="0"/>
              <w:rPr>
                <w:sz w:val="11"/>
                <w:szCs w:val="11"/>
                <w:color w:val="auto"/>
              </w:rPr>
            </w:pPr>
          </w:p>
        </w:tc>
        <w:tc>
          <w:tcPr>
            <w:tcW w:w="1220" w:type="dxa"/>
            <w:vAlign w:val="bottom"/>
          </w:tcPr>
          <w:p>
            <w:pPr>
              <w:jc w:val="center"/>
              <w:ind w:right="273"/>
              <w:spacing w:after="0" w:line="129"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4"/>
              </w:rPr>
              <w:t>(Level 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73"/>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2"/>
              <w:spacing w:after="0" w:line="182"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 of December 31, 2025</w:t>
            </w:r>
          </w:p>
        </w:tc>
        <w:tc>
          <w:tcPr>
            <w:tcW w:w="90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900" w:type="dxa"/>
            <w:vAlign w:val="bottom"/>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383</w:t>
            </w: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b w:val="1"/>
                <w:bCs w:val="1"/>
                <w:color w:val="auto"/>
              </w:rPr>
              <w:t>114</w:t>
            </w:r>
          </w:p>
        </w:tc>
        <w:tc>
          <w:tcPr>
            <w:tcW w:w="360" w:type="dxa"/>
            <w:vAlign w:val="bottom"/>
          </w:tcPr>
          <w:p>
            <w:pPr>
              <w:jc w:val="right"/>
              <w:ind w:right="95"/>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Fixed-income investments</w:t>
            </w:r>
          </w:p>
        </w:tc>
        <w:tc>
          <w:tcPr>
            <w:tcW w:w="9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3"/>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90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314</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Private equity-like investments</w:t>
            </w:r>
          </w:p>
        </w:tc>
        <w:tc>
          <w:tcPr>
            <w:tcW w:w="9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363</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3"/>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362</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900" w:type="dxa"/>
            <w:vAlign w:val="bottom"/>
          </w:tcPr>
          <w:p>
            <w:pPr>
              <w:spacing w:after="0"/>
              <w:rPr>
                <w:sz w:val="15"/>
                <w:szCs w:val="15"/>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1,529</w:t>
            </w:r>
          </w:p>
        </w:tc>
        <w:tc>
          <w:tcPr>
            <w:tcW w:w="120" w:type="dxa"/>
            <w:vAlign w:val="bottom"/>
          </w:tcPr>
          <w:p>
            <w:pPr>
              <w:spacing w:after="0"/>
              <w:rPr>
                <w:sz w:val="15"/>
                <w:szCs w:val="15"/>
                <w:color w:val="auto"/>
              </w:rPr>
            </w:pPr>
          </w:p>
        </w:tc>
        <w:tc>
          <w:tcPr>
            <w:tcW w:w="138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5"/>
                <w:szCs w:val="15"/>
                <w:color w:val="auto"/>
              </w:rPr>
            </w:pPr>
          </w:p>
        </w:tc>
        <w:tc>
          <w:tcPr>
            <w:tcW w:w="12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1,529</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9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b w:val="1"/>
                <w:bCs w:val="1"/>
                <w:color w:val="auto"/>
              </w:rPr>
              <w:t>30</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3"/>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79</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DBDBDB"/>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rPr>
              <w:t>2,775</w:t>
            </w: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b w:val="1"/>
                <w:bCs w:val="1"/>
                <w:color w:val="auto"/>
              </w:rPr>
              <w:t>156</w:t>
            </w:r>
          </w:p>
        </w:tc>
        <w:tc>
          <w:tcPr>
            <w:tcW w:w="360" w:type="dxa"/>
            <w:vAlign w:val="bottom"/>
            <w:tcBorders>
              <w:bottom w:val="single" w:sz="8" w:color="auto"/>
            </w:tcBorders>
            <w:shd w:val="clear" w:color="auto" w:fill="DBDBDB"/>
          </w:tcPr>
          <w:p>
            <w:pPr>
              <w:jc w:val="right"/>
              <w:ind w:right="95"/>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b w:val="1"/>
                <w:bCs w:val="1"/>
                <w:color w:val="auto"/>
              </w:rPr>
              <w:t>1,577</w:t>
            </w:r>
          </w:p>
        </w:tc>
        <w:tc>
          <w:tcPr>
            <w:tcW w:w="32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1,041</w:t>
            </w:r>
          </w:p>
        </w:tc>
        <w:tc>
          <w:tcPr>
            <w:tcW w:w="0" w:type="dxa"/>
            <w:vAlign w:val="bottom"/>
          </w:tcPr>
          <w:p>
            <w:pPr>
              <w:spacing w:after="0"/>
              <w:rPr>
                <w:sz w:val="1"/>
                <w:szCs w:val="1"/>
                <w:color w:val="auto"/>
              </w:rPr>
            </w:pPr>
          </w:p>
        </w:tc>
      </w:tr>
      <w:tr>
        <w:trPr>
          <w:trHeight w:val="94"/>
        </w:trPr>
        <w:tc>
          <w:tcPr>
            <w:tcW w:w="3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 of December 31, 2024</w:t>
            </w:r>
          </w:p>
        </w:tc>
        <w:tc>
          <w:tcPr>
            <w:tcW w:w="90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288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Fixed-income investments</w:t>
            </w:r>
          </w:p>
        </w:tc>
        <w:tc>
          <w:tcPr>
            <w:tcW w:w="9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63</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50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90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Private equity-like investments</w:t>
            </w:r>
          </w:p>
        </w:tc>
        <w:tc>
          <w:tcPr>
            <w:tcW w:w="9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900" w:type="dxa"/>
            <w:vAlign w:val="bottom"/>
          </w:tcPr>
          <w:p>
            <w:pPr>
              <w:spacing w:after="0"/>
              <w:rPr>
                <w:sz w:val="15"/>
                <w:szCs w:val="15"/>
                <w:color w:val="auto"/>
              </w:rPr>
            </w:pP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15"/>
                <w:szCs w:val="15"/>
                <w:color w:val="auto"/>
              </w:rPr>
            </w:pPr>
          </w:p>
        </w:tc>
        <w:tc>
          <w:tcPr>
            <w:tcW w:w="138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20" w:type="dxa"/>
            <w:vAlign w:val="bottom"/>
            <w:vMerge w:val="restart"/>
          </w:tcPr>
          <w:p>
            <w:pPr>
              <w:jc w:val="right"/>
              <w:ind w:right="53"/>
              <w:spacing w:after="0"/>
              <w:rPr>
                <w:sz w:val="20"/>
                <w:szCs w:val="20"/>
                <w:color w:val="auto"/>
              </w:rPr>
            </w:pPr>
            <w:r>
              <w:rPr>
                <w:rFonts w:ascii="Arial" w:cs="Arial" w:eastAsia="Arial" w:hAnsi="Arial"/>
                <w:sz w:val="18"/>
                <w:szCs w:val="18"/>
                <w:color w:val="auto"/>
              </w:rPr>
              <w:t>1,465</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9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28</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DBDBDB"/>
          </w:tcPr>
          <w:p>
            <w:pPr>
              <w:jc w:val="right"/>
              <w:ind w:right="69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auto"/>
            </w:tcBorders>
            <w:shd w:val="clear" w:color="auto" w:fill="DBDBDB"/>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color w:val="auto"/>
              </w:rPr>
              <w:t>1,521</w:t>
            </w:r>
          </w:p>
        </w:tc>
        <w:tc>
          <w:tcPr>
            <w:tcW w:w="32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16: Contingencies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and may become involved in various lawsuits, claims, government investigations and other legal proceedings that arise from time to time in the course of our business, including patent, environmental, commercial, contractual, licensing, employment, health and safety, consumer protection, pricing, access, consumer, sales and marketing, product liability, insurance, antitrust, securities, and regulatory compliance matters, among others. Such matters may involve inquiries from or disputes with various types of parties, including governments, regulatory agencies, competitors, customers, suppliers, service providers, licensees, employees, or shareholders, among others. We cannot predict the final outcome of these proceedings, and while we intend to vigorously prosecute or defend our position as appropriate, there can be no assurance that we will be successful or obtain any requested relief. Matters often develop over a long period of time, and expectations can change as a result of new findings, rulings, appeals, settlements, legal or regulatory changes, or other factors. From time to time we may discontinue or settle and compromise matters as appropriate in our best interest.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Legal proceedings that we believe are significant or could become significant or material are described below. For proceedings in which we are named as defendants, unless otherwise noted, we cannot reasonably estimate the maximum potential exposure or the range of possible loss in excess of amounts accrued;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Litigation accruals and environmental liabilities and any related estimated insurance recoverables are reflected on a gross basis as liabilities and assets, respectively, on our consolidated balance sheets. We accrue for estimated exposures to the extent they are both probable and reasonably estimable based on the then available information. We accrue for certain unfiled product liability claims to the extent we can formulate a reasonable estimate of their exposure. We estimate these exposures based primarily on historical claims experience and data regarding product usage. Legal defense costs expected to be incurred in connection with significant liability loss contingencies are accrued when both probable and reasonably estimable.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predominantly self-insured for litigation liability losses for all our currently and previously marketed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the course of our business, we are subject to actions and proceedings by third parties that seek to challenge, invalidate, or circumvent our patents and patent applications relating to our products, product candidates, and technologies, including the matter described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2018, Teva Pharmaceuticals International GmbH and Teva Pharmaceuticals USA, Inc. (collectively, Teva) filed a complaint in the U.S. District Court for the District of Massachusetts alleging that Lilly's launch and continued sales of Emgality infringed various claims in three Teva patents. In November 2022, following a trial, a jury returned a verdict in favor of Teva. In September 2023, the trial court overruled the jury verdict, found all asserted claims invalid, and entered judgment in Lilly's favor. In October 2023, Teva appealed to the U.S. Court of Appeals for the Federal Circuit. The appeal is pending.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Superfund Matters</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March 2008, the state Labor Public Attorney (LPA) filed a public civil action against Eli Lilly do Brasil Limitada (Lilly Brasil) in the Labor Court of Paulinia, State of Sao Paulo, alleging harm to employees and former employees from alleged exposure to soil and groundwater contaminants at a former manufacturing facility in Cosmopolis, operated by the company between 1977 and 2003. In May 2014, the trial court ruled against Lilly Brasil, ordering several remedial and compensatory actions, including health coverage for a class of individuals and certain of their children, and imposing a liquidated award. In December 2025, the superior labor court (TST) significantly reduced the liquidated award. Further appeals are possible.</w:t>
      </w:r>
    </w:p>
    <w:p>
      <w:pPr>
        <w:spacing w:after="0" w:line="7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July 2019, at the LPA's request, the trial court ordered a freeze of certain of Lilly Brasil's immovable property, which amount was reduced on Lilly's appeal. Both parties have appealed this order to the TST.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trial court is currently assessing the status of Lilly Brasil's compliance with the obligations as to the land.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Various former employees have filed related claims against Lilly Brasil in the trial court. These lawsuits are at various stages in the litigation process.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2021, we filed a lawsuit in the U.S. District Court for the Southern District of Indiana against the U.S. Department of HHS, the Secretary of HHS, the HRSA, and the Administrator of HRSA. The lawsuit challenges HHS's December 2020 advisory opinion that the 340B program requires drug manufacturers to deliver discounts to all contract pharmacies, as well as HHS's December 2020 administrative dispute resolution (ADR) regulations. It seeks declaratory, injunctive, and other related relief. In March 2021, the court preliminarily enjoined the government's use of the ADR process as to us. In May 2021, we amended the complaint to add claims related to a May 2021 letter from HRSA asserting that Lilly's contract pharmacy policy violated the 340B statute. In October 2021, the court granted in part and denied in part the parties' cross-motions for summary judgment. Both parties appealed to the U.S. Court of Appeals for the Seventh Circuit. The appeal remains pending.</w:t>
      </w:r>
    </w:p>
    <w:p>
      <w:pPr>
        <w:spacing w:after="0" w:line="77"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We have been named in various ADR petitions, filed between 2021 and 2024, seeking declaratory, injunctive, and/or monetary relief related to the 340B program. In light of the preliminary injunction order described above, these petitions are being held in abeyance as to us.</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2021, Mosaic Health, Inc. filed a putative class action lawsuit in the U.S. District Court for the Western District of New York against us, Sanofi-Aventis U.S., LLC, Novo Nordisk Inc., and AstraZeneca Pharmaceuticals LP, alleging antitrust and unjust enrichment claims related to the defendants' 340B programs. In October 2021, an amended complaint added Central Virginia Health Services, Inc. as a plaintiff. After the district court dismissed the case for failure to state a claim, the U.S. Court of Appeals for the Second Circuit reversed. In the second half of 2025, the Second Circuit denied our petitions for rehearing. This matter is ongoing.</w:t>
      </w:r>
    </w:p>
    <w:p>
      <w:pPr>
        <w:spacing w:after="0" w:line="71" w:lineRule="exact"/>
        <w:rPr>
          <w:sz w:val="20"/>
          <w:szCs w:val="20"/>
          <w:color w:val="auto"/>
        </w:rPr>
      </w:pPr>
    </w:p>
    <w:p>
      <w:pPr>
        <w:ind w:right="840"/>
        <w:spacing w:after="0" w:line="375" w:lineRule="auto"/>
        <w:rPr>
          <w:sz w:val="20"/>
          <w:szCs w:val="20"/>
          <w:color w:val="auto"/>
        </w:rPr>
      </w:pPr>
      <w:r>
        <w:rPr>
          <w:rFonts w:ascii="Arial" w:cs="Arial" w:eastAsia="Arial" w:hAnsi="Arial"/>
          <w:sz w:val="18"/>
          <w:szCs w:val="18"/>
          <w:color w:val="auto"/>
        </w:rPr>
        <w:t xml:space="preserve">We have multiple other challenges against HHS and related parties related to interpretations and actions under the 340B program. </w:t>
      </w:r>
      <w:r>
        <w:rPr>
          <w:rFonts w:ascii="Arial" w:cs="Arial" w:eastAsia="Arial" w:hAnsi="Arial"/>
          <w:sz w:val="18"/>
          <w:szCs w:val="18"/>
          <w:i w:val="1"/>
          <w:iCs w:val="1"/>
          <w:u w:val="single" w:color="auto"/>
          <w:color w:val="auto"/>
        </w:rPr>
        <w:t>Insulin Pricing Litigation</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2017, various plaintiffs, including consumers, states and state attorneys general, counties, municipalities, Native American tribes, school districts, wholesalers, third-party payers, and others, have filed lawsuits, including putative class actions, against us, other manufacturers, pharmacy benefit managers, and others, relating to the pricing of insulin medications, and in some cases other diabetes medications, and rebates paid by manufacturers to pharmacy benefit managers. The complaints in the various lawsuits assert a variety of claims, including among others consumer protection, unfair or deceptive trade practices, fraud, false advertising, unjust enrichment, civil conspiracy, racketeering, antitrust, and unfair competition claims. Most cases have been coordinated or consolidated for pretrial proceedings in a multidistrict litigation (MDL) pending in the U.S. District Court for the District of New Jersey. The lawsuits are at various stages in the litigation process.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89" w:name="page90"/>
    <w:bookmarkEnd w:id="89"/>
    <w:p>
      <w:pPr>
        <w:jc w:val="both"/>
        <w:ind w:right="260"/>
        <w:spacing w:after="0" w:line="268" w:lineRule="auto"/>
        <w:rPr>
          <w:sz w:val="20"/>
          <w:szCs w:val="20"/>
          <w:color w:val="auto"/>
        </w:rPr>
      </w:pPr>
      <w:r>
        <w:rPr>
          <w:rFonts w:ascii="Arial" w:cs="Arial" w:eastAsia="Arial" w:hAnsi="Arial"/>
          <w:sz w:val="18"/>
          <w:szCs w:val="18"/>
          <w:color w:val="auto"/>
        </w:rPr>
        <w:t>The MDL court has issued various case management and other orders, including but not limited to orders establishing separate tracks for state attorney general claims, putative class actions, and non-class suits by self-funded payers; orders dismissing certain claims; and an order setting a constructive notice date of January 14, 2021 for statute of limitations purposes.</w:t>
      </w:r>
    </w:p>
    <w:p>
      <w:pPr>
        <w:spacing w:after="0" w:line="6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along with a complaint seeking a declaratory judgment that the state has authority to investigate Lilly's sale of insulin under the MCPA. The court authorized the proposed investigation and the issuance of civil investigative subpoenas. In April 2022, however, the parties entered into a stipulation providing that the state will not issue any civil investigative subpoena to us under the MCPA until the declaratory judgment action is resolved, and in July 2022, the court dismissed the case in its entirety. In June 2023, the Michigan Court of Appeals affirmed the judgment in our favor. The state's appeal to the Michigan Supreme Court remains pending.</w:t>
      </w:r>
    </w:p>
    <w:p>
      <w:pPr>
        <w:spacing w:after="0" w:line="7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Lilly entered into settlement agreements with New York and Minnesota to resolve allegations relating to insulin pricing in 2023 and 2024, respectively. These agreements involved no monetary payments and no admission of wrongdoing or liability.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Insulin and Other Pricing Investigations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been subject to various investigations and received subpoenas, civil investigative demands, information requests, interrogatories, and other inquiries from various governmental entities related to pricing issues, including the pricing and sale of insulin medications, and in some instances certain other diabetes medications, and/or calculations of average manufacturer price and best price. These include subpoenas, civil investigative demands, or information requests from the U.S. Department of Justice, the U.S. Federal Trade Commission, and attorneys general from various states and the District of Columbia.</w:t>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To the extent the foregoing governmental entities have not filed lawsuits, we are cooperating with the various investigations, subpoenas, and inquiries.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 November 2014, a relator filed a qui tam action in the U.S. District Court for the Northern District of Illinois against us and Takeda Pharmaceuticals America, Inc. The relator's complaint alleges that the defendants should have treated certain credits from distributors as retroactive price increases and included such increases in calculating average manufacturer prices. In August 2022, following a trial, the jury returned a verdict in favor of the relator. In September 2025, the U.S. Court of Appeals for the Seventh Circuit affirmed and we recognized a charge related to the matter. In December 2025, the Seventh Circuit denied our petition for rehearing en banc. We are assessing next steps.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Litigation</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along with Takeda Chemical Industries, Ltd. and Takeda affiliates (collectively, Takeda), are named in a third-party payer class action in the U.S. District Court for the Central District of California. The plaintiffs allege that bladder cancer risk was concealed from them and claim that as a result they and a proposed class of third-party payers are entitled to recover money paid for Actos prescriptions. Our agreement with Takeda calls for Takeda to defend and indemnify us against losses and expenses with respect to U.S. litigation arising out of the manufacture, use, or sale of Actos and other related expenses in accordance with the terms of the agreement. In May 2023, the district court granted class certification. In June 2025, the U.S. Court of Appeals for the Ninth Circuit denied our appeal of the class certification order, and in August 2025 it denied our petition for rehearing en banc. In November 2025, we and Takeda filed a petition for certiorari to the U.S. Supreme Court.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u w:val="single" w:color="auto"/>
          <w:color w:val="auto"/>
        </w:rPr>
        <w:t>Mounjaro, Trulicity, and Zepbound Product Liability 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August 2023, various plaintiffs have filed lawsuits against us, Novo Nordisk A/S, and other related entities, alleging injuries following purported use of incretin medicines, including Mounjaro, Trulicity, and Zepbound. The complaints assert a variety of claims and generally seek damages and/or other relief. Most of these lawsuits have been coordinated or consolidated for pretrial proceedings in two federal MDLs: one focused on alleged gastrointestinal injuries, and the other relating to claims of non-arteritic anterior ischemic optic neuropathy (NAION). Both MDLs are pending in the U.S. District Court for the Eastern District of Pennsylvania. There are also cases pending in various other federal and state courts. In addition to the cases in the United States, there are two class action petitions in Israel, as well as a class action petition in Quebec, Canada.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 xml:space="preserve">In October 2019, a relator filed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against us in Texas state court asserting claims under the Texas Medicaid Fraud Prevention Act (TMFPA) based on allegations about certain patient support programs related to three of our products. The relator sought to recover the value of payments by the Texas Medicaid Program for these products, as well as civil penalties and other relief. In August 2025, the relator purported to dismiss the first lawsuit and filed a second lawsuit in a different Texas state court adding the State of Texas as a party and expanding claims under the TMFPA to fifteen of our products. We are opposing the relator's purported dismissal of the first lawsuit.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April 2016, Research Corporation Technologies, Inc. (RCT) filed a lawsuit against us in the U.S. District Court for the District of Arizona asserting damages claims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In July 2024, we reached a confidential agreement with RCT that requires different payments based on various litigation outcomes as determined on appeal. The settlement agreement is not an admission of liability or fault and is subject to conditions. Pursuant to the agreement, the court entered final judgment, Lilly filed a notice of appeal to the U.S. Court of Appeals for the Ninth Circuit, and Lilly made an initial payment under the agreement. Lilly's appeal remains pending. The remaining amount payable under the agreement, if any, should not have a material impact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17: Segment Information</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operate as a single reportable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Our determination that we operate as a single segment is consistent with the nature of our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is significantly dependent on our ability to research and develop innovative medicines. The CODM uses consolidated net income to assess performance of our company, ensuring that we are investing in future research and development while efficiently delivering products to patients. The CODM allocates research and development resources based upon several factors, including the likelihood of technical success, unmet medical needs, and the viability of commercial success. A significant component of the CODM’s decision-making process is to ensure a balanced investment in our research and development portfolio to drive near-term success and sustain for the long-term.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our single reportable segment, including significant segment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r>
      <w:tr>
        <w:trPr>
          <w:trHeight w:val="224"/>
        </w:trPr>
        <w:tc>
          <w:tcPr>
            <w:tcW w:w="6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65,179</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45,043</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34,124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11,052</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8,418</w:t>
            </w: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7,082</w:t>
            </w:r>
          </w:p>
        </w:tc>
      </w:tr>
      <w:tr>
        <w:trPr>
          <w:trHeight w:val="230"/>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Early-stage research and development</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4,881</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3,917</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3,093</w:t>
            </w:r>
          </w:p>
        </w:tc>
      </w:tr>
      <w:tr>
        <w:trPr>
          <w:trHeight w:val="229"/>
        </w:trPr>
        <w:tc>
          <w:tcPr>
            <w:tcW w:w="678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Late-stage research and development</w:t>
            </w:r>
            <w:r>
              <w:rPr>
                <w:rFonts w:ascii="Arial" w:cs="Arial" w:eastAsia="Arial" w:hAnsi="Arial"/>
                <w:sz w:val="23"/>
                <w:szCs w:val="23"/>
                <w:color w:val="auto"/>
                <w:vertAlign w:val="superscript"/>
              </w:rPr>
              <w:t>(1)</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8,456</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7,074</w:t>
            </w: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6,221</w:t>
            </w: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Marketing, selling, and administrative</w:t>
            </w: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11,094</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8,594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7,404</w:t>
            </w:r>
          </w:p>
        </w:tc>
      </w:tr>
      <w:tr>
        <w:trPr>
          <w:trHeight w:val="230"/>
        </w:trPr>
        <w:tc>
          <w:tcPr>
            <w:tcW w:w="6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2,910</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3,280</w:t>
            </w: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3,800</w:t>
            </w:r>
          </w:p>
        </w:tc>
      </w:tr>
      <w:tr>
        <w:trPr>
          <w:trHeight w:val="229"/>
        </w:trPr>
        <w:tc>
          <w:tcPr>
            <w:tcW w:w="6780" w:type="dxa"/>
            <w:vAlign w:val="bottom"/>
            <w:tcBorders>
              <w:bottom w:val="single" w:sz="8" w:color="DBDBDB"/>
            </w:tcBorders>
          </w:tcPr>
          <w:p>
            <w:pPr>
              <w:ind w:left="14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6,146</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3,170</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r>
      <w:tr>
        <w:trPr>
          <w:trHeight w:val="230"/>
        </w:trPr>
        <w:tc>
          <w:tcPr>
            <w:tcW w:w="6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20,640</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rPr>
              <w:t>10,590</w:t>
            </w:r>
          </w:p>
        </w:tc>
        <w:tc>
          <w:tcPr>
            <w:tcW w:w="4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5,240</w:t>
            </w:r>
          </w:p>
        </w:tc>
      </w:tr>
      <w:tr>
        <w:trPr>
          <w:trHeight w:val="81"/>
        </w:trPr>
        <w:tc>
          <w:tcPr>
            <w:tcW w:w="6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29"/>
        </w:trPr>
        <w:tc>
          <w:tcPr>
            <w:tcW w:w="678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Expenditures for long-lived assets</w:t>
            </w:r>
            <w:r>
              <w:rPr>
                <w:rFonts w:ascii="Arial" w:cs="Arial" w:eastAsia="Arial" w:hAnsi="Arial"/>
                <w:sz w:val="23"/>
                <w:szCs w:val="23"/>
                <w:color w:val="auto"/>
                <w:vertAlign w:val="superscript"/>
              </w:rPr>
              <w:t>(3)</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8,672</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5,561</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3,830</w:t>
            </w:r>
          </w:p>
        </w:tc>
      </w:tr>
    </w:tbl>
    <w:p>
      <w:pPr>
        <w:spacing w:after="0" w:line="99" w:lineRule="exact"/>
        <w:rPr>
          <w:sz w:val="20"/>
          <w:szCs w:val="20"/>
          <w:color w:val="auto"/>
        </w:rPr>
      </w:pPr>
    </w:p>
    <w:p>
      <w:pPr>
        <w:ind w:left="180" w:right="540" w:hanging="172"/>
        <w:spacing w:after="0" w:line="238" w:lineRule="auto"/>
        <w:tabs>
          <w:tab w:leader="none" w:pos="158"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Early-stage research and development primarily includes costs incurred from discovery through Phase 2 clinical trials. Late-stage research and development primarily includes costs incurred from Phase 3 clinical trials.</w:t>
      </w: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Other segment items primarily include income taxes and asset impairment, restructuring, and other special charges.</w:t>
      </w:r>
    </w:p>
    <w:p>
      <w:pPr>
        <w:spacing w:after="0" w:line="17" w:lineRule="exact"/>
        <w:rPr>
          <w:rFonts w:ascii="Arial" w:cs="Arial" w:eastAsia="Arial" w:hAnsi="Arial"/>
          <w:sz w:val="16"/>
          <w:szCs w:val="16"/>
          <w:color w:val="auto"/>
          <w:vertAlign w:val="superscript"/>
        </w:rPr>
      </w:pPr>
    </w:p>
    <w:p>
      <w:pPr>
        <w:ind w:left="160" w:hanging="152"/>
        <w:spacing w:after="0" w:line="204" w:lineRule="auto"/>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Includes expenditures for property and equipment and computer software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2" w:name="page93"/>
    <w:bookmarkEnd w:id="92"/>
    <w:p>
      <w:pPr>
        <w:spacing w:after="0"/>
        <w:rPr>
          <w:sz w:val="20"/>
          <w:szCs w:val="20"/>
          <w:color w:val="auto"/>
        </w:rPr>
      </w:pPr>
      <w:r>
        <w:rPr>
          <w:rFonts w:ascii="Arial" w:cs="Arial" w:eastAsia="Arial" w:hAnsi="Arial"/>
          <w:sz w:val="29"/>
          <w:szCs w:val="29"/>
          <w:i w:val="1"/>
          <w:iCs w:val="1"/>
          <w:color w:val="auto"/>
        </w:rPr>
        <w:t>Management's Reports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for Financial Statements—Eli Lilly and Company and Subsidiaries</w:t>
      </w:r>
    </w:p>
    <w:p>
      <w:pPr>
        <w:spacing w:after="0" w:line="11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available on our lilly.com website and on the internal LillyNow website to enable reporting of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Red Book</w:t>
      </w:r>
      <w:r>
        <w:rPr>
          <w:rFonts w:ascii="Arial" w:cs="Arial" w:eastAsia="Arial" w:hAnsi="Arial"/>
          <w:sz w:val="18"/>
          <w:szCs w:val="18"/>
          <w:color w:val="auto"/>
        </w:rPr>
        <w:t>, the chief executive officer and all financial management must sign a financial code of ethics, which further reinforces their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fiduciary responsibilities.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(PCAOB ID: 42).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audit committee includes four nonemployee members of the board of directors, all of whom are independent from our company. The committee charter, which is available on our website, outlines the members' roles and responsibilities. It is the audit committee's responsibility to appoint an independent registered public accounting firm subject to shareholder ratification, pre-approve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operate under a code of conduct and are subject to the highest level of ethical standards.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Reporting—Eli Lilly and Company and Subsidiaries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conducted an evaluation of the effectiveness of our internal control over financial reporting based on the framework in "Internal Control— Integrated Framework" (2013) issued by the Committee of Sponsoring Organizations of the Treadway Commission.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7" w:right="359" w:bottom="1440" w:gutter="0" w:footer="0" w:header="0"/>
        </w:sectPr>
      </w:pPr>
    </w:p>
    <w:bookmarkStart w:id="93" w:name="page94"/>
    <w:bookmarkEnd w:id="93"/>
    <w:p>
      <w:pPr>
        <w:ind w:right="720"/>
        <w:spacing w:after="0" w:line="262"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2025.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effectiveness of internal control over financial reporting as of December 31, 2025 has been audited by Ernst &amp; Young LLP, an independent registered public accounting firm, as stated in their attestation report, which appears herein. Their responsibility is to evaluate whether internal control over financial reporting was designed and operating effectively.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60" w:type="dxa"/>
            <w:vAlign w:val="bottom"/>
          </w:tcPr>
          <w:p>
            <w:pPr>
              <w:ind w:left="20"/>
              <w:spacing w:after="0"/>
              <w:rPr>
                <w:sz w:val="20"/>
                <w:szCs w:val="20"/>
                <w:color w:val="auto"/>
              </w:rPr>
            </w:pPr>
            <w:r>
              <w:rPr>
                <w:rFonts w:ascii="Arial" w:cs="Arial" w:eastAsia="Arial" w:hAnsi="Arial"/>
                <w:sz w:val="18"/>
                <w:szCs w:val="18"/>
                <w:color w:val="auto"/>
              </w:rPr>
              <w:t>David Ricks</w:t>
            </w:r>
          </w:p>
        </w:tc>
        <w:tc>
          <w:tcPr>
            <w:tcW w:w="6680" w:type="dxa"/>
            <w:vAlign w:val="bottom"/>
          </w:tcPr>
          <w:p>
            <w:pPr>
              <w:ind w:left="1080"/>
              <w:spacing w:after="0"/>
              <w:rPr>
                <w:sz w:val="20"/>
                <w:szCs w:val="20"/>
                <w:color w:val="auto"/>
              </w:rPr>
            </w:pPr>
            <w:r>
              <w:rPr>
                <w:rFonts w:ascii="Arial" w:cs="Arial" w:eastAsia="Arial" w:hAnsi="Arial"/>
                <w:sz w:val="18"/>
                <w:szCs w:val="18"/>
                <w:color w:val="auto"/>
              </w:rPr>
              <w:t>Lucas Montarce</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Chair, President, and Chief Executive Officer</w:t>
            </w:r>
          </w:p>
        </w:tc>
        <w:tc>
          <w:tcPr>
            <w:tcW w:w="6680" w:type="dxa"/>
            <w:vAlign w:val="bottom"/>
          </w:tcPr>
          <w:p>
            <w:pPr>
              <w:ind w:left="108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rPr>
              <w:t>February 12, 2026</w:t>
            </w:r>
          </w:p>
        </w:tc>
        <w:tc>
          <w:tcPr>
            <w:tcW w:w="6680" w:type="dxa"/>
            <w:vAlign w:val="bottom"/>
          </w:tcPr>
          <w:p>
            <w:pPr>
              <w:spacing w:after="0"/>
              <w:rPr>
                <w:sz w:val="24"/>
                <w:szCs w:val="24"/>
                <w:color w:val="auto"/>
              </w:rPr>
            </w:pPr>
          </w:p>
        </w:tc>
      </w:tr>
      <w:tr>
        <w:trPr>
          <w:trHeight w:val="810"/>
        </w:trPr>
        <w:tc>
          <w:tcPr>
            <w:tcW w:w="4560" w:type="dxa"/>
            <w:vAlign w:val="bottom"/>
          </w:tcPr>
          <w:p>
            <w:pPr>
              <w:spacing w:after="0"/>
              <w:rPr>
                <w:sz w:val="24"/>
                <w:szCs w:val="24"/>
                <w:color w:val="auto"/>
              </w:rPr>
            </w:pPr>
          </w:p>
        </w:tc>
        <w:tc>
          <w:tcPr>
            <w:tcW w:w="6680" w:type="dxa"/>
            <w:vAlign w:val="bottom"/>
          </w:tcPr>
          <w:p>
            <w:pPr>
              <w:jc w:val="right"/>
              <w:ind w:right="5430"/>
              <w:spacing w:after="0"/>
              <w:rPr>
                <w:sz w:val="20"/>
                <w:szCs w:val="20"/>
                <w:color w:val="auto"/>
              </w:rPr>
            </w:pPr>
            <w:r>
              <w:rPr>
                <w:rFonts w:ascii="Arial" w:cs="Arial" w:eastAsia="Arial" w:hAnsi="Arial"/>
                <w:sz w:val="18"/>
                <w:szCs w:val="18"/>
                <w:color w:val="auto"/>
              </w:rPr>
              <w:t>94</w:t>
            </w:r>
          </w:p>
        </w:tc>
      </w:tr>
      <w:tr>
        <w:trPr>
          <w:trHeight w:val="111"/>
        </w:trPr>
        <w:tc>
          <w:tcPr>
            <w:tcW w:w="4560" w:type="dxa"/>
            <w:vAlign w:val="bottom"/>
            <w:tcBorders>
              <w:bottom w:val="single" w:sz="8" w:color="9A9A9A"/>
            </w:tcBorders>
          </w:tcPr>
          <w:p>
            <w:pPr>
              <w:spacing w:after="0"/>
              <w:rPr>
                <w:sz w:val="9"/>
                <w:szCs w:val="9"/>
                <w:color w:val="auto"/>
              </w:rPr>
            </w:pPr>
          </w:p>
        </w:tc>
        <w:tc>
          <w:tcPr>
            <w:tcW w:w="6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4" w:name="page95"/>
    <w:bookmarkEnd w:id="94"/>
    <w:p>
      <w:pPr>
        <w:spacing w:after="0"/>
        <w:rPr>
          <w:sz w:val="20"/>
          <w:szCs w:val="20"/>
          <w:color w:val="auto"/>
        </w:rPr>
      </w:pPr>
      <w:r>
        <w:rPr>
          <w:rFonts w:ascii="Arial" w:cs="Arial" w:eastAsia="Arial" w:hAnsi="Arial"/>
          <w:sz w:val="29"/>
          <w:szCs w:val="29"/>
          <w:i w:val="1"/>
          <w:iCs w:val="1"/>
          <w:color w:val="auto"/>
        </w:rPr>
        <w:t>Report of Independent Registered Public Accounting Firm</w:t>
      </w:r>
    </w:p>
    <w:p>
      <w:pPr>
        <w:spacing w:after="0" w:line="191" w:lineRule="exact"/>
        <w:rPr>
          <w:sz w:val="20"/>
          <w:szCs w:val="20"/>
          <w:color w:val="auto"/>
        </w:rPr>
      </w:pPr>
    </w:p>
    <w:p>
      <w:pPr>
        <w:ind w:right="5480"/>
        <w:spacing w:after="0" w:line="406" w:lineRule="auto"/>
        <w:rPr>
          <w:sz w:val="20"/>
          <w:szCs w:val="20"/>
          <w:color w:val="auto"/>
        </w:rPr>
      </w:pPr>
      <w:r>
        <w:rPr>
          <w:rFonts w:ascii="Arial" w:cs="Arial" w:eastAsia="Arial" w:hAnsi="Arial"/>
          <w:sz w:val="18"/>
          <w:szCs w:val="18"/>
          <w:color w:val="auto"/>
        </w:rPr>
        <w:t xml:space="preserve">To the Shareholders and the Board of Directors of Eli Lilly and Company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2025 and 2024, the related consolidated statements of operations, comprehensive 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12, 2026, expressed an unqualified opinion thereon.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7" w:right="359" w:bottom="1440" w:gutter="0" w:footer="0" w:header="0"/>
        </w:sectPr>
      </w:pPr>
    </w:p>
    <w:bookmarkStart w:id="95" w:name="page96"/>
    <w:bookmarkEnd w:id="95"/>
    <w:p>
      <w:pPr>
        <w:spacing w:after="0" w:line="230" w:lineRule="exact"/>
        <w:rPr>
          <w:sz w:val="20"/>
          <w:szCs w:val="20"/>
          <w:color w:val="auto"/>
        </w:rPr>
      </w:pPr>
    </w:p>
    <w:p>
      <w:pPr>
        <w:ind w:left="20" w:right="420"/>
        <w:spacing w:after="0" w:line="239"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line="23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Medicaid, Managed Care, and Medicare sales rebate accruals</w:t>
      </w:r>
    </w:p>
    <w:p>
      <w:pPr>
        <w:spacing w:after="0" w:line="3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As described in Note 2 to the consolidated financial statements under the caption “Net Product Revenue,” the Company establishes provisions for sales rebate and discounts in the same period as the related sales occur. At December 31, 2025, the Company had $17,382 million in sales rebate and discount accruals. A large portion of these accruals are rebates associated with sales in the United States for which payment for purchase of the product is covered by Medicaid, Managed Care, and Medicare.</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Auditing the Medicaid, Managed Care, and Medicare sales rebate and discount accruals is challenging because of the subjectivity of certain assumptions required to estimate the rebate liabilities. In calculating the appropriate accrual amount, the Company considers historical Medicaid, Managed Care, and Medicare rebate payments by product as a percentage of their historical sales as well as any significant changes in sales trends, the lag in payment timing, changes in rebate contracts, an evaluation of the current Medicaid and Medicare laws and interpretations, the percentage of products that are sold via Medicaid, Managed Care, and Medicare, and product pricing. Given variability in prescription drug costs and variability in prescription data, historical rebate information may not be predictive for management to estimate the rebate accrual and thus, management supplements its historical data analysis with qualitative adjustments based upon current expectations, particularly for select products which contribute the largest portion of the Company's revenue.</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tested the Company’s controls addressing the identified risks of material misstatement related to the valuation of the sales rebate and discount liabilities. This included testing controls over management’s review of the significant assumptions used to calculate the Medicaid, Managed Care, and Medicare rebate liabilities, including the significant assumptions discussed above. This testing also included management’s control to compare actual activity to estimated activity and controls to ensure the data used to evaluate the significant assumptions was complete and accurate.</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procedures included, among others, evaluating for reasonableness the significant assumptions in light of economic trends, product profiles, and other regulatory factors. Our testing involved assessing the historical accuracy of management’s estimates by comparing actual activity to previous estimates and performing analytical procedures to evaluate the completeness of the reserves. Additionally, our procedures included reviewing a sample of contracts, testing a sample of rebate payments and testing the underlying data used in management’s evaluation. For Medicaid, we involved our professionals with an understanding of the statutory reimbursement requirements to assess the consistency of the Company’s calculation methodologies with the applicable government regulations and policy.</w:t>
      </w:r>
    </w:p>
    <w:p>
      <w:pPr>
        <w:spacing w:after="0" w:line="200" w:lineRule="exact"/>
        <w:rPr>
          <w:sz w:val="20"/>
          <w:szCs w:val="20"/>
          <w:color w:val="auto"/>
        </w:rPr>
      </w:pPr>
    </w:p>
    <w:p>
      <w:pPr>
        <w:sectPr>
          <w:pgSz w:w="11900" w:h="16838" w:orient="portrait"/>
          <w:cols w:equalWidth="0" w:num="2">
            <w:col w:w="1840" w:space="220"/>
            <w:col w:w="9020"/>
          </w:cols>
          <w:pgMar w:left="320" w:top="1081" w:right="49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1" w:right="49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29"/>
          <w:szCs w:val="29"/>
          <w:i w:val="1"/>
          <w:iCs w:val="1"/>
          <w:color w:val="auto"/>
        </w:rPr>
        <w:t>Report of Independent Registered Public Accounting Firm</w:t>
      </w:r>
    </w:p>
    <w:p>
      <w:pPr>
        <w:spacing w:after="0" w:line="191" w:lineRule="exact"/>
        <w:rPr>
          <w:sz w:val="20"/>
          <w:szCs w:val="20"/>
          <w:color w:val="auto"/>
        </w:rPr>
      </w:pPr>
    </w:p>
    <w:p>
      <w:pPr>
        <w:ind w:right="5460"/>
        <w:spacing w:after="0" w:line="406" w:lineRule="auto"/>
        <w:rPr>
          <w:sz w:val="20"/>
          <w:szCs w:val="20"/>
          <w:color w:val="auto"/>
        </w:rPr>
      </w:pPr>
      <w:r>
        <w:rPr>
          <w:rFonts w:ascii="Arial" w:cs="Arial" w:eastAsia="Arial" w:hAnsi="Arial"/>
          <w:sz w:val="18"/>
          <w:szCs w:val="18"/>
          <w:color w:val="auto"/>
        </w:rPr>
        <w:t xml:space="preserve">To the Shareholders and the Board of Directors of Eli Lilly and Company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2025, based on the COSO criteria.</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shareholders’ equity and cash flows for each of the three years in the period ended December 31, 2025, and the related notes and our report dated February 12, 2026, expressed an unqualified opinion thereon.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7" w:right="379" w:bottom="1440" w:gutter="0" w:footer="0" w:header="0"/>
        </w:sectPr>
      </w:pPr>
    </w:p>
    <w:bookmarkStart w:id="97" w:name="page98"/>
    <w:bookmarkEnd w:id="97"/>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management, with the participation of David Ricks, president and chief executive officer, and Lucas Montarce, executive vice president and chief financial officer, evaluated our disclosure controls and procedures (as such term is defined in Rules 13a-15(e) and 15d-15(e) under the Securities Exchange Act of 1934) as of December 31, 2025, and concluded that they were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Mr. Ricks and Mr. Montarce provided a report on behalf of management on our internal control over financial reporting, in which management concluded that the company's internal control over financial reporting is effective at December 31, 2025 based on the framework in "Internal Control—Integrated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Due to the inherent limitations, no evaluation over internal control can provide absolute assurance that no material misstatements or fraud exist.</w:t>
      </w:r>
    </w:p>
    <w:p>
      <w:pPr>
        <w:spacing w:after="0" w:line="6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addition, Ernst &amp; Young LLP, the company's independent registered public accounting firm, issued an attestation report on the company's internal control over financial reporting as of December 31,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Item 8 for the full text of management's report and Ernst &amp; Young's attestation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During the fourth quarter of 2025, there were no changes in our internal control over financial reporting that materially affected, or are reasonably likely to materially affect, our internal control over financial reporting.</w:t>
      </w:r>
    </w:p>
    <w:p>
      <w:pPr>
        <w:spacing w:after="0" w:line="3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1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During the three months ended December 31, 2025, none of our directors or officers adopted or terminated a "Rule 10b5-1 trading arrangement" or "non-Rule 10b5-1 trading arrangement," as each term is defined in Item 408 of Regulation S-K.</w:t>
      </w:r>
    </w:p>
    <w:p>
      <w:pPr>
        <w:spacing w:after="0" w:line="398" w:lineRule="exact"/>
        <w:rPr>
          <w:sz w:val="20"/>
          <w:szCs w:val="20"/>
          <w:color w:val="auto"/>
        </w:rPr>
      </w:pPr>
    </w:p>
    <w:p>
      <w:pPr>
        <w:ind w:right="4400"/>
        <w:spacing w:after="0" w:line="410" w:lineRule="auto"/>
        <w:rPr>
          <w:sz w:val="20"/>
          <w:szCs w:val="20"/>
          <w:color w:val="auto"/>
        </w:rPr>
      </w:pPr>
      <w:r>
        <w:rPr>
          <w:rFonts w:ascii="Arial" w:cs="Arial" w:eastAsia="Arial" w:hAnsi="Arial"/>
          <w:sz w:val="18"/>
          <w:szCs w:val="18"/>
          <w:b w:val="1"/>
          <w:bCs w:val="1"/>
          <w:i w:val="1"/>
          <w:i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98" w:name="page99"/>
    <w:bookmarkEnd w:id="98"/>
    <w:p>
      <w:pPr>
        <w:spacing w:after="0"/>
        <w:rPr>
          <w:sz w:val="20"/>
          <w:szCs w:val="20"/>
          <w:color w:val="auto"/>
        </w:rPr>
      </w:pPr>
      <w:r>
        <w:rPr>
          <w:rFonts w:ascii="Arial" w:cs="Arial" w:eastAsia="Arial" w:hAnsi="Arial"/>
          <w:sz w:val="29"/>
          <w:szCs w:val="29"/>
          <w:u w:val="single" w:color="auto"/>
          <w:color w:val="auto"/>
        </w:rPr>
        <w:t>Part III</w:t>
      </w:r>
    </w:p>
    <w:p>
      <w:pPr>
        <w:spacing w:after="0" w:line="2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17"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Information relating to our board of directors is found in our Definitive Proxy Statement, to be dated on or about March 20, 2026 (Proxy Statement), under "Governance - How We Build an Effective Board" and is incorporated in this Annual Report on Form 10-K by reference.</w:t>
      </w:r>
    </w:p>
    <w:p>
      <w:pPr>
        <w:spacing w:after="0" w:line="22"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Information relating to our insider trading policy and processes is found in our Proxy Statement under "Ownership of Company Stock - Common Stock Ownership by Directors and Executive Officers" and is incorporated in this Annual Report on Form 10-K by reference.</w:t>
      </w:r>
    </w:p>
    <w:p>
      <w:pPr>
        <w:spacing w:after="0" w:line="4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Information relating to our executive officers is found at Item 1, "Business - Executive Officers of the Company" and is incorporated by reference herein.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Information relating to our code of ethics is found in our Proxy Statement under "Governance - How We Operate an Effective Board - Governance Practices - Board Oversight - Key Areas of Oversight by the Board and Its Committees - Governance - Code of Ethics" and is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"Governance - How We Build an Effective Board - Director Nominations - Shareholder Director Candidates" and is incorporated in this Annual Report on Form 10-K by reference.</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of directors has appointed an audit committee consisting entirely of independent directors in accordance with applicable Securities and Exchange Commission and New York Stock Exchange requirements for audit committees. Information about our audit committee is found in our Proxy Statement under "Governance - How We Operate an Effective Board - Board Structure - Meetings of the Board and Its Committees - Committees of the Board - Audit Committee" and is incorporated in this Annual Report on Form 10-K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Reporting Compliance</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Information about our compliance with Section 16(a) is found in our Proxy Statement under "Ownership of Company Stock - Delinquent Section 16(a) Reports" and is incorporated in this Annual Report on Form 10-K by reference.</w:t>
      </w:r>
    </w:p>
    <w:p>
      <w:pPr>
        <w:spacing w:after="0" w:line="39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i w:val="1"/>
          <w:i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Information on director compensation, executive compensation, and talent and compensation committee matters can be found in the Proxy Statement under "Governance - How We Build an Effective Board - Director Compensation," "- How We Operate an Effective Board - Board Structure - Meetings of the Board and Its Committees - Committees of the Board - Talent and Compensation Committee," "Compensation - Compensation Discussion and Analysis," "- Talent and Compensation Committee Matters," and "- Executive Compensation." Such information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7" w:right="359" w:bottom="1440" w:gutter="0" w:footer="0" w:header="0"/>
        </w:sectPr>
      </w:pPr>
    </w:p>
    <w:bookmarkStart w:id="99" w:name="page100"/>
    <w:bookmarkEnd w:id="99"/>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and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presents information as of December 31, 2025 regarding the company's compensation plans under which shares of the company's common stock have been authorized for issuance.</w:t>
      </w:r>
    </w:p>
    <w:p>
      <w:pPr>
        <w:sectPr>
          <w:pgSz w:w="11900" w:h="16838" w:orient="portrait"/>
          <w:cols w:equalWidth="0" w:num="1">
            <w:col w:w="11240"/>
          </w:cols>
          <w:pgMar w:left="320" w:top="933" w:right="339" w:bottom="1440" w:gutter="0" w:footer="0" w:header="0"/>
        </w:sect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940" w:type="dxa"/>
            <w:vAlign w:val="bottom"/>
          </w:tcPr>
          <w:p>
            <w:pPr>
              <w:jc w:val="center"/>
              <w:ind w:left="1828"/>
              <w:spacing w:after="0"/>
              <w:rPr>
                <w:sz w:val="20"/>
                <w:szCs w:val="20"/>
                <w:color w:val="auto"/>
              </w:rPr>
            </w:pPr>
            <w:r>
              <w:rPr>
                <w:rFonts w:ascii="Arial" w:cs="Arial" w:eastAsia="Arial" w:hAnsi="Arial"/>
                <w:sz w:val="14"/>
                <w:szCs w:val="14"/>
                <w:b w:val="1"/>
                <w:bCs w:val="1"/>
                <w:color w:val="auto"/>
              </w:rPr>
              <w:t>(a) Number of securities to</w:t>
            </w: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auto"/>
              </w:rPr>
              <w:t>(b) Weighted-average</w:t>
            </w:r>
          </w:p>
        </w:tc>
        <w:tc>
          <w:tcPr>
            <w:tcW w:w="0" w:type="dxa"/>
            <w:vAlign w:val="bottom"/>
          </w:tcPr>
          <w:p>
            <w:pPr>
              <w:spacing w:after="0"/>
              <w:rPr>
                <w:sz w:val="1"/>
                <w:szCs w:val="1"/>
                <w:color w:val="auto"/>
              </w:rPr>
            </w:pPr>
          </w:p>
        </w:tc>
      </w:tr>
      <w:tr>
        <w:trPr>
          <w:trHeight w:val="139"/>
        </w:trPr>
        <w:tc>
          <w:tcPr>
            <w:tcW w:w="2940" w:type="dxa"/>
            <w:vAlign w:val="bottom"/>
          </w:tcPr>
          <w:p>
            <w:pPr>
              <w:spacing w:after="0"/>
              <w:rPr>
                <w:sz w:val="12"/>
                <w:szCs w:val="12"/>
                <w:color w:val="auto"/>
              </w:rPr>
            </w:pPr>
          </w:p>
        </w:tc>
        <w:tc>
          <w:tcPr>
            <w:tcW w:w="3940" w:type="dxa"/>
            <w:vAlign w:val="bottom"/>
          </w:tcPr>
          <w:p>
            <w:pPr>
              <w:jc w:val="center"/>
              <w:ind w:left="1828"/>
              <w:spacing w:after="0" w:line="139" w:lineRule="exact"/>
              <w:rPr>
                <w:sz w:val="20"/>
                <w:szCs w:val="20"/>
                <w:color w:val="auto"/>
              </w:rPr>
            </w:pPr>
            <w:r>
              <w:rPr>
                <w:rFonts w:ascii="Arial" w:cs="Arial" w:eastAsia="Arial" w:hAnsi="Arial"/>
                <w:sz w:val="14"/>
                <w:szCs w:val="14"/>
                <w:b w:val="1"/>
                <w:bCs w:val="1"/>
                <w:color w:val="auto"/>
              </w:rPr>
              <w:t>be issued upon exercise</w:t>
            </w:r>
          </w:p>
        </w:tc>
        <w:tc>
          <w:tcPr>
            <w:tcW w:w="158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exercise price of</w:t>
            </w:r>
          </w:p>
        </w:tc>
        <w:tc>
          <w:tcPr>
            <w:tcW w:w="0" w:type="dxa"/>
            <w:vAlign w:val="bottom"/>
          </w:tcPr>
          <w:p>
            <w:pPr>
              <w:spacing w:after="0"/>
              <w:rPr>
                <w:sz w:val="1"/>
                <w:szCs w:val="1"/>
                <w:color w:val="auto"/>
              </w:rPr>
            </w:pPr>
          </w:p>
        </w:tc>
      </w:tr>
      <w:tr>
        <w:trPr>
          <w:trHeight w:val="146"/>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940" w:type="dxa"/>
            <w:vAlign w:val="bottom"/>
          </w:tcPr>
          <w:p>
            <w:pPr>
              <w:jc w:val="center"/>
              <w:ind w:left="1828"/>
              <w:spacing w:after="0" w:line="146" w:lineRule="exact"/>
              <w:rPr>
                <w:sz w:val="20"/>
                <w:szCs w:val="20"/>
                <w:color w:val="auto"/>
              </w:rPr>
            </w:pPr>
            <w:r>
              <w:rPr>
                <w:rFonts w:ascii="Arial" w:cs="Arial" w:eastAsia="Arial" w:hAnsi="Arial"/>
                <w:sz w:val="14"/>
                <w:szCs w:val="14"/>
                <w:b w:val="1"/>
                <w:bCs w:val="1"/>
                <w:color w:val="auto"/>
              </w:rPr>
              <w:t>of outstanding options,</w:t>
            </w:r>
          </w:p>
        </w:tc>
        <w:tc>
          <w:tcPr>
            <w:tcW w:w="1580" w:type="dxa"/>
            <w:vAlign w:val="bottom"/>
          </w:tcPr>
          <w:p>
            <w:pPr>
              <w:jc w:val="center"/>
              <w:ind w:left="48"/>
              <w:spacing w:after="0" w:line="146" w:lineRule="exact"/>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201"/>
        </w:trPr>
        <w:tc>
          <w:tcPr>
            <w:tcW w:w="2940" w:type="dxa"/>
            <w:vAlign w:val="bottom"/>
            <w:vMerge w:val="continue"/>
          </w:tcPr>
          <w:p>
            <w:pPr>
              <w:spacing w:after="0"/>
              <w:rPr>
                <w:sz w:val="17"/>
                <w:szCs w:val="17"/>
                <w:color w:val="auto"/>
              </w:rPr>
            </w:pPr>
          </w:p>
        </w:tc>
        <w:tc>
          <w:tcPr>
            <w:tcW w:w="3940" w:type="dxa"/>
            <w:vAlign w:val="bottom"/>
          </w:tcPr>
          <w:p>
            <w:pPr>
              <w:jc w:val="center"/>
              <w:ind w:left="1828"/>
              <w:spacing w:after="0" w:line="201" w:lineRule="exact"/>
              <w:rPr>
                <w:sz w:val="20"/>
                <w:szCs w:val="20"/>
                <w:color w:val="auto"/>
              </w:rPr>
            </w:pPr>
            <w:r>
              <w:rPr>
                <w:rFonts w:ascii="Arial" w:cs="Arial" w:eastAsia="Arial" w:hAnsi="Arial"/>
                <w:sz w:val="14"/>
                <w:szCs w:val="14"/>
                <w:b w:val="1"/>
                <w:bCs w:val="1"/>
                <w:color w:val="auto"/>
                <w:w w:val="99"/>
              </w:rPr>
              <w:t xml:space="preserve">warrants, and rights </w:t>
            </w:r>
            <w:r>
              <w:rPr>
                <w:rFonts w:ascii="Arial" w:cs="Arial" w:eastAsia="Arial" w:hAnsi="Arial"/>
                <w:sz w:val="18"/>
                <w:szCs w:val="18"/>
                <w:b w:val="1"/>
                <w:bCs w:val="1"/>
                <w:color w:val="auto"/>
                <w:w w:val="99"/>
                <w:vertAlign w:val="superscript"/>
              </w:rPr>
              <w:t>(1)</w:t>
            </w: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auto"/>
              </w:rPr>
              <w:t>warrants, and rights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left="3" w:right="80" w:hanging="3"/>
        <w:spacing w:after="0" w:line="221" w:lineRule="auto"/>
        <w:tabs>
          <w:tab w:leader="none" w:pos="223"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Number of securities remaining available for future issuance under</w:t>
      </w:r>
    </w:p>
    <w:p>
      <w:pPr>
        <w:spacing w:after="0" w:line="1" w:lineRule="exact"/>
        <w:rPr>
          <w:rFonts w:ascii="Arial" w:cs="Arial" w:eastAsia="Arial" w:hAnsi="Arial"/>
          <w:sz w:val="14"/>
          <w:szCs w:val="14"/>
          <w:b w:val="1"/>
          <w:bCs w:val="1"/>
          <w:color w:val="auto"/>
        </w:rPr>
      </w:pPr>
    </w:p>
    <w:p>
      <w:pPr>
        <w:ind w:left="263"/>
        <w:spacing w:after="0" w:line="221" w:lineRule="auto"/>
        <w:rPr>
          <w:rFonts w:ascii="Arial" w:cs="Arial" w:eastAsia="Arial" w:hAnsi="Arial"/>
          <w:sz w:val="14"/>
          <w:szCs w:val="14"/>
          <w:b w:val="1"/>
          <w:bCs w:val="1"/>
          <w:color w:val="auto"/>
        </w:rPr>
      </w:pPr>
      <w:r>
        <w:rPr>
          <w:rFonts w:ascii="Arial" w:cs="Arial" w:eastAsia="Arial" w:hAnsi="Arial"/>
          <w:sz w:val="14"/>
          <w:szCs w:val="14"/>
          <w:b w:val="1"/>
          <w:bCs w:val="1"/>
          <w:color w:val="auto"/>
        </w:rPr>
        <w:t>equity compensation plans</w:t>
      </w:r>
    </w:p>
    <w:p>
      <w:pPr>
        <w:ind w:left="63"/>
        <w:spacing w:after="0" w:line="201" w:lineRule="auto"/>
        <w:rPr>
          <w:rFonts w:ascii="Arial" w:cs="Arial" w:eastAsia="Arial" w:hAnsi="Arial"/>
          <w:sz w:val="14"/>
          <w:szCs w:val="14"/>
          <w:b w:val="1"/>
          <w:bCs w:val="1"/>
          <w:color w:val="auto"/>
        </w:rPr>
      </w:pPr>
      <w:r>
        <w:rPr>
          <w:rFonts w:ascii="Arial" w:cs="Arial" w:eastAsia="Arial" w:hAnsi="Arial"/>
          <w:sz w:val="14"/>
          <w:szCs w:val="14"/>
          <w:b w:val="1"/>
          <w:bCs w:val="1"/>
          <w:color w:val="auto"/>
        </w:rPr>
        <w:t>(excluding securities reflected in</w:t>
      </w:r>
    </w:p>
    <w:p>
      <w:pPr>
        <w:ind w:left="80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column (a))</w:t>
      </w:r>
    </w:p>
    <w:p>
      <w:pPr>
        <w:spacing w:after="0" w:line="24" w:lineRule="exact"/>
        <w:rPr>
          <w:sz w:val="20"/>
          <w:szCs w:val="20"/>
          <w:color w:val="auto"/>
        </w:rPr>
      </w:pPr>
    </w:p>
    <w:p>
      <w:pPr>
        <w:sectPr>
          <w:pgSz w:w="11900" w:h="16838" w:orient="portrait"/>
          <w:cols w:equalWidth="0" w:num="2">
            <w:col w:w="8480" w:space="297"/>
            <w:col w:w="2463"/>
          </w:cols>
          <w:pgMar w:left="320" w:top="93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9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600" w:type="dxa"/>
            <w:vAlign w:val="bottom"/>
            <w:tcBorders>
              <w:top w:val="single" w:sz="8" w:color="auto"/>
            </w:tcBorders>
            <w:gridSpan w:val="2"/>
            <w:shd w:val="clear" w:color="auto" w:fill="DBDBDB"/>
          </w:tcPr>
          <w:p>
            <w:pPr>
              <w:ind w:left="1620"/>
              <w:spacing w:after="0"/>
              <w:rPr>
                <w:sz w:val="20"/>
                <w:szCs w:val="20"/>
                <w:color w:val="auto"/>
              </w:rPr>
            </w:pPr>
            <w:r>
              <w:rPr>
                <w:rFonts w:ascii="Arial" w:cs="Arial" w:eastAsia="Arial" w:hAnsi="Arial"/>
                <w:sz w:val="18"/>
                <w:szCs w:val="18"/>
                <w:color w:val="auto"/>
              </w:rPr>
              <w:t>— $</w:t>
            </w:r>
          </w:p>
        </w:tc>
        <w:tc>
          <w:tcPr>
            <w:tcW w:w="1140" w:type="dxa"/>
            <w:vAlign w:val="bottom"/>
            <w:tcBorders>
              <w:top w:val="single" w:sz="8" w:color="auto"/>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42,396,427</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26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14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shd w:val="clear" w:color="auto" w:fill="DBDBDB"/>
          </w:tcPr>
          <w:p>
            <w:pPr>
              <w:ind w:left="16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DBDBDB"/>
              <w:bottom w:val="single" w:sz="8" w:color="DBDBDB"/>
            </w:tcBorders>
            <w:shd w:val="clear" w:color="auto" w:fill="DBDBDB"/>
          </w:tcPr>
          <w:p>
            <w:pPr>
              <w:spacing w:after="0"/>
              <w:rPr>
                <w:sz w:val="20"/>
                <w:szCs w:val="20"/>
                <w:color w:val="auto"/>
              </w:rPr>
            </w:pPr>
          </w:p>
        </w:tc>
        <w:tc>
          <w:tcPr>
            <w:tcW w:w="1140" w:type="dxa"/>
            <w:vAlign w:val="bottom"/>
            <w:tcBorders>
              <w:top w:val="single" w:sz="8" w:color="DBDBDB"/>
              <w:bottom w:val="single" w:sz="8" w:color="DBDBDB"/>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42,396,427</w:t>
            </w:r>
          </w:p>
        </w:tc>
      </w:tr>
    </w:tbl>
    <w:p>
      <w:pPr>
        <w:spacing w:after="0" w:line="82"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3,484,792 shares are underlying outstanding equity awards.</w:t>
      </w:r>
    </w:p>
    <w:p>
      <w:pPr>
        <w:spacing w:after="0" w:line="200" w:lineRule="exact"/>
        <w:rPr>
          <w:sz w:val="20"/>
          <w:szCs w:val="20"/>
          <w:color w:val="auto"/>
        </w:rPr>
      </w:pP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1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Information relating to the policies and procedures for approval of related person transactions by our board of directors can be found in the Proxy Statement under "Governance - How We Operate an Effective Board - Board Alignment - Conflicts of Interest and Transactions with Related Persons." Such information is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Information relating to director independence can be found in the Proxy Statement under "Governance - How We Build an Effective Board - Director Qualifications - Independence" and is incorporated in this Annual Report on Form 10-K by reference.</w:t>
      </w:r>
    </w:p>
    <w:p>
      <w:pPr>
        <w:spacing w:after="0" w:line="3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"Audit Matters - Item 3. Ratification of the Appointment of the Independent Auditor - Services Performed by the Independent Auditor" and "- Independent Auditor Fees." Such information is incorporated in this Annual Report on Form 10-K by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type w:val="continuous"/>
        </w:sectPr>
      </w:pPr>
    </w:p>
    <w:bookmarkStart w:id="100" w:name="page101"/>
    <w:bookmarkEnd w:id="100"/>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2025, 2024, and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Statements of Comprehensive Income—Years Ended December 31, 2025, 2024, and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Balance Sheets—December 31, 2025 and 2024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2025, 2024, and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2025, 2024, and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(a)2.</w:t>
      </w:r>
      <w:r>
        <w:rPr>
          <w:sz w:val="20"/>
          <w:szCs w:val="20"/>
          <w:color w:val="auto"/>
        </w:rPr>
        <w:tab/>
      </w:r>
      <w:r>
        <w:rPr>
          <w:rFonts w:ascii="Arial" w:cs="Arial" w:eastAsia="Arial" w:hAnsi="Arial"/>
          <w:sz w:val="17"/>
          <w:szCs w:val="17"/>
          <w:b w:val="1"/>
          <w:bCs w:val="1"/>
          <w:color w:val="auto"/>
        </w:rPr>
        <w:t>Financial Statement Schedules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(a)3.</w:t>
      </w:r>
      <w:r>
        <w:rPr>
          <w:sz w:val="20"/>
          <w:szCs w:val="20"/>
          <w:color w:val="auto"/>
        </w:rPr>
        <w:tab/>
      </w:r>
      <w:r>
        <w:rPr>
          <w:rFonts w:ascii="Arial" w:cs="Arial" w:eastAsia="Arial" w:hAnsi="Arial"/>
          <w:sz w:val="17"/>
          <w:szCs w:val="17"/>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520" w:type="dxa"/>
            <w:vAlign w:val="bottom"/>
            <w:gridSpan w:val="2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3.1</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18">
              <w:r>
                <w:rPr>
                  <w:rFonts w:ascii="Arial" w:cs="Arial" w:eastAsia="Arial" w:hAnsi="Arial"/>
                  <w:sz w:val="18"/>
                  <w:szCs w:val="18"/>
                  <w:color w:val="0000FF"/>
                </w:rPr>
                <w:t>Amended Articles of Incorporation, incorporated by reference to Exhibit 3.1 to the Company's Current Report on Form</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15"/>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19">
              <w:r>
                <w:rPr>
                  <w:rFonts w:ascii="Arial" w:cs="Arial" w:eastAsia="Arial" w:hAnsi="Arial"/>
                  <w:sz w:val="18"/>
                  <w:szCs w:val="18"/>
                  <w:color w:val="0000FF"/>
                </w:rPr>
                <w:t>Bylaws, as amended, incorporated by reference to Exhibit 3.2 to the Company's Current Report on Form 8-K filed on</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8"/>
              </w:rPr>
            </w:pPr>
            <w:hyperlink r:id="rId119">
              <w:r>
                <w:rPr>
                  <w:rFonts w:ascii="Arial" w:cs="Arial" w:eastAsia="Arial" w:hAnsi="Arial"/>
                  <w:sz w:val="18"/>
                  <w:szCs w:val="18"/>
                  <w:color w:val="0000FF"/>
                  <w:w w:val="98"/>
                </w:rPr>
                <w:t>May 4, 2022</w:t>
              </w:r>
            </w:hyperlink>
          </w:p>
        </w:tc>
        <w:tc>
          <w:tcPr>
            <w:tcW w:w="82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20">
              <w:r>
                <w:rPr>
                  <w:rFonts w:ascii="Arial" w:cs="Arial" w:eastAsia="Arial" w:hAnsi="Arial"/>
                  <w:sz w:val="18"/>
                  <w:szCs w:val="18"/>
                  <w:color w:val="0000FF"/>
                </w:rPr>
                <w:t>Indenture, dated February 1, 1991, between the Company and Deutsche Bank Trust Company Americas, as successor</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8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120">
              <w:r>
                <w:rPr>
                  <w:rFonts w:ascii="Arial" w:cs="Arial" w:eastAsia="Arial" w:hAnsi="Arial"/>
                  <w:sz w:val="18"/>
                  <w:szCs w:val="18"/>
                  <w:color w:val="0000FF"/>
                </w:rPr>
                <w:t>trustee to Citibank, N.A., as Trustee, incorporated by reference to Exhibit 4.1 to the Company's Registration Statement</w:t>
              </w:r>
            </w:hyperlink>
          </w:p>
        </w:tc>
        <w:tc>
          <w:tcPr>
            <w:tcW w:w="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on Form S-3, Registration No. 333-186979</w:t>
              </w:r>
            </w:hyperlink>
          </w:p>
        </w:tc>
        <w:tc>
          <w:tcPr>
            <w:tcW w:w="100" w:type="dxa"/>
            <w:vAlign w:val="bottom"/>
            <w:gridSpan w:val="2"/>
          </w:tcPr>
          <w:p>
            <w:pPr>
              <w:spacing w:after="0"/>
              <w:rPr>
                <w:sz w:val="13"/>
                <w:szCs w:val="13"/>
                <w:color w:val="auto"/>
              </w:rPr>
            </w:pPr>
          </w:p>
        </w:tc>
      </w:tr>
      <w:tr>
        <w:trPr>
          <w:trHeight w:val="20"/>
        </w:trPr>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21">
              <w:r>
                <w:rPr>
                  <w:rFonts w:ascii="Arial" w:cs="Arial" w:eastAsia="Arial" w:hAnsi="Arial"/>
                  <w:sz w:val="18"/>
                  <w:szCs w:val="18"/>
                  <w:color w:val="0000FF"/>
                </w:rPr>
                <w:t>Tripartite Agreement, dated September 13, 2007, appointing Deutsche Bank Trust Company Americas as Successor</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30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21">
              <w:r>
                <w:rPr>
                  <w:rFonts w:ascii="Arial" w:cs="Arial" w:eastAsia="Arial" w:hAnsi="Arial"/>
                  <w:sz w:val="18"/>
                  <w:szCs w:val="18"/>
                  <w:color w:val="0000FF"/>
                </w:rPr>
                <w:t>Trustee under the Indenture listed in Exhibit 4.1, incorporated by reference to Exhibit 4.2 to the Company's Annual</w:t>
              </w:r>
            </w:hyperlink>
          </w:p>
        </w:tc>
        <w:tc>
          <w:tcPr>
            <w:tcW w:w="4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Report on Form 10-K for the year ended December 31, 2008</w:t>
              </w:r>
            </w:hyperlink>
          </w:p>
        </w:tc>
        <w:tc>
          <w:tcPr>
            <w:tcW w:w="4240" w:type="dxa"/>
            <w:vAlign w:val="bottom"/>
            <w:tcBorders>
              <w:top w:val="single" w:sz="8" w:color="0000FF"/>
            </w:tcBorders>
            <w:gridSpan w:val="9"/>
          </w:tcPr>
          <w:p>
            <w:pPr>
              <w:spacing w:after="0"/>
              <w:rPr>
                <w:sz w:val="13"/>
                <w:szCs w:val="13"/>
                <w:color w:val="auto"/>
              </w:rPr>
            </w:pPr>
          </w:p>
        </w:tc>
        <w:tc>
          <w:tcPr>
            <w:tcW w:w="2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22">
              <w:r>
                <w:rPr>
                  <w:rFonts w:ascii="Arial" w:cs="Arial" w:eastAsia="Arial" w:hAnsi="Arial"/>
                  <w:sz w:val="18"/>
                  <w:szCs w:val="18"/>
                  <w:color w:val="0000FF"/>
                </w:rPr>
                <w:t>Description of the Company's Common Stock, incorporated by reference to Exhibit 4.3 to the Company’s Annual</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Report on Form 10-K for the year ended December 31, 2023</w:t>
              </w:r>
            </w:hyperlink>
          </w:p>
        </w:tc>
        <w:tc>
          <w:tcPr>
            <w:tcW w:w="4100" w:type="dxa"/>
            <w:vAlign w:val="bottom"/>
            <w:tcBorders>
              <w:top w:val="single" w:sz="8" w:color="0000FF"/>
            </w:tcBorders>
            <w:gridSpan w:val="6"/>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23">
              <w:r>
                <w:rPr>
                  <w:rFonts w:ascii="Arial" w:cs="Arial" w:eastAsia="Arial" w:hAnsi="Arial"/>
                  <w:sz w:val="18"/>
                  <w:szCs w:val="18"/>
                  <w:color w:val="0000FF"/>
                </w:rPr>
                <w:t>Description of the Company's 1.625% Notes due 2026 and 2.125% Notes due 2030, incorporated by reference to</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rPr>
            </w:pPr>
            <w:hyperlink r:id="rId123">
              <w:r>
                <w:rPr>
                  <w:rFonts w:ascii="Arial" w:cs="Arial" w:eastAsia="Arial" w:hAnsi="Arial"/>
                  <w:sz w:val="18"/>
                  <w:szCs w:val="18"/>
                  <w:color w:val="0000FF"/>
                </w:rPr>
                <w:t>Exhibit 4.4 to the Company's Annual Report on Form 10-K for the year ended December 31, 2019</w:t>
              </w:r>
            </w:hyperlink>
          </w:p>
        </w:tc>
        <w:tc>
          <w:tcPr>
            <w:tcW w:w="12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24">
              <w:r>
                <w:rPr>
                  <w:rFonts w:ascii="Arial" w:cs="Arial" w:eastAsia="Arial" w:hAnsi="Arial"/>
                  <w:sz w:val="18"/>
                  <w:szCs w:val="18"/>
                  <w:color w:val="0000FF"/>
                </w:rPr>
                <w:t>Description of the Company's 6.77% Notes due 2036, incorporated by reference to Exhibit 4.5 to the Company's</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9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124">
              <w:r>
                <w:rPr>
                  <w:rFonts w:ascii="Arial" w:cs="Arial" w:eastAsia="Arial" w:hAnsi="Arial"/>
                  <w:sz w:val="18"/>
                  <w:szCs w:val="18"/>
                  <w:color w:val="0000FF"/>
                </w:rPr>
                <w:t>Annual Report on Form 10-K for the year ended December 31, 2019</w:t>
              </w:r>
            </w:hyperlink>
          </w:p>
        </w:tc>
        <w:tc>
          <w:tcPr>
            <w:tcW w:w="120" w:type="dxa"/>
            <w:vAlign w:val="bottom"/>
            <w:gridSpan w:val="3"/>
          </w:tcPr>
          <w:p>
            <w:pPr>
              <w:spacing w:after="0"/>
              <w:rPr>
                <w:sz w:val="14"/>
                <w:szCs w:val="14"/>
                <w:color w:val="auto"/>
              </w:rPr>
            </w:pPr>
          </w:p>
        </w:tc>
        <w:tc>
          <w:tcPr>
            <w:tcW w:w="300" w:type="dxa"/>
            <w:vAlign w:val="bottom"/>
            <w:gridSpan w:val="4"/>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0"/>
        </w:trPr>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740" w:type="dxa"/>
            <w:vAlign w:val="bottom"/>
            <w:gridSpan w:val="6"/>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4.6</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25">
              <w:r>
                <w:rPr>
                  <w:rFonts w:ascii="Arial" w:cs="Arial" w:eastAsia="Arial" w:hAnsi="Arial"/>
                  <w:sz w:val="18"/>
                  <w:szCs w:val="18"/>
                  <w:color w:val="0000FF"/>
                </w:rPr>
                <w:t>Description of the Company's 0.625% Notes due 2031 and 1.700% Notes due 2049, incorporated by reference to</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Exhibit 4.7 to the Company's Annual Report on Form 10-K for the year ended December 31, 2019</w:t>
              </w:r>
            </w:hyperlink>
          </w:p>
        </w:tc>
        <w:tc>
          <w:tcPr>
            <w:tcW w:w="2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0"/>
        </w:trPr>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740" w:type="dxa"/>
            <w:vAlign w:val="bottom"/>
            <w:gridSpan w:val="6"/>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4.7</w:t>
            </w:r>
          </w:p>
        </w:tc>
        <w:tc>
          <w:tcPr>
            <w:tcW w:w="1220" w:type="dxa"/>
            <w:vAlign w:val="bottom"/>
          </w:tcPr>
          <w:p>
            <w:pPr>
              <w:spacing w:after="0"/>
              <w:rPr>
                <w:sz w:val="22"/>
                <w:szCs w:val="22"/>
                <w:color w:val="auto"/>
              </w:rPr>
            </w:pPr>
          </w:p>
        </w:tc>
        <w:tc>
          <w:tcPr>
            <w:tcW w:w="8800" w:type="dxa"/>
            <w:vAlign w:val="bottom"/>
            <w:tcBorders>
              <w:bottom w:val="single" w:sz="8" w:color="0000FF"/>
            </w:tcBorders>
            <w:gridSpan w:val="10"/>
          </w:tcPr>
          <w:p>
            <w:pPr>
              <w:spacing w:after="0"/>
              <w:rPr>
                <w:rFonts w:ascii="Arial" w:cs="Arial" w:eastAsia="Arial" w:hAnsi="Arial"/>
                <w:sz w:val="18"/>
                <w:szCs w:val="18"/>
                <w:color w:val="0000FF"/>
                <w:w w:val="99"/>
              </w:rPr>
            </w:pPr>
            <w:hyperlink r:id="rId126">
              <w:r>
                <w:rPr>
                  <w:rFonts w:ascii="Arial" w:cs="Arial" w:eastAsia="Arial" w:hAnsi="Arial"/>
                  <w:sz w:val="18"/>
                  <w:szCs w:val="18"/>
                  <w:color w:val="0000FF"/>
                  <w:w w:val="99"/>
                </w:rPr>
                <w:t>Description of the Company's 0.500% Notes due 2033, 1.125% Notes due 2051, and 1.375% Notes due 2061,</w:t>
              </w:r>
            </w:hyperlink>
          </w:p>
        </w:tc>
        <w:tc>
          <w:tcPr>
            <w:tcW w:w="720" w:type="dxa"/>
            <w:vAlign w:val="bottom"/>
            <w:gridSpan w:val="12"/>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520" w:type="dxa"/>
            <w:vAlign w:val="bottom"/>
            <w:gridSpan w:val="22"/>
          </w:tcPr>
          <w:p>
            <w:pPr>
              <w:spacing w:after="0" w:line="169" w:lineRule="exact"/>
              <w:rPr>
                <w:rFonts w:ascii="Arial" w:cs="Arial" w:eastAsia="Arial" w:hAnsi="Arial"/>
                <w:sz w:val="18"/>
                <w:szCs w:val="18"/>
                <w:color w:val="0000FF"/>
              </w:rPr>
            </w:pPr>
            <w:hyperlink r:id="rId126">
              <w:r>
                <w:rPr>
                  <w:rFonts w:ascii="Arial" w:cs="Arial" w:eastAsia="Arial" w:hAnsi="Arial"/>
                  <w:sz w:val="18"/>
                  <w:szCs w:val="18"/>
                  <w:color w:val="0000FF"/>
                </w:rPr>
                <w:t>incorporated by reference to Exhibit 4.8 to the Company's Annual Report on Form 10-K for the year ended December</w:t>
              </w:r>
            </w:hyperlink>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r:id="rId126">
              <w:r>
                <w:rPr>
                  <w:rFonts w:ascii="Arial" w:cs="Arial" w:eastAsia="Arial" w:hAnsi="Arial"/>
                  <w:sz w:val="18"/>
                  <w:szCs w:val="18"/>
                  <w:color w:val="0000FF"/>
                  <w:w w:val="96"/>
                </w:rPr>
                <w:t>31, 2021</w:t>
              </w:r>
            </w:hyperlink>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1220" w:type="dxa"/>
            <w:vAlign w:val="bottom"/>
          </w:tcPr>
          <w:p>
            <w:pPr>
              <w:spacing w:after="0"/>
              <w:rPr>
                <w:sz w:val="22"/>
                <w:szCs w:val="22"/>
                <w:color w:val="auto"/>
              </w:rPr>
            </w:pPr>
          </w:p>
        </w:tc>
        <w:tc>
          <w:tcPr>
            <w:tcW w:w="9520" w:type="dxa"/>
            <w:vAlign w:val="bottom"/>
            <w:gridSpan w:val="22"/>
          </w:tcPr>
          <w:p>
            <w:pPr>
              <w:spacing w:after="0"/>
              <w:rPr>
                <w:rFonts w:ascii="Arial" w:cs="Arial" w:eastAsia="Arial" w:hAnsi="Arial"/>
                <w:sz w:val="18"/>
                <w:szCs w:val="18"/>
                <w:color w:val="0000FF"/>
              </w:rPr>
            </w:pPr>
            <w:hyperlink r:id="rId127">
              <w:r>
                <w:rPr>
                  <w:rFonts w:ascii="Arial" w:cs="Arial" w:eastAsia="Arial" w:hAnsi="Arial"/>
                  <w:sz w:val="18"/>
                  <w:szCs w:val="18"/>
                  <w:color w:val="0000FF"/>
                </w:rPr>
                <w:t>Description of the Company's 1.625% Notes due 2043, incorporated by reference to Exhibit 4.9 to the Company's</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27">
              <w:r>
                <w:rPr>
                  <w:rFonts w:ascii="Arial" w:cs="Arial" w:eastAsia="Arial" w:hAnsi="Arial"/>
                  <w:sz w:val="18"/>
                  <w:szCs w:val="18"/>
                  <w:color w:val="0000FF"/>
                </w:rPr>
                <w:t>Annual Report on Form 10-K for the year ended December 31, 2021</w:t>
              </w:r>
            </w:hyperlink>
          </w:p>
        </w:tc>
        <w:tc>
          <w:tcPr>
            <w:tcW w:w="480" w:type="dxa"/>
            <w:vAlign w:val="bottom"/>
            <w:gridSpan w:val="8"/>
          </w:tcPr>
          <w:p>
            <w:pPr>
              <w:spacing w:after="0"/>
              <w:rPr>
                <w:sz w:val="14"/>
                <w:szCs w:val="14"/>
                <w:color w:val="auto"/>
              </w:rPr>
            </w:pPr>
          </w:p>
        </w:tc>
      </w:tr>
      <w:tr>
        <w:trPr>
          <w:trHeight w:val="9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40" w:type="dxa"/>
            <w:vAlign w:val="bottom"/>
            <w:tcBorders>
              <w:top w:val="single" w:sz="8" w:color="0000FF"/>
            </w:tcBorders>
            <w:gridSpan w:val="6"/>
          </w:tcPr>
          <w:p>
            <w:pPr>
              <w:ind w:left="3760"/>
              <w:spacing w:after="0"/>
              <w:rPr>
                <w:sz w:val="20"/>
                <w:szCs w:val="20"/>
                <w:color w:val="auto"/>
              </w:rPr>
            </w:pPr>
            <w:r>
              <w:rPr>
                <w:rFonts w:ascii="Arial" w:cs="Arial" w:eastAsia="Arial" w:hAnsi="Arial"/>
                <w:sz w:val="18"/>
                <w:szCs w:val="18"/>
                <w:color w:val="auto"/>
              </w:rPr>
              <w:t>101</w:t>
            </w:r>
          </w:p>
        </w:tc>
        <w:tc>
          <w:tcPr>
            <w:tcW w:w="600" w:type="dxa"/>
            <w:vAlign w:val="bottom"/>
            <w:tcBorders>
              <w:top w:val="single" w:sz="8" w:color="0000FF"/>
            </w:tcBorders>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rPr>
              <w:t>10.1</w:t>
            </w:r>
          </w:p>
        </w:tc>
        <w:tc>
          <w:tcPr>
            <w:tcW w:w="9440" w:type="dxa"/>
            <w:vAlign w:val="bottom"/>
            <w:gridSpan w:val="47"/>
          </w:tcPr>
          <w:p>
            <w:pPr>
              <w:spacing w:after="0"/>
              <w:rPr>
                <w:rFonts w:ascii="Arial" w:cs="Arial" w:eastAsia="Arial" w:hAnsi="Arial"/>
                <w:sz w:val="18"/>
                <w:szCs w:val="18"/>
                <w:color w:val="0000FF"/>
              </w:rPr>
            </w:pPr>
            <w:hyperlink r:id="rId130">
              <w:r>
                <w:rPr>
                  <w:rFonts w:ascii="Arial" w:cs="Arial" w:eastAsia="Arial" w:hAnsi="Arial"/>
                  <w:sz w:val="18"/>
                  <w:szCs w:val="18"/>
                  <w:color w:val="0000FF"/>
                </w:rPr>
                <w:t>Amended and Restated 2002 Lilly Stock Plan</w:t>
              </w:r>
              <w:r>
                <w:rPr>
                  <w:rFonts w:ascii="Arial" w:cs="Arial" w:eastAsia="Arial" w:hAnsi="Arial"/>
                  <w:sz w:val="10"/>
                  <w:szCs w:val="10"/>
                  <w:color w:val="0000FF"/>
                </w:rPr>
                <w:t>(1)</w:t>
              </w:r>
              <w:r>
                <w:rPr>
                  <w:rFonts w:ascii="Arial" w:cs="Arial" w:eastAsia="Arial" w:hAnsi="Arial"/>
                  <w:sz w:val="18"/>
                  <w:szCs w:val="18"/>
                  <w:color w:val="0000FF"/>
                </w:rPr>
                <w:t>, incorporated by reference to Exhibit 10.1 to the Company's Quarterly</w:t>
              </w:r>
            </w:hyperlink>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64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Report on Form 10-Q for the quarter ended June 30, 2024</w:t>
              </w:r>
            </w:hyperlink>
          </w:p>
        </w:tc>
        <w:tc>
          <w:tcPr>
            <w:tcW w:w="4680" w:type="dxa"/>
            <w:vAlign w:val="bottom"/>
            <w:tcBorders>
              <w:top w:val="single" w:sz="8" w:color="0000FF"/>
            </w:tcBorders>
            <w:gridSpan w:val="3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10.2</w:t>
            </w:r>
          </w:p>
        </w:tc>
        <w:tc>
          <w:tcPr>
            <w:tcW w:w="4800" w:type="dxa"/>
            <w:vAlign w:val="bottom"/>
            <w:tcBorders>
              <w:bottom w:val="single" w:sz="8" w:color="0000FF"/>
            </w:tcBorders>
            <w:gridSpan w:val="14"/>
          </w:tcPr>
          <w:p>
            <w:pPr>
              <w:spacing w:after="0"/>
              <w:rPr>
                <w:rFonts w:ascii="Arial" w:cs="Arial" w:eastAsia="Arial" w:hAnsi="Arial"/>
                <w:sz w:val="18"/>
                <w:szCs w:val="18"/>
                <w:color w:val="0000FF"/>
                <w:w w:val="99"/>
              </w:rPr>
            </w:pPr>
            <w:hyperlink r:id="rId131">
              <w:r>
                <w:rPr>
                  <w:rFonts w:ascii="Arial" w:cs="Arial" w:eastAsia="Arial" w:hAnsi="Arial"/>
                  <w:sz w:val="18"/>
                  <w:szCs w:val="18"/>
                  <w:color w:val="0000FF"/>
                  <w:w w:val="99"/>
                </w:rPr>
                <w:t>Form of Performance Award under the 2002 Lilly Stock Plan</w:t>
              </w:r>
            </w:hyperlink>
          </w:p>
        </w:tc>
        <w:tc>
          <w:tcPr>
            <w:tcW w:w="160" w:type="dxa"/>
            <w:vAlign w:val="bottom"/>
            <w:gridSpan w:val="5"/>
          </w:tcPr>
          <w:p>
            <w:pPr>
              <w:jc w:val="right"/>
              <w:spacing w:after="0"/>
              <w:rPr>
                <w:rFonts w:ascii="Arial" w:cs="Arial" w:eastAsia="Arial" w:hAnsi="Arial"/>
                <w:sz w:val="12"/>
                <w:szCs w:val="12"/>
                <w:color w:val="0000FF"/>
                <w:w w:val="81"/>
              </w:rPr>
            </w:pPr>
            <w:hyperlink r:id="rId131">
              <w:r>
                <w:rPr>
                  <w:rFonts w:ascii="Arial" w:cs="Arial" w:eastAsia="Arial" w:hAnsi="Arial"/>
                  <w:sz w:val="12"/>
                  <w:szCs w:val="12"/>
                  <w:color w:val="0000FF"/>
                  <w:w w:val="81"/>
                </w:rPr>
                <w:t>(1)</w:t>
              </w:r>
            </w:hyperlink>
          </w:p>
        </w:tc>
        <w:tc>
          <w:tcPr>
            <w:tcW w:w="3760" w:type="dxa"/>
            <w:vAlign w:val="bottom"/>
            <w:tcBorders>
              <w:bottom w:val="single" w:sz="8" w:color="0000FF"/>
            </w:tcBorders>
            <w:gridSpan w:val="20"/>
          </w:tcPr>
          <w:p>
            <w:pPr>
              <w:ind w:left="20"/>
              <w:spacing w:after="0"/>
              <w:rPr>
                <w:rFonts w:ascii="Arial" w:cs="Arial" w:eastAsia="Arial" w:hAnsi="Arial"/>
                <w:sz w:val="18"/>
                <w:szCs w:val="18"/>
                <w:color w:val="0000FF"/>
                <w:w w:val="99"/>
              </w:rPr>
            </w:pPr>
            <w:hyperlink r:id="rId131">
              <w:r>
                <w:rPr>
                  <w:rFonts w:ascii="Arial" w:cs="Arial" w:eastAsia="Arial" w:hAnsi="Arial"/>
                  <w:sz w:val="18"/>
                  <w:szCs w:val="18"/>
                  <w:color w:val="0000FF"/>
                  <w:w w:val="99"/>
                </w:rPr>
                <w:t>incorporated by reference to Exhibit 10.2 to the</w:t>
              </w:r>
            </w:hyperlink>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4800" w:type="dxa"/>
            <w:vAlign w:val="bottom"/>
            <w:gridSpan w:val="14"/>
            <w:vMerge w:val="restart"/>
          </w:tcPr>
          <w:p>
            <w:pPr>
              <w:spacing w:after="0" w:line="169" w:lineRule="exact"/>
              <w:rPr>
                <w:rFonts w:ascii="Arial" w:cs="Arial" w:eastAsia="Arial" w:hAnsi="Arial"/>
                <w:sz w:val="18"/>
                <w:szCs w:val="18"/>
                <w:color w:val="0000FF"/>
              </w:rPr>
            </w:pPr>
            <w:hyperlink r:id="rId131">
              <w:r>
                <w:rPr>
                  <w:rFonts w:ascii="Arial" w:cs="Arial" w:eastAsia="Arial" w:hAnsi="Arial"/>
                  <w:sz w:val="18"/>
                  <w:szCs w:val="18"/>
                  <w:color w:val="0000FF"/>
                </w:rPr>
                <w:t>Company's Annual Report on Form 10-K for the year ended</w:t>
              </w:r>
            </w:hyperlink>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40" w:type="dxa"/>
            <w:vAlign w:val="bottom"/>
            <w:gridSpan w:val="13"/>
            <w:vMerge w:val="restart"/>
          </w:tcPr>
          <w:p>
            <w:pPr>
              <w:spacing w:after="0" w:line="169" w:lineRule="exact"/>
              <w:rPr>
                <w:rFonts w:ascii="Arial" w:cs="Arial" w:eastAsia="Arial" w:hAnsi="Arial"/>
                <w:sz w:val="18"/>
                <w:szCs w:val="18"/>
                <w:color w:val="0000FF"/>
                <w:w w:val="89"/>
              </w:rPr>
            </w:pPr>
            <w:hyperlink r:id="rId131">
              <w:r>
                <w:rPr>
                  <w:rFonts w:ascii="Arial" w:cs="Arial" w:eastAsia="Arial" w:hAnsi="Arial"/>
                  <w:sz w:val="18"/>
                  <w:szCs w:val="18"/>
                  <w:color w:val="0000FF"/>
                  <w:w w:val="89"/>
                </w:rPr>
                <w:t>December 31, 2022</w:t>
              </w:r>
            </w:hyperlink>
          </w:p>
        </w:tc>
        <w:tc>
          <w:tcPr>
            <w:tcW w:w="2320" w:type="dxa"/>
            <w:vAlign w:val="bottom"/>
            <w:gridSpan w:val="7"/>
            <w:vMerge w:val="restart"/>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10"/>
                <w:szCs w:val="10"/>
                <w:color w:val="auto"/>
              </w:rPr>
            </w:pPr>
          </w:p>
        </w:tc>
        <w:tc>
          <w:tcPr>
            <w:tcW w:w="4800" w:type="dxa"/>
            <w:vAlign w:val="bottom"/>
            <w:tcBorders>
              <w:bottom w:val="single" w:sz="8" w:color="0000FF"/>
            </w:tcBorders>
            <w:gridSpan w:val="14"/>
            <w:vMerge w:val="continue"/>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8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440" w:type="dxa"/>
            <w:vAlign w:val="bottom"/>
            <w:tcBorders>
              <w:bottom w:val="single" w:sz="8" w:color="0000FF"/>
            </w:tcBorders>
            <w:gridSpan w:val="13"/>
            <w:vMerge w:val="continue"/>
          </w:tcPr>
          <w:p>
            <w:pPr>
              <w:spacing w:after="0"/>
              <w:rPr>
                <w:sz w:val="10"/>
                <w:szCs w:val="10"/>
                <w:color w:val="auto"/>
              </w:rPr>
            </w:pPr>
          </w:p>
        </w:tc>
        <w:tc>
          <w:tcPr>
            <w:tcW w:w="2320" w:type="dxa"/>
            <w:vAlign w:val="bottom"/>
            <w:gridSpan w:val="7"/>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7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514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rPr>
              <w:t>Form of Revenue Growth Award under the 2002 Lilly Stock Plan</w:t>
            </w:r>
          </w:p>
        </w:tc>
        <w:tc>
          <w:tcPr>
            <w:tcW w:w="120" w:type="dxa"/>
            <w:vAlign w:val="bottom"/>
            <w:gridSpan w:val="2"/>
            <w:vMerge w:val="restart"/>
          </w:tcPr>
          <w:p>
            <w:pPr>
              <w:jc w:val="right"/>
              <w:spacing w:after="0"/>
              <w:rPr>
                <w:sz w:val="20"/>
                <w:szCs w:val="20"/>
                <w:color w:val="auto"/>
              </w:rPr>
            </w:pPr>
            <w:r>
              <w:rPr>
                <w:rFonts w:ascii="Arial" w:cs="Arial" w:eastAsia="Arial" w:hAnsi="Arial"/>
                <w:sz w:val="11"/>
                <w:szCs w:val="11"/>
                <w:color w:val="0000FF"/>
                <w:w w:val="74"/>
              </w:rPr>
              <w:t>(1)</w:t>
            </w:r>
          </w:p>
        </w:tc>
        <w:tc>
          <w:tcPr>
            <w:tcW w:w="6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78"/>
              </w:rPr>
              <w:t>*</w:t>
            </w: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76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860" w:type="dxa"/>
            <w:vAlign w:val="bottom"/>
            <w:gridSpan w:val="2"/>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2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494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9"/>
              </w:rPr>
              <w:t>Form of Relative Value Award under the 2002 Lilly Stock Plan</w:t>
            </w:r>
          </w:p>
        </w:tc>
        <w:tc>
          <w:tcPr>
            <w:tcW w:w="120" w:type="dxa"/>
            <w:vAlign w:val="bottom"/>
            <w:gridSpan w:val="2"/>
            <w:vMerge w:val="restart"/>
          </w:tcPr>
          <w:p>
            <w:pPr>
              <w:spacing w:after="0"/>
              <w:rPr>
                <w:sz w:val="20"/>
                <w:szCs w:val="20"/>
                <w:color w:val="auto"/>
              </w:rPr>
            </w:pPr>
            <w:r>
              <w:rPr>
                <w:rFonts w:ascii="Arial" w:cs="Arial" w:eastAsia="Arial" w:hAnsi="Arial"/>
                <w:sz w:val="11"/>
                <w:szCs w:val="11"/>
                <w:color w:val="0000FF"/>
                <w:w w:val="74"/>
              </w:rPr>
              <w:t>(1)</w:t>
            </w:r>
          </w:p>
        </w:tc>
        <w:tc>
          <w:tcPr>
            <w:tcW w:w="100" w:type="dxa"/>
            <w:vAlign w:val="bottom"/>
            <w:tcBorders>
              <w:bottom w:val="single" w:sz="8" w:color="0000FF"/>
            </w:tcBorders>
            <w:gridSpan w:val="3"/>
          </w:tcPr>
          <w:p>
            <w:pPr>
              <w:jc w:val="right"/>
              <w:spacing w:after="0"/>
              <w:rPr>
                <w:sz w:val="20"/>
                <w:szCs w:val="20"/>
                <w:color w:val="auto"/>
              </w:rPr>
            </w:pPr>
            <w:r>
              <w:rPr>
                <w:rFonts w:ascii="Arial" w:cs="Arial" w:eastAsia="Arial" w:hAnsi="Arial"/>
                <w:sz w:val="13"/>
                <w:szCs w:val="13"/>
                <w:color w:val="0000FF"/>
                <w:w w:val="78"/>
              </w:rPr>
              <w:t>*</w:t>
            </w:r>
          </w:p>
        </w:tc>
        <w:tc>
          <w:tcPr>
            <w:tcW w:w="280" w:type="dxa"/>
            <w:vAlign w:val="bottom"/>
            <w:gridSpan w:val="3"/>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7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8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60" w:type="dxa"/>
            <w:vAlign w:val="bottom"/>
            <w:gridSpan w:val="2"/>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2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0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5460" w:type="dxa"/>
            <w:vAlign w:val="bottom"/>
            <w:tcBorders>
              <w:bottom w:val="single" w:sz="8" w:color="0000FF"/>
            </w:tcBorders>
            <w:gridSpan w:val="27"/>
          </w:tcPr>
          <w:p>
            <w:pPr>
              <w:spacing w:after="0" w:line="196" w:lineRule="exact"/>
              <w:rPr>
                <w:sz w:val="20"/>
                <w:szCs w:val="20"/>
                <w:color w:val="auto"/>
              </w:rPr>
            </w:pPr>
            <w:r>
              <w:rPr>
                <w:rFonts w:ascii="Arial" w:cs="Arial" w:eastAsia="Arial" w:hAnsi="Arial"/>
                <w:sz w:val="18"/>
                <w:szCs w:val="18"/>
                <w:color w:val="0000FF"/>
                <w:w w:val="99"/>
              </w:rPr>
              <w:t>Form of Restricted Stock Unit Award under the 2002 Lilly Stock Plan</w:t>
            </w:r>
          </w:p>
        </w:tc>
        <w:tc>
          <w:tcPr>
            <w:tcW w:w="120" w:type="dxa"/>
            <w:vAlign w:val="bottom"/>
            <w:gridSpan w:val="2"/>
            <w:vMerge w:val="restart"/>
          </w:tcPr>
          <w:p>
            <w:pPr>
              <w:jc w:val="right"/>
              <w:spacing w:after="0"/>
              <w:rPr>
                <w:sz w:val="20"/>
                <w:szCs w:val="20"/>
                <w:color w:val="auto"/>
              </w:rPr>
            </w:pPr>
            <w:r>
              <w:rPr>
                <w:rFonts w:ascii="Arial" w:cs="Arial" w:eastAsia="Arial" w:hAnsi="Arial"/>
                <w:sz w:val="11"/>
                <w:szCs w:val="11"/>
                <w:color w:val="0000FF"/>
                <w:w w:val="74"/>
              </w:rPr>
              <w:t>(1)</w:t>
            </w:r>
          </w:p>
        </w:tc>
        <w:tc>
          <w:tcPr>
            <w:tcW w:w="20" w:type="dxa"/>
            <w:vAlign w:val="bottom"/>
            <w:vMerge w:val="restart"/>
          </w:tcPr>
          <w:p>
            <w:pPr>
              <w:spacing w:after="0"/>
              <w:rPr>
                <w:sz w:val="19"/>
                <w:szCs w:val="19"/>
                <w:color w:val="auto"/>
              </w:rPr>
            </w:pPr>
          </w:p>
        </w:tc>
        <w:tc>
          <w:tcPr>
            <w:tcW w:w="6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78"/>
              </w:rPr>
              <w:t>*</w:t>
            </w:r>
          </w:p>
        </w:tc>
        <w:tc>
          <w:tcPr>
            <w:tcW w:w="7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8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60" w:type="dxa"/>
            <w:vAlign w:val="bottom"/>
            <w:gridSpan w:val="2"/>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2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350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Form of Non-Compete Payment Agreement</w:t>
              </w:r>
            </w:hyperlink>
          </w:p>
        </w:tc>
        <w:tc>
          <w:tcPr>
            <w:tcW w:w="100" w:type="dxa"/>
            <w:vAlign w:val="bottom"/>
            <w:vMerge w:val="restart"/>
          </w:tcPr>
          <w:p>
            <w:pPr>
              <w:jc w:val="right"/>
              <w:spacing w:after="0"/>
              <w:rPr>
                <w:rFonts w:ascii="Arial" w:cs="Arial" w:eastAsia="Arial" w:hAnsi="Arial"/>
                <w:sz w:val="9"/>
                <w:szCs w:val="9"/>
                <w:color w:val="0000FF"/>
                <w:w w:val="72"/>
              </w:rPr>
            </w:pPr>
            <w:hyperlink r:id="rId132">
              <w:r>
                <w:rPr>
                  <w:rFonts w:ascii="Arial" w:cs="Arial" w:eastAsia="Arial" w:hAnsi="Arial"/>
                  <w:sz w:val="9"/>
                  <w:szCs w:val="9"/>
                  <w:color w:val="0000FF"/>
                  <w:w w:val="72"/>
                </w:rPr>
                <w:t>(1)</w:t>
              </w:r>
            </w:hyperlink>
          </w:p>
        </w:tc>
        <w:tc>
          <w:tcPr>
            <w:tcW w:w="5400" w:type="dxa"/>
            <w:vAlign w:val="bottom"/>
            <w:tcBorders>
              <w:bottom w:val="single" w:sz="8" w:color="0000FF"/>
            </w:tcBorders>
            <w:gridSpan w:val="34"/>
          </w:tcPr>
          <w:p>
            <w:pPr>
              <w:spacing w:after="0" w:line="196"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 incorporated by reference to Exhibit 10.5 to the Company's Annual</w:t>
              </w:r>
            </w:hyperlink>
          </w:p>
        </w:tc>
        <w:tc>
          <w:tcPr>
            <w:tcW w:w="6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20" w:type="dxa"/>
            <w:vAlign w:val="bottom"/>
            <w:gridSpan w:val="2"/>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00" w:type="dxa"/>
            <w:vAlign w:val="bottom"/>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4840" w:type="dxa"/>
            <w:vAlign w:val="bottom"/>
            <w:tcBorders>
              <w:bottom w:val="single" w:sz="8" w:color="0000FF"/>
            </w:tcBorders>
            <w:gridSpan w:val="16"/>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Report on Form 10-K for the year ended December 31, 2022</w:t>
              </w:r>
            </w:hyperlink>
          </w:p>
        </w:tc>
        <w:tc>
          <w:tcPr>
            <w:tcW w:w="4600" w:type="dxa"/>
            <w:vAlign w:val="bottom"/>
            <w:gridSpan w:val="31"/>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700" w:type="dxa"/>
            <w:vAlign w:val="bottom"/>
          </w:tcPr>
          <w:p>
            <w:pPr>
              <w:spacing w:after="0"/>
              <w:rPr>
                <w:sz w:val="20"/>
                <w:szCs w:val="20"/>
                <w:color w:val="auto"/>
              </w:rPr>
            </w:pPr>
            <w:r>
              <w:rPr>
                <w:rFonts w:ascii="Arial" w:cs="Arial" w:eastAsia="Arial" w:hAnsi="Arial"/>
                <w:sz w:val="18"/>
                <w:szCs w:val="18"/>
                <w:color w:val="auto"/>
              </w:rPr>
              <w:t>10.7</w:t>
            </w:r>
          </w:p>
        </w:tc>
        <w:tc>
          <w:tcPr>
            <w:tcW w:w="9440" w:type="dxa"/>
            <w:vAlign w:val="bottom"/>
            <w:gridSpan w:val="47"/>
          </w:tcPr>
          <w:p>
            <w:pPr>
              <w:spacing w:after="0"/>
              <w:rPr>
                <w:rFonts w:ascii="Arial" w:cs="Arial" w:eastAsia="Arial" w:hAnsi="Arial"/>
                <w:sz w:val="18"/>
                <w:szCs w:val="18"/>
                <w:color w:val="0000FF"/>
              </w:rPr>
            </w:pPr>
            <w:hyperlink r:id="rId133">
              <w:r>
                <w:rPr>
                  <w:rFonts w:ascii="Arial" w:cs="Arial" w:eastAsia="Arial" w:hAnsi="Arial"/>
                  <w:sz w:val="18"/>
                  <w:szCs w:val="18"/>
                  <w:color w:val="0000FF"/>
                </w:rPr>
                <w:t>The Lilly Deferred Compensation Plan, as amended</w:t>
              </w:r>
              <w:r>
                <w:rPr>
                  <w:rFonts w:ascii="Arial" w:cs="Arial" w:eastAsia="Arial" w:hAnsi="Arial"/>
                  <w:sz w:val="10"/>
                  <w:szCs w:val="10"/>
                  <w:color w:val="0000FF"/>
                </w:rPr>
                <w:t>(1)</w:t>
              </w:r>
              <w:r>
                <w:rPr>
                  <w:rFonts w:ascii="Arial" w:cs="Arial" w:eastAsia="Arial" w:hAnsi="Arial"/>
                  <w:sz w:val="18"/>
                  <w:szCs w:val="18"/>
                  <w:color w:val="0000FF"/>
                </w:rPr>
                <w:t>, incorporated by reference to Exhibit 10.7 to the Company's</w:t>
              </w:r>
            </w:hyperlink>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28"/>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Annual Report on Form 10-K for the year ended December 31, 2024</w:t>
              </w:r>
            </w:hyperlink>
          </w:p>
        </w:tc>
        <w:tc>
          <w:tcPr>
            <w:tcW w:w="3580" w:type="dxa"/>
            <w:vAlign w:val="bottom"/>
            <w:tcBorders>
              <w:top w:val="single" w:sz="8" w:color="0000FF"/>
            </w:tcBorders>
            <w:gridSpan w:val="14"/>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10.8</w:t>
            </w:r>
          </w:p>
        </w:tc>
        <w:tc>
          <w:tcPr>
            <w:tcW w:w="3680" w:type="dxa"/>
            <w:vAlign w:val="bottom"/>
            <w:tcBorders>
              <w:bottom w:val="single" w:sz="8" w:color="0000FF"/>
            </w:tcBorders>
            <w:gridSpan w:val="8"/>
          </w:tcPr>
          <w:p>
            <w:pPr>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The Lilly Directors' Deferral Plan, as amended</w:t>
              </w:r>
            </w:hyperlink>
          </w:p>
        </w:tc>
        <w:tc>
          <w:tcPr>
            <w:tcW w:w="140" w:type="dxa"/>
            <w:vAlign w:val="bottom"/>
          </w:tcPr>
          <w:p>
            <w:pPr>
              <w:jc w:val="right"/>
              <w:spacing w:after="0"/>
              <w:rPr>
                <w:rFonts w:ascii="Arial" w:cs="Arial" w:eastAsia="Arial" w:hAnsi="Arial"/>
                <w:sz w:val="12"/>
                <w:szCs w:val="12"/>
                <w:u w:val="single" w:color="auto"/>
                <w:color w:val="0000FF"/>
                <w:w w:val="81"/>
              </w:rPr>
            </w:pPr>
            <w:hyperlink r:id="rId134">
              <w:r>
                <w:rPr>
                  <w:rFonts w:ascii="Arial" w:cs="Arial" w:eastAsia="Arial" w:hAnsi="Arial"/>
                  <w:sz w:val="12"/>
                  <w:szCs w:val="12"/>
                  <w:u w:val="single" w:color="auto"/>
                  <w:color w:val="0000FF"/>
                  <w:w w:val="81"/>
                </w:rPr>
                <w:t>(1)</w:t>
              </w:r>
            </w:hyperlink>
          </w:p>
        </w:tc>
        <w:tc>
          <w:tcPr>
            <w:tcW w:w="5380" w:type="dxa"/>
            <w:vAlign w:val="bottom"/>
            <w:tcBorders>
              <w:bottom w:val="single" w:sz="8" w:color="0000FF"/>
            </w:tcBorders>
            <w:gridSpan w:val="35"/>
          </w:tcPr>
          <w:p>
            <w:pPr>
              <w:jc w:val="center"/>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 incorporated by reference to Exhibit 10.8 to the Company's Annual</w:t>
              </w:r>
            </w:hyperlink>
          </w:p>
        </w:tc>
        <w:tc>
          <w:tcPr>
            <w:tcW w:w="2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840" w:type="dxa"/>
            <w:vAlign w:val="bottom"/>
            <w:tcBorders>
              <w:bottom w:val="single" w:sz="8" w:color="0000FF"/>
            </w:tcBorders>
            <w:gridSpan w:val="16"/>
          </w:tcPr>
          <w:p>
            <w:pPr>
              <w:spacing w:after="0" w:line="169"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Report on Form 10-K for the year ended December 31, 2024</w:t>
              </w:r>
            </w:hyperlink>
          </w:p>
        </w:tc>
        <w:tc>
          <w:tcPr>
            <w:tcW w:w="4600" w:type="dxa"/>
            <w:vAlign w:val="bottom"/>
            <w:gridSpan w:val="31"/>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10.9</w:t>
            </w:r>
          </w:p>
        </w:tc>
        <w:tc>
          <w:tcPr>
            <w:tcW w:w="4160" w:type="dxa"/>
            <w:vAlign w:val="bottom"/>
            <w:tcBorders>
              <w:bottom w:val="single" w:sz="8" w:color="0000FF"/>
            </w:tcBorders>
            <w:gridSpan w:val="11"/>
          </w:tcPr>
          <w:p>
            <w:pPr>
              <w:spacing w:after="0"/>
              <w:rPr>
                <w:rFonts w:ascii="Arial" w:cs="Arial" w:eastAsia="Arial" w:hAnsi="Arial"/>
                <w:sz w:val="18"/>
                <w:szCs w:val="18"/>
                <w:color w:val="0000FF"/>
                <w:w w:val="99"/>
              </w:rPr>
            </w:pPr>
            <w:hyperlink r:id="rId135">
              <w:r>
                <w:rPr>
                  <w:rFonts w:ascii="Arial" w:cs="Arial" w:eastAsia="Arial" w:hAnsi="Arial"/>
                  <w:sz w:val="18"/>
                  <w:szCs w:val="18"/>
                  <w:color w:val="0000FF"/>
                  <w:w w:val="99"/>
                </w:rPr>
                <w:t>The Eli Lilly and Company Bonus Plan, as amended</w:t>
              </w:r>
            </w:hyperlink>
          </w:p>
        </w:tc>
        <w:tc>
          <w:tcPr>
            <w:tcW w:w="140" w:type="dxa"/>
            <w:vAlign w:val="bottom"/>
          </w:tcPr>
          <w:p>
            <w:pPr>
              <w:jc w:val="right"/>
              <w:spacing w:after="0"/>
              <w:rPr>
                <w:rFonts w:ascii="Arial" w:cs="Arial" w:eastAsia="Arial" w:hAnsi="Arial"/>
                <w:sz w:val="12"/>
                <w:szCs w:val="12"/>
                <w:u w:val="single" w:color="auto"/>
                <w:color w:val="0000FF"/>
                <w:w w:val="81"/>
              </w:rPr>
            </w:pPr>
            <w:hyperlink r:id="rId135">
              <w:r>
                <w:rPr>
                  <w:rFonts w:ascii="Arial" w:cs="Arial" w:eastAsia="Arial" w:hAnsi="Arial"/>
                  <w:sz w:val="12"/>
                  <w:szCs w:val="12"/>
                  <w:u w:val="single" w:color="auto"/>
                  <w:color w:val="0000FF"/>
                  <w:w w:val="81"/>
                </w:rPr>
                <w:t>(1)</w:t>
              </w:r>
            </w:hyperlink>
          </w:p>
        </w:tc>
        <w:tc>
          <w:tcPr>
            <w:tcW w:w="4880" w:type="dxa"/>
            <w:vAlign w:val="bottom"/>
            <w:tcBorders>
              <w:bottom w:val="single" w:sz="8" w:color="0000FF"/>
            </w:tcBorders>
            <w:gridSpan w:val="31"/>
          </w:tcPr>
          <w:p>
            <w:pPr>
              <w:spacing w:after="0"/>
              <w:rPr>
                <w:rFonts w:ascii="Arial" w:cs="Arial" w:eastAsia="Arial" w:hAnsi="Arial"/>
                <w:sz w:val="18"/>
                <w:szCs w:val="18"/>
                <w:color w:val="0000FF"/>
                <w:w w:val="99"/>
              </w:rPr>
            </w:pPr>
            <w:hyperlink r:id="rId135">
              <w:r>
                <w:rPr>
                  <w:rFonts w:ascii="Arial" w:cs="Arial" w:eastAsia="Arial" w:hAnsi="Arial"/>
                  <w:sz w:val="18"/>
                  <w:szCs w:val="18"/>
                  <w:color w:val="0000FF"/>
                  <w:w w:val="99"/>
                </w:rPr>
                <w:t>, incorporated by reference to Exhibit 10.14 to the Company's</w:t>
              </w:r>
            </w:hyperlink>
          </w:p>
        </w:tc>
        <w:tc>
          <w:tcPr>
            <w:tcW w:w="24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480" w:type="dxa"/>
            <w:vAlign w:val="bottom"/>
            <w:tcBorders>
              <w:bottom w:val="single" w:sz="8" w:color="0000FF"/>
            </w:tcBorders>
            <w:gridSpan w:val="28"/>
          </w:tcPr>
          <w:p>
            <w:pPr>
              <w:spacing w:after="0" w:line="169" w:lineRule="exact"/>
              <w:rPr>
                <w:rFonts w:ascii="Arial" w:cs="Arial" w:eastAsia="Arial" w:hAnsi="Arial"/>
                <w:sz w:val="18"/>
                <w:szCs w:val="18"/>
                <w:color w:val="0000FF"/>
              </w:rPr>
            </w:pPr>
            <w:hyperlink r:id="rId135">
              <w:r>
                <w:rPr>
                  <w:rFonts w:ascii="Arial" w:cs="Arial" w:eastAsia="Arial" w:hAnsi="Arial"/>
                  <w:sz w:val="18"/>
                  <w:szCs w:val="18"/>
                  <w:color w:val="0000FF"/>
                </w:rPr>
                <w:t>Annual Report on Form 10-K for the year ended December 31, 2020</w:t>
              </w:r>
            </w:hyperlink>
          </w:p>
        </w:tc>
        <w:tc>
          <w:tcPr>
            <w:tcW w:w="396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10.10</w:t>
            </w:r>
          </w:p>
        </w:tc>
        <w:tc>
          <w:tcPr>
            <w:tcW w:w="6440" w:type="dxa"/>
            <w:vAlign w:val="bottom"/>
            <w:tcBorders>
              <w:bottom w:val="single" w:sz="8" w:color="0000FF"/>
            </w:tcBorders>
            <w:gridSpan w:val="34"/>
          </w:tcPr>
          <w:p>
            <w:pPr>
              <w:spacing w:after="0"/>
              <w:rPr>
                <w:rFonts w:ascii="Arial" w:cs="Arial" w:eastAsia="Arial" w:hAnsi="Arial"/>
                <w:sz w:val="18"/>
                <w:szCs w:val="18"/>
                <w:color w:val="0000FF"/>
                <w:w w:val="99"/>
              </w:rPr>
            </w:pPr>
            <w:hyperlink r:id="rId136">
              <w:r>
                <w:rPr>
                  <w:rFonts w:ascii="Arial" w:cs="Arial" w:eastAsia="Arial" w:hAnsi="Arial"/>
                  <w:sz w:val="18"/>
                  <w:szCs w:val="18"/>
                  <w:color w:val="0000FF"/>
                  <w:w w:val="99"/>
                </w:rPr>
                <w:t>2007 Change in Control Severance Pay Plan for Select Employees, as amended</w:t>
              </w:r>
            </w:hyperlink>
          </w:p>
        </w:tc>
        <w:tc>
          <w:tcPr>
            <w:tcW w:w="140" w:type="dxa"/>
            <w:vAlign w:val="bottom"/>
          </w:tcPr>
          <w:p>
            <w:pPr>
              <w:jc w:val="center"/>
              <w:spacing w:after="0"/>
              <w:rPr>
                <w:rFonts w:ascii="Arial" w:cs="Arial" w:eastAsia="Arial" w:hAnsi="Arial"/>
                <w:sz w:val="12"/>
                <w:szCs w:val="12"/>
                <w:color w:val="0000FF"/>
                <w:w w:val="81"/>
              </w:rPr>
            </w:pPr>
            <w:hyperlink r:id="rId136">
              <w:r>
                <w:rPr>
                  <w:rFonts w:ascii="Arial" w:cs="Arial" w:eastAsia="Arial" w:hAnsi="Arial"/>
                  <w:sz w:val="12"/>
                  <w:szCs w:val="12"/>
                  <w:color w:val="0000FF"/>
                  <w:w w:val="81"/>
                </w:rPr>
                <w:t>(1)</w:t>
              </w:r>
            </w:hyperlink>
          </w:p>
        </w:tc>
        <w:tc>
          <w:tcPr>
            <w:tcW w:w="2340" w:type="dxa"/>
            <w:vAlign w:val="bottom"/>
            <w:tcBorders>
              <w:bottom w:val="single" w:sz="8" w:color="0000FF"/>
            </w:tcBorders>
            <w:gridSpan w:val="5"/>
          </w:tcPr>
          <w:p>
            <w:pPr>
              <w:spacing w:after="0"/>
              <w:rPr>
                <w:rFonts w:ascii="Arial" w:cs="Arial" w:eastAsia="Arial" w:hAnsi="Arial"/>
                <w:sz w:val="18"/>
                <w:szCs w:val="18"/>
                <w:color w:val="0000FF"/>
                <w:w w:val="98"/>
              </w:rPr>
            </w:pPr>
            <w:hyperlink r:id="rId136">
              <w:r>
                <w:rPr>
                  <w:rFonts w:ascii="Arial" w:cs="Arial" w:eastAsia="Arial" w:hAnsi="Arial"/>
                  <w:sz w:val="18"/>
                  <w:szCs w:val="18"/>
                  <w:color w:val="0000FF"/>
                  <w:w w:val="98"/>
                </w:rPr>
                <w:t>, incorporated by reference to</w:t>
              </w:r>
            </w:hyperlink>
          </w:p>
        </w:tc>
        <w:tc>
          <w:tcPr>
            <w:tcW w:w="500" w:type="dxa"/>
            <w:vAlign w:val="bottom"/>
            <w:gridSpan w:val="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6420" w:type="dxa"/>
            <w:vAlign w:val="bottom"/>
            <w:gridSpan w:val="33"/>
            <w:vMerge w:val="restart"/>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Exhibit 10.10 to the Company’s Annual Report on Form 10-K for the year ended</w:t>
              </w:r>
            </w:hyperlink>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340" w:type="dxa"/>
            <w:vAlign w:val="bottom"/>
            <w:gridSpan w:val="5"/>
            <w:vMerge w:val="restart"/>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December 31, 2023</w:t>
              </w:r>
            </w:hyperlink>
          </w:p>
        </w:tc>
        <w:tc>
          <w:tcPr>
            <w:tcW w:w="500" w:type="dxa"/>
            <w:vAlign w:val="bottom"/>
            <w:gridSpan w:val="6"/>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10"/>
                <w:szCs w:val="10"/>
                <w:color w:val="auto"/>
              </w:rPr>
            </w:pPr>
          </w:p>
        </w:tc>
        <w:tc>
          <w:tcPr>
            <w:tcW w:w="6420" w:type="dxa"/>
            <w:vAlign w:val="bottom"/>
            <w:gridSpan w:val="3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19</w:t>
            </w:r>
          </w:p>
        </w:tc>
        <w:tc>
          <w:tcPr>
            <w:tcW w:w="24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Eli Lilly Insider Trading Policy*</w:t>
            </w:r>
          </w:p>
        </w:tc>
        <w:tc>
          <w:tcPr>
            <w:tcW w:w="5560" w:type="dxa"/>
            <w:vAlign w:val="bottom"/>
            <w:tcBorders>
              <w:top w:val="single" w:sz="8" w:color="0000FF"/>
            </w:tcBorders>
            <w:gridSpan w:val="33"/>
          </w:tcPr>
          <w:p>
            <w:pPr>
              <w:spacing w:after="0"/>
              <w:rPr>
                <w:sz w:val="22"/>
                <w:szCs w:val="22"/>
                <w:color w:val="auto"/>
              </w:rPr>
            </w:pPr>
          </w:p>
        </w:tc>
        <w:tc>
          <w:tcPr>
            <w:tcW w:w="14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21</w:t>
            </w:r>
          </w:p>
        </w:tc>
        <w:tc>
          <w:tcPr>
            <w:tcW w:w="9440" w:type="dxa"/>
            <w:vAlign w:val="bottom"/>
            <w:gridSpan w:val="47"/>
          </w:tcPr>
          <w:p>
            <w:pPr>
              <w:spacing w:after="0"/>
              <w:rPr>
                <w:sz w:val="20"/>
                <w:szCs w:val="20"/>
                <w:color w:val="auto"/>
              </w:rPr>
            </w:pPr>
            <w:r>
              <w:rPr>
                <w:rFonts w:ascii="Arial" w:cs="Arial" w:eastAsia="Arial" w:hAnsi="Arial"/>
                <w:sz w:val="18"/>
                <w:szCs w:val="18"/>
                <w:color w:val="0000FF"/>
              </w:rPr>
              <w:t>List of Subsidiaries*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23</w:t>
            </w:r>
          </w:p>
        </w:tc>
        <w:tc>
          <w:tcPr>
            <w:tcW w:w="48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c>
          <w:tcPr>
            <w:tcW w:w="4620" w:type="dxa"/>
            <w:vAlign w:val="bottom"/>
            <w:gridSpan w:val="3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24</w:t>
            </w:r>
          </w:p>
        </w:tc>
        <w:tc>
          <w:tcPr>
            <w:tcW w:w="9440" w:type="dxa"/>
            <w:vAlign w:val="bottom"/>
            <w:gridSpan w:val="47"/>
          </w:tcPr>
          <w:p>
            <w:pPr>
              <w:spacing w:after="0"/>
              <w:rPr>
                <w:sz w:val="20"/>
                <w:szCs w:val="20"/>
                <w:color w:val="auto"/>
              </w:rPr>
            </w:pPr>
            <w:r>
              <w:rPr>
                <w:rFonts w:ascii="Arial" w:cs="Arial" w:eastAsia="Arial" w:hAnsi="Arial"/>
                <w:sz w:val="18"/>
                <w:szCs w:val="18"/>
                <w:color w:val="0000FF"/>
              </w:rPr>
              <w:t>Power of Attorney</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31.1</w:t>
            </w:r>
          </w:p>
        </w:tc>
        <w:tc>
          <w:tcPr>
            <w:tcW w:w="714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color w:val="0000FF"/>
                <w:w w:val="99"/>
              </w:rPr>
              <w:t>Rule 13a-14(a) Certification of David Ricks, Chair, President, and Chief Executive Officer*</w:t>
            </w:r>
          </w:p>
        </w:tc>
        <w:tc>
          <w:tcPr>
            <w:tcW w:w="230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31.2</w:t>
            </w:r>
          </w:p>
        </w:tc>
        <w:tc>
          <w:tcPr>
            <w:tcW w:w="9440" w:type="dxa"/>
            <w:vAlign w:val="bottom"/>
            <w:gridSpan w:val="47"/>
          </w:tcPr>
          <w:p>
            <w:pPr>
              <w:spacing w:after="0"/>
              <w:rPr>
                <w:sz w:val="20"/>
                <w:szCs w:val="20"/>
                <w:color w:val="auto"/>
              </w:rPr>
            </w:pPr>
            <w:r>
              <w:rPr>
                <w:rFonts w:ascii="Arial" w:cs="Arial" w:eastAsia="Arial" w:hAnsi="Arial"/>
                <w:sz w:val="18"/>
                <w:szCs w:val="18"/>
                <w:color w:val="0000FF"/>
              </w:rPr>
              <w:t>Rule 13a-14(a) Certification of Lucas Montarce, Executive Vice President and Chief Financial Officer*</w:t>
            </w: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32</w:t>
            </w:r>
          </w:p>
        </w:tc>
        <w:tc>
          <w:tcPr>
            <w:tcW w:w="8060" w:type="dxa"/>
            <w:vAlign w:val="bottom"/>
            <w:tcBorders>
              <w:top w:val="single" w:sz="8" w:color="0000FF"/>
            </w:tcBorders>
            <w:gridSpan w:val="38"/>
          </w:tcPr>
          <w:p>
            <w:pPr>
              <w:spacing w:after="0"/>
              <w:rPr>
                <w:sz w:val="20"/>
                <w:szCs w:val="20"/>
                <w:color w:val="auto"/>
              </w:rPr>
            </w:pPr>
            <w:r>
              <w:rPr>
                <w:rFonts w:ascii="Arial" w:cs="Arial" w:eastAsia="Arial" w:hAnsi="Arial"/>
                <w:sz w:val="18"/>
                <w:szCs w:val="18"/>
                <w:color w:val="0000FF"/>
              </w:rPr>
              <w:t>Section 1350 Certification*</w:t>
            </w:r>
          </w:p>
        </w:tc>
        <w:tc>
          <w:tcPr>
            <w:tcW w:w="13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97</w:t>
            </w:r>
          </w:p>
        </w:tc>
        <w:tc>
          <w:tcPr>
            <w:tcW w:w="9440" w:type="dxa"/>
            <w:vAlign w:val="bottom"/>
            <w:gridSpan w:val="47"/>
          </w:tcPr>
          <w:p>
            <w:pPr>
              <w:spacing w:after="0"/>
              <w:rPr>
                <w:rFonts w:ascii="Arial" w:cs="Arial" w:eastAsia="Arial" w:hAnsi="Arial"/>
                <w:sz w:val="18"/>
                <w:szCs w:val="18"/>
                <w:color w:val="0000FF"/>
                <w:w w:val="99"/>
              </w:rPr>
            </w:pPr>
            <w:hyperlink r:id="rId137">
              <w:r>
                <w:rPr>
                  <w:rFonts w:ascii="Arial" w:cs="Arial" w:eastAsia="Arial" w:hAnsi="Arial"/>
                  <w:sz w:val="18"/>
                  <w:szCs w:val="18"/>
                  <w:color w:val="0000FF"/>
                  <w:w w:val="99"/>
                </w:rPr>
                <w:t>Executive Compensation Recovery Policy, incorporated by reference to Exhibit 97 to the Company’s Annual Report on</w:t>
              </w:r>
            </w:hyperlink>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Form 10-K for the year ended December 31, 2023</w:t>
              </w:r>
            </w:hyperlink>
          </w:p>
        </w:tc>
        <w:tc>
          <w:tcPr>
            <w:tcW w:w="5420" w:type="dxa"/>
            <w:vAlign w:val="bottom"/>
            <w:tcBorders>
              <w:top w:val="single" w:sz="8" w:color="0000FF"/>
            </w:tcBorders>
            <w:gridSpan w:val="3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700" w:type="dxa"/>
            <w:vAlign w:val="bottom"/>
          </w:tcPr>
          <w:p>
            <w:pPr>
              <w:spacing w:after="0"/>
              <w:rPr>
                <w:sz w:val="20"/>
                <w:szCs w:val="20"/>
                <w:color w:val="auto"/>
              </w:rPr>
            </w:pPr>
            <w:r>
              <w:rPr>
                <w:rFonts w:ascii="Arial" w:cs="Arial" w:eastAsia="Arial" w:hAnsi="Arial"/>
                <w:sz w:val="18"/>
                <w:szCs w:val="18"/>
                <w:color w:val="auto"/>
              </w:rPr>
              <w:t>101</w:t>
            </w:r>
          </w:p>
        </w:tc>
        <w:tc>
          <w:tcPr>
            <w:tcW w:w="9440" w:type="dxa"/>
            <w:vAlign w:val="bottom"/>
            <w:gridSpan w:val="47"/>
          </w:tcPr>
          <w:p>
            <w:pPr>
              <w:spacing w:after="0"/>
              <w:rPr>
                <w:sz w:val="20"/>
                <w:szCs w:val="20"/>
                <w:color w:val="auto"/>
              </w:rPr>
            </w:pPr>
            <w:r>
              <w:rPr>
                <w:rFonts w:ascii="Arial" w:cs="Arial" w:eastAsia="Arial" w:hAnsi="Arial"/>
                <w:sz w:val="18"/>
                <w:szCs w:val="18"/>
                <w:color w:val="auto"/>
              </w:rPr>
              <w:t>Interactive Data File*</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0"/>
                <w:szCs w:val="20"/>
                <w:color w:val="auto"/>
              </w:rPr>
            </w:pPr>
            <w:r>
              <w:rPr>
                <w:rFonts w:ascii="Arial" w:cs="Arial" w:eastAsia="Arial" w:hAnsi="Arial"/>
                <w:sz w:val="18"/>
                <w:szCs w:val="18"/>
                <w:color w:val="auto"/>
              </w:rPr>
              <w:t>104</w:t>
            </w:r>
          </w:p>
        </w:tc>
        <w:tc>
          <w:tcPr>
            <w:tcW w:w="9440" w:type="dxa"/>
            <w:vAlign w:val="bottom"/>
            <w:gridSpan w:val="47"/>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7520" w:firstLine="8"/>
        <w:spacing w:after="0" w:line="325" w:lineRule="auto"/>
        <w:tabs>
          <w:tab w:leader="none" w:pos="150" w:val="left"/>
        </w:tabs>
        <w:numPr>
          <w:ilvl w:val="0"/>
          <w:numId w:val="39"/>
        </w:numPr>
        <w:rPr>
          <w:rFonts w:ascii="Arial" w:cs="Arial" w:eastAsia="Arial" w:hAnsi="Arial"/>
          <w:sz w:val="9"/>
          <w:szCs w:val="9"/>
          <w:color w:val="auto"/>
        </w:rPr>
      </w:pPr>
      <w:r>
        <w:rPr>
          <w:rFonts w:ascii="Arial" w:cs="Arial" w:eastAsia="Arial" w:hAnsi="Arial"/>
          <w:sz w:val="14"/>
          <w:szCs w:val="14"/>
          <w:color w:val="auto"/>
        </w:rPr>
        <w:t>Indicates management contract or compensatory plan. * Filed herewith.</w:t>
      </w:r>
    </w:p>
    <w:p>
      <w:pPr>
        <w:spacing w:after="0" w:line="144"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Long-term debt instruments under which the total amount of securities authorized does not exceed 10 percent of our consolidated assets are not filed as exhibits to this Annual Report. We will furnish a copy of these agreements to the Securities and Exchange Commission upon request.</w:t>
      </w:r>
    </w:p>
    <w:p>
      <w:pPr>
        <w:spacing w:after="0" w:line="3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 Lilly and Company</w:t>
      </w:r>
    </w:p>
    <w:p>
      <w:pPr>
        <w:spacing w:after="0" w:line="250" w:lineRule="exact"/>
        <w:rPr>
          <w:sz w:val="20"/>
          <w:szCs w:val="20"/>
          <w:color w:val="auto"/>
        </w:rPr>
      </w:pPr>
    </w:p>
    <w:p>
      <w:pPr>
        <w:ind w:left="20"/>
        <w:spacing w:after="0"/>
        <w:tabs>
          <w:tab w:leader="none" w:pos="620" w:val="left"/>
          <w:tab w:leader="none" w:pos="100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tab/>
        <w:t>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17780</wp:posOffset>
            </wp:positionV>
            <wp:extent cx="39001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David Ricks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President, and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0" w:right="439" w:bottom="1440" w:gutter="0" w:footer="0" w:header="0"/>
        </w:sectPr>
      </w:pPr>
    </w:p>
    <w:bookmarkStart w:id="103" w:name="page104"/>
    <w:bookmarkEnd w:id="103"/>
    <w:p>
      <w:pPr>
        <w:ind w:right="5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12, 2026 by the following persons on behalf of the Registrant and in the capacities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b w:val="1"/>
                <w:bCs w:val="1"/>
                <w:color w:val="auto"/>
              </w:rPr>
              <w:t>Signature</w:t>
            </w: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11"/>
        </w:trPr>
        <w:tc>
          <w:tcPr>
            <w:tcW w:w="780" w:type="dxa"/>
            <w:vAlign w:val="bottom"/>
          </w:tcPr>
          <w:p>
            <w:pPr>
              <w:spacing w:after="0"/>
              <w:rPr>
                <w:sz w:val="18"/>
                <w:szCs w:val="18"/>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rPr>
              <w:t>/s/ David Ricks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w w:val="99"/>
              </w:rPr>
              <w:t>Chair, President, and Chief Executive Officer (principal executive</w:t>
            </w:r>
          </w:p>
        </w:tc>
        <w:tc>
          <w:tcPr>
            <w:tcW w:w="0" w:type="dxa"/>
            <w:vAlign w:val="bottom"/>
          </w:tcPr>
          <w:p>
            <w:pPr>
              <w:spacing w:after="0"/>
              <w:rPr>
                <w:sz w:val="1"/>
                <w:szCs w:val="1"/>
                <w:color w:val="auto"/>
              </w:rPr>
            </w:pPr>
          </w:p>
        </w:tc>
      </w:tr>
      <w:tr>
        <w:trPr>
          <w:trHeight w:val="81"/>
        </w:trPr>
        <w:tc>
          <w:tcPr>
            <w:tcW w:w="78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5220" w:type="dxa"/>
            <w:vAlign w:val="bottom"/>
            <w:vMerge w:val="restart"/>
          </w:tcPr>
          <w:p>
            <w:pPr>
              <w:ind w:left="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138"/>
        </w:trPr>
        <w:tc>
          <w:tcPr>
            <w:tcW w:w="780" w:type="dxa"/>
            <w:vAlign w:val="bottom"/>
          </w:tcPr>
          <w:p>
            <w:pPr>
              <w:spacing w:after="0"/>
              <w:rPr>
                <w:sz w:val="11"/>
                <w:szCs w:val="11"/>
                <w:color w:val="auto"/>
              </w:rPr>
            </w:pPr>
          </w:p>
        </w:tc>
        <w:tc>
          <w:tcPr>
            <w:tcW w:w="4060" w:type="dxa"/>
            <w:vAlign w:val="bottom"/>
            <w:vMerge w:val="restart"/>
          </w:tcPr>
          <w:p>
            <w:pPr>
              <w:jc w:val="center"/>
              <w:ind w:left="71"/>
              <w:spacing w:after="0"/>
              <w:rPr>
                <w:sz w:val="20"/>
                <w:szCs w:val="20"/>
                <w:color w:val="auto"/>
              </w:rPr>
            </w:pPr>
            <w:r>
              <w:rPr>
                <w:rFonts w:ascii="Arial" w:cs="Arial" w:eastAsia="Arial" w:hAnsi="Arial"/>
                <w:sz w:val="18"/>
                <w:szCs w:val="18"/>
                <w:color w:val="auto"/>
                <w:w w:val="99"/>
              </w:rPr>
              <w:t>DAVID RICKS</w:t>
            </w:r>
          </w:p>
        </w:tc>
        <w:tc>
          <w:tcPr>
            <w:tcW w:w="9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5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40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w w:val="99"/>
              </w:rPr>
              <w:t>/s/ Lucas Montarce</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81"/>
        </w:trPr>
        <w:tc>
          <w:tcPr>
            <w:tcW w:w="78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5220" w:type="dxa"/>
            <w:vAlign w:val="bottom"/>
            <w:vMerge w:val="restart"/>
          </w:tcPr>
          <w:p>
            <w:pPr>
              <w:ind w:left="6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138"/>
        </w:trPr>
        <w:tc>
          <w:tcPr>
            <w:tcW w:w="780" w:type="dxa"/>
            <w:vAlign w:val="bottom"/>
          </w:tcPr>
          <w:p>
            <w:pPr>
              <w:spacing w:after="0"/>
              <w:rPr>
                <w:sz w:val="11"/>
                <w:szCs w:val="11"/>
                <w:color w:val="auto"/>
              </w:rPr>
            </w:pPr>
          </w:p>
        </w:tc>
        <w:tc>
          <w:tcPr>
            <w:tcW w:w="4060" w:type="dxa"/>
            <w:vAlign w:val="bottom"/>
            <w:vMerge w:val="restart"/>
          </w:tcPr>
          <w:p>
            <w:pPr>
              <w:jc w:val="center"/>
              <w:ind w:left="71"/>
              <w:spacing w:after="0"/>
              <w:rPr>
                <w:sz w:val="20"/>
                <w:szCs w:val="20"/>
                <w:color w:val="auto"/>
              </w:rPr>
            </w:pPr>
            <w:r>
              <w:rPr>
                <w:rFonts w:ascii="Arial" w:cs="Arial" w:eastAsia="Arial" w:hAnsi="Arial"/>
                <w:sz w:val="18"/>
                <w:szCs w:val="18"/>
                <w:color w:val="auto"/>
                <w:w w:val="98"/>
              </w:rPr>
              <w:t>LUCAS MONTARCE</w:t>
            </w:r>
          </w:p>
        </w:tc>
        <w:tc>
          <w:tcPr>
            <w:tcW w:w="9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5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40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rPr>
              <w:t>/s/ Donald Zakrowski</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Senior Vice President, Finance, and Chief Accounting Officer</w:t>
            </w:r>
          </w:p>
        </w:tc>
        <w:tc>
          <w:tcPr>
            <w:tcW w:w="0" w:type="dxa"/>
            <w:vAlign w:val="bottom"/>
          </w:tcPr>
          <w:p>
            <w:pPr>
              <w:spacing w:after="0"/>
              <w:rPr>
                <w:sz w:val="1"/>
                <w:szCs w:val="1"/>
                <w:color w:val="auto"/>
              </w:rPr>
            </w:pPr>
          </w:p>
        </w:tc>
      </w:tr>
      <w:tr>
        <w:trPr>
          <w:trHeight w:val="81"/>
        </w:trPr>
        <w:tc>
          <w:tcPr>
            <w:tcW w:w="78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5220" w:type="dxa"/>
            <w:vAlign w:val="bottom"/>
            <w:vMerge w:val="restart"/>
          </w:tcPr>
          <w:p>
            <w:pPr>
              <w:ind w:left="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138"/>
        </w:trPr>
        <w:tc>
          <w:tcPr>
            <w:tcW w:w="780" w:type="dxa"/>
            <w:vAlign w:val="bottom"/>
          </w:tcPr>
          <w:p>
            <w:pPr>
              <w:spacing w:after="0"/>
              <w:rPr>
                <w:sz w:val="11"/>
                <w:szCs w:val="11"/>
                <w:color w:val="auto"/>
              </w:rPr>
            </w:pPr>
          </w:p>
        </w:tc>
        <w:tc>
          <w:tcPr>
            <w:tcW w:w="4060" w:type="dxa"/>
            <w:vAlign w:val="bottom"/>
            <w:vMerge w:val="restart"/>
          </w:tcPr>
          <w:p>
            <w:pPr>
              <w:jc w:val="center"/>
              <w:ind w:left="51"/>
              <w:spacing w:after="0"/>
              <w:rPr>
                <w:sz w:val="20"/>
                <w:szCs w:val="20"/>
                <w:color w:val="auto"/>
              </w:rPr>
            </w:pPr>
            <w:r>
              <w:rPr>
                <w:rFonts w:ascii="Arial" w:cs="Arial" w:eastAsia="Arial" w:hAnsi="Arial"/>
                <w:sz w:val="18"/>
                <w:szCs w:val="18"/>
                <w:color w:val="auto"/>
                <w:w w:val="99"/>
              </w:rPr>
              <w:t>DONALD ZAKROWSKI</w:t>
            </w:r>
          </w:p>
        </w:tc>
        <w:tc>
          <w:tcPr>
            <w:tcW w:w="9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5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40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w w:val="97"/>
              </w:rPr>
              <w:t>RALPH ALVAREZ</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w w:val="99"/>
              </w:rPr>
              <w:t>KATHERINE BAICKER, Ph.D.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71"/>
              <w:spacing w:after="0"/>
              <w:rPr>
                <w:sz w:val="20"/>
                <w:szCs w:val="20"/>
                <w:color w:val="auto"/>
              </w:rPr>
            </w:pPr>
            <w:r>
              <w:rPr>
                <w:rFonts w:ascii="Arial" w:cs="Arial" w:eastAsia="Arial" w:hAnsi="Arial"/>
                <w:sz w:val="18"/>
                <w:szCs w:val="18"/>
                <w:color w:val="auto"/>
                <w:w w:val="99"/>
              </w:rPr>
              <w:t>CAROLYN BERTOZZI, Ph.D.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71"/>
              <w:spacing w:after="0"/>
              <w:rPr>
                <w:sz w:val="20"/>
                <w:szCs w:val="20"/>
                <w:color w:val="auto"/>
              </w:rPr>
            </w:pPr>
            <w:r>
              <w:rPr>
                <w:rFonts w:ascii="Arial" w:cs="Arial" w:eastAsia="Arial" w:hAnsi="Arial"/>
                <w:sz w:val="18"/>
                <w:szCs w:val="18"/>
                <w:color w:val="auto"/>
                <w:w w:val="99"/>
              </w:rPr>
              <w:t>ERIK FYRWALD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w w:val="97"/>
              </w:rPr>
              <w:t>MARY LYNNE HEDLEY, Ph.D.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rPr>
              <w:t>JAMERE JACKSON</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71"/>
              <w:spacing w:after="0"/>
              <w:rPr>
                <w:sz w:val="20"/>
                <w:szCs w:val="20"/>
                <w:color w:val="auto"/>
              </w:rPr>
            </w:pPr>
            <w:r>
              <w:rPr>
                <w:rFonts w:ascii="Arial" w:cs="Arial" w:eastAsia="Arial" w:hAnsi="Arial"/>
                <w:sz w:val="18"/>
                <w:szCs w:val="18"/>
                <w:color w:val="auto"/>
                <w:w w:val="98"/>
              </w:rPr>
              <w:t>KIMBERLY JOHNSON</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w w:val="99"/>
              </w:rPr>
              <w:t>WILLIAM KAELIN, JR., M.D.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w w:val="99"/>
              </w:rPr>
              <w:t>JUAN LUCIANO</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rPr>
              <w:t>JON MOELLER</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22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060" w:type="dxa"/>
            <w:vAlign w:val="bottom"/>
          </w:tcPr>
          <w:p>
            <w:pPr>
              <w:jc w:val="center"/>
              <w:ind w:left="51"/>
              <w:spacing w:after="0"/>
              <w:rPr>
                <w:sz w:val="20"/>
                <w:szCs w:val="20"/>
                <w:color w:val="auto"/>
              </w:rPr>
            </w:pPr>
            <w:r>
              <w:rPr>
                <w:rFonts w:ascii="Arial" w:cs="Arial" w:eastAsia="Arial" w:hAnsi="Arial"/>
                <w:sz w:val="18"/>
                <w:szCs w:val="18"/>
                <w:color w:val="auto"/>
              </w:rPr>
              <w:t>GABRIELLE SULZBERGER</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4060" w:type="dxa"/>
            <w:vAlign w:val="bottom"/>
          </w:tcPr>
          <w:p>
            <w:pPr>
              <w:jc w:val="center"/>
              <w:ind w:left="1011"/>
              <w:spacing w:after="0"/>
              <w:rPr>
                <w:sz w:val="20"/>
                <w:szCs w:val="20"/>
                <w:color w:val="auto"/>
              </w:rPr>
            </w:pPr>
            <w:r>
              <w:rPr>
                <w:rFonts w:ascii="Arial" w:cs="Arial" w:eastAsia="Arial" w:hAnsi="Arial"/>
                <w:sz w:val="18"/>
                <w:szCs w:val="18"/>
                <w:color w:val="auto"/>
                <w:w w:val="99"/>
              </w:rPr>
              <w:t>/s/ Lucas Montarce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4060" w:type="dxa"/>
            <w:vAlign w:val="bottom"/>
          </w:tcPr>
          <w:p>
            <w:pPr>
              <w:jc w:val="center"/>
              <w:ind w:left="1011"/>
              <w:spacing w:after="0" w:line="191" w:lineRule="exact"/>
              <w:rPr>
                <w:sz w:val="20"/>
                <w:szCs w:val="20"/>
                <w:color w:val="auto"/>
              </w:rPr>
            </w:pPr>
            <w:r>
              <w:rPr>
                <w:rFonts w:ascii="Arial" w:cs="Arial" w:eastAsia="Arial" w:hAnsi="Arial"/>
                <w:sz w:val="18"/>
                <w:szCs w:val="18"/>
                <w:color w:val="auto"/>
                <w:w w:val="99"/>
              </w:rPr>
              <w:t>LUCAS MONTARCE</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4060" w:type="dxa"/>
            <w:vAlign w:val="bottom"/>
          </w:tcPr>
          <w:p>
            <w:pPr>
              <w:jc w:val="center"/>
              <w:ind w:left="1031"/>
              <w:spacing w:after="0"/>
              <w:rPr>
                <w:sz w:val="20"/>
                <w:szCs w:val="20"/>
                <w:color w:val="auto"/>
              </w:rPr>
            </w:pPr>
            <w:r>
              <w:rPr>
                <w:rFonts w:ascii="Arial" w:cs="Arial" w:eastAsia="Arial" w:hAnsi="Arial"/>
                <w:sz w:val="18"/>
                <w:szCs w:val="18"/>
                <w:color w:val="auto"/>
                <w:w w:val="99"/>
              </w:rPr>
              <w:t>As Attorney-in-Fact</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2"/>
        </w:trPr>
        <w:tc>
          <w:tcPr>
            <w:tcW w:w="7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985" w:right="419" w:bottom="1440" w:gutter="0" w:footer="0" w:header="0"/>
        </w:sectPr>
      </w:pPr>
    </w:p>
    <w:bookmarkStart w:id="104" w:name="page105"/>
    <w:bookmarkEnd w:id="104"/>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Exhibit 10.3 Form of Revenue Growth Award under the 2002 Lilly Stock Plan</w:t>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Eli Lilly and Company</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Revenue Growth Award Agreement</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36"/>
          <w:szCs w:val="36"/>
          <w:i w:val="1"/>
          <w:iCs w:val="1"/>
          <w:color w:val="auto"/>
        </w:rPr>
        <w:t>(for Executives and Executive Officers)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This Revenue Growth Award has been granted on [•] (“Grant Date”) by Eli Lilly and Company, an Indiana corporation, with its principal offices in Indianapolis, Indiana (“Lilly” or the “Company”), to the Eligible Individual who has received this Revenue Growth Award Agreement (the “Grantee”).</w:t>
      </w: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3" w:lineRule="exact"/>
        <w:rPr>
          <w:sz w:val="20"/>
          <w:szCs w:val="20"/>
          <w:color w:val="auto"/>
        </w:rPr>
      </w:pPr>
    </w:p>
    <w:p>
      <w:pPr>
        <w:sectPr>
          <w:pgSz w:w="11900" w:h="16838" w:orient="portrait"/>
          <w:cols w:equalWidth="0" w:num="2">
            <w:col w:w="2600" w:space="720"/>
            <w:col w:w="7760"/>
          </w:cols>
          <w:pgMar w:left="320" w:top="1440" w:right="4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ectPr>
          <w:pgSz w:w="11900" w:h="16838" w:orient="portrait"/>
          <w:cols w:equalWidth="0" w:num="2">
            <w:col w:w="2600" w:space="720"/>
            <w:col w:w="7760"/>
          </w:cols>
          <w:pgMar w:left="320" w:top="1440" w:right="4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ectPr>
          <w:pgSz w:w="11900" w:h="16838" w:orient="portrait"/>
          <w:cols w:equalWidth="0" w:num="2">
            <w:col w:w="2600" w:space="720"/>
            <w:col w:w="7760"/>
          </w:cols>
          <w:pgMar w:left="320" w:top="1440" w:right="4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780" w:space="540"/>
            <w:col w:w="7760"/>
          </w:cols>
          <w:pgMar w:left="320" w:top="1440" w:right="499"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Lilly Revenue Performance Levels:</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080"/>
          </w:cols>
          <w:pgMar w:left="320" w:top="1440" w:right="49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40" w:type="dxa"/>
            <w:vAlign w:val="bottom"/>
          </w:tcPr>
          <w:p>
            <w:pPr>
              <w:ind w:left="3300"/>
              <w:spacing w:after="0"/>
              <w:rPr>
                <w:sz w:val="20"/>
                <w:szCs w:val="20"/>
                <w:color w:val="auto"/>
              </w:rPr>
            </w:pPr>
            <w:r>
              <w:rPr>
                <w:rFonts w:ascii="Arial" w:cs="Arial" w:eastAsia="Arial" w:hAnsi="Arial"/>
                <w:sz w:val="22"/>
                <w:szCs w:val="22"/>
                <w:color w:val="auto"/>
              </w:rPr>
              <w:t>Table of Contents</w:t>
            </w:r>
          </w:p>
        </w:tc>
        <w:tc>
          <w:tcPr>
            <w:tcW w:w="2480" w:type="dxa"/>
            <w:vAlign w:val="bottom"/>
          </w:tcPr>
          <w:p>
            <w:pPr>
              <w:spacing w:after="0"/>
              <w:rPr>
                <w:sz w:val="24"/>
                <w:szCs w:val="24"/>
                <w:color w:val="auto"/>
              </w:rPr>
            </w:pPr>
          </w:p>
        </w:tc>
      </w:tr>
      <w:tr>
        <w:trPr>
          <w:trHeight w:val="916"/>
        </w:trPr>
        <w:tc>
          <w:tcPr>
            <w:tcW w:w="8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  Grant of Revenue Growth Award</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60" w:type="dxa"/>
            <w:vAlign w:val="bottom"/>
          </w:tcPr>
          <w:p>
            <w:pPr>
              <w:spacing w:after="0"/>
              <w:rPr>
                <w:sz w:val="24"/>
                <w:szCs w:val="24"/>
                <w:color w:val="auto"/>
              </w:rPr>
            </w:pPr>
          </w:p>
        </w:tc>
        <w:tc>
          <w:tcPr>
            <w:tcW w:w="7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8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  Impact of Certain Employment Status Changes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8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  Change in Control</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60" w:type="dxa"/>
            <w:vAlign w:val="bottom"/>
          </w:tcPr>
          <w:p>
            <w:pPr>
              <w:spacing w:after="0"/>
              <w:rPr>
                <w:sz w:val="24"/>
                <w:szCs w:val="24"/>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32"/>
        </w:trPr>
        <w:tc>
          <w:tcPr>
            <w:tcW w:w="8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6.  Rights of the Grantee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32"/>
        </w:trPr>
        <w:tc>
          <w:tcPr>
            <w:tcW w:w="8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  Prohibition Against Transfer</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Responsibility for Taxes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Section 409A Compliance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w:t>
            </w:r>
          </w:p>
        </w:tc>
        <w:tc>
          <w:tcPr>
            <w:tcW w:w="7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Grantee’s Acknowledgment</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11.</w:t>
            </w:r>
          </w:p>
        </w:tc>
        <w:tc>
          <w:tcPr>
            <w:tcW w:w="7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Data Privacy</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32"/>
        </w:trPr>
        <w:tc>
          <w:tcPr>
            <w:tcW w:w="8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12.  Restrictive Covenants and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32"/>
        </w:trPr>
        <w:tc>
          <w:tcPr>
            <w:tcW w:w="8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13.  Additional Terms and Conditions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32"/>
        </w:trPr>
        <w:tc>
          <w:tcPr>
            <w:tcW w:w="8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14.  Governing Law and Choice of Venue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15.</w:t>
            </w:r>
          </w:p>
        </w:tc>
        <w:tc>
          <w:tcPr>
            <w:tcW w:w="7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Miscellaneous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16.</w:t>
            </w:r>
          </w:p>
        </w:tc>
        <w:tc>
          <w:tcPr>
            <w:tcW w:w="7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Compensation Recovery</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17.</w:t>
            </w:r>
          </w:p>
        </w:tc>
        <w:tc>
          <w:tcPr>
            <w:tcW w:w="7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Award Subject to Acknowledgement of Acceptance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ectPr>
          <w:pgSz w:w="11900" w:h="16838" w:orient="portrait"/>
          <w:cols w:equalWidth="0" w:num="1">
            <w:col w:w="11200"/>
          </w:cols>
          <w:pgMar w:left="320" w:top="343" w:right="37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019"/>
          </w:cols>
          <w:pgMar w:left="1440" w:top="1273" w:right="1440"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1.</w:t>
        <w:tab/>
        <w:t>Grant of Revenue Growth Award</w:t>
      </w:r>
    </w:p>
    <w:p>
      <w:pPr>
        <w:spacing w:after="0" w:line="132" w:lineRule="exact"/>
        <w:rPr>
          <w:sz w:val="20"/>
          <w:szCs w:val="20"/>
          <w:color w:val="auto"/>
        </w:rPr>
      </w:pPr>
    </w:p>
    <w:p>
      <w:pPr>
        <w:jc w:val="both"/>
        <w:ind w:left="400"/>
        <w:spacing w:after="0" w:line="250"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Revenue Growth Award Agreement (the “Grantee”) a Performance-Based Award (the “Revenue Growth Award” or the “Award”) with respect to the target number of shares of Lilly Common Stock (the “Shares”) set forth on the first page of this document and available by logging on to the Company’s stock plan administrator’s website at </w:t>
      </w:r>
      <w:r>
        <w:rPr>
          <w:rFonts w:ascii="Arial" w:cs="Arial" w:eastAsia="Arial" w:hAnsi="Arial"/>
          <w:sz w:val="22"/>
          <w:szCs w:val="22"/>
          <w:u w:val="single" w:color="auto"/>
          <w:color w:val="0000FF"/>
        </w:rPr>
        <w:t>http://mystock.lilly.com</w:t>
      </w:r>
      <w:r>
        <w:rPr>
          <w:rFonts w:ascii="Arial" w:cs="Arial" w:eastAsia="Arial" w:hAnsi="Arial"/>
          <w:sz w:val="22"/>
          <w:szCs w:val="22"/>
          <w:color w:val="auto"/>
        </w:rPr>
        <w:t xml:space="preserve"> (the “Target Number of Shares”).</w:t>
      </w:r>
    </w:p>
    <w:p>
      <w:pPr>
        <w:spacing w:after="0" w:line="86" w:lineRule="exact"/>
        <w:rPr>
          <w:sz w:val="20"/>
          <w:szCs w:val="20"/>
          <w:color w:val="auto"/>
        </w:rPr>
      </w:pPr>
    </w:p>
    <w:p>
      <w:pPr>
        <w:jc w:val="both"/>
        <w:ind w:left="400"/>
        <w:spacing w:after="0" w:line="25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Revenue Growth Award Agreement, including all appendices, exhibits and addenda hereto (the “Award Agreement”). In the event of any conflict between the terms of the Plan and this Award Agreement, the terms of the Plan shall govern except with respect to the provisions described in Section 12 below and Section 5(b) below (in which case, the terms of the Award Agreement shall govern).</w:t>
      </w:r>
    </w:p>
    <w:p>
      <w:pPr>
        <w:spacing w:after="0" w:line="73" w:lineRule="exact"/>
        <w:rPr>
          <w:sz w:val="20"/>
          <w:szCs w:val="20"/>
          <w:color w:val="auto"/>
        </w:rPr>
      </w:pPr>
    </w:p>
    <w:p>
      <w:pPr>
        <w:jc w:val="both"/>
        <w:ind w:left="400"/>
        <w:spacing w:after="0" w:line="272"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78" w:lineRule="exact"/>
        <w:rPr>
          <w:sz w:val="20"/>
          <w:szCs w:val="20"/>
          <w:color w:val="auto"/>
        </w:rPr>
      </w:pPr>
    </w:p>
    <w:p>
      <w:pPr>
        <w:jc w:val="both"/>
        <w:ind w:left="420"/>
        <w:spacing w:after="0" w:line="257"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78" w:lineRule="exact"/>
        <w:rPr>
          <w:sz w:val="20"/>
          <w:szCs w:val="20"/>
          <w:color w:val="auto"/>
        </w:rPr>
      </w:pPr>
    </w:p>
    <w:p>
      <w:pPr>
        <w:ind w:left="1300" w:hanging="644"/>
        <w:spacing w:after="0" w:line="257" w:lineRule="auto"/>
        <w:tabs>
          <w:tab w:leader="none" w:pos="1099"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Lilly Revenue Performance Levels table on the first page of this document representing the attainment level of the Lilly Cumulative Revenue measured against the performance goal attainment levels set forth in the table.</w:t>
      </w:r>
    </w:p>
    <w:p>
      <w:pPr>
        <w:spacing w:after="0" w:line="64" w:lineRule="exact"/>
        <w:rPr>
          <w:rFonts w:ascii="Arial" w:cs="Arial" w:eastAsia="Arial" w:hAnsi="Arial"/>
          <w:sz w:val="22"/>
          <w:szCs w:val="22"/>
          <w:color w:val="auto"/>
        </w:rPr>
      </w:pPr>
    </w:p>
    <w:p>
      <w:pPr>
        <w:ind w:left="1300" w:hanging="644"/>
        <w:spacing w:after="0" w:line="272" w:lineRule="auto"/>
        <w:tabs>
          <w:tab w:leader="none" w:pos="1072"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Lilly Cumulative Revenue</w:t>
      </w:r>
      <w:r>
        <w:rPr>
          <w:rFonts w:ascii="Arial" w:cs="Arial" w:eastAsia="Arial" w:hAnsi="Arial"/>
          <w:sz w:val="22"/>
          <w:szCs w:val="22"/>
          <w:color w:val="auto"/>
        </w:rPr>
        <w:t>” shall mean the cumulative Revenue for the three-year Performance Period, as determined and certified by the Committee.</w:t>
      </w:r>
    </w:p>
    <w:p>
      <w:pPr>
        <w:spacing w:after="0" w:line="47" w:lineRule="exact"/>
        <w:rPr>
          <w:rFonts w:ascii="Arial" w:cs="Arial" w:eastAsia="Arial" w:hAnsi="Arial"/>
          <w:sz w:val="22"/>
          <w:szCs w:val="22"/>
          <w:color w:val="auto"/>
        </w:rPr>
      </w:pPr>
    </w:p>
    <w:p>
      <w:pPr>
        <w:jc w:val="both"/>
        <w:ind w:left="1300" w:hanging="644"/>
        <w:spacing w:after="0" w:line="257" w:lineRule="auto"/>
        <w:tabs>
          <w:tab w:leader="none" w:pos="12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Revenue</w:t>
      </w:r>
      <w:r>
        <w:rPr>
          <w:rFonts w:ascii="Arial" w:cs="Arial" w:eastAsia="Arial" w:hAnsi="Arial"/>
          <w:sz w:val="22"/>
          <w:szCs w:val="22"/>
          <w:color w:val="auto"/>
        </w:rPr>
        <w:t>” shall mean revenue generated by the Company, as reported in the Company’s audited consolidated financial statements for each fiscal year in the Performance Period in accordance with accounting principles currently applicable in the United States (“U.S. GAAP”), adjusted to the extent deemed appropriate by the Committee.</w:t>
      </w:r>
    </w:p>
    <w:p>
      <w:pPr>
        <w:spacing w:after="0" w:line="64" w:lineRule="exact"/>
        <w:rPr>
          <w:sz w:val="20"/>
          <w:szCs w:val="20"/>
          <w:color w:val="auto"/>
        </w:rPr>
      </w:pPr>
    </w:p>
    <w:p>
      <w:pPr>
        <w:jc w:val="both"/>
        <w:ind w:left="420" w:right="20"/>
        <w:spacing w:after="0" w:line="272"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Sections 3 or 4 below, the Award shall be forfeited.</w:t>
      </w:r>
    </w:p>
    <w:p>
      <w:pPr>
        <w:spacing w:after="0" w:line="16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118" w:lineRule="exact"/>
        <w:rPr>
          <w:sz w:val="20"/>
          <w:szCs w:val="20"/>
          <w:color w:val="auto"/>
        </w:rPr>
      </w:pPr>
    </w:p>
    <w:p>
      <w:pPr>
        <w:jc w:val="both"/>
        <w:ind w:left="420" w:right="20"/>
        <w:spacing w:after="0" w:line="264"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11240"/>
          </w:cols>
          <w:pgMar w:left="320" w:top="343" w:right="3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hanging="644"/>
        <w:spacing w:after="0" w:line="250" w:lineRule="auto"/>
        <w:tabs>
          <w:tab w:leader="none" w:pos="108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 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72"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1" w:lineRule="exact"/>
        <w:rPr>
          <w:sz w:val="20"/>
          <w:szCs w:val="20"/>
          <w:color w:val="auto"/>
        </w:rPr>
      </w:pPr>
    </w:p>
    <w:p>
      <w:pPr>
        <w:jc w:val="both"/>
        <w:ind w:left="1300" w:firstLine="4"/>
        <w:spacing w:after="0" w:line="247" w:lineRule="auto"/>
        <w:tabs>
          <w:tab w:leader="none" w:pos="1674" w:val="left"/>
        </w:tabs>
        <w:numPr>
          <w:ilvl w:val="0"/>
          <w:numId w:val="42"/>
        </w:numPr>
        <w:rPr>
          <w:rFonts w:ascii="Arial" w:cs="Arial" w:eastAsia="Arial" w:hAnsi="Arial"/>
          <w:sz w:val="22"/>
          <w:szCs w:val="22"/>
          <w:color w:val="auto"/>
        </w:rPr>
      </w:pPr>
      <w:r>
        <w:rPr>
          <w:rFonts w:ascii="Arial" w:cs="Arial" w:eastAsia="Arial" w:hAnsi="Arial"/>
          <w:sz w:val="22"/>
          <w:szCs w:val="22"/>
          <w:color w:val="auto"/>
        </w:rPr>
        <w:t>otherwise determined to be a retired employee in the sole discretion of the 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75"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“Retirement Vesting Date” means, if the Grantee is not an Executive Officer, the date that is on or following July 31 immediately following the commencement of the Performance Period and, if the Grantee is an Executive Officer, the date that is on or following December 31 immediately following the commencement of the Performance Period.</w:t>
      </w:r>
    </w:p>
    <w:p>
      <w:pPr>
        <w:spacing w:after="0" w:line="64" w:lineRule="exact"/>
        <w:rPr>
          <w:sz w:val="20"/>
          <w:szCs w:val="20"/>
          <w:color w:val="auto"/>
        </w:rPr>
      </w:pPr>
    </w:p>
    <w:p>
      <w:pPr>
        <w:jc w:val="both"/>
        <w:ind w:left="1300"/>
        <w:spacing w:after="0" w:line="272" w:lineRule="auto"/>
        <w:rPr>
          <w:sz w:val="20"/>
          <w:szCs w:val="20"/>
          <w:color w:val="auto"/>
        </w:rPr>
      </w:pPr>
      <w:r>
        <w:rPr>
          <w:rFonts w:ascii="Arial" w:cs="Arial" w:eastAsia="Arial" w:hAnsi="Arial"/>
          <w:sz w:val="22"/>
          <w:szCs w:val="22"/>
          <w:color w:val="auto"/>
        </w:rPr>
        <w:t>“Executive Officer” means a Grantee who is designated an Executive Officer of the Company as of the Grant Date.</w:t>
      </w:r>
    </w:p>
    <w:p>
      <w:pPr>
        <w:spacing w:after="0" w:line="48" w:lineRule="exact"/>
        <w:rPr>
          <w:sz w:val="20"/>
          <w:szCs w:val="20"/>
          <w:color w:val="auto"/>
        </w:rPr>
      </w:pPr>
    </w:p>
    <w:p>
      <w:pPr>
        <w:jc w:val="both"/>
        <w:ind w:left="1300" w:hanging="644"/>
        <w:spacing w:after="0" w:line="273" w:lineRule="auto"/>
        <w:tabs>
          <w:tab w:leader="none" w:pos="1315"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Qualifying Termination</w:t>
      </w:r>
      <w:r>
        <w:rPr>
          <w:rFonts w:ascii="Arial" w:cs="Arial" w:eastAsia="Arial" w:hAnsi="Arial"/>
          <w:sz w:val="21"/>
          <w:szCs w:val="21"/>
          <w:color w:val="auto"/>
        </w:rPr>
        <w:t>. Except as otherwise provided in Section 3(a),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48" w:lineRule="exact"/>
        <w:rPr>
          <w:rFonts w:ascii="Arial" w:cs="Arial" w:eastAsia="Arial" w:hAnsi="Arial"/>
          <w:sz w:val="21"/>
          <w:szCs w:val="21"/>
          <w:color w:val="auto"/>
        </w:rPr>
      </w:pPr>
    </w:p>
    <w:p>
      <w:pPr>
        <w:ind w:left="1300" w:right="20"/>
        <w:spacing w:after="0" w:line="272" w:lineRule="auto"/>
        <w:rPr>
          <w:rFonts w:ascii="Arial" w:cs="Arial" w:eastAsia="Arial" w:hAnsi="Arial"/>
          <w:sz w:val="21"/>
          <w:szCs w:val="21"/>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61" w:lineRule="exact"/>
        <w:rPr>
          <w:rFonts w:ascii="Arial" w:cs="Arial" w:eastAsia="Arial" w:hAnsi="Arial"/>
          <w:sz w:val="21"/>
          <w:szCs w:val="21"/>
          <w:color w:val="auto"/>
        </w:rPr>
      </w:pPr>
    </w:p>
    <w:p>
      <w:pPr>
        <w:ind w:left="1980" w:hanging="352"/>
        <w:spacing w:after="0"/>
        <w:tabs>
          <w:tab w:leader="none" w:pos="19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111" w:lineRule="exact"/>
        <w:rPr>
          <w:rFonts w:ascii="Arial" w:cs="Arial" w:eastAsia="Arial" w:hAnsi="Arial"/>
          <w:sz w:val="22"/>
          <w:szCs w:val="22"/>
          <w:color w:val="auto"/>
        </w:rPr>
      </w:pPr>
    </w:p>
    <w:p>
      <w:pPr>
        <w:ind w:left="1960" w:hanging="332"/>
        <w:spacing w:after="0" w:line="272" w:lineRule="auto"/>
        <w:tabs>
          <w:tab w:leader="none" w:pos="2199" w:val="left"/>
        </w:tabs>
        <w:numPr>
          <w:ilvl w:val="1"/>
          <w:numId w:val="43"/>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11240"/>
          </w:cols>
          <w:pgMar w:left="320" w:top="343"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60"/>
        <w:spacing w:after="0" w:line="272" w:lineRule="auto"/>
        <w:rPr>
          <w:sz w:val="20"/>
          <w:szCs w:val="20"/>
          <w:color w:val="auto"/>
        </w:rPr>
      </w:pPr>
      <w:r>
        <w:rPr>
          <w:rFonts w:ascii="Arial" w:cs="Arial" w:eastAsia="Arial" w:hAnsi="Arial"/>
          <w:sz w:val="22"/>
          <w:szCs w:val="22"/>
          <w:color w:val="auto"/>
        </w:rPr>
        <w:t>including reallocation due to the Grantee’s inability to continue to work due to medical reasons, in the United States (or equivalent as determined by the Committee).</w:t>
      </w:r>
    </w:p>
    <w:p>
      <w:pPr>
        <w:spacing w:after="0" w:line="48" w:lineRule="exact"/>
        <w:rPr>
          <w:sz w:val="20"/>
          <w:szCs w:val="20"/>
          <w:color w:val="auto"/>
        </w:rPr>
      </w:pPr>
    </w:p>
    <w:p>
      <w:pPr>
        <w:ind w:left="1300" w:right="760"/>
        <w:spacing w:after="0" w:line="272"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1" w:lineRule="exact"/>
        <w:rPr>
          <w:sz w:val="20"/>
          <w:szCs w:val="20"/>
          <w:color w:val="auto"/>
        </w:rPr>
      </w:pPr>
    </w:p>
    <w:p>
      <w:pPr>
        <w:ind w:left="1300"/>
        <w:spacing w:after="0" w:line="29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25" w:lineRule="exact"/>
        <w:rPr>
          <w:sz w:val="20"/>
          <w:szCs w:val="20"/>
          <w:color w:val="auto"/>
        </w:rPr>
      </w:pPr>
    </w:p>
    <w:p>
      <w:pPr>
        <w:ind w:left="1300" w:hanging="644"/>
        <w:spacing w:after="0" w:line="251" w:lineRule="auto"/>
        <w:tabs>
          <w:tab w:leader="none" w:pos="11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Misconduct</w:t>
      </w:r>
      <w:r>
        <w:rPr>
          <w:rFonts w:ascii="Arial" w:cs="Arial" w:eastAsia="Arial" w:hAnsi="Arial"/>
          <w:sz w:val="22"/>
          <w:szCs w:val="22"/>
          <w:color w:val="auto"/>
        </w:rPr>
        <w:t>. The Committee may, in its sole discretion, cancel this Revenue Growth Award or reduce the number of Shares eligible to vest, prorated according to time or other measure as determined appropriate by the Committee, if during any portion of the Performance Period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73" w:lineRule="exact"/>
        <w:rPr>
          <w:sz w:val="20"/>
          <w:szCs w:val="20"/>
          <w:color w:val="auto"/>
        </w:rPr>
      </w:pPr>
    </w:p>
    <w:p>
      <w:pPr>
        <w:jc w:val="both"/>
        <w:ind w:left="420"/>
        <w:spacing w:after="0" w:line="251" w:lineRule="auto"/>
        <w:rPr>
          <w:sz w:val="20"/>
          <w:szCs w:val="20"/>
          <w:color w:val="auto"/>
        </w:rPr>
      </w:pPr>
      <w:r>
        <w:rPr>
          <w:rFonts w:ascii="Arial" w:cs="Arial" w:eastAsia="Arial" w:hAnsi="Arial"/>
          <w:sz w:val="22"/>
          <w:szCs w:val="22"/>
          <w:color w:val="auto"/>
        </w:rPr>
        <w:t>The Committee’s determination as to whether (1)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as a result of the failure to locate a position within the Company or an Affiliate following reallocation or medical reassignment shall be final and binding on the Grantee.</w:t>
      </w:r>
    </w:p>
    <w:p>
      <w:pPr>
        <w:spacing w:after="0" w:line="176"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4.</w:t>
        <w:tab/>
        <w:t>Change in Control</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20" w:lineRule="exact"/>
        <w:rPr>
          <w:sz w:val="20"/>
          <w:szCs w:val="20"/>
          <w:color w:val="auto"/>
        </w:rPr>
      </w:pPr>
    </w:p>
    <w:p>
      <w:pPr>
        <w:jc w:val="both"/>
        <w:ind w:left="1300" w:hanging="644"/>
        <w:spacing w:after="0" w:line="264" w:lineRule="auto"/>
        <w:tabs>
          <w:tab w:leader="none" w:pos="128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56" w:lineRule="exact"/>
        <w:rPr>
          <w:rFonts w:ascii="Arial" w:cs="Arial" w:eastAsia="Arial" w:hAnsi="Arial"/>
          <w:sz w:val="22"/>
          <w:szCs w:val="22"/>
          <w:color w:val="auto"/>
        </w:rPr>
      </w:pPr>
    </w:p>
    <w:p>
      <w:pPr>
        <w:ind w:left="1300" w:hanging="644"/>
        <w:spacing w:after="0" w:line="257" w:lineRule="auto"/>
        <w:tabs>
          <w:tab w:leader="none" w:pos="1211"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the event the Award is converted, assumed, substituted, continued or replaced by a successor or surviving corporation, or a parent or subsidiary thereof, in connection with a Transaction, any Fractional Share issued under this Award shall vest automatically and be payable in cash unless otherwise determined by the Committee, in its sole discretion.</w:t>
      </w:r>
    </w:p>
    <w:p>
      <w:pPr>
        <w:spacing w:after="0" w:line="63" w:lineRule="exact"/>
        <w:rPr>
          <w:rFonts w:ascii="Arial" w:cs="Arial" w:eastAsia="Arial" w:hAnsi="Arial"/>
          <w:sz w:val="22"/>
          <w:szCs w:val="22"/>
          <w:color w:val="auto"/>
        </w:rPr>
      </w:pPr>
    </w:p>
    <w:p>
      <w:pPr>
        <w:ind w:left="1300" w:hanging="644"/>
        <w:spacing w:after="0" w:line="251" w:lineRule="auto"/>
        <w:tabs>
          <w:tab w:leader="none" w:pos="11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last day of the Performance Period, the Grantee will be credited with an award of Restricted Stock Units equal to the number of Shares eligible to vest, calculated in a manner consistent with Section 2, but the Lilly Cumulative Revenue shall be equal to the value of Shares established for the consideration to be paid to holders of Shares in the Transaction (the “Credited RSU Award”). The Credited RSU Award shall be eligible to vest on the last day of the Performance Period, subject to the Grantee’s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11240"/>
          </w:cols>
          <w:pgMar w:left="320" w:top="343"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continued Service through the last day of the Performance Period, except as provided below:</w:t>
      </w:r>
    </w:p>
    <w:p>
      <w:pPr>
        <w:spacing w:after="0" w:line="112" w:lineRule="exact"/>
        <w:rPr>
          <w:sz w:val="20"/>
          <w:szCs w:val="20"/>
          <w:color w:val="auto"/>
        </w:rPr>
      </w:pPr>
    </w:p>
    <w:p>
      <w:pPr>
        <w:jc w:val="both"/>
        <w:ind w:left="1960" w:hanging="332"/>
        <w:spacing w:after="0" w:line="257" w:lineRule="auto"/>
        <w:tabs>
          <w:tab w:leader="none" w:pos="2137"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 the event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3" w:lineRule="exact"/>
        <w:rPr>
          <w:rFonts w:ascii="Arial" w:cs="Arial" w:eastAsia="Arial" w:hAnsi="Arial"/>
          <w:sz w:val="22"/>
          <w:szCs w:val="22"/>
          <w:color w:val="auto"/>
        </w:rPr>
      </w:pPr>
    </w:p>
    <w:p>
      <w:pPr>
        <w:jc w:val="both"/>
        <w:ind w:left="1960" w:hanging="332"/>
        <w:spacing w:after="0" w:line="253" w:lineRule="auto"/>
        <w:tabs>
          <w:tab w:leader="none" w:pos="2051"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 the event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71"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 3(b), Grantee’s termination of Service without Cause or the Grantee’s resignation for Good Reason. “Cause” and “Good Reason” shall have the meanings ascribed to them in the Eli Lilly and Company 2007 Change in Control Severance Pay Plan for Select Employees as may be amended, restated, or superseded from time to time.</w:t>
      </w:r>
    </w:p>
    <w:p>
      <w:pPr>
        <w:spacing w:after="0" w:line="71" w:lineRule="exact"/>
        <w:rPr>
          <w:sz w:val="20"/>
          <w:szCs w:val="20"/>
          <w:color w:val="auto"/>
        </w:rPr>
      </w:pPr>
    </w:p>
    <w:p>
      <w:pPr>
        <w:ind w:left="1300" w:hanging="644"/>
        <w:spacing w:after="0" w:line="253" w:lineRule="auto"/>
        <w:tabs>
          <w:tab w:leader="none" w:pos="1077"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5.</w:t>
        <w:tab/>
        <w:t>Settlement</w:t>
      </w:r>
    </w:p>
    <w:p>
      <w:pPr>
        <w:spacing w:after="0" w:line="132" w:lineRule="exact"/>
        <w:rPr>
          <w:sz w:val="20"/>
          <w:szCs w:val="20"/>
          <w:color w:val="auto"/>
        </w:rPr>
      </w:pPr>
    </w:p>
    <w:p>
      <w:pPr>
        <w:ind w:left="1300" w:hanging="644"/>
        <w:spacing w:after="0" w:line="272" w:lineRule="auto"/>
        <w:tabs>
          <w:tab w:leader="none" w:pos="11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61" w:lineRule="exact"/>
        <w:rPr>
          <w:rFonts w:ascii="Arial" w:cs="Arial" w:eastAsia="Arial" w:hAnsi="Arial"/>
          <w:sz w:val="22"/>
          <w:szCs w:val="22"/>
          <w:color w:val="auto"/>
        </w:rPr>
      </w:pPr>
    </w:p>
    <w:p>
      <w:pPr>
        <w:ind w:left="1300" w:hanging="644"/>
        <w:spacing w:after="0" w:line="251" w:lineRule="auto"/>
        <w:tabs>
          <w:tab w:leader="none" w:pos="1111"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Notwithstanding anything in this Award Agreement to the contrary, Grantee agrees and covenants that if, at any time that the Award remains unsettled, Lilly determines that Grantee engaged in any activity that violates Section 12.b or that would have violated Section 12.b. had Grantee engaged in such activity during the Restricted Period (as such term is defined in Section 12.b), Grantee shall automatically forfeit any rights Grantee may have with respect to the Award as of the date of such determination, including any right to receive a payment under the Award.</w:t>
      </w:r>
    </w:p>
    <w:p>
      <w:pPr>
        <w:spacing w:after="0" w:line="73" w:lineRule="exact"/>
        <w:rPr>
          <w:rFonts w:ascii="Arial" w:cs="Arial" w:eastAsia="Arial" w:hAnsi="Arial"/>
          <w:sz w:val="22"/>
          <w:szCs w:val="22"/>
          <w:color w:val="auto"/>
        </w:rPr>
      </w:pPr>
    </w:p>
    <w:p>
      <w:pPr>
        <w:ind w:left="1300" w:hanging="644"/>
        <w:spacing w:after="0" w:line="253" w:lineRule="auto"/>
        <w:tabs>
          <w:tab w:leader="none" w:pos="109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the Award vests pursuant to Section 4(c)(i),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11240"/>
          </w:cols>
          <w:pgMar w:left="320" w:top="343"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date of the Section 409A Separation, the Award shall instead be paid on the first day following the six (6) month anniversary of the Grantee’s Section 409A Separation (the “409A Delayed Payment Date”), (ii) the date of the Grantee’s death and (iii) the date set forth in Section 5(a) above.</w:t>
      </w:r>
    </w:p>
    <w:p>
      <w:pPr>
        <w:spacing w:after="0" w:line="72" w:lineRule="exact"/>
        <w:rPr>
          <w:sz w:val="20"/>
          <w:szCs w:val="20"/>
          <w:color w:val="auto"/>
        </w:rPr>
      </w:pPr>
    </w:p>
    <w:p>
      <w:pPr>
        <w:jc w:val="both"/>
        <w:ind w:left="1300" w:hanging="644"/>
        <w:spacing w:after="0" w:line="260" w:lineRule="auto"/>
        <w:tabs>
          <w:tab w:leader="none" w:pos="1244" w:val="left"/>
        </w:tabs>
        <w:numPr>
          <w:ilvl w:val="0"/>
          <w:numId w:val="49"/>
        </w:numPr>
        <w:rPr>
          <w:rFonts w:ascii="Arial" w:cs="Arial" w:eastAsia="Arial" w:hAnsi="Arial"/>
          <w:sz w:val="21"/>
          <w:szCs w:val="21"/>
          <w:color w:val="auto"/>
        </w:rPr>
      </w:pPr>
      <w:r>
        <w:rPr>
          <w:rFonts w:ascii="Arial" w:cs="Arial" w:eastAsia="Arial" w:hAnsi="Arial"/>
          <w:sz w:val="21"/>
          <w:szCs w:val="21"/>
          <w:color w:val="auto"/>
        </w:rPr>
        <w:t>If the Award vests pursuant to Section 4(c)(ii), the Award shall be paid to the Grantee as soon as practicable, but in no event later than sixty (60) days, following the date the Grantee is subject to a Covered Termination, provided that if the Award is NQ Deferred Compensation (and further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409A Delayed Payment Date and</w:t>
      </w:r>
    </w:p>
    <w:p>
      <w:pPr>
        <w:spacing w:after="0" w:line="4"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(2) the date of the Grantee’s death.</w:t>
      </w:r>
    </w:p>
    <w:p>
      <w:pPr>
        <w:spacing w:after="0" w:line="98" w:lineRule="exact"/>
        <w:rPr>
          <w:rFonts w:ascii="Arial" w:cs="Arial" w:eastAsia="Arial" w:hAnsi="Arial"/>
          <w:sz w:val="21"/>
          <w:szCs w:val="21"/>
          <w:color w:val="auto"/>
        </w:rPr>
      </w:pPr>
    </w:p>
    <w:p>
      <w:pPr>
        <w:ind w:left="1300" w:hanging="644"/>
        <w:spacing w:after="0" w:line="251" w:lineRule="auto"/>
        <w:tabs>
          <w:tab w:leader="none" w:pos="1067" w:val="left"/>
        </w:tabs>
        <w:numPr>
          <w:ilvl w:val="0"/>
          <w:numId w:val="49"/>
        </w:numPr>
        <w:rPr>
          <w:rFonts w:ascii="Arial" w:cs="Arial" w:eastAsia="Arial" w:hAnsi="Arial"/>
          <w:sz w:val="22"/>
          <w:szCs w:val="22"/>
          <w:color w:val="auto"/>
        </w:rPr>
      </w:pPr>
      <w:r>
        <w:rPr>
          <w:rFonts w:ascii="Arial" w:cs="Arial" w:eastAsia="Arial" w:hAnsi="Arial"/>
          <w:sz w:val="22"/>
          <w:szCs w:val="22"/>
          <w:color w:val="auto"/>
        </w:rPr>
        <w:t>At the time of settlement, Lilly shall issue or transfer Shares to the Grantee that became vested (including, in the interest of clarity, a Fractional Share). Notwithstanding the foregoing, a Fractional Share may be paid in cash or rounded to the extent provided in any appendix attached hereto (the “Appendix”) for the Grantee’s country or to the extent otherwise determined by the Committee in its sole discretion. For purposes of this Award, references to “issue” or variations of such term shall instead mean “allocate” when used in the context of Fractional Shares.</w:t>
      </w:r>
    </w:p>
    <w:p>
      <w:pPr>
        <w:spacing w:after="0" w:line="73" w:lineRule="exact"/>
        <w:rPr>
          <w:rFonts w:ascii="Arial" w:cs="Arial" w:eastAsia="Arial" w:hAnsi="Arial"/>
          <w:sz w:val="22"/>
          <w:szCs w:val="22"/>
          <w:color w:val="auto"/>
        </w:rPr>
      </w:pPr>
    </w:p>
    <w:p>
      <w:pPr>
        <w:ind w:left="1300" w:hanging="644"/>
        <w:spacing w:after="0" w:line="272" w:lineRule="auto"/>
        <w:tabs>
          <w:tab w:leader="none" w:pos="1031"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6.</w:t>
        <w:tab/>
        <w:t>Rights of the Grantee</w:t>
      </w:r>
    </w:p>
    <w:p>
      <w:pPr>
        <w:spacing w:after="0" w:line="132" w:lineRule="exact"/>
        <w:rPr>
          <w:sz w:val="20"/>
          <w:szCs w:val="20"/>
          <w:color w:val="auto"/>
        </w:rPr>
      </w:pPr>
    </w:p>
    <w:p>
      <w:pPr>
        <w:ind w:left="1300" w:hanging="644"/>
        <w:spacing w:after="0" w:line="251" w:lineRule="auto"/>
        <w:tabs>
          <w:tab w:leader="none" w:pos="1221"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Revenue Growth Award does not entitle the Grantee to any rights of a shareholder of Lilly until such time as the Revenue Growth Award is settled and Shares are issued or transferred to the Grantee. In the event a Fractional Share is issued, the Grantee shall have the rights of a shareholder to receive dividends payable with respect to a Share and, unless otherwise provided by the Committee, the right to vote, in each case, that is proportionate to the interest the Fractional Share bears to a whole Share.</w:t>
      </w:r>
    </w:p>
    <w:p>
      <w:pPr>
        <w:spacing w:after="0" w:line="73" w:lineRule="exact"/>
        <w:rPr>
          <w:rFonts w:ascii="Arial" w:cs="Arial" w:eastAsia="Arial" w:hAnsi="Arial"/>
          <w:sz w:val="22"/>
          <w:szCs w:val="22"/>
          <w:color w:val="auto"/>
        </w:rPr>
      </w:pPr>
    </w:p>
    <w:p>
      <w:pPr>
        <w:ind w:left="1300" w:hanging="644"/>
        <w:spacing w:after="0" w:line="257" w:lineRule="auto"/>
        <w:tabs>
          <w:tab w:leader="none" w:pos="112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a payment pursuant to this Award Agreement shall be an unsecured claim against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11240"/>
          </w:cols>
          <w:pgMar w:left="320" w:top="343"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7.</w:t>
        <w:tab/>
        <w:t>Prohibition Against Transfer</w:t>
      </w:r>
    </w:p>
    <w:p>
      <w:pPr>
        <w:spacing w:after="0" w:line="132" w:lineRule="exact"/>
        <w:rPr>
          <w:sz w:val="20"/>
          <w:szCs w:val="20"/>
          <w:color w:val="auto"/>
        </w:rPr>
      </w:pPr>
    </w:p>
    <w:p>
      <w:pPr>
        <w:ind w:left="1300" w:hanging="644"/>
        <w:spacing w:after="0" w:line="251" w:lineRule="auto"/>
        <w:tabs>
          <w:tab w:leader="none" w:pos="109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Awards</w:t>
      </w:r>
      <w:r>
        <w:rPr>
          <w:rFonts w:ascii="Arial" w:cs="Arial" w:eastAsia="Arial" w:hAnsi="Arial"/>
          <w:sz w:val="22"/>
          <w:szCs w:val="22"/>
          <w:color w:val="auto"/>
        </w:rPr>
        <w:t>. 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this Award or the rights thereunder to which he or she may be entitled hereunder prior to transfer or payment thereof to the Grantee, and any such attempted assignment, sale, pledge or transfer shall be void.</w:t>
      </w:r>
    </w:p>
    <w:p>
      <w:pPr>
        <w:spacing w:after="0" w:line="73" w:lineRule="exact"/>
        <w:rPr>
          <w:rFonts w:ascii="Arial" w:cs="Arial" w:eastAsia="Arial" w:hAnsi="Arial"/>
          <w:sz w:val="22"/>
          <w:szCs w:val="22"/>
          <w:color w:val="auto"/>
        </w:rPr>
      </w:pPr>
    </w:p>
    <w:p>
      <w:pPr>
        <w:ind w:left="1300" w:hanging="644"/>
        <w:spacing w:after="0" w:line="253" w:lineRule="auto"/>
        <w:tabs>
          <w:tab w:leader="none" w:pos="11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Any Fractional Share issued to the Grantee shall remain in the Grantee’s account at the Company’s broker until the disposition of the Fractional Share and shall not become transferrable to another broker unless and until any Fractional Shares issued to the Grantee aggregate to a whole Share.</w:t>
      </w:r>
    </w:p>
    <w:p>
      <w:pPr>
        <w:spacing w:after="0" w:line="18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8.</w:t>
      </w:r>
      <w:r>
        <w:rPr>
          <w:sz w:val="20"/>
          <w:szCs w:val="20"/>
          <w:color w:val="auto"/>
        </w:rPr>
        <w:tab/>
      </w:r>
      <w:r>
        <w:rPr>
          <w:rFonts w:ascii="Arial" w:cs="Arial" w:eastAsia="Arial" w:hAnsi="Arial"/>
          <w:sz w:val="22"/>
          <w:szCs w:val="22"/>
          <w:color w:val="auto"/>
        </w:rPr>
        <w:t>Responsibility for Taxes</w:t>
      </w:r>
    </w:p>
    <w:p>
      <w:pPr>
        <w:spacing w:after="0" w:line="118" w:lineRule="exact"/>
        <w:rPr>
          <w:sz w:val="20"/>
          <w:szCs w:val="20"/>
          <w:color w:val="auto"/>
        </w:rPr>
      </w:pPr>
    </w:p>
    <w:p>
      <w:pPr>
        <w:jc w:val="right"/>
        <w:ind w:left="1300" w:hanging="644"/>
        <w:spacing w:after="0" w:line="261" w:lineRule="auto"/>
        <w:tabs>
          <w:tab w:leader="none" w:pos="1126" w:val="left"/>
        </w:tabs>
        <w:numPr>
          <w:ilvl w:val="0"/>
          <w:numId w:val="52"/>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3" w:lineRule="exact"/>
        <w:rPr>
          <w:rFonts w:ascii="Arial" w:cs="Arial" w:eastAsia="Arial" w:hAnsi="Arial"/>
          <w:sz w:val="21"/>
          <w:szCs w:val="21"/>
          <w:color w:val="auto"/>
        </w:rPr>
      </w:pPr>
    </w:p>
    <w:p>
      <w:pPr>
        <w:jc w:val="both"/>
        <w:ind w:left="1300" w:firstLine="4"/>
        <w:spacing w:after="0" w:line="246" w:lineRule="auto"/>
        <w:tabs>
          <w:tab w:leader="none" w:pos="1608" w:val="left"/>
        </w:tabs>
        <w:numPr>
          <w:ilvl w:val="1"/>
          <w:numId w:val="52"/>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 Related Items in connection with any aspect of the Award, including the grant of the Revenue Growth Award, the vesting of the Revenue Growth Award, the transfer and issuance of any Shares and/or Fractional Shares, the receipt of any cash payment pursuant to the Award, the receipt of any dividends (including any dividends that are reinvested in additional Shares) and the sale or other disposition of any Shares and/or Fractional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90" w:lineRule="exact"/>
        <w:rPr>
          <w:rFonts w:ascii="Arial" w:cs="Arial" w:eastAsia="Arial" w:hAnsi="Arial"/>
          <w:sz w:val="22"/>
          <w:szCs w:val="22"/>
          <w:color w:val="auto"/>
        </w:rPr>
      </w:pPr>
    </w:p>
    <w:p>
      <w:pPr>
        <w:jc w:val="center"/>
        <w:ind w:left="1300" w:hanging="644"/>
        <w:spacing w:after="0" w:line="296" w:lineRule="auto"/>
        <w:tabs>
          <w:tab w:leader="none" w:pos="1102"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 connection with the applicable taxable or tax withholding event, as applicable, the Grantee shall pay or make adequate arrangements satisfactory to Lilly and/or the Employer to satisfy all Tax Related Items.</w:t>
      </w:r>
    </w:p>
    <w:p>
      <w:pPr>
        <w:spacing w:after="0" w:line="25" w:lineRule="exact"/>
        <w:rPr>
          <w:rFonts w:ascii="Arial" w:cs="Arial" w:eastAsia="Arial" w:hAnsi="Arial"/>
          <w:sz w:val="21"/>
          <w:szCs w:val="21"/>
          <w:color w:val="auto"/>
        </w:rPr>
      </w:pPr>
    </w:p>
    <w:p>
      <w:pPr>
        <w:jc w:val="both"/>
        <w:ind w:left="1960" w:hanging="332"/>
        <w:spacing w:after="0" w:line="257" w:lineRule="auto"/>
        <w:tabs>
          <w:tab w:leader="none" w:pos="2035" w:val="left"/>
        </w:tabs>
        <w:numPr>
          <w:ilvl w:val="2"/>
          <w:numId w:val="52"/>
        </w:numPr>
        <w:rPr>
          <w:rFonts w:ascii="Arial" w:cs="Arial" w:eastAsia="Arial" w:hAnsi="Arial"/>
          <w:sz w:val="22"/>
          <w:szCs w:val="22"/>
          <w:color w:val="auto"/>
        </w:rPr>
      </w:pPr>
      <w:r>
        <w:rPr>
          <w:rFonts w:ascii="Arial" w:cs="Arial" w:eastAsia="Arial" w:hAnsi="Arial"/>
          <w:sz w:val="22"/>
          <w:szCs w:val="22"/>
          <w:color w:val="auto"/>
        </w:rPr>
        <w:t>If the Revenue Growth Award is paid to the Grantee in cash in lieu of Shares and/or Fractional Shares, the Grantee authorizes the Company and/or the Employer, or their respective agents, at their discretion,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11240"/>
          </w:cols>
          <w:pgMar w:left="320" w:top="343"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960"/>
        <w:spacing w:after="0" w:line="257" w:lineRule="auto"/>
        <w:rPr>
          <w:sz w:val="20"/>
          <w:szCs w:val="20"/>
          <w:color w:val="auto"/>
        </w:rPr>
      </w:pPr>
      <w:r>
        <w:rPr>
          <w:rFonts w:ascii="Arial" w:cs="Arial" w:eastAsia="Arial" w:hAnsi="Arial"/>
          <w:sz w:val="22"/>
          <w:szCs w:val="22"/>
          <w:color w:val="auto"/>
        </w:rPr>
        <w:t>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sz w:val="20"/>
          <w:szCs w:val="20"/>
          <w:color w:val="auto"/>
        </w:rPr>
      </w:pPr>
    </w:p>
    <w:p>
      <w:pPr>
        <w:jc w:val="both"/>
        <w:ind w:left="1960" w:hanging="332"/>
        <w:spacing w:after="0" w:line="249" w:lineRule="auto"/>
        <w:tabs>
          <w:tab w:leader="none" w:pos="2048"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the Revenue Growth Award is paid to the Grantee in Shares and/or Fractional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and/or Fractional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and/or Fractional Shares otherwise issuable to the Grantee pursuant to this Award, and/or (D) apply any other method of withholding determined by the Company and, to the extent required by Applicable Laws or the Plan, approved by the Committee.</w:t>
      </w:r>
    </w:p>
    <w:p>
      <w:pPr>
        <w:spacing w:after="0" w:line="77" w:lineRule="exact"/>
        <w:rPr>
          <w:rFonts w:ascii="Arial" w:cs="Arial" w:eastAsia="Arial" w:hAnsi="Arial"/>
          <w:sz w:val="22"/>
          <w:szCs w:val="22"/>
          <w:color w:val="auto"/>
        </w:rPr>
      </w:pPr>
    </w:p>
    <w:p>
      <w:pPr>
        <w:jc w:val="both"/>
        <w:ind w:left="1960" w:hanging="332"/>
        <w:spacing w:after="0" w:line="250" w:lineRule="auto"/>
        <w:tabs>
          <w:tab w:leader="none" w:pos="2085"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the Revenue Growth Award is paid to the Grantee in Shares and/or Fractional Shares and the Grantee is subject to the short-swing profit rules of Section 16(b) of the Exchange Act, Lilly will withhold in Shares and Fractional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72" w:lineRule="exact"/>
        <w:rPr>
          <w:rFonts w:ascii="Arial" w:cs="Arial" w:eastAsia="Arial" w:hAnsi="Arial"/>
          <w:sz w:val="22"/>
          <w:szCs w:val="22"/>
          <w:color w:val="auto"/>
        </w:rPr>
      </w:pPr>
    </w:p>
    <w:p>
      <w:pPr>
        <w:ind w:left="1300" w:hanging="644"/>
        <w:spacing w:after="0" w:line="262" w:lineRule="auto"/>
        <w:tabs>
          <w:tab w:leader="none" w:pos="1091" w:val="left"/>
        </w:tabs>
        <w:numPr>
          <w:ilvl w:val="0"/>
          <w:numId w:val="54"/>
        </w:numPr>
        <w:rPr>
          <w:rFonts w:ascii="Arial" w:cs="Arial" w:eastAsia="Arial" w:hAnsi="Arial"/>
          <w:sz w:val="21"/>
          <w:szCs w:val="21"/>
          <w:color w:val="auto"/>
        </w:rPr>
      </w:pPr>
      <w:r>
        <w:rPr>
          <w:rFonts w:ascii="Arial" w:cs="Arial" w:eastAsia="Arial" w:hAnsi="Arial"/>
          <w:sz w:val="21"/>
          <w:szCs w:val="21"/>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and/or Fractional Shares to which he or she is entitled pursuant to this Award, notwithstanding that a number of Shares and/or Fractional Shares are withheld to satisfy the obligation for Tax Related Items.</w:t>
      </w:r>
    </w:p>
    <w:p>
      <w:pPr>
        <w:spacing w:after="0" w:line="78" w:lineRule="exact"/>
        <w:rPr>
          <w:rFonts w:ascii="Arial" w:cs="Arial" w:eastAsia="Arial" w:hAnsi="Arial"/>
          <w:sz w:val="21"/>
          <w:szCs w:val="21"/>
          <w:color w:val="auto"/>
        </w:rPr>
      </w:pPr>
    </w:p>
    <w:p>
      <w:pPr>
        <w:ind w:left="1300" w:hanging="644"/>
        <w:spacing w:after="0" w:line="257" w:lineRule="auto"/>
        <w:tabs>
          <w:tab w:leader="none" w:pos="1170"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Lilly may refuse to deliver Shares and/or Fractional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11240"/>
          </w:cols>
          <w:pgMar w:left="320" w:top="342"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right="20" w:hanging="644"/>
        <w:spacing w:after="0" w:line="272" w:lineRule="auto"/>
        <w:tabs>
          <w:tab w:leader="none" w:pos="1202"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purposes of this Section 8, references to the withholding or sale of a Share shall also mean the withholding or sale of any portion that is less than a whole Share, to the extent applicable.</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9.</w:t>
        <w:tab/>
        <w:t>Section 409A Compliance</w:t>
      </w:r>
    </w:p>
    <w:p>
      <w:pPr>
        <w:spacing w:after="0" w:line="78" w:lineRule="exact"/>
        <w:rPr>
          <w:sz w:val="20"/>
          <w:szCs w:val="20"/>
          <w:color w:val="auto"/>
        </w:rPr>
      </w:pPr>
    </w:p>
    <w:p>
      <w:pPr>
        <w:jc w:val="both"/>
        <w:ind w:left="420"/>
        <w:spacing w:after="0" w:line="257"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7"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10.</w:t>
        <w:tab/>
        <w:t>Grantee’s Acknowledgment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55" w:lineRule="exact"/>
        <w:rPr>
          <w:sz w:val="20"/>
          <w:szCs w:val="20"/>
          <w:color w:val="auto"/>
        </w:rPr>
      </w:pPr>
    </w:p>
    <w:p>
      <w:pPr>
        <w:ind w:left="1300" w:right="20" w:hanging="644"/>
        <w:spacing w:after="0" w:line="272" w:lineRule="auto"/>
        <w:tabs>
          <w:tab w:leader="none" w:pos="113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47" w:lineRule="exact"/>
        <w:rPr>
          <w:rFonts w:ascii="Arial" w:cs="Arial" w:eastAsia="Arial" w:hAnsi="Arial"/>
          <w:sz w:val="22"/>
          <w:szCs w:val="22"/>
          <w:color w:val="auto"/>
        </w:rPr>
      </w:pPr>
    </w:p>
    <w:p>
      <w:pPr>
        <w:ind w:left="1300" w:hanging="644"/>
        <w:spacing w:after="0" w:line="264" w:lineRule="auto"/>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56" w:lineRule="exact"/>
        <w:rPr>
          <w:rFonts w:ascii="Arial" w:cs="Arial" w:eastAsia="Arial" w:hAnsi="Arial"/>
          <w:sz w:val="22"/>
          <w:szCs w:val="22"/>
          <w:color w:val="auto"/>
        </w:rPr>
      </w:pPr>
    </w:p>
    <w:p>
      <w:pPr>
        <w:ind w:left="1300" w:hanging="644"/>
        <w:spacing w:after="0" w:line="272" w:lineRule="auto"/>
        <w:tabs>
          <w:tab w:leader="none" w:pos="110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7" w:lineRule="exact"/>
        <w:rPr>
          <w:rFonts w:ascii="Arial" w:cs="Arial" w:eastAsia="Arial" w:hAnsi="Arial"/>
          <w:sz w:val="22"/>
          <w:szCs w:val="22"/>
          <w:color w:val="auto"/>
        </w:rPr>
      </w:pPr>
    </w:p>
    <w:p>
      <w:pPr>
        <w:ind w:left="1080" w:hanging="424"/>
        <w:spacing w:after="0"/>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111" w:lineRule="exact"/>
        <w:rPr>
          <w:rFonts w:ascii="Arial" w:cs="Arial" w:eastAsia="Arial" w:hAnsi="Arial"/>
          <w:sz w:val="22"/>
          <w:szCs w:val="22"/>
          <w:color w:val="auto"/>
        </w:rPr>
      </w:pPr>
    </w:p>
    <w:p>
      <w:pPr>
        <w:ind w:left="1080" w:hanging="424"/>
        <w:spacing w:after="0"/>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Award is not intended to replace any pension rights or compensation;</w:t>
      </w:r>
    </w:p>
    <w:p>
      <w:pPr>
        <w:spacing w:after="0" w:line="125" w:lineRule="exact"/>
        <w:rPr>
          <w:rFonts w:ascii="Arial" w:cs="Arial" w:eastAsia="Arial" w:hAnsi="Arial"/>
          <w:sz w:val="22"/>
          <w:szCs w:val="22"/>
          <w:color w:val="auto"/>
        </w:rPr>
      </w:pPr>
    </w:p>
    <w:p>
      <w:pPr>
        <w:ind w:left="1300" w:hanging="644"/>
        <w:spacing w:after="0" w:line="253" w:lineRule="auto"/>
        <w:tabs>
          <w:tab w:leader="none" w:pos="109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7" w:lineRule="exact"/>
        <w:rPr>
          <w:rFonts w:ascii="Arial" w:cs="Arial" w:eastAsia="Arial" w:hAnsi="Arial"/>
          <w:sz w:val="22"/>
          <w:szCs w:val="22"/>
          <w:color w:val="auto"/>
        </w:rPr>
      </w:pPr>
    </w:p>
    <w:p>
      <w:pPr>
        <w:ind w:left="1300" w:hanging="644"/>
        <w:spacing w:after="0" w:line="272" w:lineRule="auto"/>
        <w:tabs>
          <w:tab w:leader="none" w:pos="1082" w:val="left"/>
        </w:tabs>
        <w:numPr>
          <w:ilvl w:val="0"/>
          <w:numId w:val="56"/>
        </w:numPr>
        <w:rPr>
          <w:rFonts w:ascii="Arial" w:cs="Arial" w:eastAsia="Arial" w:hAnsi="Arial"/>
          <w:sz w:val="22"/>
          <w:szCs w:val="22"/>
          <w:color w:val="auto"/>
        </w:rPr>
      </w:pPr>
      <w:r>
        <w:rPr>
          <w:rFonts w:ascii="Arial" w:cs="Arial" w:eastAsia="Arial" w:hAnsi="Arial"/>
          <w:sz w:val="22"/>
          <w:szCs w:val="22"/>
          <w:color w:val="auto"/>
        </w:rPr>
        <w:t>unless otherwise agreed with Lilly, the Award is not granted as consideration for, or in connection with, the service the Grantee may provide as a director of an Affiliate;</w:t>
      </w:r>
    </w:p>
    <w:p>
      <w:pPr>
        <w:spacing w:after="0" w:line="61" w:lineRule="exact"/>
        <w:rPr>
          <w:rFonts w:ascii="Arial" w:cs="Arial" w:eastAsia="Arial" w:hAnsi="Arial"/>
          <w:sz w:val="22"/>
          <w:szCs w:val="22"/>
          <w:color w:val="auto"/>
        </w:rPr>
      </w:pPr>
    </w:p>
    <w:p>
      <w:pPr>
        <w:ind w:left="1300" w:hanging="644"/>
        <w:spacing w:after="0" w:line="268" w:lineRule="auto"/>
        <w:tabs>
          <w:tab w:leader="none" w:pos="1082" w:val="left"/>
        </w:tabs>
        <w:numPr>
          <w:ilvl w:val="0"/>
          <w:numId w:val="56"/>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55" w:lineRule="exact"/>
        <w:rPr>
          <w:rFonts w:ascii="Arial" w:cs="Arial" w:eastAsia="Arial" w:hAnsi="Arial"/>
          <w:sz w:val="21"/>
          <w:szCs w:val="21"/>
          <w:color w:val="auto"/>
        </w:rPr>
      </w:pPr>
    </w:p>
    <w:p>
      <w:pPr>
        <w:ind w:left="1300" w:right="20" w:hanging="644"/>
        <w:spacing w:after="0" w:line="285" w:lineRule="auto"/>
        <w:tabs>
          <w:tab w:leader="none" w:pos="103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future value of the underlying Shares and other amounts that may be acquired pursuant to this Award is unknown, indeterminable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10</w:t>
      </w:r>
    </w:p>
    <w:p>
      <w:pPr>
        <w:sectPr>
          <w:pgSz w:w="11900" w:h="16838" w:orient="portrait"/>
          <w:cols w:equalWidth="0" w:num="1">
            <w:col w:w="11240"/>
          </w:cols>
          <w:pgMar w:left="320" w:top="342"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hanging="644"/>
        <w:spacing w:after="0" w:line="262" w:lineRule="auto"/>
        <w:tabs>
          <w:tab w:leader="none" w:pos="1011"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Award or recoupment of any Shares and other amounts that may be acquired pursuant to this Award acquired under the Plan or proceeds therefrom resulting from (i) the application of a clawback policy described in Section 16 of this Award Agreement or required by law, (ii) the application of Section 5(b) of this Award Agreement, (iii) the application of any of the remedies described in Section 12 of this Award Agreement, or (iv)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4" w:lineRule="exact"/>
        <w:rPr>
          <w:rFonts w:ascii="Arial" w:cs="Arial" w:eastAsia="Arial" w:hAnsi="Arial"/>
          <w:sz w:val="21"/>
          <w:szCs w:val="21"/>
          <w:color w:val="auto"/>
        </w:rPr>
      </w:pPr>
    </w:p>
    <w:p>
      <w:pPr>
        <w:ind w:left="1300" w:hanging="644"/>
        <w:spacing w:after="0" w:line="248" w:lineRule="auto"/>
        <w:tabs>
          <w:tab w:leader="none" w:pos="1111" w:val="left"/>
        </w:tabs>
        <w:numPr>
          <w:ilvl w:val="0"/>
          <w:numId w:val="57"/>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84" w:lineRule="exact"/>
        <w:rPr>
          <w:rFonts w:ascii="Arial" w:cs="Arial" w:eastAsia="Arial" w:hAnsi="Arial"/>
          <w:sz w:val="22"/>
          <w:szCs w:val="22"/>
          <w:color w:val="auto"/>
        </w:rPr>
      </w:pPr>
    </w:p>
    <w:p>
      <w:pPr>
        <w:ind w:left="1300" w:hanging="644"/>
        <w:spacing w:after="0" w:line="253" w:lineRule="auto"/>
        <w:tabs>
          <w:tab w:leader="none" w:pos="109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 other amounts that may be acquired pursuant to this Award;</w:t>
      </w:r>
    </w:p>
    <w:p>
      <w:pPr>
        <w:spacing w:after="0" w:line="70" w:lineRule="exact"/>
        <w:rPr>
          <w:rFonts w:ascii="Arial" w:cs="Arial" w:eastAsia="Arial" w:hAnsi="Arial"/>
          <w:sz w:val="22"/>
          <w:szCs w:val="22"/>
          <w:color w:val="auto"/>
        </w:rPr>
      </w:pPr>
    </w:p>
    <w:p>
      <w:pPr>
        <w:ind w:left="1300" w:right="20" w:hanging="644"/>
        <w:spacing w:after="0" w:line="272" w:lineRule="auto"/>
        <w:tabs>
          <w:tab w:leader="none" w:pos="1142"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w:t>
      </w:r>
    </w:p>
    <w:p>
      <w:pPr>
        <w:spacing w:after="0" w:line="47" w:lineRule="exact"/>
        <w:rPr>
          <w:rFonts w:ascii="Arial" w:cs="Arial" w:eastAsia="Arial" w:hAnsi="Arial"/>
          <w:sz w:val="22"/>
          <w:szCs w:val="22"/>
          <w:color w:val="auto"/>
        </w:rPr>
      </w:pPr>
    </w:p>
    <w:p>
      <w:pPr>
        <w:ind w:left="1300" w:hanging="644"/>
        <w:spacing w:after="0" w:line="264" w:lineRule="auto"/>
        <w:tabs>
          <w:tab w:leader="none" w:pos="1117"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 and</w:t>
      </w:r>
    </w:p>
    <w:p>
      <w:pPr>
        <w:spacing w:after="0" w:line="56" w:lineRule="exact"/>
        <w:rPr>
          <w:rFonts w:ascii="Arial" w:cs="Arial" w:eastAsia="Arial" w:hAnsi="Arial"/>
          <w:sz w:val="22"/>
          <w:szCs w:val="22"/>
          <w:color w:val="auto"/>
        </w:rPr>
      </w:pPr>
    </w:p>
    <w:p>
      <w:pPr>
        <w:jc w:val="both"/>
        <w:ind w:left="1300" w:hanging="644"/>
        <w:spacing w:after="0" w:line="250" w:lineRule="auto"/>
        <w:tabs>
          <w:tab w:leader="none" w:pos="12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and other amounts that may be acquired pursuant to this Award acquired upon settlement.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11</w:t>
      </w:r>
    </w:p>
    <w:p>
      <w:pPr>
        <w:sectPr>
          <w:pgSz w:w="11900" w:h="16838" w:orient="portrait"/>
          <w:cols w:equalWidth="0" w:num="1">
            <w:col w:w="11240"/>
          </w:cols>
          <w:pgMar w:left="320" w:top="342"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11.</w:t>
        <w:tab/>
        <w:t>Data Privacy</w:t>
      </w:r>
    </w:p>
    <w:p>
      <w:pPr>
        <w:spacing w:after="0" w:line="132" w:lineRule="exact"/>
        <w:rPr>
          <w:sz w:val="20"/>
          <w:szCs w:val="20"/>
          <w:color w:val="auto"/>
        </w:rPr>
      </w:pPr>
    </w:p>
    <w:p>
      <w:pPr>
        <w:jc w:val="both"/>
        <w:ind w:left="1300" w:hanging="644"/>
        <w:spacing w:after="0" w:line="248" w:lineRule="auto"/>
        <w:tabs>
          <w:tab w:leader="none" w:pos="1248" w:val="left"/>
        </w:tabs>
        <w:numPr>
          <w:ilvl w:val="0"/>
          <w:numId w:val="5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Revenue Growth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6" w:lineRule="exact"/>
        <w:rPr>
          <w:rFonts w:ascii="Arial" w:cs="Arial" w:eastAsia="Arial" w:hAnsi="Arial"/>
          <w:sz w:val="22"/>
          <w:szCs w:val="22"/>
          <w:i w:val="1"/>
          <w:iCs w:val="1"/>
          <w:color w:val="auto"/>
        </w:rPr>
      </w:pPr>
    </w:p>
    <w:p>
      <w:pPr>
        <w:ind w:left="1300" w:hanging="644"/>
        <w:spacing w:after="0" w:line="262" w:lineRule="auto"/>
        <w:tabs>
          <w:tab w:leader="none" w:pos="1086" w:val="left"/>
        </w:tabs>
        <w:numPr>
          <w:ilvl w:val="0"/>
          <w:numId w:val="58"/>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Stock Plan Administration Service Providers</w:t>
      </w:r>
      <w:r>
        <w:rPr>
          <w:rFonts w:ascii="Arial" w:cs="Arial" w:eastAsia="Arial" w:hAnsi="Arial"/>
          <w:sz w:val="21"/>
          <w:szCs w:val="21"/>
          <w:i w:val="1"/>
          <w:iCs w:val="1"/>
          <w:color w:val="auto"/>
        </w:rPr>
        <w:t>. The Company transfers Data to Morgan Stanley’s E*TRADE Financial Corporate Services, Inc. and/or its affiliated companies (“E*TRADE”),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3" w:lineRule="exact"/>
        <w:rPr>
          <w:rFonts w:ascii="Arial" w:cs="Arial" w:eastAsia="Arial" w:hAnsi="Arial"/>
          <w:sz w:val="21"/>
          <w:szCs w:val="21"/>
          <w:i w:val="1"/>
          <w:iCs w:val="1"/>
          <w:color w:val="auto"/>
        </w:rPr>
      </w:pPr>
    </w:p>
    <w:p>
      <w:pPr>
        <w:ind w:left="1300" w:hanging="644"/>
        <w:spacing w:after="0" w:line="275" w:lineRule="auto"/>
        <w:tabs>
          <w:tab w:leader="none" w:pos="1087" w:val="left"/>
        </w:tabs>
        <w:numPr>
          <w:ilvl w:val="0"/>
          <w:numId w:val="58"/>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7" w:lineRule="exact"/>
        <w:rPr>
          <w:rFonts w:ascii="Arial" w:cs="Arial" w:eastAsia="Arial" w:hAnsi="Arial"/>
          <w:sz w:val="21"/>
          <w:szCs w:val="21"/>
          <w:i w:val="1"/>
          <w:iCs w:val="1"/>
          <w:color w:val="auto"/>
        </w:rPr>
      </w:pPr>
    </w:p>
    <w:p>
      <w:pPr>
        <w:ind w:left="1300" w:hanging="644"/>
        <w:spacing w:after="0" w:line="264" w:lineRule="auto"/>
        <w:tabs>
          <w:tab w:leader="none" w:pos="1180" w:val="left"/>
        </w:tabs>
        <w:numPr>
          <w:ilvl w:val="0"/>
          <w:numId w:val="5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6" w:lineRule="exact"/>
        <w:rPr>
          <w:rFonts w:ascii="Arial" w:cs="Arial" w:eastAsia="Arial" w:hAnsi="Arial"/>
          <w:sz w:val="22"/>
          <w:szCs w:val="22"/>
          <w:i w:val="1"/>
          <w:iCs w:val="1"/>
          <w:color w:val="auto"/>
        </w:rPr>
      </w:pPr>
    </w:p>
    <w:p>
      <w:pPr>
        <w:ind w:left="1300" w:hanging="644"/>
        <w:spacing w:after="0" w:line="253" w:lineRule="auto"/>
        <w:tabs>
          <w:tab w:leader="none" w:pos="1126" w:val="left"/>
        </w:tabs>
        <w:numPr>
          <w:ilvl w:val="0"/>
          <w:numId w:val="5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12</w:t>
      </w:r>
    </w:p>
    <w:p>
      <w:pPr>
        <w:sectPr>
          <w:pgSz w:w="11900" w:h="16838" w:orient="portrait"/>
          <w:cols w:equalWidth="0" w:num="1">
            <w:col w:w="11240"/>
          </w:cols>
          <w:pgMar w:left="320" w:top="342" w:right="33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able to grant this Award or other awards to the Grantee or administer or maintain such awards.</w:t>
      </w:r>
    </w:p>
    <w:p>
      <w:pPr>
        <w:spacing w:after="0" w:line="112" w:lineRule="exact"/>
        <w:rPr>
          <w:sz w:val="20"/>
          <w:szCs w:val="20"/>
          <w:color w:val="auto"/>
        </w:rPr>
      </w:pPr>
    </w:p>
    <w:p>
      <w:pPr>
        <w:ind w:left="1300" w:hanging="644"/>
        <w:spacing w:after="0" w:line="247" w:lineRule="auto"/>
        <w:tabs>
          <w:tab w:leader="none" w:pos="1080"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83" w:lineRule="exact"/>
        <w:rPr>
          <w:rFonts w:ascii="Arial" w:cs="Arial" w:eastAsia="Arial" w:hAnsi="Arial"/>
          <w:sz w:val="22"/>
          <w:szCs w:val="22"/>
          <w:i w:val="1"/>
          <w:iCs w:val="1"/>
          <w:color w:val="auto"/>
        </w:rPr>
      </w:pPr>
    </w:p>
    <w:p>
      <w:pPr>
        <w:jc w:val="both"/>
        <w:ind w:left="1300" w:hanging="644"/>
        <w:spacing w:after="0" w:line="251" w:lineRule="auto"/>
        <w:tabs>
          <w:tab w:leader="none" w:pos="1275"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6"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12.</w:t>
        <w:tab/>
        <w:t>Restrictive Covenants and Remedies</w:t>
      </w:r>
    </w:p>
    <w:p>
      <w:pPr>
        <w:spacing w:after="0" w:line="132" w:lineRule="exact"/>
        <w:rPr>
          <w:sz w:val="20"/>
          <w:szCs w:val="20"/>
          <w:color w:val="auto"/>
        </w:rPr>
      </w:pPr>
    </w:p>
    <w:p>
      <w:pPr>
        <w:jc w:val="both"/>
        <w:ind w:left="420"/>
        <w:spacing w:after="0" w:line="239" w:lineRule="auto"/>
        <w:rPr>
          <w:sz w:val="20"/>
          <w:szCs w:val="20"/>
          <w:color w:val="auto"/>
        </w:rPr>
      </w:pPr>
      <w:r>
        <w:rPr>
          <w:rFonts w:ascii="Arial" w:cs="Arial" w:eastAsia="Arial" w:hAnsi="Arial"/>
          <w:sz w:val="22"/>
          <w:szCs w:val="22"/>
          <w:color w:val="auto"/>
        </w:rPr>
        <w:t>This Section 12 is entered into by Lilly (which for purposes of Section 12 includes any of its Affiliates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to which Grantee provides (or has provided) services during Grantee’s employment) and Grantee as of the date of Grantee’s acceptance of this Award. This Section 12 is not applicable if the Grantee is working and/or residing in Canada or otherwise where impermissible under applicable law. However, conduct involving misappropriation of Lilly trade secrets or confidential information will remain prohibited as provided in the Grantee’s Employee Confidentiality and Invention Agreement and nothing in this Award Agreement shall be construed to limit or eliminate any rights or remedies 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6459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53" w:lineRule="exact"/>
        <w:rPr>
          <w:sz w:val="20"/>
          <w:szCs w:val="20"/>
          <w:color w:val="auto"/>
        </w:rPr>
      </w:pPr>
    </w:p>
    <w:p>
      <w:pPr>
        <w:ind w:right="140" w:firstLine="8"/>
        <w:spacing w:after="0" w:line="227" w:lineRule="auto"/>
        <w:tabs>
          <w:tab w:leader="none" w:pos="93" w:val="left"/>
        </w:tabs>
        <w:numPr>
          <w:ilvl w:val="0"/>
          <w:numId w:val="60"/>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For purposes of this Section 12, “Affiliate” means any entity that directly, or indirectly through one or more intermediaries, controls, or is controlled by, or is under common control with, Eli Lilly and Company or Lilly USA, LLC.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13</w:t>
      </w:r>
    </w:p>
    <w:p>
      <w:pPr>
        <w:sectPr>
          <w:pgSz w:w="11900" w:h="16838" w:orient="portrait"/>
          <w:cols w:equalWidth="0" w:num="1">
            <w:col w:w="11240"/>
          </w:cols>
          <w:pgMar w:left="320" w:top="342"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would have against Grantee under trade secret law, unfair competition law, or other applicable laws.</w:t>
      </w:r>
    </w:p>
    <w:p>
      <w:pPr>
        <w:spacing w:after="0" w:line="112" w:lineRule="exact"/>
        <w:rPr>
          <w:sz w:val="20"/>
          <w:szCs w:val="20"/>
          <w:color w:val="auto"/>
        </w:rPr>
      </w:pPr>
    </w:p>
    <w:p>
      <w:pPr>
        <w:jc w:val="both"/>
        <w:ind w:left="420"/>
        <w:spacing w:after="0" w:line="257" w:lineRule="auto"/>
        <w:rPr>
          <w:sz w:val="20"/>
          <w:szCs w:val="20"/>
          <w:color w:val="auto"/>
        </w:rPr>
      </w:pPr>
      <w:r>
        <w:rPr>
          <w:rFonts w:ascii="Arial" w:cs="Arial" w:eastAsia="Arial" w:hAnsi="Arial"/>
          <w:sz w:val="22"/>
          <w:szCs w:val="22"/>
          <w:color w:val="auto"/>
        </w:rPr>
        <w:t>In consideration of the Grantee’s receipt of the Award from Lilly, and the mutual covenants contained herein and other good and valuable consideration, the receipt and sufficiency of which are hereby acknowledged, the Grantee and Lilly hereby agree as follows:</w:t>
      </w:r>
    </w:p>
    <w:p>
      <w:pPr>
        <w:spacing w:after="0" w:line="78"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2040" w:hanging="655"/>
        <w:spacing w:after="0" w:line="246" w:lineRule="auto"/>
        <w:tabs>
          <w:tab w:leader="none" w:pos="1956" w:val="left"/>
        </w:tabs>
        <w:numPr>
          <w:ilvl w:val="1"/>
          <w:numId w:val="61"/>
        </w:numPr>
        <w:rPr>
          <w:rFonts w:ascii="Arial" w:cs="Arial" w:eastAsia="Arial" w:hAnsi="Arial"/>
          <w:sz w:val="22"/>
          <w:szCs w:val="22"/>
          <w:color w:val="auto"/>
        </w:rPr>
      </w:pPr>
      <w:r>
        <w:rPr>
          <w:rFonts w:ascii="Arial" w:cs="Arial" w:eastAsia="Arial" w:hAnsi="Arial"/>
          <w:sz w:val="22"/>
          <w:szCs w:val="22"/>
          <w:color w:val="auto"/>
        </w:rPr>
        <w:t>Grantee understands and agrees that Grantee’s employment by Lilly creates a relationship of confidence and trust with respect to any information or materials of a confidential, non-public or proprietary nature that have been or may be made, created or discovered by Grantee or that have been or will be disclosed to Grantee in relation to the business of Lilly, or its direct or indirect parents, subsidiaries or Affiliates (together with Lilly, the “Lilly Group Companies”), or any of their respective predecessors, or any entity, business or assets acquired in whole or in part by any of the Lilly Group Companies (each, an “Acquired Company”), or any Protected Contact, or any other person with whom the Lilly Group Companies agrees to hold such information or materials in confidence (the “Confidential Information”). For the avoidance of doubt, any information developed by an Acquired Company will be considered “Confidential Information” if it meets the definition of that term herein regardless of whether the Confidential Information was developed by the Acquired Company prior to or after the acquisition by Lilly. Without limitation as to the forms that Confidential Information may take, Grantee acknowledges and agrees that Confidential Information may be contained in tangible material such as writings, drawings, samples, electronic media, or computer programs, or may be in the nature of unwritten knowledge or know-how. Confidential Information includes, but is not limited to, information concerning the Lilly Group Companies’ inventions, marketing plans, products, designs, processes, services, research data, prototypes, specimens, test protocols, laboratory notebooks, business strategies, financial information, forecasts, personnel information, contract information, Protected Contacts, business pursuits and other information that is not generally known outside the Lilly Group Companies and from which the Lilly Group Companies could derive economic value, including any such information to which Grantee had access prior to agreeing to the terms of this Section 12. Notwithstanding the foregoing, it is understood that Confidential Information does not include information that is generally known in the trade or industry through no breach of this Section 12 or other act or omission by Grantee or any other person with confidentiality obligations to the Lilly Group Companies, or information arising from Grantee’s general training, knowledge, skill or experience.</w:t>
      </w:r>
    </w:p>
    <w:p>
      <w:pPr>
        <w:spacing w:after="0" w:line="208" w:lineRule="exact"/>
        <w:rPr>
          <w:rFonts w:ascii="Arial" w:cs="Arial" w:eastAsia="Arial" w:hAnsi="Arial"/>
          <w:sz w:val="22"/>
          <w:szCs w:val="22"/>
          <w:color w:val="auto"/>
        </w:rPr>
      </w:pPr>
    </w:p>
    <w:p>
      <w:pPr>
        <w:ind w:left="2040" w:hanging="655"/>
        <w:spacing w:after="0" w:line="272" w:lineRule="auto"/>
        <w:tabs>
          <w:tab w:leader="none" w:pos="1941" w:val="left"/>
        </w:tabs>
        <w:numPr>
          <w:ilvl w:val="1"/>
          <w:numId w:val="61"/>
        </w:numPr>
        <w:rPr>
          <w:rFonts w:ascii="Arial" w:cs="Arial" w:eastAsia="Arial" w:hAnsi="Arial"/>
          <w:sz w:val="22"/>
          <w:szCs w:val="22"/>
          <w:color w:val="auto"/>
        </w:rPr>
      </w:pPr>
      <w:r>
        <w:rPr>
          <w:rFonts w:ascii="Arial" w:cs="Arial" w:eastAsia="Arial" w:hAnsi="Arial"/>
          <w:sz w:val="22"/>
          <w:szCs w:val="22"/>
          <w:color w:val="auto"/>
        </w:rPr>
        <w:t>At all times, both during Grantee’s employment and during the Confidentiality Restricted Period (as defined herein) after the end 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14</w:t>
      </w:r>
    </w:p>
    <w:p>
      <w:pPr>
        <w:sectPr>
          <w:pgSz w:w="11900" w:h="16838" w:orient="portrait"/>
          <w:cols w:equalWidth="0" w:num="1">
            <w:col w:w="11240"/>
          </w:cols>
          <w:pgMar w:left="320" w:top="342"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040"/>
        <w:spacing w:after="0" w:line="248" w:lineRule="auto"/>
        <w:rPr>
          <w:sz w:val="20"/>
          <w:szCs w:val="20"/>
          <w:color w:val="auto"/>
        </w:rPr>
      </w:pPr>
      <w:r>
        <w:rPr>
          <w:rFonts w:ascii="Arial" w:cs="Arial" w:eastAsia="Arial" w:hAnsi="Arial"/>
          <w:sz w:val="22"/>
          <w:szCs w:val="22"/>
          <w:color w:val="auto"/>
        </w:rPr>
        <w:t>Grantee’s employment with Lilly for any reason, and to the fullest extent permitted by law, Grantee agrees to keep and hold all Confidential Information in strict confidence and trust. Grantee will not use or disclose any Confidential Information without the prior written consent of Lilly in each instance, except in the good faith performance of Grantee’s duties as an employee of Lilly for the benefit of Lilly. For purposes of this Section 12, “Confidentiality Restricted Period” shall mean: (i) five (5) years following the end of Grantee’s employment with Lilly for any reason if the item of Confidential Information at issue does not constitute a trade secret under applicable law; and (ii) if the item of Confidential Information at issue constitutes a trade secret under applicable law, the longer of (A) five (5) years following the end of Grantee’s employment with Lilly for any reason, and (B) for so long as such item of Confidential Information at issue continues to constitute a trade secret.</w:t>
      </w:r>
    </w:p>
    <w:p>
      <w:pPr>
        <w:spacing w:after="0" w:line="189" w:lineRule="exact"/>
        <w:rPr>
          <w:sz w:val="20"/>
          <w:szCs w:val="20"/>
          <w:color w:val="auto"/>
        </w:rPr>
      </w:pPr>
    </w:p>
    <w:p>
      <w:pPr>
        <w:jc w:val="both"/>
        <w:ind w:left="2040" w:hanging="655"/>
        <w:spacing w:after="0" w:line="248" w:lineRule="auto"/>
        <w:tabs>
          <w:tab w:leader="none" w:pos="2085" w:val="left"/>
        </w:tabs>
        <w:numPr>
          <w:ilvl w:val="1"/>
          <w:numId w:val="62"/>
        </w:numPr>
        <w:rPr>
          <w:rFonts w:ascii="Arial" w:cs="Arial" w:eastAsia="Arial" w:hAnsi="Arial"/>
          <w:sz w:val="22"/>
          <w:szCs w:val="22"/>
          <w:color w:val="auto"/>
        </w:rPr>
      </w:pPr>
      <w:r>
        <w:rPr>
          <w:rFonts w:ascii="Arial" w:cs="Arial" w:eastAsia="Arial" w:hAnsi="Arial"/>
          <w:sz w:val="22"/>
          <w:szCs w:val="22"/>
          <w:color w:val="auto"/>
        </w:rPr>
        <w:t>Grantee understands and agrees that all Confidential Information, and all other documents, supplies, equipment and other physical property furnished to Grantee by Lilly, produced by Grantee or others in connection with Grantee’s employment, or otherwise pertaining to Grantee’s work with Lilly or any of the Lilly Group Companies (collectively, “Lilly Property”) will be and remain the sole property of Lilly. Upon the end of Grantee’s employment with Lilly for any reason, Grantee agrees to promptly deliver to Lilly all Confidential Information and all other Lilly Property, and Grantee will not take with Grantee or retain in any form any documents or materials or copies containing any Confidential Information, excepting only Grantee’s personal copies of records of Grantee’s employment or compensation with Lilly.</w:t>
      </w:r>
    </w:p>
    <w:p>
      <w:pPr>
        <w:spacing w:after="0" w:line="200" w:lineRule="exact"/>
        <w:rPr>
          <w:rFonts w:ascii="Arial" w:cs="Arial" w:eastAsia="Arial" w:hAnsi="Arial"/>
          <w:sz w:val="22"/>
          <w:szCs w:val="22"/>
          <w:color w:val="auto"/>
        </w:rPr>
      </w:pPr>
    </w:p>
    <w:p>
      <w:pPr>
        <w:spacing w:after="0" w:line="349" w:lineRule="exact"/>
        <w:rPr>
          <w:rFonts w:ascii="Arial" w:cs="Arial" w:eastAsia="Arial" w:hAnsi="Arial"/>
          <w:sz w:val="22"/>
          <w:szCs w:val="22"/>
          <w:color w:val="auto"/>
        </w:rPr>
      </w:pPr>
    </w:p>
    <w:p>
      <w:pPr>
        <w:jc w:val="both"/>
        <w:ind w:left="1300" w:hanging="644"/>
        <w:spacing w:after="0" w:line="247" w:lineRule="auto"/>
        <w:tabs>
          <w:tab w:leader="none" w:pos="1234"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Except as may be modified for Grantee as described in subsection 12.i., Grantee agrees that during Grantee’s employment with Lilly and for twelve (12) months immediately following the end of Grantee’s employment (regardless of reason) (the “Restricted Period”), Grantee will not directly or indirectly, anywhere in or with respect to the United States or any other country in which Lilly operates or conducts business as of the end of Grantee’s employment (the “Restricted Territory”), work for, advise, manage, act as an agent, employee or consultant for, or otherwise provide any services, in each case in a Competitively-Sensitive Capacity (as defined herein), to any person or entity engaged in research, development, production, sale, or distribution of a product or service competitive with or substantially similar to any product or service in research, development or design, or manufactured, produced, sold, or distributed by Lilly (each such person or entity, a “Competitor”).</w:t>
      </w:r>
    </w:p>
    <w:p>
      <w:pPr>
        <w:spacing w:after="0" w:line="97"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For purposes of this Section 12, “Competitively-Sensitive Capacity” means: (i) the same or similar capacity or function in which Grantee worked for Lilly at any time during the two (2) years immediately preceding the end of Grantee’s employment;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15</w:t>
      </w:r>
    </w:p>
    <w:p>
      <w:pPr>
        <w:sectPr>
          <w:pgSz w:w="11900" w:h="16838" w:orient="portrait"/>
          <w:cols w:equalWidth="0" w:num="1">
            <w:col w:w="11240"/>
          </w:cols>
          <w:pgMar w:left="320" w:top="342"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300" w:firstLine="4"/>
        <w:spacing w:after="0" w:line="247" w:lineRule="auto"/>
        <w:tabs>
          <w:tab w:leader="none" w:pos="1648"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officer, director, executive or senior management capacity or function; (iii) any research or development capacity or function; (iv) any sales management or business development management capacity or function; (v) any ownership capacity (except Grantee may own as a passive investment up to 2% of any publicly traded securities); or (vi) any other capacity or function in which the trade secrets or other Confidential Information of Lilly or any of the Lilly Group Companies to which Grantee had access during the two (2) years immediately preceding the end of Grantee’s employment, if used or disclosed by Grantee, would enable a Competitor to unfairly compete with Lilly. For purposes of clarity, if a Competitor has multiple divisions, lines or segments, some of which are not competitive with the business of Lilly, nothing in this Section 12 will prohibit Grantee from being employed by, working for or assisting only that division, line or segment of such Competitor that is not competitive with (or planned to be competitive with) the business of Lilly, provided Grantee is not involved in a Competitively-Sensitive Capacity in the research, development, production, sale or distribution of any product or service competitive with or substantially similar to any product or service in research, development or design, or manufactured, produced, sold, or distributed by Lilly.</w:t>
      </w:r>
    </w:p>
    <w:p>
      <w:pPr>
        <w:spacing w:after="0" w:line="95"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In accordance with American Bar Association Model Rule 5.6, this subsection 12.b. shall be inapplicable following the end of Grantee’s employment if: (i) during Grantee’s employment with Lilly, Grantee primarily performed services for Lilly as a licensed attorney, and (ii) Grantee provides legal services as a licensed attorney to a company other than Lilly.</w:t>
      </w:r>
    </w:p>
    <w:p>
      <w:pPr>
        <w:spacing w:after="0" w:line="202" w:lineRule="exact"/>
        <w:rPr>
          <w:sz w:val="20"/>
          <w:szCs w:val="20"/>
          <w:color w:val="auto"/>
        </w:rPr>
      </w:pPr>
    </w:p>
    <w:p>
      <w:pPr>
        <w:jc w:val="both"/>
        <w:ind w:left="1300" w:hanging="644"/>
        <w:spacing w:after="0" w:line="250" w:lineRule="auto"/>
        <w:tabs>
          <w:tab w:leader="none" w:pos="124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Non-Interference with Protected Contacts</w:t>
      </w:r>
      <w:r>
        <w:rPr>
          <w:rFonts w:ascii="Arial" w:cs="Arial" w:eastAsia="Arial" w:hAnsi="Arial"/>
          <w:sz w:val="22"/>
          <w:szCs w:val="22"/>
          <w:color w:val="auto"/>
        </w:rPr>
        <w:t>. Except as may be modified for Grantee as described in subsection 12.i., Grantee agrees that, during the Restricted Period, Grantee will not directly or indirectly, anywhere in or with respect to the Restricted Territory, solicit, urge, divert, induce, or seek to induce any Protected Contact to: (a) terminate their relationship with, or representation of, Lilly or any of the Lilly Group Companies; (b) cancel, withdraw, reduce, limit or in any manner to adversely modify any such person’s business with, or representation of, Lilly or any of the Lilly Group Companies; or (c) enter into a relationship, represent, or provide services to a Competitor.</w:t>
      </w:r>
    </w:p>
    <w:p>
      <w:pPr>
        <w:spacing w:after="0" w:line="86"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For purposes of this Section 12, “Protected Contact” means any independent contractor, subcontractor, business partner, distributor, broker, consultant, sales representative, customer, vendor, supplier or any other person with which Lilly or any of the Lilly Group Companies has a business relationship and (i) with which Grantee had material interaction during Grantee’s employment with Lilly, or (ii) about which Grantee had access to Confidential Information during Grantee’s employment with Lilly.</w:t>
      </w:r>
    </w:p>
    <w:p>
      <w:pPr>
        <w:spacing w:after="0" w:line="71" w:lineRule="exact"/>
        <w:rPr>
          <w:sz w:val="20"/>
          <w:szCs w:val="20"/>
          <w:color w:val="auto"/>
        </w:rPr>
      </w:pPr>
    </w:p>
    <w:p>
      <w:pPr>
        <w:ind w:left="1300" w:hanging="644"/>
        <w:spacing w:after="0" w:line="257" w:lineRule="auto"/>
        <w:tabs>
          <w:tab w:leader="none" w:pos="1072"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Grantee agrees that, during the Restricted Period, Grantee will not, directly or indirectly solicit, urge, divert, induce, or seek to induce any Protected Employee of Lilly to: (a) terminate or adversely modify their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16</w:t>
      </w:r>
    </w:p>
    <w:p>
      <w:pPr>
        <w:sectPr>
          <w:pgSz w:w="11900" w:h="16838" w:orient="portrait"/>
          <w:cols w:equalWidth="0" w:num="1">
            <w:col w:w="11240"/>
          </w:cols>
          <w:pgMar w:left="320" w:top="342"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300"/>
        <w:spacing w:after="0" w:line="272" w:lineRule="auto"/>
        <w:rPr>
          <w:sz w:val="20"/>
          <w:szCs w:val="20"/>
          <w:color w:val="auto"/>
        </w:rPr>
      </w:pPr>
      <w:r>
        <w:rPr>
          <w:rFonts w:ascii="Arial" w:cs="Arial" w:eastAsia="Arial" w:hAnsi="Arial"/>
          <w:sz w:val="22"/>
          <w:szCs w:val="22"/>
          <w:color w:val="auto"/>
        </w:rPr>
        <w:t>relationship with Lilly or any of the Lilly Group Companies; or (b) enter into a relationship, represent, or provide services to a Competitor.</w:t>
      </w:r>
    </w:p>
    <w:p>
      <w:pPr>
        <w:spacing w:after="0" w:line="48"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For purposes of this Section 12, “Protected Employee” means any employee of Lilly or any of the Lilly Group Companies that has or has had access to Confidential Information and: (i) with whom Grantee had material interaction during Grantee’s employment with Lilly; or (ii) about whom Grantee had access to Confidential Information during Grantee’s employment with Lilly.</w:t>
      </w:r>
    </w:p>
    <w:p>
      <w:pPr>
        <w:spacing w:after="0" w:line="64" w:lineRule="exact"/>
        <w:rPr>
          <w:sz w:val="20"/>
          <w:szCs w:val="20"/>
          <w:color w:val="auto"/>
        </w:rPr>
      </w:pPr>
    </w:p>
    <w:p>
      <w:pPr>
        <w:ind w:left="1300" w:hanging="644"/>
        <w:spacing w:after="0" w:line="247" w:lineRule="auto"/>
        <w:tabs>
          <w:tab w:leader="none" w:pos="11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Reasonableness of Restrictions</w:t>
      </w:r>
      <w:r>
        <w:rPr>
          <w:rFonts w:ascii="Arial" w:cs="Arial" w:eastAsia="Arial" w:hAnsi="Arial"/>
          <w:sz w:val="22"/>
          <w:szCs w:val="22"/>
          <w:color w:val="auto"/>
        </w:rPr>
        <w:t>. Grantee acknowledges and agrees that during the course of Grantee’s employment with Lilly, Grantee will be provided access to and will become intimately familiar with trade secrets and other Confidential Information key to Lilly’s (and the Lilly Group Companies’) unique competitive advantage. Grantee also acknowledges and agrees that Lilly’s (and the Lilly Group Companies’) trade secrets and other Confidential Information will retain continuing vitality throughout and beyond the Restricted Period. And Grantee acknowledges and agrees that, should Grantee’s employment with Lilly end for any reason and, during the Restricted Period, Grantee works in a Competitively-Sensitive Capacity with a Competitor, it would be highly likely, if not inevitable, that Grantee would rely on trade secrets or other Confidential Information of Lilly or the Lilly Group Companies in the course of Grantee’s work, either consciously or subconsciously, thereby irreparably harming Lilly and the Lilly Group Companies. For these and other reasons, Grantee agrees that the restrictions in this Section 12 are reasonable and necessary to protect the legitimate business interests of Lilly and the Lilly Group Companies and do so by creating a specific amount of time after Grantee’s employment ends during which Grantee will not be able to engage or prepare to engage in the activities restricted in this Section 12. Grantee and Lilly further acknowledge and agree that Lilly and the Lilly Group Companies conduct business throughout the Restricted Territory and the geographic scope of the foregoing covenants is reasonable and necessary given, among other things, that: (a) absent such restrictions, Grantee could utilize Lilly’s (or Lilly Group Companies) trade secrets and other Confidential Information and unfairly compete with Lilly in the Restricted Territory from virtually anywhere in the world; and (b) such scope is the only way for Lilly and the Lilly Group Companies adequately to protect its trade secrets and other Confidential Information.</w:t>
      </w:r>
    </w:p>
    <w:p>
      <w:pPr>
        <w:spacing w:after="0" w:line="81" w:lineRule="exact"/>
        <w:rPr>
          <w:rFonts w:ascii="Arial" w:cs="Arial" w:eastAsia="Arial" w:hAnsi="Arial"/>
          <w:sz w:val="22"/>
          <w:szCs w:val="22"/>
          <w:color w:val="auto"/>
        </w:rPr>
      </w:pPr>
    </w:p>
    <w:p>
      <w:pPr>
        <w:ind w:left="1300" w:hanging="644"/>
        <w:spacing w:after="0" w:line="248" w:lineRule="auto"/>
        <w:tabs>
          <w:tab w:leader="none" w:pos="103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Grantee acknowledges that a breach by Grantee of this Section 12 will give rise to irreparable injury to Lilly and money damages will not be adequate relief for such injury. As a result, Grantee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Grantee. If Lilly determines that Grantee has violated any applicable provisions of this Section 12, in addition to injunctive relief and damages, Grantee agrees and covenants that: (i)Grantee will automatically forfeit any rights Grantee may have with respect to this Award as well as any equity grant (of any form or type) awarded after the date Grantee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17</w:t>
      </w:r>
    </w:p>
    <w:p>
      <w:pPr>
        <w:sectPr>
          <w:pgSz w:w="11900" w:h="16838" w:orient="portrait"/>
          <w:cols w:equalWidth="0" w:num="1">
            <w:col w:w="11240"/>
          </w:cols>
          <w:pgMar w:left="320" w:top="342"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color w:val="auto"/>
        </w:rPr>
        <w:t>accepts this Award Agreement, including any right to continue to be eligible to vest or receive a payment under such equity awards; and (ii) if Grantee was an Executive Officer during Grantee’s employment, and is entitled to receive benefits under The Lilly Excess Benefits Plan-Retirement (the “SERP”), Grantee will forfeit 60 months of payment under the SERP (whether payment has commenced at the time of breach or commences in the future). Further, Grantee acknowledges that Lilly and the Lilly Group Companies reserve all other rights and remedies available at law or in equity. In addition, in the event Grantee violates any of the restrictive covenants contained herein, the Restricted Period or Confidentiality Restricted Period (as applicable) for the violated restrictive covenants will automatically be extended by the length of time during which Grantee was in violation of such restrictive covenants.</w:t>
      </w:r>
    </w:p>
    <w:p>
      <w:pPr>
        <w:spacing w:after="0" w:line="80" w:lineRule="exact"/>
        <w:rPr>
          <w:sz w:val="20"/>
          <w:szCs w:val="20"/>
          <w:color w:val="auto"/>
        </w:rPr>
      </w:pPr>
    </w:p>
    <w:p>
      <w:pPr>
        <w:ind w:left="1300" w:hanging="644"/>
        <w:spacing w:after="0" w:line="260" w:lineRule="auto"/>
        <w:tabs>
          <w:tab w:leader="none" w:pos="1099"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Notification Requirements</w:t>
      </w:r>
      <w:r>
        <w:rPr>
          <w:rFonts w:ascii="Arial" w:cs="Arial" w:eastAsia="Arial" w:hAnsi="Arial"/>
          <w:sz w:val="21"/>
          <w:szCs w:val="21"/>
          <w:color w:val="auto"/>
        </w:rPr>
        <w:t>. During the Restricted Period, Grantee acknowledges and agrees to notify Lilly of the name, job title, job duties and location of Grantee’s next employer or any other person or entity for which Grantee otherwise will be working or providing services. This notification to Lilly is necessary to ensure adherence to Grantee’s post-employment obligations and to protect Lilly trade secrets and confidential information from improper disclosure. During the Restricted Period or Confidentiality Restricted Period, Grantee will provide a copy of Grantee’s post-employment obligations under this Section 12 to each subsequent employer and to each other person or entity for which Grantee otherwise will be working or providing services, in each case prior to commencing employment with or providing any services to such employer, person or entity. Grantee also authorizes Lilly to notify third parties, including any actual or potential employers and Protected Contacts, of the terms of this Section 12 and Grantee’s obligations hereunder, by providing a copy of this Section 12 or otherwise.</w:t>
      </w:r>
    </w:p>
    <w:p>
      <w:pPr>
        <w:spacing w:after="0" w:line="78" w:lineRule="exact"/>
        <w:rPr>
          <w:rFonts w:ascii="Arial" w:cs="Arial" w:eastAsia="Arial" w:hAnsi="Arial"/>
          <w:sz w:val="21"/>
          <w:szCs w:val="21"/>
          <w:color w:val="auto"/>
        </w:rPr>
      </w:pPr>
    </w:p>
    <w:p>
      <w:pPr>
        <w:ind w:left="1300" w:hanging="644"/>
        <w:spacing w:after="0" w:line="247" w:lineRule="auto"/>
        <w:tabs>
          <w:tab w:leader="none" w:pos="108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Government Agencies; Permitted Disclosures</w:t>
      </w:r>
      <w:r>
        <w:rPr>
          <w:rFonts w:ascii="Arial" w:cs="Arial" w:eastAsia="Arial" w:hAnsi="Arial"/>
          <w:sz w:val="22"/>
          <w:szCs w:val="22"/>
          <w:color w:val="auto"/>
        </w:rPr>
        <w:t>. Notwithstanding anything in this Section 12 to the contrary, Grantee understands that Grantee may report possible violations of law or regulation to any governmental agency or entity, or make other disclosures that are protected under law or regulation. Grantee also understands that nothing in this Section 12 requires Grantee to obtain prior authorization from Lilly to make any such reports or disclosures or to notify Lilly that you have made such reports or disclosures. Nor shall anything in this Section 12 impede Grantee from discussing or disclosing in good faith information about unlawful acts in the workplace, such as harassment (including sexual harassment), discrimination, sexual assault, or any other conduct Grantee has reason to believe in good faith is unlawful, or from exercising any rights Grantee may have under Section 7 of the National Labor Relations Act. Grantee further understands that Grantee may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18</w:t>
      </w:r>
    </w:p>
    <w:p>
      <w:pPr>
        <w:sectPr>
          <w:pgSz w:w="11900" w:h="16838" w:orient="portrait"/>
          <w:cols w:equalWidth="0" w:num="1">
            <w:col w:w="11240"/>
          </w:cols>
          <w:pgMar w:left="320" w:top="342" w:right="3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is made under seal. Without prior written authorization of Lilly, however, Grantee is not authorized to disclose to any third party (including any government official or any attorney Grantee may retain) any communication that is covered by the attorney-client privilege of Lilly or any of the Lilly Group Companies.</w:t>
      </w:r>
    </w:p>
    <w:p>
      <w:pPr>
        <w:spacing w:after="0" w:line="81" w:lineRule="exact"/>
        <w:rPr>
          <w:sz w:val="20"/>
          <w:szCs w:val="20"/>
          <w:color w:val="auto"/>
        </w:rPr>
      </w:pPr>
    </w:p>
    <w:p>
      <w:pPr>
        <w:ind w:left="1300" w:right="60" w:hanging="644"/>
        <w:spacing w:after="0" w:line="250" w:lineRule="auto"/>
        <w:tabs>
          <w:tab w:leader="none" w:pos="10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State Law Considerations</w:t>
      </w:r>
      <w:r>
        <w:rPr>
          <w:rFonts w:ascii="Arial" w:cs="Arial" w:eastAsia="Arial" w:hAnsi="Arial"/>
          <w:sz w:val="22"/>
          <w:szCs w:val="22"/>
          <w:color w:val="auto"/>
        </w:rPr>
        <w:t>. Grantee and Lilly intend for this Section 12 to comply with all applicable state laws and that this Section 12 should be read and construed consistent with this shared intention. As such, Grantee and Lilly agree that this Section 12 is hereby modified as set forth in this subsection 12.i. to the extent Grantee primarily is employed by and primarily provide services to Lilly in one of the states identified in this subsection 12.i. as of the dates described below.</w:t>
      </w:r>
    </w:p>
    <w:p>
      <w:pPr>
        <w:spacing w:after="0" w:line="221" w:lineRule="exact"/>
        <w:rPr>
          <w:rFonts w:ascii="Arial" w:cs="Arial" w:eastAsia="Arial" w:hAnsi="Arial"/>
          <w:sz w:val="22"/>
          <w:szCs w:val="22"/>
          <w:color w:val="auto"/>
        </w:rPr>
      </w:pPr>
    </w:p>
    <w:p>
      <w:pPr>
        <w:ind w:left="1960" w:hanging="656"/>
        <w:spacing w:after="0" w:line="257" w:lineRule="auto"/>
        <w:tabs>
          <w:tab w:leader="none" w:pos="1778"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as of the date on which Grantee receives this Award Agreement, Grantee primarily is employed by and primarily provide services to Lilly in a state identified in this subsection 12.i.(i), the following shall apply:</w:t>
      </w:r>
    </w:p>
    <w:p>
      <w:pPr>
        <w:spacing w:after="0" w:line="64" w:lineRule="exact"/>
        <w:rPr>
          <w:rFonts w:ascii="Arial" w:cs="Arial" w:eastAsia="Arial" w:hAnsi="Arial"/>
          <w:sz w:val="22"/>
          <w:szCs w:val="22"/>
          <w:color w:val="auto"/>
        </w:rPr>
      </w:pPr>
    </w:p>
    <w:p>
      <w:pPr>
        <w:jc w:val="both"/>
        <w:ind w:left="2600" w:hanging="648"/>
        <w:spacing w:after="0" w:line="250" w:lineRule="auto"/>
        <w:tabs>
          <w:tab w:leader="none" w:pos="2599" w:val="left"/>
        </w:tabs>
        <w:numPr>
          <w:ilvl w:val="2"/>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Colorado. </w:t>
      </w:r>
      <w:r>
        <w:rPr>
          <w:rFonts w:ascii="Arial" w:cs="Arial" w:eastAsia="Arial" w:hAnsi="Arial"/>
          <w:sz w:val="22"/>
          <w:szCs w:val="22"/>
          <w:color w:val="auto"/>
        </w:rPr>
        <w:t>Grantee acknowledges receipt of a separate notice attached to this Award</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as “Appendix for Colorado Employees” that Lilly has provided to Grantee contemporaneously with this Award Agreement, which identifies this Award Agreement by name, states that this Award Agreement contains covenants not to compete that could restrict Grantee’s options for subsequent employment following the end of Grantee’s employment with Lilly, and directs Grantee to the specific sections of this Award Agreement containing such covenants.</w:t>
      </w:r>
    </w:p>
    <w:p>
      <w:pPr>
        <w:spacing w:after="0" w:line="180" w:lineRule="exact"/>
        <w:rPr>
          <w:rFonts w:ascii="Arial" w:cs="Arial" w:eastAsia="Arial" w:hAnsi="Arial"/>
          <w:sz w:val="22"/>
          <w:szCs w:val="22"/>
          <w:color w:val="auto"/>
        </w:rPr>
      </w:pPr>
    </w:p>
    <w:p>
      <w:pPr>
        <w:ind w:left="2520" w:hanging="568"/>
        <w:spacing w:after="0" w:line="251" w:lineRule="auto"/>
        <w:tabs>
          <w:tab w:leader="none" w:pos="2438" w:val="left"/>
        </w:tabs>
        <w:numPr>
          <w:ilvl w:val="2"/>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District of Columbia. </w:t>
      </w:r>
      <w:r>
        <w:rPr>
          <w:rFonts w:ascii="Arial" w:cs="Arial" w:eastAsia="Arial" w:hAnsi="Arial"/>
          <w:sz w:val="22"/>
          <w:szCs w:val="22"/>
          <w:color w:val="auto"/>
        </w:rPr>
        <w:t>Grantee is advised of the following notice: “The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Lilly has determined that Grantee is a highly compensated employee. For more information about the Ban on Non-Compete Agreements Amendment Act of 2020, contact the District of Columbia Department of Employment Services (DOES).”</w:t>
      </w:r>
    </w:p>
    <w:p>
      <w:pPr>
        <w:spacing w:after="0" w:line="178" w:lineRule="exact"/>
        <w:rPr>
          <w:rFonts w:ascii="Arial" w:cs="Arial" w:eastAsia="Arial" w:hAnsi="Arial"/>
          <w:sz w:val="22"/>
          <w:szCs w:val="22"/>
          <w:color w:val="auto"/>
        </w:rPr>
      </w:pPr>
    </w:p>
    <w:p>
      <w:pPr>
        <w:jc w:val="both"/>
        <w:ind w:left="2520" w:hanging="568"/>
        <w:spacing w:after="0" w:line="249" w:lineRule="auto"/>
        <w:tabs>
          <w:tab w:leader="none" w:pos="2490" w:val="left"/>
        </w:tabs>
        <w:numPr>
          <w:ilvl w:val="2"/>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Washington. </w:t>
      </w:r>
      <w:r>
        <w:rPr>
          <w:rFonts w:ascii="Arial" w:cs="Arial" w:eastAsia="Arial" w:hAnsi="Arial"/>
          <w:sz w:val="22"/>
          <w:szCs w:val="22"/>
          <w:color w:val="auto"/>
        </w:rPr>
        <w:t>Subsection 12.j.(v) shall not apply to Grantee, and the following language is</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substituted as a new subsection 12.j.(viii):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12 will be interpreted and enforced in accordance with the laws of the State of Washington, without giving effect to any choice-of-law or conflict-of-law principle that would cause the application of the substantive law of any jurisdiction other than Washington. Grantee and Lilly agree that any legal action arising out of or relating to this Section 12 will be commenced and maintained exclusively before any state or federal court having appropriate subject matter jurisdiction located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19</w:t>
      </w:r>
    </w:p>
    <w:p>
      <w:pPr>
        <w:sectPr>
          <w:pgSz w:w="11900" w:h="16838" w:orient="portrait"/>
          <w:cols w:equalWidth="0" w:num="1">
            <w:col w:w="11240"/>
          </w:cols>
          <w:pgMar w:left="320" w:top="342" w:right="3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520"/>
        <w:spacing w:after="0" w:line="257" w:lineRule="auto"/>
        <w:rPr>
          <w:sz w:val="20"/>
          <w:szCs w:val="20"/>
          <w:color w:val="auto"/>
        </w:rPr>
      </w:pPr>
      <w:r>
        <w:rPr>
          <w:rFonts w:ascii="Arial" w:cs="Arial" w:eastAsia="Arial" w:hAnsi="Arial"/>
          <w:sz w:val="22"/>
          <w:szCs w:val="22"/>
          <w:color w:val="auto"/>
        </w:rPr>
        <w:t>Washington; further, with respect to any such legal action, Grantee and Lilly hereby irrevocably consent and submit to the personal jurisdiction and venue of such courts located in Washington.”</w:t>
      </w:r>
    </w:p>
    <w:p>
      <w:pPr>
        <w:spacing w:after="0" w:line="173" w:lineRule="exact"/>
        <w:rPr>
          <w:sz w:val="20"/>
          <w:szCs w:val="20"/>
          <w:color w:val="auto"/>
        </w:rPr>
      </w:pPr>
    </w:p>
    <w:p>
      <w:pPr>
        <w:ind w:left="1960" w:hanging="656"/>
        <w:spacing w:after="0" w:line="264" w:lineRule="auto"/>
        <w:tabs>
          <w:tab w:leader="none" w:pos="1808"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as of the date on which Grantee’s employment with Lilly ends, Grantee primarily is employed by and primarily provide services to Lilly in a state identified in this subsection 12.i.(ii), the following shall apply:</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jc w:val="both"/>
        <w:ind w:left="2600" w:hanging="648"/>
        <w:spacing w:after="0" w:line="257" w:lineRule="auto"/>
        <w:tabs>
          <w:tab w:leader="none" w:pos="2545" w:val="left"/>
        </w:tabs>
        <w:numPr>
          <w:ilvl w:val="1"/>
          <w:numId w:val="70"/>
        </w:numPr>
        <w:rPr>
          <w:rFonts w:ascii="Arial" w:cs="Arial" w:eastAsia="Arial" w:hAnsi="Arial"/>
          <w:sz w:val="22"/>
          <w:szCs w:val="22"/>
          <w:color w:val="auto"/>
        </w:rPr>
      </w:pPr>
      <w:r>
        <w:rPr>
          <w:rFonts w:ascii="Arial" w:cs="Arial" w:eastAsia="Arial" w:hAnsi="Arial"/>
          <w:sz w:val="22"/>
          <w:szCs w:val="22"/>
          <w:i w:val="1"/>
          <w:iCs w:val="1"/>
          <w:color w:val="auto"/>
        </w:rPr>
        <w:t xml:space="preserve">California. </w:t>
      </w:r>
      <w:r>
        <w:rPr>
          <w:rFonts w:ascii="Arial" w:cs="Arial" w:eastAsia="Arial" w:hAnsi="Arial"/>
          <w:sz w:val="22"/>
          <w:szCs w:val="22"/>
          <w:color w:val="auto"/>
        </w:rPr>
        <w:t>The “Restricted Period,” for purposes of subsections 12.b. and 12.c., means</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period of Grantee’s employment with Lilly (and not, for the avoidance of doubt, for any period following the end of Grantee’s employment with Lilly), notwithstanding any other provision of Section 12 to the contrary.</w:t>
      </w:r>
    </w:p>
    <w:p>
      <w:pPr>
        <w:spacing w:after="0" w:line="171" w:lineRule="exact"/>
        <w:rPr>
          <w:rFonts w:ascii="Arial" w:cs="Arial" w:eastAsia="Arial" w:hAnsi="Arial"/>
          <w:sz w:val="22"/>
          <w:szCs w:val="22"/>
          <w:color w:val="auto"/>
        </w:rPr>
      </w:pPr>
    </w:p>
    <w:p>
      <w:pPr>
        <w:jc w:val="both"/>
        <w:ind w:left="2600" w:hanging="648"/>
        <w:spacing w:after="0" w:line="247" w:lineRule="auto"/>
        <w:tabs>
          <w:tab w:leader="none" w:pos="2545" w:val="left"/>
        </w:tabs>
        <w:numPr>
          <w:ilvl w:val="1"/>
          <w:numId w:val="70"/>
        </w:numPr>
        <w:rPr>
          <w:rFonts w:ascii="Arial" w:cs="Arial" w:eastAsia="Arial" w:hAnsi="Arial"/>
          <w:sz w:val="22"/>
          <w:szCs w:val="22"/>
          <w:color w:val="auto"/>
        </w:rPr>
      </w:pPr>
      <w:r>
        <w:rPr>
          <w:rFonts w:ascii="Arial" w:cs="Arial" w:eastAsia="Arial" w:hAnsi="Arial"/>
          <w:sz w:val="22"/>
          <w:szCs w:val="22"/>
          <w:i w:val="1"/>
          <w:iCs w:val="1"/>
          <w:color w:val="auto"/>
        </w:rPr>
        <w:t xml:space="preserve">Colorado. </w:t>
      </w:r>
      <w:r>
        <w:rPr>
          <w:rFonts w:ascii="Arial" w:cs="Arial" w:eastAsia="Arial" w:hAnsi="Arial"/>
          <w:sz w:val="22"/>
          <w:szCs w:val="22"/>
          <w:color w:val="auto"/>
        </w:rPr>
        <w:t>Subsection 12.j.(v) shall not apply to Grantee, and the following language is</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substituted as a new subsection 12.j.(v):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12 will be interpreted and enforced in accordance with the laws of the State of Colorado, without giving effect to any choice-of-law or conflict-of-law principle that would cause the application of the substantive law of any jurisdiction other than Colorado. Grantee and Lilly agree that any legal action arising out of or relating to this Section 12 will be commenced and maintained exclusively before any state or federal court having appropriate subject matter jurisdiction located in Colorado; further, with respect to any such legal action, Grantee and Lilly hereby irrevocably consent and submit to the personal jurisdiction and venue of such courts located in Colorado.”</w:t>
      </w:r>
    </w:p>
    <w:p>
      <w:pPr>
        <w:spacing w:after="0" w:line="204" w:lineRule="exact"/>
        <w:rPr>
          <w:rFonts w:ascii="Arial" w:cs="Arial" w:eastAsia="Arial" w:hAnsi="Arial"/>
          <w:sz w:val="22"/>
          <w:szCs w:val="22"/>
          <w:color w:val="auto"/>
        </w:rPr>
      </w:pPr>
    </w:p>
    <w:p>
      <w:pPr>
        <w:ind w:left="2400" w:hanging="448"/>
        <w:spacing w:after="0"/>
        <w:tabs>
          <w:tab w:leader="none" w:pos="2400" w:val="left"/>
        </w:tabs>
        <w:numPr>
          <w:ilvl w:val="1"/>
          <w:numId w:val="70"/>
        </w:numPr>
        <w:rPr>
          <w:rFonts w:ascii="Arial" w:cs="Arial" w:eastAsia="Arial" w:hAnsi="Arial"/>
          <w:sz w:val="22"/>
          <w:szCs w:val="22"/>
          <w:color w:val="auto"/>
        </w:rPr>
      </w:pPr>
      <w:r>
        <w:rPr>
          <w:rFonts w:ascii="Arial" w:cs="Arial" w:eastAsia="Arial" w:hAnsi="Arial"/>
          <w:sz w:val="22"/>
          <w:szCs w:val="22"/>
          <w:i w:val="1"/>
          <w:iCs w:val="1"/>
          <w:color w:val="auto"/>
        </w:rPr>
        <w:t>Massachusetts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right"/>
        <w:ind w:left="3240" w:hanging="640"/>
        <w:spacing w:after="0" w:line="275" w:lineRule="auto"/>
        <w:tabs>
          <w:tab w:leader="none" w:pos="3137" w:val="left"/>
        </w:tabs>
        <w:numPr>
          <w:ilvl w:val="2"/>
          <w:numId w:val="70"/>
        </w:numPr>
        <w:rPr>
          <w:rFonts w:ascii="Arial" w:cs="Arial" w:eastAsia="Arial" w:hAnsi="Arial"/>
          <w:sz w:val="21"/>
          <w:szCs w:val="21"/>
          <w:color w:val="auto"/>
        </w:rPr>
      </w:pPr>
      <w:r>
        <w:rPr>
          <w:rFonts w:ascii="Arial" w:cs="Arial" w:eastAsia="Arial" w:hAnsi="Arial"/>
          <w:sz w:val="21"/>
          <w:szCs w:val="21"/>
          <w:color w:val="auto"/>
        </w:rPr>
        <w:t>Subsection 12.b. shall not apply during the Restricted Period following the end of Grantee’s employment with Lilly if Grantee’s employment with Lilly ended as a result of a termination of Grantee’s employment by Lilly without cause or in a layoff.</w:t>
      </w:r>
    </w:p>
    <w:p>
      <w:pPr>
        <w:spacing w:after="0" w:line="155" w:lineRule="exact"/>
        <w:rPr>
          <w:rFonts w:ascii="Arial" w:cs="Arial" w:eastAsia="Arial" w:hAnsi="Arial"/>
          <w:sz w:val="21"/>
          <w:szCs w:val="21"/>
          <w:color w:val="auto"/>
        </w:rPr>
      </w:pPr>
    </w:p>
    <w:p>
      <w:pPr>
        <w:jc w:val="both"/>
        <w:ind w:left="3240" w:hanging="640"/>
        <w:spacing w:after="0" w:line="252" w:lineRule="auto"/>
        <w:tabs>
          <w:tab w:leader="none" w:pos="3279" w:val="left"/>
        </w:tabs>
        <w:numPr>
          <w:ilvl w:val="2"/>
          <w:numId w:val="70"/>
        </w:numPr>
        <w:rPr>
          <w:rFonts w:ascii="Arial" w:cs="Arial" w:eastAsia="Arial" w:hAnsi="Arial"/>
          <w:sz w:val="22"/>
          <w:szCs w:val="22"/>
          <w:color w:val="auto"/>
        </w:rPr>
      </w:pPr>
      <w:r>
        <w:rPr>
          <w:rFonts w:ascii="Arial" w:cs="Arial" w:eastAsia="Arial" w:hAnsi="Arial"/>
          <w:sz w:val="22"/>
          <w:szCs w:val="22"/>
          <w:color w:val="auto"/>
        </w:rPr>
        <w:t>Subsection 12.j.(v) shall not apply to Grantee, and the following language is substituted as a new subsection 12.j.(v):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12 will be interpreted and enforced in accordance with the laws of the State of Massachusetts, without giving effect to any choice-of-law or conflict-of-law principle that would cause the application of the substantive law of any jurisdiction other than Massachusetts. Grantee and Lilly agree that any legal action arising out of or relating to this Section 12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20</w:t>
      </w:r>
    </w:p>
    <w:p>
      <w:pPr>
        <w:sectPr>
          <w:pgSz w:w="11900" w:h="16838" w:orient="portrait"/>
          <w:cols w:equalWidth="0" w:num="1">
            <w:col w:w="11240"/>
          </w:cols>
          <w:pgMar w:left="320" w:top="342"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240"/>
        <w:spacing w:after="0" w:line="253" w:lineRule="auto"/>
        <w:rPr>
          <w:sz w:val="20"/>
          <w:szCs w:val="20"/>
          <w:color w:val="auto"/>
        </w:rPr>
      </w:pPr>
      <w:r>
        <w:rPr>
          <w:rFonts w:ascii="Arial" w:cs="Arial" w:eastAsia="Arial" w:hAnsi="Arial"/>
          <w:sz w:val="22"/>
          <w:szCs w:val="22"/>
          <w:color w:val="auto"/>
        </w:rPr>
        <w:t>commenced and maintained exclusively before any state or federal court having appropriate subject matter jurisdiction located in Massachusetts; further, with respect to any such legal action, Grantee and Lilly hereby irrevocably consent and submit to the personal jurisdiction and venue of such courts located in Massachusetts.</w:t>
      </w:r>
    </w:p>
    <w:p>
      <w:pPr>
        <w:spacing w:after="0" w:line="179" w:lineRule="exact"/>
        <w:rPr>
          <w:sz w:val="20"/>
          <w:szCs w:val="20"/>
          <w:color w:val="auto"/>
        </w:rPr>
      </w:pPr>
    </w:p>
    <w:p>
      <w:pPr>
        <w:ind w:left="2600" w:right="20" w:hanging="648"/>
        <w:spacing w:after="0" w:line="253" w:lineRule="auto"/>
        <w:tabs>
          <w:tab w:leader="none" w:pos="2422"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 xml:space="preserve">Minnesota, North Dakota, or Oklahoma. </w:t>
      </w:r>
      <w:r>
        <w:rPr>
          <w:rFonts w:ascii="Arial" w:cs="Arial" w:eastAsia="Arial" w:hAnsi="Arial"/>
          <w:sz w:val="22"/>
          <w:szCs w:val="22"/>
          <w:color w:val="auto"/>
        </w:rPr>
        <w:t>The “Restricted Period,” for purposes of subsection</w:t>
      </w:r>
      <w:r>
        <w:rPr>
          <w:rFonts w:ascii="Arial" w:cs="Arial" w:eastAsia="Arial" w:hAnsi="Arial"/>
          <w:sz w:val="22"/>
          <w:szCs w:val="22"/>
          <w:i w:val="1"/>
          <w:iCs w:val="1"/>
          <w:color w:val="auto"/>
        </w:rPr>
        <w:t xml:space="preserve"> </w:t>
      </w:r>
      <w:r>
        <w:rPr>
          <w:rFonts w:ascii="Arial" w:cs="Arial" w:eastAsia="Arial" w:hAnsi="Arial"/>
          <w:sz w:val="22"/>
          <w:szCs w:val="22"/>
          <w:color w:val="auto"/>
        </w:rPr>
        <w:t>12.b., means during the period of Grantee’s employment with Lilly (and not, for the avoidance of doubt, for any period following the end of Grantee’s employment with Lilly), notwithstanding any other provision of Section 12 to the contrary.</w:t>
      </w:r>
    </w:p>
    <w:p>
      <w:pPr>
        <w:spacing w:after="0" w:line="188" w:lineRule="exact"/>
        <w:rPr>
          <w:rFonts w:ascii="Arial" w:cs="Arial" w:eastAsia="Arial" w:hAnsi="Arial"/>
          <w:sz w:val="22"/>
          <w:szCs w:val="22"/>
          <w:color w:val="auto"/>
        </w:rPr>
      </w:pPr>
    </w:p>
    <w:p>
      <w:pPr>
        <w:ind w:left="2400" w:hanging="448"/>
        <w:spacing w:after="0"/>
        <w:tabs>
          <w:tab w:leader="none" w:pos="2400"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Nevada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240" w:hanging="640"/>
        <w:spacing w:after="0" w:line="257" w:lineRule="auto"/>
        <w:tabs>
          <w:tab w:leader="none" w:pos="3137" w:val="left"/>
        </w:tabs>
        <w:numPr>
          <w:ilvl w:val="1"/>
          <w:numId w:val="71"/>
        </w:numPr>
        <w:rPr>
          <w:rFonts w:ascii="Arial" w:cs="Arial" w:eastAsia="Arial" w:hAnsi="Arial"/>
          <w:sz w:val="22"/>
          <w:szCs w:val="22"/>
          <w:color w:val="auto"/>
        </w:rPr>
      </w:pPr>
      <w:r>
        <w:rPr>
          <w:rFonts w:ascii="Arial" w:cs="Arial" w:eastAsia="Arial" w:hAnsi="Arial"/>
          <w:sz w:val="22"/>
          <w:szCs w:val="22"/>
          <w:color w:val="auto"/>
        </w:rPr>
        <w:t>Subsection 12.b. shall not apply during the Restricted Period following the end of Grantee’s employment with Lilly if Grantee’s employment with Lilly ended as a result of a reduction of force, reorganization or similar restructuring.</w:t>
      </w:r>
    </w:p>
    <w:p>
      <w:pPr>
        <w:spacing w:after="0" w:line="172" w:lineRule="exact"/>
        <w:rPr>
          <w:rFonts w:ascii="Arial" w:cs="Arial" w:eastAsia="Arial" w:hAnsi="Arial"/>
          <w:sz w:val="22"/>
          <w:szCs w:val="22"/>
          <w:color w:val="auto"/>
        </w:rPr>
      </w:pPr>
    </w:p>
    <w:p>
      <w:pPr>
        <w:ind w:left="3240" w:hanging="640"/>
        <w:spacing w:after="0" w:line="251" w:lineRule="auto"/>
        <w:tabs>
          <w:tab w:leader="none" w:pos="3029"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following sentence shall be added to the end of subsection 12.b.: “Nothing in this subsection 12.b. shall restrict Grantee from providing a service to a customer or client of Lilly if (i) Grantee does not solicit the customer or client, (ii) the customer or client voluntarily chose to leave and seek services from Grantee, and (iii) Grantee is otherwise in full compliance with the terms and conditions of this Section 12 (including subsection 12.b. hereof).”</w:t>
      </w:r>
    </w:p>
    <w:p>
      <w:pPr>
        <w:spacing w:after="0" w:line="181" w:lineRule="exact"/>
        <w:rPr>
          <w:rFonts w:ascii="Arial" w:cs="Arial" w:eastAsia="Arial" w:hAnsi="Arial"/>
          <w:sz w:val="22"/>
          <w:szCs w:val="22"/>
          <w:color w:val="auto"/>
        </w:rPr>
      </w:pPr>
    </w:p>
    <w:p>
      <w:pPr>
        <w:ind w:left="2600" w:right="20" w:hanging="648"/>
        <w:spacing w:after="0" w:line="264" w:lineRule="auto"/>
        <w:tabs>
          <w:tab w:leader="none" w:pos="2427"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Virginia</w:t>
      </w:r>
      <w:r>
        <w:rPr>
          <w:rFonts w:ascii="Arial" w:cs="Arial" w:eastAsia="Arial" w:hAnsi="Arial"/>
          <w:sz w:val="22"/>
          <w:szCs w:val="22"/>
          <w:color w:val="auto"/>
        </w:rPr>
        <w:t>. The following sentence shall be added to the end of subsection 12.c.: “Nothing in</w:t>
      </w:r>
      <w:r>
        <w:rPr>
          <w:rFonts w:ascii="Arial" w:cs="Arial" w:eastAsia="Arial" w:hAnsi="Arial"/>
          <w:sz w:val="22"/>
          <w:szCs w:val="22"/>
          <w:i w:val="1"/>
          <w:iCs w:val="1"/>
          <w:color w:val="auto"/>
        </w:rPr>
        <w:t xml:space="preserve"> </w:t>
      </w:r>
      <w:r>
        <w:rPr>
          <w:rFonts w:ascii="Arial" w:cs="Arial" w:eastAsia="Arial" w:hAnsi="Arial"/>
          <w:sz w:val="22"/>
          <w:szCs w:val="22"/>
          <w:color w:val="auto"/>
        </w:rPr>
        <w:t>this subsection 12.c. shall restrict Grantee from providing a service to a customer or client of Lilly if Grantee does not initiate contact with or solicit the customer or client.”</w:t>
      </w:r>
    </w:p>
    <w:p>
      <w:pPr>
        <w:spacing w:after="0" w:line="164" w:lineRule="exact"/>
        <w:rPr>
          <w:rFonts w:ascii="Arial" w:cs="Arial" w:eastAsia="Arial" w:hAnsi="Arial"/>
          <w:sz w:val="22"/>
          <w:szCs w:val="22"/>
          <w:color w:val="auto"/>
        </w:rPr>
      </w:pPr>
    </w:p>
    <w:p>
      <w:pPr>
        <w:ind w:left="2420" w:hanging="468"/>
        <w:spacing w:after="0"/>
        <w:tabs>
          <w:tab w:leader="none" w:pos="2420"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Washington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240" w:hanging="640"/>
        <w:spacing w:after="0" w:line="264" w:lineRule="auto"/>
        <w:tabs>
          <w:tab w:leader="none" w:pos="3137" w:val="left"/>
        </w:tabs>
        <w:numPr>
          <w:ilvl w:val="1"/>
          <w:numId w:val="71"/>
        </w:numPr>
        <w:rPr>
          <w:rFonts w:ascii="Arial" w:cs="Arial" w:eastAsia="Arial" w:hAnsi="Arial"/>
          <w:sz w:val="22"/>
          <w:szCs w:val="22"/>
          <w:color w:val="auto"/>
        </w:rPr>
      </w:pPr>
      <w:r>
        <w:rPr>
          <w:rFonts w:ascii="Arial" w:cs="Arial" w:eastAsia="Arial" w:hAnsi="Arial"/>
          <w:sz w:val="22"/>
          <w:szCs w:val="22"/>
          <w:color w:val="auto"/>
        </w:rPr>
        <w:t>Subsection 12.b. shall not apply during the Restricted Period following the end of Grantee’s employment with Lilly if Grantee’s employment with Lilly ended as a result of a layoff.</w:t>
      </w:r>
    </w:p>
    <w:p>
      <w:pPr>
        <w:spacing w:after="0" w:line="164" w:lineRule="exact"/>
        <w:rPr>
          <w:rFonts w:ascii="Arial" w:cs="Arial" w:eastAsia="Arial" w:hAnsi="Arial"/>
          <w:sz w:val="22"/>
          <w:szCs w:val="22"/>
          <w:color w:val="auto"/>
        </w:rPr>
      </w:pPr>
    </w:p>
    <w:p>
      <w:pPr>
        <w:jc w:val="both"/>
        <w:ind w:left="3240" w:hanging="640"/>
        <w:spacing w:after="0" w:line="253" w:lineRule="auto"/>
        <w:tabs>
          <w:tab w:leader="none" w:pos="3279" w:val="left"/>
        </w:tabs>
        <w:numPr>
          <w:ilvl w:val="1"/>
          <w:numId w:val="71"/>
        </w:numPr>
        <w:rPr>
          <w:rFonts w:ascii="Arial" w:cs="Arial" w:eastAsia="Arial" w:hAnsi="Arial"/>
          <w:sz w:val="22"/>
          <w:szCs w:val="22"/>
          <w:color w:val="auto"/>
        </w:rPr>
      </w:pPr>
      <w:r>
        <w:rPr>
          <w:rFonts w:ascii="Arial" w:cs="Arial" w:eastAsia="Arial" w:hAnsi="Arial"/>
          <w:sz w:val="22"/>
          <w:szCs w:val="22"/>
          <w:color w:val="auto"/>
        </w:rPr>
        <w:t>Subsection 12.j.(v) shall not apply to Grantee, and the following language is substituted as a new subsection 12.j.(viii):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12 will be interpreted and enforced in accordance with the laws of the State of Washington, without giving effect to any choice-of-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21</w:t>
      </w:r>
    </w:p>
    <w:p>
      <w:pPr>
        <w:sectPr>
          <w:pgSz w:w="11900" w:h="16838" w:orient="portrait"/>
          <w:cols w:equalWidth="0" w:num="1">
            <w:col w:w="11240"/>
          </w:cols>
          <w:pgMar w:left="320" w:top="342" w:right="3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240"/>
        <w:spacing w:after="0" w:line="250" w:lineRule="auto"/>
        <w:rPr>
          <w:sz w:val="20"/>
          <w:szCs w:val="20"/>
          <w:color w:val="auto"/>
        </w:rPr>
      </w:pPr>
      <w:r>
        <w:rPr>
          <w:rFonts w:ascii="Arial" w:cs="Arial" w:eastAsia="Arial" w:hAnsi="Arial"/>
          <w:sz w:val="22"/>
          <w:szCs w:val="22"/>
          <w:color w:val="auto"/>
        </w:rPr>
        <w:t>law or conflict-of-law principle that would cause the application of the substantive law of any jurisdiction other than Washington. Grantee and Lilly agree that any legal action arising out of or relating to this Section 12 will be commenced and maintained exclusively before any state or federal court having appropriate subject matter jurisdiction located in Washington; further, with respect to any such legal action, Grantee and Lilly hereby irrevocably consent and submit to the personal jurisdiction and venue of such courts located in Washington.”</w:t>
      </w:r>
    </w:p>
    <w:p>
      <w:pPr>
        <w:spacing w:after="0" w:line="180" w:lineRule="exact"/>
        <w:rPr>
          <w:sz w:val="20"/>
          <w:szCs w:val="20"/>
          <w:color w:val="auto"/>
        </w:rPr>
      </w:pPr>
    </w:p>
    <w:p>
      <w:pPr>
        <w:ind w:left="1000" w:hanging="344"/>
        <w:spacing w:after="0"/>
        <w:tabs>
          <w:tab w:leader="none" w:pos="10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Other Provisions.</w:t>
      </w:r>
    </w:p>
    <w:p>
      <w:pPr>
        <w:spacing w:after="0" w:line="111" w:lineRule="exact"/>
        <w:rPr>
          <w:rFonts w:ascii="Arial" w:cs="Arial" w:eastAsia="Arial" w:hAnsi="Arial"/>
          <w:sz w:val="22"/>
          <w:szCs w:val="22"/>
          <w:color w:val="auto"/>
        </w:rPr>
      </w:pPr>
    </w:p>
    <w:p>
      <w:pPr>
        <w:ind w:left="1960" w:hanging="656"/>
        <w:spacing w:after="0" w:line="251" w:lineRule="auto"/>
        <w:tabs>
          <w:tab w:leader="none" w:pos="1852"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Successors and Assigns; Third Party Beneficiaries</w:t>
      </w:r>
      <w:r>
        <w:rPr>
          <w:rFonts w:ascii="Arial" w:cs="Arial" w:eastAsia="Arial" w:hAnsi="Arial"/>
          <w:sz w:val="22"/>
          <w:szCs w:val="22"/>
          <w:color w:val="auto"/>
        </w:rPr>
        <w:t>. This Section 12 shall bind and inure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benefit of and be enforceable by Lilly, the Lilly Group Companies and Grantee and their respective successors and assigns; provided, Grantee’s rights and obligations under this Section 12 may not be assigned or delegated. Grantee acknowledges and agrees that any Lilly Group Company is an intended third-party beneficiary of Section 12 of this Award Agreement, which may be enforced by Lilly or any such Lilly Group Company, either singularly or jointly.</w:t>
      </w:r>
    </w:p>
    <w:p>
      <w:pPr>
        <w:spacing w:after="0" w:line="86" w:lineRule="exact"/>
        <w:rPr>
          <w:rFonts w:ascii="Arial" w:cs="Arial" w:eastAsia="Arial" w:hAnsi="Arial"/>
          <w:sz w:val="22"/>
          <w:szCs w:val="22"/>
          <w:color w:val="auto"/>
        </w:rPr>
      </w:pPr>
    </w:p>
    <w:p>
      <w:pPr>
        <w:ind w:left="1960" w:hanging="656"/>
        <w:spacing w:after="0" w:line="248" w:lineRule="auto"/>
        <w:tabs>
          <w:tab w:leader="none" w:pos="1805"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Reformation; Severability</w:t>
      </w:r>
      <w:r>
        <w:rPr>
          <w:rFonts w:ascii="Arial" w:cs="Arial" w:eastAsia="Arial" w:hAnsi="Arial"/>
          <w:sz w:val="22"/>
          <w:szCs w:val="22"/>
          <w:color w:val="auto"/>
        </w:rPr>
        <w:t>. Grantee and Lilly acknowledge and agree that if any particular covenant</w:t>
      </w:r>
      <w:r>
        <w:rPr>
          <w:rFonts w:ascii="Arial" w:cs="Arial" w:eastAsia="Arial" w:hAnsi="Arial"/>
          <w:sz w:val="22"/>
          <w:szCs w:val="22"/>
          <w:i w:val="1"/>
          <w:iCs w:val="1"/>
          <w:color w:val="auto"/>
        </w:rPr>
        <w:t xml:space="preserve"> </w:t>
      </w:r>
      <w:r>
        <w:rPr>
          <w:rFonts w:ascii="Arial" w:cs="Arial" w:eastAsia="Arial" w:hAnsi="Arial"/>
          <w:sz w:val="22"/>
          <w:szCs w:val="22"/>
          <w:color w:val="auto"/>
        </w:rPr>
        <w:t>or provision is determined by a court to be unreasonable or unenforceable in any respect, including the time period, geographic area, or scope of activity covered by any restrictive covenant, such covenant or provision will be reformed or modified so that such covenant or provision will have the closest effect permitted by applicable law to the original form and will be given effect and enforced as so reformed or modified, or, if such reformation or modification is not possible, such covenant or provision will be removed from this Section 12. In either case, this Section 12 shall be interpreted, even if reformed or modified, to achieve the full intent expressed, and the other provisions of this Section 12 will remain in force and unmodified and will be enforced as written. Any court interpreting any restrictive covenant provision of this Section 12 will, if necessary, reform or modify any such provision to make it enforceable under applicable law.</w:t>
      </w:r>
    </w:p>
    <w:p>
      <w:pPr>
        <w:spacing w:after="0" w:line="76" w:lineRule="exact"/>
        <w:rPr>
          <w:rFonts w:ascii="Arial" w:cs="Arial" w:eastAsia="Arial" w:hAnsi="Arial"/>
          <w:sz w:val="22"/>
          <w:szCs w:val="22"/>
          <w:color w:val="auto"/>
        </w:rPr>
      </w:pPr>
    </w:p>
    <w:p>
      <w:pPr>
        <w:ind w:left="1960" w:hanging="656"/>
        <w:spacing w:after="0" w:line="264" w:lineRule="auto"/>
        <w:tabs>
          <w:tab w:leader="none" w:pos="1880" w:val="left"/>
        </w:tabs>
        <w:numPr>
          <w:ilvl w:val="1"/>
          <w:numId w:val="72"/>
        </w:numPr>
        <w:rPr>
          <w:rFonts w:ascii="Arial" w:cs="Arial" w:eastAsia="Arial" w:hAnsi="Arial"/>
          <w:sz w:val="21"/>
          <w:szCs w:val="21"/>
          <w:color w:val="auto"/>
        </w:rPr>
      </w:pPr>
      <w:r>
        <w:rPr>
          <w:rFonts w:ascii="Arial" w:cs="Arial" w:eastAsia="Arial" w:hAnsi="Arial"/>
          <w:sz w:val="21"/>
          <w:szCs w:val="21"/>
          <w:i w:val="1"/>
          <w:iCs w:val="1"/>
          <w:color w:val="auto"/>
        </w:rPr>
        <w:t>Entire Agreement</w:t>
      </w:r>
      <w:r>
        <w:rPr>
          <w:rFonts w:ascii="Arial" w:cs="Arial" w:eastAsia="Arial" w:hAnsi="Arial"/>
          <w:sz w:val="21"/>
          <w:szCs w:val="21"/>
          <w:color w:val="auto"/>
        </w:rPr>
        <w:t>. This Section 12 embodies the complete agreement and understanding among</w:t>
      </w:r>
      <w:r>
        <w:rPr>
          <w:rFonts w:ascii="Arial" w:cs="Arial" w:eastAsia="Arial" w:hAnsi="Arial"/>
          <w:sz w:val="21"/>
          <w:szCs w:val="21"/>
          <w:i w:val="1"/>
          <w:iCs w:val="1"/>
          <w:color w:val="auto"/>
        </w:rPr>
        <w:t xml:space="preserve"> </w:t>
      </w:r>
      <w:r>
        <w:rPr>
          <w:rFonts w:ascii="Arial" w:cs="Arial" w:eastAsia="Arial" w:hAnsi="Arial"/>
          <w:sz w:val="21"/>
          <w:szCs w:val="21"/>
          <w:color w:val="auto"/>
        </w:rPr>
        <w:t>the parties hereto and supersedes and preempts any prior understandings, discussions, agreements or representations by or among the parties hereto, written or oral, which may have related to the subject matter hereof. Notwithstanding the foregoing, this Section 12 is intended to, among other things, supplement (and not supersede) all applicable statutes protecting trade secrets and the duties Grantee owes to Lilly or any of the Lilly Group Companies under the common law, as well as any other written non-competition, non-solicitation, or confidentiality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22</w:t>
      </w:r>
    </w:p>
    <w:p>
      <w:pPr>
        <w:sectPr>
          <w:pgSz w:w="11900" w:h="16838" w:orient="portrait"/>
          <w:cols w:equalWidth="0" w:num="1">
            <w:col w:w="11240"/>
          </w:cols>
          <w:pgMar w:left="320" w:top="342"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provisions that Grantee agreed to in the past, including those in Grantee’s Employee Confidentiality and Invention Agreement and any Non-Compete Payment Agreement entered into between Grantee and Lilly (collectively, “Prior Agreements”), each of which remains in full force and effect, or that Grantee agrees to in writing in the future. To the extent of conflict between this Section 12 and any Prior Agreement, this Section 12 shall control.</w:t>
      </w:r>
    </w:p>
    <w:p>
      <w:pPr>
        <w:spacing w:after="0" w:line="71" w:lineRule="exact"/>
        <w:rPr>
          <w:sz w:val="20"/>
          <w:szCs w:val="20"/>
          <w:color w:val="auto"/>
        </w:rPr>
      </w:pPr>
    </w:p>
    <w:p>
      <w:pPr>
        <w:jc w:val="both"/>
        <w:ind w:left="1960" w:hanging="656"/>
        <w:spacing w:after="0" w:line="253" w:lineRule="auto"/>
        <w:tabs>
          <w:tab w:leader="none" w:pos="1892"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Amendment and Waiver</w:t>
      </w:r>
      <w:r>
        <w:rPr>
          <w:rFonts w:ascii="Arial" w:cs="Arial" w:eastAsia="Arial" w:hAnsi="Arial"/>
          <w:sz w:val="22"/>
          <w:szCs w:val="22"/>
          <w:color w:val="auto"/>
        </w:rPr>
        <w:t>. This Section 12 may be amended, and any provision of this Section 12</w:t>
      </w:r>
      <w:r>
        <w:rPr>
          <w:rFonts w:ascii="Arial" w:cs="Arial" w:eastAsia="Arial" w:hAnsi="Arial"/>
          <w:sz w:val="22"/>
          <w:szCs w:val="22"/>
          <w:i w:val="1"/>
          <w:iCs w:val="1"/>
          <w:color w:val="auto"/>
        </w:rPr>
        <w:t xml:space="preserve"> </w:t>
      </w:r>
      <w:r>
        <w:rPr>
          <w:rFonts w:ascii="Arial" w:cs="Arial" w:eastAsia="Arial" w:hAnsi="Arial"/>
          <w:sz w:val="22"/>
          <w:szCs w:val="22"/>
          <w:color w:val="auto"/>
        </w:rPr>
        <w:t>may be waived, only by a written agreement executed and delivered by Lilly and Grantee. No course of dealing between or among the parties hereto shall be deemed effective to modify, amend or discharge any part of this Section 12 or any rights or obligations of any party hereto under or by reason of this Section 12.</w:t>
      </w:r>
    </w:p>
    <w:p>
      <w:pPr>
        <w:spacing w:after="0" w:line="70" w:lineRule="exact"/>
        <w:rPr>
          <w:rFonts w:ascii="Arial" w:cs="Arial" w:eastAsia="Arial" w:hAnsi="Arial"/>
          <w:sz w:val="22"/>
          <w:szCs w:val="22"/>
          <w:color w:val="auto"/>
        </w:rPr>
      </w:pPr>
    </w:p>
    <w:p>
      <w:pPr>
        <w:jc w:val="both"/>
        <w:ind w:left="1960" w:hanging="656"/>
        <w:spacing w:after="0" w:line="248" w:lineRule="auto"/>
        <w:tabs>
          <w:tab w:leader="none" w:pos="1898"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Choice of Law</w:t>
      </w:r>
      <w:r>
        <w:rPr>
          <w:rFonts w:ascii="Arial" w:cs="Arial" w:eastAsia="Arial" w:hAnsi="Arial"/>
          <w:sz w:val="22"/>
          <w:szCs w:val="22"/>
          <w:color w:val="auto"/>
        </w:rPr>
        <w:t>. Except as may be modified for Grantee as described in subsection 12.i.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Award Agreement, this Section 12 will be interpreted and enforced in accordance with the laws of the State of Indiana, without giving effect to any choice-of-law or conflict-of-law principle that would cause the application of the substantive law of any jurisdiction other than Indiana. Grantee and Lilly agree that any legal action arising out of or relating to this Section 12 will be commenced and maintained exclusively before any state or federal court having appropriate subject matter jurisdiction located in Indianapolis, Indiana; further, with respect to any such legal action, Grantee and Lilly hereby irrevocably consent and submit to the personal jurisdiction and venue of such courts located in Indianapolis, Indiana.</w:t>
      </w:r>
    </w:p>
    <w:p>
      <w:pPr>
        <w:spacing w:after="0" w:line="77" w:lineRule="exact"/>
        <w:rPr>
          <w:rFonts w:ascii="Arial" w:cs="Arial" w:eastAsia="Arial" w:hAnsi="Arial"/>
          <w:sz w:val="22"/>
          <w:szCs w:val="22"/>
          <w:color w:val="auto"/>
        </w:rPr>
      </w:pPr>
    </w:p>
    <w:p>
      <w:pPr>
        <w:jc w:val="both"/>
        <w:ind w:left="1960" w:hanging="656"/>
        <w:spacing w:after="0" w:line="250" w:lineRule="auto"/>
        <w:tabs>
          <w:tab w:leader="none" w:pos="1987"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Acknowledgements</w:t>
      </w:r>
      <w:r>
        <w:rPr>
          <w:rFonts w:ascii="Arial" w:cs="Arial" w:eastAsia="Arial" w:hAnsi="Arial"/>
          <w:sz w:val="22"/>
          <w:szCs w:val="22"/>
          <w:color w:val="auto"/>
        </w:rPr>
        <w:t>. Grantee acknowledges and agrees that Grantee has been given at least</w:t>
      </w:r>
      <w:r>
        <w:rPr>
          <w:rFonts w:ascii="Arial" w:cs="Arial" w:eastAsia="Arial" w:hAnsi="Arial"/>
          <w:sz w:val="22"/>
          <w:szCs w:val="22"/>
          <w:i w:val="1"/>
          <w:iCs w:val="1"/>
          <w:color w:val="auto"/>
        </w:rPr>
        <w:t xml:space="preserve"> </w:t>
      </w:r>
      <w:r>
        <w:rPr>
          <w:rFonts w:ascii="Arial" w:cs="Arial" w:eastAsia="Arial" w:hAnsi="Arial"/>
          <w:sz w:val="22"/>
          <w:szCs w:val="22"/>
          <w:color w:val="auto"/>
        </w:rPr>
        <w:t>fourteen (14) calendar days (or, if longer, ten (10) business days) from the date of Grantee’s receipt of this Award Agreement (the “Consideration Period”) to consider its terms. Grantee represents and warrants that, if Grantee accepts this Award Agreement before the expiration of the Consideration Period, Grantee has done so knowingly and voluntarily. Grantee also acknowledges and agrees that Grantee has read, understands and agrees with this Section 12, and that Grantee will faithfully comply with each term of this Section 12. Grantee further acknowledges that Grantee has been advised by Lilly to consult with an attorney before agreeing to this Section 12, and has had the opportunity to do so if desired.</w:t>
      </w:r>
    </w:p>
    <w:p>
      <w:pPr>
        <w:spacing w:after="0" w:line="71" w:lineRule="exact"/>
        <w:rPr>
          <w:rFonts w:ascii="Arial" w:cs="Arial" w:eastAsia="Arial" w:hAnsi="Arial"/>
          <w:sz w:val="22"/>
          <w:szCs w:val="22"/>
          <w:color w:val="auto"/>
        </w:rPr>
      </w:pPr>
    </w:p>
    <w:p>
      <w:pPr>
        <w:ind w:left="1960" w:right="60" w:hanging="656"/>
        <w:spacing w:after="0" w:line="253" w:lineRule="auto"/>
        <w:tabs>
          <w:tab w:leader="none" w:pos="1900"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Declaration of Consent</w:t>
      </w:r>
      <w:r>
        <w:rPr>
          <w:rFonts w:ascii="Arial" w:cs="Arial" w:eastAsia="Arial" w:hAnsi="Arial"/>
          <w:sz w:val="22"/>
          <w:szCs w:val="22"/>
          <w:color w:val="auto"/>
        </w:rPr>
        <w:t>. By accepting this Award and indicating consent via the Company’s online</w:t>
      </w:r>
      <w:r>
        <w:rPr>
          <w:rFonts w:ascii="Arial" w:cs="Arial" w:eastAsia="Arial" w:hAnsi="Arial"/>
          <w:sz w:val="22"/>
          <w:szCs w:val="22"/>
          <w:i w:val="1"/>
          <w:iCs w:val="1"/>
          <w:color w:val="auto"/>
        </w:rPr>
        <w:t xml:space="preserve"> </w:t>
      </w:r>
      <w:r>
        <w:rPr>
          <w:rFonts w:ascii="Arial" w:cs="Arial" w:eastAsia="Arial" w:hAnsi="Arial"/>
          <w:sz w:val="22"/>
          <w:szCs w:val="22"/>
          <w:color w:val="auto"/>
        </w:rPr>
        <w:t>acceptance procedure, Grantee is declaring that he or she agrees to this Section 12. No party hereto shall raise the use of the online acceptance procedure that any signature or document was transmitted or communicated through the use of an electronic device as a defense to the formation of a contract, and each such party forever waives any such defense.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23</w:t>
      </w:r>
    </w:p>
    <w:p>
      <w:pPr>
        <w:sectPr>
          <w:pgSz w:w="11900" w:h="16838" w:orient="portrait"/>
          <w:cols w:equalWidth="0" w:num="1">
            <w:col w:w="11240"/>
          </w:cols>
          <w:pgMar w:left="320" w:top="342"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13.</w:t>
        <w:tab/>
        <w:t>Additional Terms and Conditions</w:t>
      </w:r>
    </w:p>
    <w:p>
      <w:pPr>
        <w:spacing w:after="0" w:line="321" w:lineRule="exact"/>
        <w:rPr>
          <w:sz w:val="20"/>
          <w:szCs w:val="20"/>
          <w:color w:val="auto"/>
        </w:rPr>
      </w:pPr>
    </w:p>
    <w:p>
      <w:pPr>
        <w:ind w:left="1300" w:hanging="644"/>
        <w:spacing w:after="0" w:line="251" w:lineRule="auto"/>
        <w:tabs>
          <w:tab w:leader="none" w:pos="112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1300" w:hanging="644"/>
        <w:spacing w:after="0" w:line="248" w:lineRule="auto"/>
        <w:tabs>
          <w:tab w:leader="none" w:pos="11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and/or Fractional Shares or rights to acquire Shares and/or Fractional Shares (e.g., the Revenue Growth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ind w:left="1300" w:hanging="644"/>
        <w:spacing w:after="0" w:line="249" w:lineRule="auto"/>
        <w:tabs>
          <w:tab w:leader="none" w:pos="11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and/or other amounts acquired pursuant to this Award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Revenue Growth Award and any benefits or proceeds the Grantee may receive hereunder shall be subject to forfeiture and/or repayment to the Company to the extent required to comply with any requirements imposed under Applicable Laws, any compensation recovery policy of the Company that reflects the provisions of Applicable Laws, or to the extent provided in any agreement between Grantee and the Company.</w:t>
      </w:r>
    </w:p>
    <w:p>
      <w:pPr>
        <w:spacing w:after="0" w:line="179"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14.</w:t>
        <w:tab/>
        <w:t>Governing Law and Choice of Venue</w:t>
      </w:r>
    </w:p>
    <w:p>
      <w:pPr>
        <w:spacing w:after="0" w:line="132" w:lineRule="exact"/>
        <w:rPr>
          <w:sz w:val="20"/>
          <w:szCs w:val="20"/>
          <w:color w:val="auto"/>
        </w:rPr>
      </w:pPr>
    </w:p>
    <w:p>
      <w:pPr>
        <w:jc w:val="both"/>
        <w:ind w:left="400"/>
        <w:spacing w:after="0" w:line="253"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24</w:t>
      </w:r>
    </w:p>
    <w:p>
      <w:pPr>
        <w:sectPr>
          <w:pgSz w:w="11900" w:h="16838" w:orient="portrait"/>
          <w:cols w:equalWidth="0" w:num="1">
            <w:col w:w="11240"/>
          </w:cols>
          <w:pgMar w:left="320" w:top="342" w:right="33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00"/>
        <w:spacing w:after="0" w:line="253" w:lineRule="auto"/>
        <w:rPr>
          <w:sz w:val="20"/>
          <w:szCs w:val="20"/>
          <w:color w:val="auto"/>
        </w:rPr>
      </w:pPr>
      <w:r>
        <w:rPr>
          <w:rFonts w:ascii="Arial" w:cs="Arial" w:eastAsia="Arial" w:hAnsi="Arial"/>
          <w:sz w:val="22"/>
          <w:szCs w:val="22"/>
          <w:color w:val="auto"/>
        </w:rPr>
        <w:t>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84"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15.</w:t>
        <w:tab/>
        <w:t>Miscellaneous Provisions</w:t>
      </w:r>
    </w:p>
    <w:p>
      <w:pPr>
        <w:spacing w:after="0" w:line="118" w:lineRule="exact"/>
        <w:rPr>
          <w:sz w:val="20"/>
          <w:szCs w:val="20"/>
          <w:color w:val="auto"/>
        </w:rPr>
      </w:pPr>
    </w:p>
    <w:p>
      <w:pPr>
        <w:ind w:left="1300" w:hanging="644"/>
        <w:spacing w:after="0" w:line="261" w:lineRule="auto"/>
        <w:tabs>
          <w:tab w:leader="none" w:pos="1167"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81" w:lineRule="exact"/>
        <w:rPr>
          <w:rFonts w:ascii="Arial" w:cs="Arial" w:eastAsia="Arial" w:hAnsi="Arial"/>
          <w:sz w:val="21"/>
          <w:szCs w:val="21"/>
          <w:color w:val="auto"/>
        </w:rPr>
      </w:pPr>
    </w:p>
    <w:p>
      <w:pPr>
        <w:jc w:val="both"/>
        <w:ind w:left="1300" w:hanging="644"/>
        <w:spacing w:after="0" w:line="249" w:lineRule="auto"/>
        <w:tabs>
          <w:tab w:leader="none" w:pos="124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99" w:lineRule="exact"/>
        <w:rPr>
          <w:rFonts w:ascii="Arial" w:cs="Arial" w:eastAsia="Arial" w:hAnsi="Arial"/>
          <w:sz w:val="22"/>
          <w:szCs w:val="22"/>
          <w:color w:val="auto"/>
        </w:rPr>
      </w:pPr>
    </w:p>
    <w:p>
      <w:pPr>
        <w:ind w:left="1300" w:hanging="644"/>
        <w:spacing w:after="0" w:line="258" w:lineRule="auto"/>
        <w:tabs>
          <w:tab w:leader="none" w:pos="1107" w:val="left"/>
        </w:tabs>
        <w:numPr>
          <w:ilvl w:val="0"/>
          <w:numId w:val="75"/>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76" w:lineRule="exact"/>
        <w:rPr>
          <w:rFonts w:ascii="Arial" w:cs="Arial" w:eastAsia="Arial" w:hAnsi="Arial"/>
          <w:sz w:val="23"/>
          <w:szCs w:val="23"/>
          <w:color w:val="auto"/>
        </w:rPr>
      </w:pPr>
    </w:p>
    <w:p>
      <w:pPr>
        <w:ind w:left="1300" w:hanging="644"/>
        <w:spacing w:after="0" w:line="250" w:lineRule="auto"/>
        <w:tabs>
          <w:tab w:leader="none" w:pos="1107" w:val="left"/>
        </w:tabs>
        <w:numPr>
          <w:ilvl w:val="0"/>
          <w:numId w:val="75"/>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74" w:lineRule="exact"/>
        <w:rPr>
          <w:sz w:val="20"/>
          <w:szCs w:val="20"/>
          <w:color w:val="auto"/>
        </w:rPr>
      </w:pPr>
    </w:p>
    <w:p>
      <w:pPr>
        <w:ind w:left="1300"/>
        <w:spacing w:after="0" w:line="272"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25</w:t>
      </w:r>
    </w:p>
    <w:p>
      <w:pPr>
        <w:sectPr>
          <w:pgSz w:w="11900" w:h="16838" w:orient="portrait"/>
          <w:cols w:equalWidth="0" w:num="1">
            <w:col w:w="11240"/>
          </w:cols>
          <w:pgMar w:left="320" w:top="342"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hanging="644"/>
        <w:spacing w:after="0" w:line="250" w:lineRule="auto"/>
        <w:tabs>
          <w:tab w:leader="none" w:pos="1120" w:val="left"/>
        </w:tabs>
        <w:numPr>
          <w:ilvl w:val="0"/>
          <w:numId w:val="76"/>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and/or other amounts acquired pursuant to this Award. The Grantee should consult with his or her own personal tax, legal and financial advisors regarding the Grantee’s participation in the Plan before taking any action related to the Plan.</w:t>
      </w:r>
    </w:p>
    <w:p>
      <w:pPr>
        <w:spacing w:after="0" w:line="178"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16.</w:t>
        <w:tab/>
        <w:t>Compensation Recovery</w:t>
      </w:r>
    </w:p>
    <w:p>
      <w:pPr>
        <w:spacing w:after="0" w:line="132" w:lineRule="exact"/>
        <w:rPr>
          <w:sz w:val="20"/>
          <w:szCs w:val="20"/>
          <w:color w:val="auto"/>
        </w:rPr>
      </w:pPr>
    </w:p>
    <w:p>
      <w:pPr>
        <w:ind w:left="1300" w:hanging="644"/>
        <w:spacing w:after="0" w:line="250" w:lineRule="auto"/>
        <w:tabs>
          <w:tab w:leader="none" w:pos="110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any recovery, recoupment, “clawback” or similar policy of the Company that is in effect as of the Grant Date, including but not limited to the Eli Lilly and Company Executive Compensation Recovery Policy, effective October 2, 2023, as may be amended, restated, or superseded from time to time (with the provisions contained in such policy deemed incorporated into this Award Agreement without the Grantee’s additional or separate consent).</w:t>
      </w:r>
    </w:p>
    <w:p>
      <w:pPr>
        <w:spacing w:after="0" w:line="85" w:lineRule="exact"/>
        <w:rPr>
          <w:rFonts w:ascii="Arial" w:cs="Arial" w:eastAsia="Arial" w:hAnsi="Arial"/>
          <w:sz w:val="22"/>
          <w:szCs w:val="22"/>
          <w:color w:val="auto"/>
        </w:rPr>
      </w:pPr>
    </w:p>
    <w:p>
      <w:pPr>
        <w:ind w:left="1300" w:hanging="644"/>
        <w:spacing w:after="0" w:line="253" w:lineRule="auto"/>
        <w:tabs>
          <w:tab w:leader="none" w:pos="1077" w:val="left"/>
        </w:tabs>
        <w:numPr>
          <w:ilvl w:val="0"/>
          <w:numId w:val="77"/>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67" w:lineRule="exact"/>
        <w:rPr>
          <w:rFonts w:ascii="Arial" w:cs="Arial" w:eastAsia="Arial" w:hAnsi="Arial"/>
          <w:sz w:val="22"/>
          <w:szCs w:val="22"/>
          <w:color w:val="auto"/>
        </w:rPr>
      </w:pPr>
    </w:p>
    <w:p>
      <w:pPr>
        <w:jc w:val="right"/>
        <w:ind w:left="2040" w:hanging="574"/>
        <w:spacing w:after="0" w:line="251" w:lineRule="auto"/>
        <w:tabs>
          <w:tab w:leader="none" w:pos="1905"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 caused or partially caused the need for such a restatement; and</w:t>
      </w:r>
    </w:p>
    <w:p>
      <w:pPr>
        <w:spacing w:after="0" w:line="1" w:lineRule="exact"/>
        <w:rPr>
          <w:rFonts w:ascii="Arial" w:cs="Arial" w:eastAsia="Arial" w:hAnsi="Arial"/>
          <w:sz w:val="22"/>
          <w:szCs w:val="22"/>
          <w:color w:val="auto"/>
        </w:rPr>
      </w:pPr>
    </w:p>
    <w:p>
      <w:pPr>
        <w:jc w:val="both"/>
        <w:ind w:left="2040"/>
        <w:spacing w:after="0" w:line="248" w:lineRule="auto"/>
        <w:rPr>
          <w:rFonts w:ascii="Arial" w:cs="Arial" w:eastAsia="Arial" w:hAnsi="Arial"/>
          <w:sz w:val="22"/>
          <w:szCs w:val="22"/>
          <w:color w:val="auto"/>
        </w:rPr>
      </w:pPr>
      <w:r>
        <w:rPr>
          <w:rFonts w:ascii="Arial" w:cs="Arial" w:eastAsia="Arial" w:hAnsi="Arial"/>
          <w:sz w:val="22"/>
          <w:szCs w:val="22"/>
          <w:color w:val="auto"/>
        </w:rPr>
        <w:t>(C)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86" w:lineRule="exact"/>
        <w:rPr>
          <w:rFonts w:ascii="Arial" w:cs="Arial" w:eastAsia="Arial" w:hAnsi="Arial"/>
          <w:sz w:val="22"/>
          <w:szCs w:val="22"/>
          <w:color w:val="auto"/>
        </w:rPr>
      </w:pPr>
    </w:p>
    <w:p>
      <w:pPr>
        <w:jc w:val="both"/>
        <w:ind w:left="2040" w:hanging="574"/>
        <w:spacing w:after="0" w:line="253" w:lineRule="auto"/>
        <w:tabs>
          <w:tab w:leader="none" w:pos="2001"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7"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26</w:t>
      </w:r>
    </w:p>
    <w:p>
      <w:pPr>
        <w:sectPr>
          <w:pgSz w:w="11900" w:h="16838" w:orient="portrait"/>
          <w:cols w:equalWidth="0" w:num="1">
            <w:col w:w="11240"/>
          </w:cols>
          <w:pgMar w:left="320" w:top="342" w:right="3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81" w:lineRule="exact"/>
        <w:rPr>
          <w:sz w:val="20"/>
          <w:szCs w:val="20"/>
          <w:color w:val="auto"/>
        </w:rPr>
      </w:pPr>
    </w:p>
    <w:p>
      <w:pPr>
        <w:ind w:left="1300" w:hanging="644"/>
        <w:spacing w:after="0" w:line="250" w:lineRule="auto"/>
        <w:tabs>
          <w:tab w:leader="none" w:pos="1192" w:val="left"/>
        </w:tabs>
        <w:numPr>
          <w:ilvl w:val="0"/>
          <w:numId w:val="78"/>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this Award to re-convey, transfer or otherwise return such Shares and/or other amounts acquired pursuant to this Award to the Company upon the Company’s enforcement of this Section 16.</w:t>
      </w:r>
    </w:p>
    <w:p>
      <w:pPr>
        <w:spacing w:after="0" w:line="86" w:lineRule="exact"/>
        <w:rPr>
          <w:rFonts w:ascii="Arial" w:cs="Arial" w:eastAsia="Arial" w:hAnsi="Arial"/>
          <w:sz w:val="22"/>
          <w:szCs w:val="22"/>
          <w:color w:val="auto"/>
        </w:rPr>
      </w:pPr>
    </w:p>
    <w:p>
      <w:pPr>
        <w:ind w:left="1300" w:hanging="644"/>
        <w:spacing w:after="0" w:line="257" w:lineRule="auto"/>
        <w:tabs>
          <w:tab w:leader="none" w:pos="10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This Section 16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8"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17.</w:t>
        <w:tab/>
        <w:t>Award Subject to Acknowledgement of Acceptance</w:t>
      </w:r>
    </w:p>
    <w:p>
      <w:pPr>
        <w:spacing w:after="0" w:line="132" w:lineRule="exact"/>
        <w:rPr>
          <w:sz w:val="20"/>
          <w:szCs w:val="20"/>
          <w:color w:val="auto"/>
        </w:rPr>
      </w:pPr>
    </w:p>
    <w:p>
      <w:pPr>
        <w:jc w:val="both"/>
        <w:ind w:left="400"/>
        <w:spacing w:after="0" w:line="257"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on or before [•], through the website of E*TRADE, the Company’s stock plan administrator. If the Grantee does not acknowledge acceptance of the Award on or before [•], the Award will be cancelled, subject to the Committee’s discretion for unforeseen circumstances.</w:t>
      </w:r>
    </w:p>
    <w:p>
      <w:pPr>
        <w:spacing w:after="0" w:line="200" w:lineRule="exact"/>
        <w:rPr>
          <w:sz w:val="20"/>
          <w:szCs w:val="20"/>
          <w:color w:val="auto"/>
        </w:rPr>
      </w:pPr>
    </w:p>
    <w:p>
      <w:pPr>
        <w:spacing w:after="0" w:line="242" w:lineRule="exact"/>
        <w:rPr>
          <w:sz w:val="20"/>
          <w:szCs w:val="20"/>
          <w:color w:val="auto"/>
        </w:rPr>
      </w:pPr>
    </w:p>
    <w:p>
      <w:pPr>
        <w:ind w:left="340"/>
        <w:spacing w:after="0" w:line="272"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8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9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27</w:t>
      </w:r>
    </w:p>
    <w:p>
      <w:pPr>
        <w:sectPr>
          <w:pgSz w:w="11900" w:h="16838" w:orient="portrait"/>
          <w:cols w:equalWidth="0" w:num="1">
            <w:col w:w="11240"/>
          </w:cols>
          <w:pgMar w:left="320" w:top="342"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Eli Lilly and Company Revenue Growth Award Agreement (for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40"/>
        <w:spacing w:after="0"/>
        <w:rPr>
          <w:sz w:val="20"/>
          <w:szCs w:val="20"/>
          <w:color w:val="auto"/>
        </w:rPr>
      </w:pPr>
      <w:r>
        <w:rPr>
          <w:rFonts w:ascii="Arial" w:cs="Arial" w:eastAsia="Arial" w:hAnsi="Arial"/>
          <w:sz w:val="32"/>
          <w:szCs w:val="32"/>
          <w:color w:val="auto"/>
        </w:rPr>
        <w:t>Appendix</w:t>
      </w:r>
    </w:p>
    <w:p>
      <w:pPr>
        <w:spacing w:after="0" w:line="267" w:lineRule="exact"/>
        <w:rPr>
          <w:sz w:val="20"/>
          <w:szCs w:val="20"/>
          <w:color w:val="auto"/>
        </w:rPr>
      </w:pPr>
    </w:p>
    <w:p>
      <w:pPr>
        <w:ind w:left="4060"/>
        <w:spacing w:after="0"/>
        <w:rPr>
          <w:sz w:val="20"/>
          <w:szCs w:val="20"/>
          <w:color w:val="auto"/>
        </w:rPr>
      </w:pPr>
      <w:r>
        <w:rPr>
          <w:rFonts w:ascii="Arial" w:cs="Arial" w:eastAsia="Arial" w:hAnsi="Arial"/>
          <w:sz w:val="32"/>
          <w:szCs w:val="32"/>
          <w:color w:val="auto"/>
        </w:rPr>
        <w:t>Eli Lilly and Company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Amended and Restated 2002 Lilly Stock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Revenue Growth Award Agreement</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Appendix includes special terms and conditions applicable to the Grantee’s country and the State of Colorado. These terms and conditions supplement or replace (as indicated) the terms and conditions set forth in the Award Agreement to which it is attached. If the Grantee is a citizen or resident of a country other than the one in which the Grantee is currently working and/or residing (or is considered as such for local law purposes), or if the Grantee transfers employment or residency to a different country after the Award is granted, Lilly will, in its discretion, determine the extent to which the terms and conditions herein will apply. This Appendix also includes other information relevant to the Award.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Unless otherwise defined herein, the terms defined in the Plan or the Award Agreement, as applicable, shall have the same meanings in this Appendix. Notwithstanding the foregoing, for purposes of this Appendix, “Share” shall mean a share of Common Stock and shall include any Fractional Share.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There are no special terms and conditions or information for the following countries: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Belgium</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Germany</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India</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Japan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United States</w:t>
      </w:r>
    </w:p>
    <w:p>
      <w:pPr>
        <w:spacing w:after="0" w:line="200" w:lineRule="exact"/>
        <w:rPr>
          <w:sz w:val="20"/>
          <w:szCs w:val="20"/>
          <w:color w:val="auto"/>
        </w:rPr>
      </w:pPr>
    </w:p>
    <w:p>
      <w:pPr>
        <w:spacing w:after="0" w:line="371" w:lineRule="exact"/>
        <w:rPr>
          <w:sz w:val="20"/>
          <w:szCs w:val="20"/>
          <w:color w:val="auto"/>
        </w:rPr>
      </w:pPr>
    </w:p>
    <w:p>
      <w:pPr>
        <w:jc w:val="both"/>
        <w:ind w:right="60"/>
        <w:spacing w:after="0" w:line="249" w:lineRule="auto"/>
        <w:rPr>
          <w:sz w:val="20"/>
          <w:szCs w:val="20"/>
          <w:color w:val="auto"/>
        </w:rPr>
      </w:pPr>
      <w:r>
        <w:rPr>
          <w:rFonts w:ascii="Arial" w:cs="Arial" w:eastAsia="Arial" w:hAnsi="Arial"/>
          <w:sz w:val="22"/>
          <w:szCs w:val="22"/>
          <w:color w:val="auto"/>
        </w:rPr>
        <w:t xml:space="preserve">However, the Grantee should be aware that he or she may be required to take certain steps to comply with Applicable Laws in the Grantee’s country in connection with the Award. For example, exchange control, foreign asset and/or account and/or other tax reporting obligations may apply to the Grantee upon receipt of the Award or the Shares subject to the Award or upon the sale of Shares. </w:t>
      </w:r>
      <w:r>
        <w:rPr>
          <w:rFonts w:ascii="Arial" w:cs="Arial" w:eastAsia="Arial" w:hAnsi="Arial"/>
          <w:sz w:val="22"/>
          <w:szCs w:val="22"/>
          <w:i w:val="1"/>
          <w:iCs w:val="1"/>
          <w:color w:val="auto"/>
        </w:rPr>
        <w:t>For more information regarding such obligations, the</w:t>
      </w:r>
      <w:r>
        <w:rPr>
          <w:rFonts w:ascii="Arial" w:cs="Arial" w:eastAsia="Arial" w:hAnsi="Arial"/>
          <w:sz w:val="22"/>
          <w:szCs w:val="22"/>
          <w:color w:val="auto"/>
        </w:rPr>
        <w:t xml:space="preserve"> </w:t>
      </w:r>
      <w:r>
        <w:rPr>
          <w:rFonts w:ascii="Arial" w:cs="Arial" w:eastAsia="Arial" w:hAnsi="Arial"/>
          <w:sz w:val="22"/>
          <w:szCs w:val="22"/>
          <w:i w:val="1"/>
          <w:iCs w:val="1"/>
          <w:color w:val="auto"/>
        </w:rPr>
        <w:t>Grantee should refer to the Country-Specific Tax Supplement for the Grantee’s country, if any</w:t>
      </w:r>
      <w:r>
        <w:rPr>
          <w:rFonts w:ascii="Arial" w:cs="Arial" w:eastAsia="Arial" w:hAnsi="Arial"/>
          <w:sz w:val="22"/>
          <w:szCs w:val="22"/>
          <w:color w:val="auto"/>
        </w:rPr>
        <w:t>.</w:t>
      </w:r>
      <w:r>
        <w:rPr>
          <w:rFonts w:ascii="Arial" w:cs="Arial" w:eastAsia="Arial" w:hAnsi="Arial"/>
          <w:sz w:val="22"/>
          <w:szCs w:val="22"/>
          <w:i w:val="1"/>
          <w:iCs w:val="1"/>
          <w:color w:val="auto"/>
        </w:rPr>
        <w:t xml:space="preserve"> The Grantee should also consult with his or her own personal tax and legal advisors to determine what, if any, obligations exist with respect to the Award and/or the acquisition or sale of Shares. Neither the Company nor the Employer is responsible for any failure on the part of the Grantee to be aware of or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28</w:t>
      </w:r>
    </w:p>
    <w:p>
      <w:pPr>
        <w:sectPr>
          <w:pgSz w:w="11900" w:h="16838" w:orient="portrait"/>
          <w:cols w:equalWidth="0" w:num="1">
            <w:col w:w="11240"/>
          </w:cols>
          <w:pgMar w:left="320" w:top="342"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Eli Lilly and Company Relative Value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Exhibit 10.4 Form of Relative Value Award Under the 2002 Lilly Stock Plan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Eli Lilly and Company</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Relative Value Award Agreement</w:t>
      </w:r>
    </w:p>
    <w:p>
      <w:pPr>
        <w:spacing w:after="0" w:line="248" w:lineRule="exact"/>
        <w:rPr>
          <w:sz w:val="20"/>
          <w:szCs w:val="20"/>
          <w:color w:val="auto"/>
        </w:rPr>
      </w:pPr>
    </w:p>
    <w:p>
      <w:pPr>
        <w:jc w:val="both"/>
        <w:ind w:left="340"/>
        <w:spacing w:after="0" w:line="257" w:lineRule="auto"/>
        <w:rPr>
          <w:sz w:val="20"/>
          <w:szCs w:val="20"/>
          <w:color w:val="auto"/>
        </w:rPr>
      </w:pPr>
      <w:r>
        <w:rPr>
          <w:rFonts w:ascii="Arial" w:cs="Arial" w:eastAsia="Arial" w:hAnsi="Arial"/>
          <w:sz w:val="22"/>
          <w:szCs w:val="22"/>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3" w:lineRule="exact"/>
        <w:rPr>
          <w:sz w:val="20"/>
          <w:szCs w:val="20"/>
          <w:color w:val="auto"/>
        </w:rPr>
      </w:pPr>
    </w:p>
    <w:p>
      <w:pPr>
        <w:sectPr>
          <w:pgSz w:w="11900" w:h="16838" w:orient="portrait"/>
          <w:cols w:equalWidth="0" w:num="2">
            <w:col w:w="2540" w:space="720"/>
            <w:col w:w="7980"/>
          </w:cols>
          <w:pgMar w:left="320" w:top="126" w:right="33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ectPr>
          <w:pgSz w:w="11900" w:h="16838" w:orient="portrait"/>
          <w:cols w:equalWidth="0" w:num="2">
            <w:col w:w="2540" w:space="720"/>
            <w:col w:w="7980"/>
          </w:cols>
          <w:pgMar w:left="320" w:top="126" w:right="33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ectPr>
          <w:pgSz w:w="11900" w:h="16838" w:orient="portrait"/>
          <w:cols w:equalWidth="0" w:num="2">
            <w:col w:w="2540" w:space="720"/>
            <w:col w:w="7980"/>
          </w:cols>
          <w:pgMar w:left="320" w:top="126" w:right="33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780" w:space="480"/>
            <w:col w:w="7980"/>
          </w:cols>
          <w:pgMar w:left="320" w:top="126" w:right="339" w:bottom="1440" w:gutter="0" w:footer="0" w:header="0"/>
          <w:type w:val="continuous"/>
        </w:sect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25"/>
          <w:szCs w:val="25"/>
          <w:color w:val="auto"/>
        </w:rPr>
        <w:t>Lilly Relative Total Shareholder Return Performance Levels: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25"/>
          <w:szCs w:val="2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1</w:t>
      </w:r>
    </w:p>
    <w:p>
      <w:pPr>
        <w:sectPr>
          <w:pgSz w:w="11900" w:h="16838" w:orient="portrait"/>
          <w:cols w:equalWidth="0" w:num="1">
            <w:col w:w="11240"/>
          </w:cols>
          <w:pgMar w:left="320" w:top="126" w:right="339" w:bottom="1440" w:gutter="0" w:footer="0" w:header="0"/>
          <w:type w:val="continuous"/>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tcPr>
          <w:p>
            <w:pPr>
              <w:ind w:left="3300"/>
              <w:spacing w:after="0"/>
              <w:rPr>
                <w:sz w:val="20"/>
                <w:szCs w:val="20"/>
                <w:color w:val="auto"/>
              </w:rPr>
            </w:pPr>
            <w:r>
              <w:rPr>
                <w:rFonts w:ascii="Arial" w:cs="Arial" w:eastAsia="Arial" w:hAnsi="Arial"/>
                <w:sz w:val="22"/>
                <w:szCs w:val="22"/>
                <w:color w:val="auto"/>
              </w:rPr>
              <w:t>Table of Contents</w:t>
            </w:r>
          </w:p>
        </w:tc>
        <w:tc>
          <w:tcPr>
            <w:tcW w:w="2480" w:type="dxa"/>
            <w:vAlign w:val="bottom"/>
          </w:tcPr>
          <w:p>
            <w:pPr>
              <w:spacing w:after="0"/>
              <w:rPr>
                <w:sz w:val="24"/>
                <w:szCs w:val="24"/>
                <w:color w:val="auto"/>
              </w:rPr>
            </w:pPr>
          </w:p>
        </w:tc>
      </w:tr>
      <w:tr>
        <w:trPr>
          <w:trHeight w:val="848"/>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  Grant of Relative Value Award</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60" w:type="dxa"/>
            <w:vAlign w:val="bottom"/>
          </w:tcPr>
          <w:p>
            <w:pPr>
              <w:spacing w:after="0"/>
              <w:rPr>
                <w:sz w:val="24"/>
                <w:szCs w:val="24"/>
                <w:color w:val="auto"/>
              </w:rPr>
            </w:pPr>
          </w:p>
        </w:tc>
        <w:tc>
          <w:tcPr>
            <w:tcW w:w="7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  Impact of Certain Employment Status Changes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32"/>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  Change in Control</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60" w:type="dxa"/>
            <w:vAlign w:val="bottom"/>
          </w:tcPr>
          <w:p>
            <w:pPr>
              <w:spacing w:after="0"/>
              <w:rPr>
                <w:sz w:val="24"/>
                <w:szCs w:val="24"/>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32"/>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6.  Rights of the Grantee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32"/>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  Prohibition Against Transfer</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Responsibility for Taxes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Section 409A Compliance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w:t>
            </w:r>
          </w:p>
        </w:tc>
        <w:tc>
          <w:tcPr>
            <w:tcW w:w="72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Grantee’s Acknowledgment</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11.</w:t>
            </w:r>
          </w:p>
        </w:tc>
        <w:tc>
          <w:tcPr>
            <w:tcW w:w="72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Data Privacy</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32"/>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12.  Restrictive Covenants and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32"/>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13.  Additional Terms and Conditions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32"/>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14.  Governing Law and Choice of Venue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15.</w:t>
            </w:r>
          </w:p>
        </w:tc>
        <w:tc>
          <w:tcPr>
            <w:tcW w:w="72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Miscellaneous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16.</w:t>
            </w:r>
          </w:p>
        </w:tc>
        <w:tc>
          <w:tcPr>
            <w:tcW w:w="72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Compensation Recovery</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17.</w:t>
            </w:r>
          </w:p>
        </w:tc>
        <w:tc>
          <w:tcPr>
            <w:tcW w:w="7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Award Subject to Acknowledgement of Acceptance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10760"/>
          </w:cols>
          <w:pgMar w:left="780" w:top="1440" w:right="35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color w:val="auto"/>
        </w:rPr>
        <w:t>Grant of Relative Value Award</w:t>
      </w:r>
    </w:p>
    <w:p>
      <w:pPr>
        <w:spacing w:after="0" w:line="112" w:lineRule="exact"/>
        <w:rPr>
          <w:sz w:val="20"/>
          <w:szCs w:val="20"/>
          <w:color w:val="auto"/>
        </w:rPr>
      </w:pPr>
    </w:p>
    <w:p>
      <w:pPr>
        <w:jc w:val="both"/>
        <w:ind w:left="60"/>
        <w:spacing w:after="0" w:line="25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set forth on the first page of this document and available by logging on to the Company’s stock plan administrator’s website at </w:t>
      </w:r>
      <w:r>
        <w:rPr>
          <w:rFonts w:ascii="Arial" w:cs="Arial" w:eastAsia="Arial" w:hAnsi="Arial"/>
          <w:sz w:val="22"/>
          <w:szCs w:val="22"/>
          <w:u w:val="single" w:color="auto"/>
          <w:color w:val="0000FF"/>
        </w:rPr>
        <w:t>http://mystock.lilly.com</w:t>
      </w:r>
      <w:r>
        <w:rPr>
          <w:rFonts w:ascii="Arial" w:cs="Arial" w:eastAsia="Arial" w:hAnsi="Arial"/>
          <w:sz w:val="22"/>
          <w:szCs w:val="22"/>
          <w:color w:val="auto"/>
        </w:rPr>
        <w:t xml:space="preserve"> (the “Target Number of Shares”).</w:t>
      </w:r>
    </w:p>
    <w:p>
      <w:pPr>
        <w:spacing w:after="0" w:line="179" w:lineRule="exact"/>
        <w:rPr>
          <w:sz w:val="20"/>
          <w:szCs w:val="20"/>
          <w:color w:val="auto"/>
        </w:rPr>
      </w:pPr>
    </w:p>
    <w:p>
      <w:pPr>
        <w:jc w:val="both"/>
        <w:ind w:left="60"/>
        <w:spacing w:after="0" w:line="25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and Section 5.b. (in which case, the terms of the Award Agreement shall govern).</w:t>
      </w:r>
    </w:p>
    <w:p>
      <w:pPr>
        <w:spacing w:after="0" w:line="208" w:lineRule="exact"/>
        <w:rPr>
          <w:sz w:val="20"/>
          <w:szCs w:val="20"/>
          <w:color w:val="auto"/>
        </w:rPr>
      </w:pPr>
    </w:p>
    <w:p>
      <w:pPr>
        <w:jc w:val="both"/>
        <w:ind w:left="80"/>
        <w:spacing w:after="0" w:line="272"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78" w:lineRule="exact"/>
        <w:rPr>
          <w:sz w:val="20"/>
          <w:szCs w:val="20"/>
          <w:color w:val="auto"/>
        </w:rPr>
      </w:pPr>
    </w:p>
    <w:p>
      <w:pPr>
        <w:jc w:val="both"/>
        <w:ind w:left="80"/>
        <w:spacing w:after="0" w:line="257"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subject to a maximum number of Shares that shall in no event exceed the Payout Cap, where:</w:t>
      </w:r>
    </w:p>
    <w:p>
      <w:pPr>
        <w:spacing w:after="0" w:line="64" w:lineRule="exact"/>
        <w:rPr>
          <w:sz w:val="20"/>
          <w:szCs w:val="20"/>
          <w:color w:val="auto"/>
        </w:rPr>
      </w:pPr>
    </w:p>
    <w:p>
      <w:pPr>
        <w:ind w:left="960" w:hanging="644"/>
        <w:spacing w:after="0" w:line="272" w:lineRule="auto"/>
        <w:tabs>
          <w:tab w:leader="none" w:pos="813"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Levels Table</w:t>
      </w:r>
      <w:r>
        <w:rPr>
          <w:rFonts w:ascii="Arial" w:cs="Arial" w:eastAsia="Arial" w:hAnsi="Arial"/>
          <w:sz w:val="22"/>
          <w:szCs w:val="22"/>
          <w:color w:val="auto"/>
        </w:rPr>
        <w:t>” shall mean the Lilly Relative Total Shareholder Return Performance Levels table set forth on the first page of this document.</w:t>
      </w:r>
    </w:p>
    <w:p>
      <w:pPr>
        <w:spacing w:after="0" w:line="47" w:lineRule="exact"/>
        <w:rPr>
          <w:rFonts w:ascii="Arial" w:cs="Arial" w:eastAsia="Arial" w:hAnsi="Arial"/>
          <w:sz w:val="22"/>
          <w:szCs w:val="22"/>
          <w:color w:val="auto"/>
        </w:rPr>
      </w:pPr>
    </w:p>
    <w:p>
      <w:pPr>
        <w:ind w:left="960" w:hanging="644"/>
        <w:spacing w:after="0" w:line="250" w:lineRule="auto"/>
        <w:tabs>
          <w:tab w:leader="none" w:pos="827"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Payout Cap</w:t>
      </w:r>
      <w:r>
        <w:rPr>
          <w:rFonts w:ascii="Arial" w:cs="Arial" w:eastAsia="Arial" w:hAnsi="Arial"/>
          <w:sz w:val="22"/>
          <w:szCs w:val="22"/>
          <w:color w:val="auto"/>
        </w:rPr>
        <w:t>” shall mean the value equal to four times the Fair Market Value of the Target Number of Shares on the Grant Date. If the resulting value of Shares eligible to vest, determined by multiplying the number of Shares eligible to vest by the Fair Market Value of Shares on the last day of the Performance Period, exceeds the Payout Cap, the Payout Multiple will be reduced to the degree necessary for the value of the resulting number of Shares eligible to vest to equal the Payout Cap, with allowance for rounding practices consistent with standard administration of the Award. For the avoidance of doubt, the Payout Cap shall in no event be interpreted or construed to restrict the Committee’s authority to exercise its discretion to reduce the number of Shares eligible to vest below the number otherwise determined pursuant this Section 2.</w:t>
      </w:r>
    </w:p>
    <w:p>
      <w:pPr>
        <w:spacing w:after="0" w:line="71" w:lineRule="exact"/>
        <w:rPr>
          <w:rFonts w:ascii="Arial" w:cs="Arial" w:eastAsia="Arial" w:hAnsi="Arial"/>
          <w:sz w:val="22"/>
          <w:szCs w:val="22"/>
          <w:color w:val="auto"/>
        </w:rPr>
      </w:pPr>
    </w:p>
    <w:p>
      <w:pPr>
        <w:ind w:left="960" w:hanging="644"/>
        <w:spacing w:after="0" w:line="272" w:lineRule="auto"/>
        <w:tabs>
          <w:tab w:leader="none" w:pos="774"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Payout Multiple</w:t>
      </w:r>
      <w:r>
        <w:rPr>
          <w:rFonts w:ascii="Arial" w:cs="Arial" w:eastAsia="Arial" w:hAnsi="Arial"/>
          <w:sz w:val="22"/>
          <w:szCs w:val="22"/>
          <w:color w:val="auto"/>
        </w:rPr>
        <w:t>” shall mean the payout multiple set forth in the Performance Levels Table, representing the attainment level of Lilly’s rTSR, measured against the</w:t>
      </w:r>
    </w:p>
    <w:p>
      <w:pPr>
        <w:sectPr>
          <w:pgSz w:w="11900" w:h="16838" w:orient="portrait"/>
          <w:cols w:equalWidth="0" w:num="1">
            <w:col w:w="10900"/>
          </w:cols>
          <w:pgMar w:left="660" w:top="1440" w:right="339" w:bottom="1440" w:gutter="0" w:footer="0" w:header="0"/>
        </w:sectPr>
      </w:pPr>
    </w:p>
    <w:bookmarkStart w:id="136" w:name="page137"/>
    <w:bookmarkEnd w:id="136"/>
    <w:p>
      <w:pPr>
        <w:spacing w:after="0" w:line="200" w:lineRule="exact"/>
        <w:rPr>
          <w:sz w:val="20"/>
          <w:szCs w:val="20"/>
          <w:color w:val="auto"/>
        </w:rPr>
      </w:pPr>
    </w:p>
    <w:p>
      <w:pPr>
        <w:spacing w:after="0" w:line="336" w:lineRule="exact"/>
        <w:rPr>
          <w:sz w:val="20"/>
          <w:szCs w:val="20"/>
          <w:color w:val="auto"/>
        </w:rPr>
      </w:pPr>
    </w:p>
    <w:p>
      <w:pPr>
        <w:jc w:val="both"/>
        <w:ind w:left="644" w:right="20"/>
        <w:spacing w:after="0" w:line="272" w:lineRule="auto"/>
        <w:rPr>
          <w:sz w:val="20"/>
          <w:szCs w:val="20"/>
          <w:color w:val="auto"/>
        </w:rPr>
      </w:pPr>
      <w:r>
        <w:rPr>
          <w:rFonts w:ascii="Arial" w:cs="Arial" w:eastAsia="Arial" w:hAnsi="Arial"/>
          <w:sz w:val="22"/>
          <w:szCs w:val="22"/>
          <w:color w:val="auto"/>
        </w:rPr>
        <w:t>performance goal attainment levels set forth in the Performance Levels Table, subject to the following reduction.</w:t>
      </w:r>
    </w:p>
    <w:p>
      <w:pPr>
        <w:spacing w:after="0" w:line="48" w:lineRule="exact"/>
        <w:rPr>
          <w:sz w:val="20"/>
          <w:szCs w:val="20"/>
          <w:color w:val="auto"/>
        </w:rPr>
      </w:pPr>
    </w:p>
    <w:p>
      <w:pPr>
        <w:jc w:val="both"/>
        <w:ind w:left="644"/>
        <w:spacing w:after="0" w:line="250" w:lineRule="auto"/>
        <w:rPr>
          <w:sz w:val="20"/>
          <w:szCs w:val="20"/>
          <w:color w:val="auto"/>
        </w:rPr>
      </w:pPr>
      <w:r>
        <w:rPr>
          <w:rFonts w:ascii="Arial" w:cs="Arial" w:eastAsia="Arial" w:hAnsi="Arial"/>
          <w:sz w:val="22"/>
          <w:szCs w:val="22"/>
          <w:color w:val="auto"/>
        </w:rPr>
        <w:t>In the event Lilly’s TSR for the Performance Period is negative (and without regard to the TSR attainment level of the Peer Group) and the Payout Multiple exceeds 100%, the Payout Multiple shall be reduced to the greater of (i) 100% or (ii) the Payout Multiple based on the rTSR attainment level that would have otherwise been determined in accordance with the Performance Levels Table without regard to the reduction contemplated under this sentence, reduced by 25%. For the avoidance of doubt, if the Payout Multiple is equal to or less than 100%, the Payout Multiple shall not be subject to the adjustment contemplated under the preceding sentence.</w:t>
      </w:r>
    </w:p>
    <w:p>
      <w:pPr>
        <w:spacing w:after="0" w:line="72" w:lineRule="exact"/>
        <w:rPr>
          <w:sz w:val="20"/>
          <w:szCs w:val="20"/>
          <w:color w:val="auto"/>
        </w:rPr>
      </w:pPr>
    </w:p>
    <w:p>
      <w:pPr>
        <w:ind w:left="644" w:hanging="644"/>
        <w:spacing w:after="0" w:line="264" w:lineRule="auto"/>
        <w:tabs>
          <w:tab w:leader="none" w:pos="457"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20 trading days of the Performance Period, rounded to the nearest cent.</w:t>
      </w:r>
    </w:p>
    <w:p>
      <w:pPr>
        <w:spacing w:after="0" w:line="56" w:lineRule="exact"/>
        <w:rPr>
          <w:rFonts w:ascii="Arial" w:cs="Arial" w:eastAsia="Arial" w:hAnsi="Arial"/>
          <w:sz w:val="22"/>
          <w:szCs w:val="22"/>
          <w:color w:val="auto"/>
        </w:rPr>
      </w:pPr>
    </w:p>
    <w:p>
      <w:pPr>
        <w:ind w:left="644" w:hanging="644"/>
        <w:spacing w:after="0" w:line="253" w:lineRule="auto"/>
        <w:tabs>
          <w:tab w:leader="none" w:pos="443"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TSR</w:t>
      </w:r>
      <w:r>
        <w:rPr>
          <w:rFonts w:ascii="Arial" w:cs="Arial" w:eastAsia="Arial" w:hAnsi="Arial"/>
          <w:sz w:val="22"/>
          <w:szCs w:val="22"/>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81" w:lineRule="exact"/>
        <w:rPr>
          <w:sz w:val="20"/>
          <w:szCs w:val="20"/>
          <w:color w:val="auto"/>
        </w:rPr>
      </w:pPr>
    </w:p>
    <w:p>
      <w:pPr>
        <w:jc w:val="both"/>
        <w:ind w:left="644"/>
        <w:spacing w:after="0" w:line="257" w:lineRule="auto"/>
        <w:rPr>
          <w:sz w:val="20"/>
          <w:szCs w:val="20"/>
          <w:color w:val="auto"/>
        </w:rPr>
      </w:pPr>
      <w:r>
        <w:rPr>
          <w:rFonts w:ascii="Arial" w:cs="Arial" w:eastAsia="Arial" w:hAnsi="Arial"/>
          <w:sz w:val="22"/>
          <w:szCs w:val="22"/>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65" w:lineRule="exact"/>
        <w:rPr>
          <w:sz w:val="20"/>
          <w:szCs w:val="20"/>
          <w:color w:val="auto"/>
        </w:rPr>
      </w:pPr>
    </w:p>
    <w:p>
      <w:pPr>
        <w:ind w:left="644" w:right="20" w:hanging="644"/>
        <w:spacing w:after="0" w:line="264" w:lineRule="auto"/>
        <w:tabs>
          <w:tab w:leader="none" w:pos="356" w:val="left"/>
        </w:tabs>
        <w:numPr>
          <w:ilvl w:val="0"/>
          <w:numId w:val="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Relative 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rTSR</w:t>
      </w:r>
      <w:r>
        <w:rPr>
          <w:rFonts w:ascii="Arial" w:cs="Arial" w:eastAsia="Arial" w:hAnsi="Arial"/>
          <w:sz w:val="22"/>
          <w:szCs w:val="22"/>
          <w:color w:val="auto"/>
        </w:rPr>
        <w:t>” shall mean the comparison between Lilly’s TSR and the TSR of the Peer Group over the Performance Period, measured as the absolute percentage point difference in the performance of the Company’s TSR compared to the Peer Group’s median TSR.</w:t>
      </w:r>
    </w:p>
    <w:p>
      <w:pPr>
        <w:spacing w:after="0" w:line="56" w:lineRule="exact"/>
        <w:rPr>
          <w:rFonts w:ascii="Arial" w:cs="Arial" w:eastAsia="Arial" w:hAnsi="Arial"/>
          <w:sz w:val="22"/>
          <w:szCs w:val="22"/>
          <w:color w:val="auto"/>
        </w:rPr>
      </w:pPr>
    </w:p>
    <w:p>
      <w:pPr>
        <w:ind w:left="644" w:hanging="644"/>
        <w:spacing w:after="0" w:line="257" w:lineRule="auto"/>
        <w:tabs>
          <w:tab w:leader="none" w:pos="497" w:val="left"/>
        </w:tabs>
        <w:numPr>
          <w:ilvl w:val="0"/>
          <w:numId w:val="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Common Stock on the New York Stock Exchange or a share of each Peer Group company’s stock, as applicable, for each trading day in the first 20 trading days beginning with the Grant Date, rounded to the nearest cent.</w:t>
      </w:r>
    </w:p>
    <w:p>
      <w:pPr>
        <w:spacing w:after="0" w:line="64" w:lineRule="exact"/>
        <w:rPr>
          <w:rFonts w:ascii="Arial" w:cs="Arial" w:eastAsia="Arial" w:hAnsi="Arial"/>
          <w:sz w:val="22"/>
          <w:szCs w:val="22"/>
          <w:color w:val="auto"/>
        </w:rPr>
      </w:pPr>
    </w:p>
    <w:p>
      <w:pPr>
        <w:ind w:left="644" w:hanging="644"/>
        <w:spacing w:after="0" w:line="257" w:lineRule="auto"/>
        <w:tabs>
          <w:tab w:leader="none" w:pos="551" w:val="left"/>
        </w:tabs>
        <w:numPr>
          <w:ilvl w:val="0"/>
          <w:numId w:val="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Peer Stock Price</w:t>
      </w:r>
      <w:r>
        <w:rPr>
          <w:rFonts w:ascii="Arial" w:cs="Arial" w:eastAsia="Arial" w:hAnsi="Arial"/>
          <w:sz w:val="22"/>
          <w:szCs w:val="22"/>
          <w:color w:val="auto"/>
        </w:rPr>
        <w:t>” shall mean the average of the closing price of a share of each Peer Group company’s stock, on Nasdaq, the New York Stock Exchange, or other market where an independent share price can be determined, for each trading day of the last 20 trading days of the Performance Period, rounded to the nearest cent.</w:t>
      </w:r>
    </w:p>
    <w:p>
      <w:pPr>
        <w:spacing w:after="0" w:line="63" w:lineRule="exact"/>
        <w:rPr>
          <w:rFonts w:ascii="Arial" w:cs="Arial" w:eastAsia="Arial" w:hAnsi="Arial"/>
          <w:sz w:val="22"/>
          <w:szCs w:val="22"/>
          <w:color w:val="auto"/>
        </w:rPr>
      </w:pPr>
    </w:p>
    <w:p>
      <w:pPr>
        <w:ind w:left="644" w:hanging="644"/>
        <w:spacing w:after="0" w:line="272" w:lineRule="auto"/>
        <w:tabs>
          <w:tab w:leader="none" w:pos="398" w:val="left"/>
        </w:tabs>
        <w:numPr>
          <w:ilvl w:val="0"/>
          <w:numId w:val="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Performance Period.</w:t>
      </w:r>
    </w:p>
    <w:p>
      <w:pPr>
        <w:spacing w:after="0" w:line="47" w:lineRule="exact"/>
        <w:rPr>
          <w:rFonts w:ascii="Arial" w:cs="Arial" w:eastAsia="Arial" w:hAnsi="Arial"/>
          <w:sz w:val="22"/>
          <w:szCs w:val="22"/>
          <w:color w:val="auto"/>
        </w:rPr>
      </w:pPr>
    </w:p>
    <w:p>
      <w:pPr>
        <w:ind w:left="644" w:right="20" w:hanging="644"/>
        <w:spacing w:after="0" w:line="285" w:lineRule="auto"/>
        <w:tabs>
          <w:tab w:leader="none" w:pos="466" w:val="left"/>
        </w:tabs>
        <w:numPr>
          <w:ilvl w:val="0"/>
          <w:numId w:val="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for the purpose of</w:t>
      </w:r>
    </w:p>
    <w:p>
      <w:pPr>
        <w:sectPr>
          <w:pgSz w:w="11900" w:h="16838" w:orient="portrait"/>
          <w:cols w:equalWidth="0" w:num="1">
            <w:col w:w="10584"/>
          </w:cols>
          <w:pgMar w:left="976" w:top="1440" w:right="339" w:bottom="1440" w:gutter="0" w:footer="0" w:header="0"/>
        </w:sectPr>
      </w:pPr>
    </w:p>
    <w:bookmarkStart w:id="137" w:name="page138"/>
    <w:bookmarkEnd w:id="137"/>
    <w:p>
      <w:pPr>
        <w:spacing w:after="0" w:line="200" w:lineRule="exact"/>
        <w:rPr>
          <w:sz w:val="20"/>
          <w:szCs w:val="20"/>
          <w:color w:val="auto"/>
        </w:rPr>
      </w:pPr>
    </w:p>
    <w:p>
      <w:pPr>
        <w:spacing w:after="0" w:line="336" w:lineRule="exact"/>
        <w:rPr>
          <w:sz w:val="20"/>
          <w:szCs w:val="20"/>
          <w:color w:val="auto"/>
        </w:rPr>
      </w:pPr>
    </w:p>
    <w:p>
      <w:pPr>
        <w:jc w:val="both"/>
        <w:ind w:left="960"/>
        <w:spacing w:after="0" w:line="257" w:lineRule="auto"/>
        <w:rPr>
          <w:sz w:val="20"/>
          <w:szCs w:val="20"/>
          <w:color w:val="auto"/>
        </w:rPr>
      </w:pPr>
      <w:r>
        <w:rPr>
          <w:rFonts w:ascii="Arial" w:cs="Arial" w:eastAsia="Arial" w:hAnsi="Arial"/>
          <w:sz w:val="22"/>
          <w:szCs w:val="22"/>
          <w:color w:val="auto"/>
        </w:rPr>
        <w:t>this Award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65" w:lineRule="exact"/>
        <w:rPr>
          <w:sz w:val="20"/>
          <w:szCs w:val="20"/>
          <w:color w:val="auto"/>
        </w:rPr>
      </w:pPr>
    </w:p>
    <w:p>
      <w:pPr>
        <w:jc w:val="both"/>
        <w:ind w:left="80" w:right="20"/>
        <w:spacing w:after="0" w:line="272"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Sections 3 or 4 below, the Award shall be forfeited.</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118" w:lineRule="exact"/>
        <w:rPr>
          <w:sz w:val="20"/>
          <w:szCs w:val="20"/>
          <w:color w:val="auto"/>
        </w:rPr>
      </w:pPr>
    </w:p>
    <w:p>
      <w:pPr>
        <w:jc w:val="both"/>
        <w:ind w:left="80" w:right="20"/>
        <w:spacing w:after="0" w:line="264"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56" w:lineRule="exact"/>
        <w:rPr>
          <w:sz w:val="20"/>
          <w:szCs w:val="20"/>
          <w:color w:val="auto"/>
        </w:rPr>
      </w:pPr>
    </w:p>
    <w:p>
      <w:pPr>
        <w:ind w:left="960" w:hanging="644"/>
        <w:spacing w:after="0" w:line="250" w:lineRule="auto"/>
        <w:tabs>
          <w:tab w:leader="none" w:pos="74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 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72" w:lineRule="exact"/>
        <w:rPr>
          <w:sz w:val="20"/>
          <w:szCs w:val="20"/>
          <w:color w:val="auto"/>
        </w:rPr>
      </w:pPr>
    </w:p>
    <w:p>
      <w:pPr>
        <w:jc w:val="both"/>
        <w:ind w:left="960"/>
        <w:spacing w:after="0" w:line="263"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1" w:lineRule="exact"/>
        <w:rPr>
          <w:sz w:val="20"/>
          <w:szCs w:val="20"/>
          <w:color w:val="auto"/>
        </w:rPr>
      </w:pPr>
    </w:p>
    <w:p>
      <w:pPr>
        <w:jc w:val="both"/>
        <w:ind w:left="960" w:firstLine="4"/>
        <w:spacing w:after="0" w:line="247" w:lineRule="auto"/>
        <w:tabs>
          <w:tab w:leader="none" w:pos="1334" w:val="left"/>
        </w:tabs>
        <w:numPr>
          <w:ilvl w:val="0"/>
          <w:numId w:val="83"/>
        </w:numPr>
        <w:rPr>
          <w:rFonts w:ascii="Arial" w:cs="Arial" w:eastAsia="Arial" w:hAnsi="Arial"/>
          <w:sz w:val="22"/>
          <w:szCs w:val="22"/>
          <w:color w:val="auto"/>
        </w:rPr>
      </w:pPr>
      <w:r>
        <w:rPr>
          <w:rFonts w:ascii="Arial" w:cs="Arial" w:eastAsia="Arial" w:hAnsi="Arial"/>
          <w:sz w:val="22"/>
          <w:szCs w:val="22"/>
          <w:color w:val="auto"/>
        </w:rPr>
        <w:t>otherwise determined to be a retired employee in the sole discretion of the 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75" w:lineRule="exact"/>
        <w:rPr>
          <w:sz w:val="20"/>
          <w:szCs w:val="20"/>
          <w:color w:val="auto"/>
        </w:rPr>
      </w:pPr>
    </w:p>
    <w:p>
      <w:pPr>
        <w:jc w:val="both"/>
        <w:ind w:left="960"/>
        <w:spacing w:after="0" w:line="257" w:lineRule="auto"/>
        <w:rPr>
          <w:sz w:val="20"/>
          <w:szCs w:val="20"/>
          <w:color w:val="auto"/>
        </w:rPr>
      </w:pPr>
      <w:r>
        <w:rPr>
          <w:rFonts w:ascii="Arial" w:cs="Arial" w:eastAsia="Arial" w:hAnsi="Arial"/>
          <w:sz w:val="22"/>
          <w:szCs w:val="22"/>
          <w:color w:val="auto"/>
        </w:rPr>
        <w:t>“Retirement Vesting Date” means, if the Grantee is not an Executive Officer, the date that is on or following July 31 immediately following the commencement of the Performance Period and, if the Grantee is an Executive Officer, the date that is on or following December 31 immediately following the commencement of the Performance Period.</w:t>
      </w:r>
    </w:p>
    <w:p>
      <w:pPr>
        <w:sectPr>
          <w:pgSz w:w="11900" w:h="16838" w:orient="portrait"/>
          <w:cols w:equalWidth="0" w:num="1">
            <w:col w:w="10900"/>
          </w:cols>
          <w:pgMar w:left="660" w:top="1440" w:right="339" w:bottom="1440" w:gutter="0" w:footer="0" w:header="0"/>
        </w:sectPr>
      </w:pPr>
    </w:p>
    <w:bookmarkStart w:id="138" w:name="page139"/>
    <w:bookmarkEnd w:id="138"/>
    <w:p>
      <w:pPr>
        <w:spacing w:after="0" w:line="200" w:lineRule="exact"/>
        <w:rPr>
          <w:sz w:val="20"/>
          <w:szCs w:val="20"/>
          <w:color w:val="auto"/>
        </w:rPr>
      </w:pPr>
    </w:p>
    <w:p>
      <w:pPr>
        <w:spacing w:after="0" w:line="336" w:lineRule="exact"/>
        <w:rPr>
          <w:sz w:val="20"/>
          <w:szCs w:val="20"/>
          <w:color w:val="auto"/>
        </w:rPr>
      </w:pPr>
    </w:p>
    <w:p>
      <w:pPr>
        <w:ind w:left="960"/>
        <w:spacing w:after="0" w:line="272" w:lineRule="auto"/>
        <w:rPr>
          <w:sz w:val="20"/>
          <w:szCs w:val="20"/>
          <w:color w:val="auto"/>
        </w:rPr>
      </w:pPr>
      <w:r>
        <w:rPr>
          <w:rFonts w:ascii="Arial" w:cs="Arial" w:eastAsia="Arial" w:hAnsi="Arial"/>
          <w:sz w:val="22"/>
          <w:szCs w:val="22"/>
          <w:color w:val="auto"/>
        </w:rPr>
        <w:t>“Executive Officer” means a Grantee who is designated an Executive Officer of the Company as of the Grant Date.</w:t>
      </w:r>
    </w:p>
    <w:p>
      <w:pPr>
        <w:spacing w:after="0" w:line="48" w:lineRule="exact"/>
        <w:rPr>
          <w:sz w:val="20"/>
          <w:szCs w:val="20"/>
          <w:color w:val="auto"/>
        </w:rPr>
      </w:pPr>
    </w:p>
    <w:p>
      <w:pPr>
        <w:jc w:val="both"/>
        <w:ind w:left="960" w:hanging="644"/>
        <w:spacing w:after="0" w:line="273" w:lineRule="auto"/>
        <w:tabs>
          <w:tab w:leader="none" w:pos="975"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Qualifying Termination</w:t>
      </w:r>
      <w:r>
        <w:rPr>
          <w:rFonts w:ascii="Arial" w:cs="Arial" w:eastAsia="Arial" w:hAnsi="Arial"/>
          <w:sz w:val="21"/>
          <w:szCs w:val="21"/>
          <w:color w:val="auto"/>
        </w:rPr>
        <w:t>. Except as otherwise provided in section 3(a),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48" w:lineRule="exact"/>
        <w:rPr>
          <w:rFonts w:ascii="Arial" w:cs="Arial" w:eastAsia="Arial" w:hAnsi="Arial"/>
          <w:sz w:val="21"/>
          <w:szCs w:val="21"/>
          <w:color w:val="auto"/>
        </w:rPr>
      </w:pPr>
    </w:p>
    <w:p>
      <w:pPr>
        <w:ind w:left="960" w:right="20"/>
        <w:spacing w:after="0" w:line="272" w:lineRule="auto"/>
        <w:rPr>
          <w:rFonts w:ascii="Arial" w:cs="Arial" w:eastAsia="Arial" w:hAnsi="Arial"/>
          <w:sz w:val="21"/>
          <w:szCs w:val="21"/>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47" w:lineRule="exact"/>
        <w:rPr>
          <w:rFonts w:ascii="Arial" w:cs="Arial" w:eastAsia="Arial" w:hAnsi="Arial"/>
          <w:sz w:val="21"/>
          <w:szCs w:val="21"/>
          <w:color w:val="auto"/>
        </w:rPr>
      </w:pPr>
    </w:p>
    <w:p>
      <w:pPr>
        <w:ind w:left="1640" w:hanging="352"/>
        <w:spacing w:after="0"/>
        <w:tabs>
          <w:tab w:leader="none" w:pos="1640" w:val="left"/>
        </w:tabs>
        <w:numPr>
          <w:ilvl w:val="1"/>
          <w:numId w:val="84"/>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111" w:lineRule="exact"/>
        <w:rPr>
          <w:rFonts w:ascii="Arial" w:cs="Arial" w:eastAsia="Arial" w:hAnsi="Arial"/>
          <w:sz w:val="22"/>
          <w:szCs w:val="22"/>
          <w:color w:val="auto"/>
        </w:rPr>
      </w:pPr>
    </w:p>
    <w:p>
      <w:pPr>
        <w:jc w:val="both"/>
        <w:ind w:left="1620" w:hanging="332"/>
        <w:spacing w:after="0" w:line="257" w:lineRule="auto"/>
        <w:tabs>
          <w:tab w:leader="none" w:pos="1859" w:val="left"/>
        </w:tabs>
        <w:numPr>
          <w:ilvl w:val="1"/>
          <w:numId w:val="84"/>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64" w:lineRule="exact"/>
        <w:rPr>
          <w:sz w:val="20"/>
          <w:szCs w:val="20"/>
          <w:color w:val="auto"/>
        </w:rPr>
      </w:pPr>
    </w:p>
    <w:p>
      <w:pPr>
        <w:ind w:left="960"/>
        <w:spacing w:after="0" w:line="272"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48" w:lineRule="exact"/>
        <w:rPr>
          <w:sz w:val="20"/>
          <w:szCs w:val="20"/>
          <w:color w:val="auto"/>
        </w:rPr>
      </w:pPr>
    </w:p>
    <w:p>
      <w:pPr>
        <w:ind w:left="960"/>
        <w:spacing w:after="0" w:line="310"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11" w:lineRule="exact"/>
        <w:rPr>
          <w:sz w:val="20"/>
          <w:szCs w:val="20"/>
          <w:color w:val="auto"/>
        </w:rPr>
      </w:pPr>
    </w:p>
    <w:p>
      <w:pPr>
        <w:ind w:left="960" w:hanging="644"/>
        <w:spacing w:after="0" w:line="251" w:lineRule="auto"/>
        <w:tabs>
          <w:tab w:leader="none" w:pos="81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Misconduct</w:t>
      </w:r>
      <w:r>
        <w:rPr>
          <w:rFonts w:ascii="Arial" w:cs="Arial" w:eastAsia="Arial" w:hAnsi="Arial"/>
          <w:sz w:val="22"/>
          <w:szCs w:val="22"/>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73" w:lineRule="exact"/>
        <w:rPr>
          <w:sz w:val="20"/>
          <w:szCs w:val="20"/>
          <w:color w:val="auto"/>
        </w:rPr>
      </w:pPr>
    </w:p>
    <w:p>
      <w:pPr>
        <w:jc w:val="both"/>
        <w:ind w:left="80"/>
        <w:spacing w:after="0" w:line="251" w:lineRule="auto"/>
        <w:rPr>
          <w:sz w:val="20"/>
          <w:szCs w:val="20"/>
          <w:color w:val="auto"/>
        </w:rPr>
      </w:pPr>
      <w:r>
        <w:rPr>
          <w:rFonts w:ascii="Arial" w:cs="Arial" w:eastAsia="Arial" w:hAnsi="Arial"/>
          <w:sz w:val="22"/>
          <w:szCs w:val="22"/>
          <w:color w:val="auto"/>
        </w:rPr>
        <w:t>The Committee’s determination as to whether (1)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as a result of the failure to locate a position within the Company or an Affiliate following reallocation or medical reassignment, shall be final and binding on the Grantee.</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4.</w:t>
        <w:tab/>
        <w:t>Change in Control</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20" w:lineRule="exact"/>
        <w:rPr>
          <w:sz w:val="20"/>
          <w:szCs w:val="20"/>
          <w:color w:val="auto"/>
        </w:rPr>
      </w:pPr>
    </w:p>
    <w:p>
      <w:pPr>
        <w:jc w:val="both"/>
        <w:ind w:left="960" w:hanging="644"/>
        <w:spacing w:after="0" w:line="264" w:lineRule="auto"/>
        <w:tabs>
          <w:tab w:leader="none" w:pos="942"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ectPr>
          <w:pgSz w:w="11900" w:h="16838" w:orient="portrait"/>
          <w:cols w:equalWidth="0" w:num="1">
            <w:col w:w="10900"/>
          </w:cols>
          <w:pgMar w:left="660" w:top="1440" w:right="339" w:bottom="1440" w:gutter="0" w:footer="0" w:header="0"/>
        </w:sectPr>
      </w:pPr>
    </w:p>
    <w:bookmarkStart w:id="139" w:name="page140"/>
    <w:bookmarkEnd w:id="139"/>
    <w:p>
      <w:pPr>
        <w:spacing w:after="0" w:line="200" w:lineRule="exact"/>
        <w:rPr>
          <w:sz w:val="20"/>
          <w:szCs w:val="20"/>
          <w:color w:val="auto"/>
        </w:rPr>
      </w:pPr>
    </w:p>
    <w:p>
      <w:pPr>
        <w:spacing w:after="0" w:line="336" w:lineRule="exact"/>
        <w:rPr>
          <w:sz w:val="20"/>
          <w:szCs w:val="20"/>
          <w:color w:val="auto"/>
        </w:rPr>
      </w:pPr>
    </w:p>
    <w:p>
      <w:pPr>
        <w:ind w:left="644" w:hanging="644"/>
        <w:spacing w:after="0" w:line="253" w:lineRule="auto"/>
        <w:tabs>
          <w:tab w:leader="none" w:pos="555"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 the event the Award is converted, assumed, substituted, continued or replaced by a successor or surviving corporation, or a parent or subsidiary thereof, in connection with a Transaction, any Fractional Share issued under this Award shall vest automatically and be payable in cash unless otherwise determined by the Committee, in its sole discretion.</w:t>
      </w:r>
    </w:p>
    <w:p>
      <w:pPr>
        <w:spacing w:after="0" w:line="67" w:lineRule="exact"/>
        <w:rPr>
          <w:rFonts w:ascii="Arial" w:cs="Arial" w:eastAsia="Arial" w:hAnsi="Arial"/>
          <w:sz w:val="22"/>
          <w:szCs w:val="22"/>
          <w:color w:val="auto"/>
        </w:rPr>
      </w:pPr>
    </w:p>
    <w:p>
      <w:pPr>
        <w:ind w:left="644" w:hanging="644"/>
        <w:spacing w:after="0" w:line="262" w:lineRule="auto"/>
        <w:tabs>
          <w:tab w:leader="none" w:pos="444" w:val="left"/>
        </w:tabs>
        <w:numPr>
          <w:ilvl w:val="0"/>
          <w:numId w:val="87"/>
        </w:numPr>
        <w:rPr>
          <w:rFonts w:ascii="Arial" w:cs="Arial" w:eastAsia="Arial" w:hAnsi="Arial"/>
          <w:sz w:val="21"/>
          <w:szCs w:val="21"/>
          <w:color w:val="auto"/>
        </w:rPr>
      </w:pPr>
      <w:r>
        <w:rPr>
          <w:rFonts w:ascii="Arial" w:cs="Arial" w:eastAsia="Arial" w:hAnsi="Arial"/>
          <w:sz w:val="21"/>
          <w:szCs w:val="21"/>
          <w:color w:val="auto"/>
        </w:rPr>
        <w:t>In the event of a Transaction that occurs prior to the last day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 on the last day of the Performance Period, subject to the Grantee’s continued Service through the last day of the Performance Period, except as provided below:</w:t>
      </w:r>
    </w:p>
    <w:p>
      <w:pPr>
        <w:spacing w:after="0" w:line="63" w:lineRule="exact"/>
        <w:rPr>
          <w:rFonts w:ascii="Arial" w:cs="Arial" w:eastAsia="Arial" w:hAnsi="Arial"/>
          <w:sz w:val="21"/>
          <w:szCs w:val="21"/>
          <w:color w:val="auto"/>
        </w:rPr>
      </w:pPr>
    </w:p>
    <w:p>
      <w:pPr>
        <w:jc w:val="both"/>
        <w:ind w:left="1304" w:hanging="332"/>
        <w:spacing w:after="0" w:line="257" w:lineRule="auto"/>
        <w:tabs>
          <w:tab w:leader="none" w:pos="1481" w:val="left"/>
        </w:tabs>
        <w:numPr>
          <w:ilvl w:val="1"/>
          <w:numId w:val="87"/>
        </w:numPr>
        <w:rPr>
          <w:rFonts w:ascii="Arial" w:cs="Arial" w:eastAsia="Arial" w:hAnsi="Arial"/>
          <w:sz w:val="22"/>
          <w:szCs w:val="22"/>
          <w:color w:val="auto"/>
        </w:rPr>
      </w:pPr>
      <w:r>
        <w:rPr>
          <w:rFonts w:ascii="Arial" w:cs="Arial" w:eastAsia="Arial" w:hAnsi="Arial"/>
          <w:sz w:val="22"/>
          <w:szCs w:val="22"/>
          <w:color w:val="auto"/>
        </w:rPr>
        <w:t>In the event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3" w:lineRule="exact"/>
        <w:rPr>
          <w:rFonts w:ascii="Arial" w:cs="Arial" w:eastAsia="Arial" w:hAnsi="Arial"/>
          <w:sz w:val="22"/>
          <w:szCs w:val="22"/>
          <w:color w:val="auto"/>
        </w:rPr>
      </w:pPr>
    </w:p>
    <w:p>
      <w:pPr>
        <w:jc w:val="both"/>
        <w:ind w:left="1304" w:hanging="332"/>
        <w:spacing w:after="0" w:line="253" w:lineRule="auto"/>
        <w:tabs>
          <w:tab w:leader="none" w:pos="1395" w:val="left"/>
        </w:tabs>
        <w:numPr>
          <w:ilvl w:val="1"/>
          <w:numId w:val="87"/>
        </w:numPr>
        <w:rPr>
          <w:rFonts w:ascii="Arial" w:cs="Arial" w:eastAsia="Arial" w:hAnsi="Arial"/>
          <w:sz w:val="22"/>
          <w:szCs w:val="22"/>
          <w:color w:val="auto"/>
        </w:rPr>
      </w:pPr>
      <w:r>
        <w:rPr>
          <w:rFonts w:ascii="Arial" w:cs="Arial" w:eastAsia="Arial" w:hAnsi="Arial"/>
          <w:sz w:val="22"/>
          <w:szCs w:val="22"/>
          <w:color w:val="auto"/>
        </w:rPr>
        <w:t>In the event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71" w:lineRule="exact"/>
        <w:rPr>
          <w:sz w:val="20"/>
          <w:szCs w:val="20"/>
          <w:color w:val="auto"/>
        </w:rPr>
      </w:pPr>
    </w:p>
    <w:p>
      <w:pPr>
        <w:jc w:val="both"/>
        <w:ind w:left="644"/>
        <w:spacing w:after="0" w:line="25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Grantee’s termination of Service without Cause or the Grantee’s resignation for Good Reason. “Cause” and “Good Reason” shall have the meanings ascribed to them in the Eli Lilly and Company 2007 Change in Control Severance Pay Plan for Select Employees as may be amended, restated, or superseded from time to time.</w:t>
      </w:r>
    </w:p>
    <w:p>
      <w:pPr>
        <w:spacing w:after="0" w:line="84" w:lineRule="exact"/>
        <w:rPr>
          <w:sz w:val="20"/>
          <w:szCs w:val="20"/>
          <w:color w:val="auto"/>
        </w:rPr>
      </w:pPr>
    </w:p>
    <w:p>
      <w:pPr>
        <w:ind w:left="644" w:hanging="644"/>
        <w:spacing w:after="0" w:line="253" w:lineRule="auto"/>
        <w:tabs>
          <w:tab w:leader="none" w:pos="491" w:val="left"/>
        </w:tabs>
        <w:numPr>
          <w:ilvl w:val="0"/>
          <w:numId w:val="88"/>
        </w:numPr>
        <w:rPr>
          <w:rFonts w:ascii="Arial" w:cs="Arial" w:eastAsia="Arial" w:hAnsi="Arial"/>
          <w:sz w:val="23"/>
          <w:szCs w:val="23"/>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ectPr>
          <w:pgSz w:w="11900" w:h="16838" w:orient="portrait"/>
          <w:cols w:equalWidth="0" w:num="1">
            <w:col w:w="10584"/>
          </w:cols>
          <w:pgMar w:left="976" w:top="1440"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5.</w:t>
        <w:tab/>
        <w:t>Settlement</w:t>
      </w:r>
    </w:p>
    <w:p>
      <w:pPr>
        <w:spacing w:after="0" w:line="118" w:lineRule="exact"/>
        <w:rPr>
          <w:sz w:val="20"/>
          <w:szCs w:val="20"/>
          <w:color w:val="auto"/>
        </w:rPr>
      </w:pPr>
    </w:p>
    <w:p>
      <w:pPr>
        <w:ind w:left="960" w:hanging="644"/>
        <w:spacing w:after="0" w:line="285" w:lineRule="auto"/>
        <w:tabs>
          <w:tab w:leader="none" w:pos="7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33" w:lineRule="exact"/>
        <w:rPr>
          <w:rFonts w:ascii="Arial" w:cs="Arial" w:eastAsia="Arial" w:hAnsi="Arial"/>
          <w:sz w:val="22"/>
          <w:szCs w:val="22"/>
          <w:color w:val="auto"/>
        </w:rPr>
      </w:pPr>
    </w:p>
    <w:p>
      <w:pPr>
        <w:ind w:left="960" w:hanging="644"/>
        <w:spacing w:after="0" w:line="251" w:lineRule="auto"/>
        <w:tabs>
          <w:tab w:leader="none" w:pos="771"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Notwithstanding anything in this Award Agreement to the contrary, Grantee agrees and covenants that if, at any time that the Award remains unsettled, Lilly determines that Grantee engaged in any activity that violates Section 12.b or that would have violated Section 12.b. had Grantee engaged in such activity during the Restricted Period (as such term is defined in Section 12.b), Grantee shall automatically forfeit any rights Grantee may have with respect to the Award as of the date of such determination, including any right to receive a payment under the Award.</w:t>
      </w:r>
    </w:p>
    <w:p>
      <w:pPr>
        <w:spacing w:after="0" w:line="73" w:lineRule="exact"/>
        <w:rPr>
          <w:rFonts w:ascii="Arial" w:cs="Arial" w:eastAsia="Arial" w:hAnsi="Arial"/>
          <w:sz w:val="22"/>
          <w:szCs w:val="22"/>
          <w:color w:val="auto"/>
        </w:rPr>
      </w:pPr>
    </w:p>
    <w:p>
      <w:pPr>
        <w:ind w:left="960" w:hanging="644"/>
        <w:spacing w:after="0" w:line="248" w:lineRule="auto"/>
        <w:tabs>
          <w:tab w:leader="none" w:pos="750" w:val="left"/>
        </w:tabs>
        <w:numPr>
          <w:ilvl w:val="0"/>
          <w:numId w:val="89"/>
        </w:numPr>
        <w:rPr>
          <w:rFonts w:ascii="Arial" w:cs="Arial" w:eastAsia="Arial" w:hAnsi="Arial"/>
          <w:sz w:val="22"/>
          <w:szCs w:val="22"/>
          <w:color w:val="auto"/>
        </w:rPr>
      </w:pPr>
      <w:r>
        <w:rPr>
          <w:rFonts w:ascii="Arial" w:cs="Arial" w:eastAsia="Arial" w:hAnsi="Arial"/>
          <w:sz w:val="22"/>
          <w:szCs w:val="22"/>
          <w:color w:val="auto"/>
        </w:rPr>
        <w:t>If the Award vests pursuant to Section 4(c)(i),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date of the Section 409A Separation , the Award shall instead be paid on the first day following the six (6) month anniversary of the Grantee’s Section 409A Separation (the “409A Delayed Payment Date”), (ii) the date of the Grantee’s death and (iii) the date set forth in Section 5(a) above.</w:t>
      </w:r>
    </w:p>
    <w:p>
      <w:pPr>
        <w:spacing w:after="0" w:line="76" w:lineRule="exact"/>
        <w:rPr>
          <w:rFonts w:ascii="Arial" w:cs="Arial" w:eastAsia="Arial" w:hAnsi="Arial"/>
          <w:sz w:val="22"/>
          <w:szCs w:val="22"/>
          <w:color w:val="auto"/>
        </w:rPr>
      </w:pPr>
    </w:p>
    <w:p>
      <w:pPr>
        <w:jc w:val="both"/>
        <w:ind w:left="960" w:hanging="644"/>
        <w:spacing w:after="0" w:line="259" w:lineRule="auto"/>
        <w:tabs>
          <w:tab w:leader="none" w:pos="904" w:val="left"/>
        </w:tabs>
        <w:numPr>
          <w:ilvl w:val="0"/>
          <w:numId w:val="89"/>
        </w:numPr>
        <w:rPr>
          <w:rFonts w:ascii="Arial" w:cs="Arial" w:eastAsia="Arial" w:hAnsi="Arial"/>
          <w:sz w:val="21"/>
          <w:szCs w:val="21"/>
          <w:color w:val="auto"/>
        </w:rPr>
      </w:pPr>
      <w:r>
        <w:rPr>
          <w:rFonts w:ascii="Arial" w:cs="Arial" w:eastAsia="Arial" w:hAnsi="Arial"/>
          <w:sz w:val="21"/>
          <w:szCs w:val="21"/>
          <w:color w:val="auto"/>
        </w:rPr>
        <w:t>If the Award vests pursuant to Section 4(c)(ii), the Award shall be paid to the Grantee as soon as practicable, but in no event later than sixty (60) days, following the date the Grantee is subject to a Covered Termination, provided that if the Award is NQ Deferred Compensation (and further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409A Delayed Payment Date and</w:t>
      </w:r>
    </w:p>
    <w:p>
      <w:pPr>
        <w:spacing w:after="0" w:line="4" w:lineRule="exact"/>
        <w:rPr>
          <w:rFonts w:ascii="Arial" w:cs="Arial" w:eastAsia="Arial" w:hAnsi="Arial"/>
          <w:sz w:val="21"/>
          <w:szCs w:val="21"/>
          <w:color w:val="auto"/>
        </w:rPr>
      </w:pPr>
    </w:p>
    <w:p>
      <w:pPr>
        <w:ind w:left="960"/>
        <w:spacing w:after="0"/>
        <w:rPr>
          <w:rFonts w:ascii="Arial" w:cs="Arial" w:eastAsia="Arial" w:hAnsi="Arial"/>
          <w:sz w:val="21"/>
          <w:szCs w:val="21"/>
          <w:color w:val="auto"/>
        </w:rPr>
      </w:pPr>
      <w:r>
        <w:rPr>
          <w:rFonts w:ascii="Arial" w:cs="Arial" w:eastAsia="Arial" w:hAnsi="Arial"/>
          <w:sz w:val="22"/>
          <w:szCs w:val="22"/>
          <w:color w:val="auto"/>
        </w:rPr>
        <w:t>(2) the date of the Grantee’s death.</w:t>
      </w:r>
    </w:p>
    <w:p>
      <w:pPr>
        <w:spacing w:after="0" w:line="105" w:lineRule="exact"/>
        <w:rPr>
          <w:rFonts w:ascii="Arial" w:cs="Arial" w:eastAsia="Arial" w:hAnsi="Arial"/>
          <w:sz w:val="21"/>
          <w:szCs w:val="21"/>
          <w:color w:val="auto"/>
        </w:rPr>
      </w:pPr>
    </w:p>
    <w:p>
      <w:pPr>
        <w:ind w:left="960" w:hanging="644"/>
        <w:spacing w:after="0" w:line="268" w:lineRule="auto"/>
        <w:tabs>
          <w:tab w:leader="none" w:pos="727" w:val="left"/>
        </w:tabs>
        <w:numPr>
          <w:ilvl w:val="0"/>
          <w:numId w:val="89"/>
        </w:numPr>
        <w:rPr>
          <w:rFonts w:ascii="Arial" w:cs="Arial" w:eastAsia="Arial" w:hAnsi="Arial"/>
          <w:sz w:val="21"/>
          <w:szCs w:val="21"/>
          <w:color w:val="auto"/>
        </w:rPr>
      </w:pPr>
      <w:r>
        <w:rPr>
          <w:rFonts w:ascii="Arial" w:cs="Arial" w:eastAsia="Arial" w:hAnsi="Arial"/>
          <w:sz w:val="21"/>
          <w:szCs w:val="21"/>
          <w:color w:val="auto"/>
        </w:rPr>
        <w:t>At the time of settlement, Lilly shall issue or transfer Shares to the Grantee that became vested (including, in the interest of clarity, a Fractional Share). Notwithstanding the foregoing, a Fractional Share may be paid in cash or rounded to the extent provided in any appendix attached hereto (the “Appendix”) for the Grantee’s country or to the extent otherwise determined by the Committee in its sole</w:t>
      </w:r>
    </w:p>
    <w:p>
      <w:pPr>
        <w:sectPr>
          <w:pgSz w:w="11900" w:h="16838" w:orient="portrait"/>
          <w:cols w:equalWidth="0" w:num="1">
            <w:col w:w="10900"/>
          </w:cols>
          <w:pgMar w:left="660" w:top="1440" w:right="339" w:bottom="1440" w:gutter="0" w:footer="0" w:header="0"/>
        </w:sectPr>
      </w:pPr>
    </w:p>
    <w:bookmarkStart w:id="141" w:name="page142"/>
    <w:bookmarkEnd w:id="141"/>
    <w:p>
      <w:pPr>
        <w:spacing w:after="0" w:line="200" w:lineRule="exact"/>
        <w:rPr>
          <w:sz w:val="20"/>
          <w:szCs w:val="20"/>
          <w:color w:val="auto"/>
        </w:rPr>
      </w:pPr>
    </w:p>
    <w:p>
      <w:pPr>
        <w:spacing w:after="0" w:line="336" w:lineRule="exact"/>
        <w:rPr>
          <w:sz w:val="20"/>
          <w:szCs w:val="20"/>
          <w:color w:val="auto"/>
        </w:rPr>
      </w:pPr>
    </w:p>
    <w:p>
      <w:pPr>
        <w:ind w:left="960"/>
        <w:spacing w:after="0" w:line="272" w:lineRule="auto"/>
        <w:rPr>
          <w:sz w:val="20"/>
          <w:szCs w:val="20"/>
          <w:color w:val="auto"/>
        </w:rPr>
      </w:pPr>
      <w:r>
        <w:rPr>
          <w:rFonts w:ascii="Arial" w:cs="Arial" w:eastAsia="Arial" w:hAnsi="Arial"/>
          <w:sz w:val="22"/>
          <w:szCs w:val="22"/>
          <w:color w:val="auto"/>
        </w:rPr>
        <w:t>discretion. For purposes of this Award, references to “issue” or variations of such term shall instead mean “allocate” when used in the context of Fractional Shares.</w:t>
      </w:r>
    </w:p>
    <w:p>
      <w:pPr>
        <w:spacing w:after="0" w:line="48" w:lineRule="exact"/>
        <w:rPr>
          <w:sz w:val="20"/>
          <w:szCs w:val="20"/>
          <w:color w:val="auto"/>
        </w:rPr>
      </w:pPr>
    </w:p>
    <w:p>
      <w:pPr>
        <w:ind w:left="960" w:hanging="644"/>
        <w:spacing w:after="0" w:line="272" w:lineRule="auto"/>
        <w:tabs>
          <w:tab w:leader="none" w:pos="6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6.</w:t>
        <w:tab/>
        <w:t>Rights of the Grantee</w:t>
      </w:r>
    </w:p>
    <w:p>
      <w:pPr>
        <w:spacing w:after="0" w:line="132" w:lineRule="exact"/>
        <w:rPr>
          <w:sz w:val="20"/>
          <w:szCs w:val="20"/>
          <w:color w:val="auto"/>
        </w:rPr>
      </w:pPr>
    </w:p>
    <w:p>
      <w:pPr>
        <w:jc w:val="both"/>
        <w:ind w:left="960" w:hanging="644"/>
        <w:spacing w:after="0" w:line="251" w:lineRule="auto"/>
        <w:tabs>
          <w:tab w:leader="none" w:pos="921"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Relative Value Award does not entitle the Grantee to any rights of a shareholder of Lilly until such time as the Relative Value Award is settled and Shares are issued or transferred to the Grantee. In the event a Fractional Share is issued, the Grantee shall have the rights of a shareholder to receive dividends payable with respect to a Share and, unless otherwise provided by the Committee, the right to vote, in each case, that is proportionate to the interest the Fractional Share bears to a whole Share.</w:t>
      </w:r>
    </w:p>
    <w:p>
      <w:pPr>
        <w:spacing w:after="0" w:line="73" w:lineRule="exact"/>
        <w:rPr>
          <w:rFonts w:ascii="Arial" w:cs="Arial" w:eastAsia="Arial" w:hAnsi="Arial"/>
          <w:sz w:val="22"/>
          <w:szCs w:val="22"/>
          <w:color w:val="auto"/>
        </w:rPr>
      </w:pPr>
    </w:p>
    <w:p>
      <w:pPr>
        <w:ind w:left="960" w:hanging="644"/>
        <w:spacing w:after="0" w:line="257" w:lineRule="auto"/>
        <w:tabs>
          <w:tab w:leader="none" w:pos="78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a payment pursuant to this Award Agreement shall be an unsecured claim against the general assets of the Company.</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7.</w:t>
        <w:tab/>
        <w:t>Prohibition Against Transfer</w:t>
      </w:r>
    </w:p>
    <w:p>
      <w:pPr>
        <w:spacing w:after="0" w:line="132" w:lineRule="exact"/>
        <w:rPr>
          <w:sz w:val="20"/>
          <w:szCs w:val="20"/>
          <w:color w:val="auto"/>
        </w:rPr>
      </w:pPr>
    </w:p>
    <w:p>
      <w:pPr>
        <w:ind w:left="960" w:hanging="644"/>
        <w:spacing w:after="0" w:line="251" w:lineRule="auto"/>
        <w:tabs>
          <w:tab w:leader="none" w:pos="759"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Awards</w:t>
      </w:r>
      <w:r>
        <w:rPr>
          <w:rFonts w:ascii="Arial" w:cs="Arial" w:eastAsia="Arial" w:hAnsi="Arial"/>
          <w:sz w:val="22"/>
          <w:szCs w:val="22"/>
          <w:color w:val="auto"/>
        </w:rPr>
        <w:t>. 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this Award or the rights thereunder to which he or she may be entitled hereunder prior to transfer or payment thereof to the Grantee, and any such attempted assignment, sale, pledge or transfer shall be void.</w:t>
      </w:r>
    </w:p>
    <w:p>
      <w:pPr>
        <w:spacing w:after="0" w:line="73" w:lineRule="exact"/>
        <w:rPr>
          <w:rFonts w:ascii="Arial" w:cs="Arial" w:eastAsia="Arial" w:hAnsi="Arial"/>
          <w:sz w:val="22"/>
          <w:szCs w:val="22"/>
          <w:color w:val="auto"/>
        </w:rPr>
      </w:pPr>
    </w:p>
    <w:p>
      <w:pPr>
        <w:ind w:left="960" w:hanging="644"/>
        <w:spacing w:after="0" w:line="250" w:lineRule="auto"/>
        <w:tabs>
          <w:tab w:leader="none" w:pos="8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Holding Period for Shares</w:t>
      </w:r>
      <w:r>
        <w:rPr>
          <w:rFonts w:ascii="Arial" w:cs="Arial" w:eastAsia="Arial" w:hAnsi="Arial"/>
          <w:sz w:val="22"/>
          <w:szCs w:val="22"/>
          <w:color w:val="auto"/>
        </w:rPr>
        <w:t>. Notwithstanding any other provision of this Award Agreement, any Shares issued or transferred to the Grantee upon settlement shall be subject to a mandatory holding period of twelve (12) months, if the Grantee is an Executive Officer, and six (6) months, if the Grantee is not an Executive Officer, in each case, commencing as of the last day of the Performance Period (as applicable, the “Holding Period”). During the Holding Period, the Grantee shall not sell, transfer, assign, pledge, or otherwise dispose of any such Shares, except as may be required by law or as may be approved by the Committee, as determined in its sole discretion.</w:t>
      </w:r>
    </w:p>
    <w:p>
      <w:pPr>
        <w:spacing w:after="0" w:line="72" w:lineRule="exact"/>
        <w:rPr>
          <w:rFonts w:ascii="Arial" w:cs="Arial" w:eastAsia="Arial" w:hAnsi="Arial"/>
          <w:sz w:val="22"/>
          <w:szCs w:val="22"/>
          <w:color w:val="auto"/>
        </w:rPr>
      </w:pPr>
    </w:p>
    <w:p>
      <w:pPr>
        <w:ind w:left="960" w:hanging="644"/>
        <w:spacing w:after="0" w:line="257" w:lineRule="auto"/>
        <w:tabs>
          <w:tab w:leader="none" w:pos="787"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Any Fractional Share issued to the Grantee shall remain in the Grantee’s account at the Company’s broker until the disposition of the Fractional Share and shall not become transferrable to another broker unless and until any Fractional Shares issued to the Grantee aggregate to a whole Share.</w:t>
      </w:r>
    </w:p>
    <w:p>
      <w:pPr>
        <w:sectPr>
          <w:pgSz w:w="11900" w:h="16838" w:orient="portrait"/>
          <w:cols w:equalWidth="0" w:num="1">
            <w:col w:w="10900"/>
          </w:cols>
          <w:pgMar w:left="660" w:top="1440" w:right="3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8.</w:t>
      </w:r>
      <w:r>
        <w:rPr>
          <w:sz w:val="20"/>
          <w:szCs w:val="20"/>
          <w:color w:val="auto"/>
        </w:rPr>
        <w:tab/>
      </w:r>
      <w:r>
        <w:rPr>
          <w:rFonts w:ascii="Arial" w:cs="Arial" w:eastAsia="Arial" w:hAnsi="Arial"/>
          <w:sz w:val="22"/>
          <w:szCs w:val="22"/>
          <w:color w:val="auto"/>
        </w:rPr>
        <w:t>Responsibility for Taxes</w:t>
      </w:r>
    </w:p>
    <w:p>
      <w:pPr>
        <w:spacing w:after="0" w:line="118" w:lineRule="exact"/>
        <w:rPr>
          <w:sz w:val="20"/>
          <w:szCs w:val="20"/>
          <w:color w:val="auto"/>
        </w:rPr>
      </w:pPr>
    </w:p>
    <w:p>
      <w:pPr>
        <w:jc w:val="right"/>
        <w:ind w:left="960" w:hanging="644"/>
        <w:spacing w:after="0" w:line="261" w:lineRule="auto"/>
        <w:tabs>
          <w:tab w:leader="none" w:pos="786" w:val="left"/>
        </w:tabs>
        <w:numPr>
          <w:ilvl w:val="0"/>
          <w:numId w:val="93"/>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3" w:lineRule="exact"/>
        <w:rPr>
          <w:rFonts w:ascii="Arial" w:cs="Arial" w:eastAsia="Arial" w:hAnsi="Arial"/>
          <w:sz w:val="21"/>
          <w:szCs w:val="21"/>
          <w:color w:val="auto"/>
        </w:rPr>
      </w:pPr>
    </w:p>
    <w:p>
      <w:pPr>
        <w:jc w:val="both"/>
        <w:ind w:left="960" w:firstLine="4"/>
        <w:spacing w:after="0" w:line="246" w:lineRule="auto"/>
        <w:tabs>
          <w:tab w:leader="none" w:pos="1268" w:val="left"/>
        </w:tabs>
        <w:numPr>
          <w:ilvl w:val="1"/>
          <w:numId w:val="93"/>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 Related Items in connection with any aspect of the Award, including the grant of the Relative Value Award, the vesting of the Relative Value Award, the transfer and issuance of any Shares and/or Fractional Shares, the receipt of any cash payment pursuant to the Award, the receipt of any dividends (including any dividends that are reinvested in additional Shares) and the sale or other disposition of any Shares and/or Fractional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90" w:lineRule="exact"/>
        <w:rPr>
          <w:rFonts w:ascii="Arial" w:cs="Arial" w:eastAsia="Arial" w:hAnsi="Arial"/>
          <w:sz w:val="22"/>
          <w:szCs w:val="22"/>
          <w:color w:val="auto"/>
        </w:rPr>
      </w:pPr>
    </w:p>
    <w:p>
      <w:pPr>
        <w:jc w:val="center"/>
        <w:ind w:left="960" w:hanging="644"/>
        <w:spacing w:after="0" w:line="296" w:lineRule="auto"/>
        <w:tabs>
          <w:tab w:leader="none" w:pos="762" w:val="left"/>
        </w:tabs>
        <w:numPr>
          <w:ilvl w:val="0"/>
          <w:numId w:val="93"/>
        </w:numPr>
        <w:rPr>
          <w:rFonts w:ascii="Arial" w:cs="Arial" w:eastAsia="Arial" w:hAnsi="Arial"/>
          <w:sz w:val="21"/>
          <w:szCs w:val="21"/>
          <w:color w:val="auto"/>
        </w:rPr>
      </w:pPr>
      <w:r>
        <w:rPr>
          <w:rFonts w:ascii="Arial" w:cs="Arial" w:eastAsia="Arial" w:hAnsi="Arial"/>
          <w:sz w:val="21"/>
          <w:szCs w:val="21"/>
          <w:color w:val="auto"/>
        </w:rPr>
        <w:t>In connection with the applicable taxable or tax withholding event, as applicable, the Grantee shall pay or make adequate arrangements satisfactory to Lilly and/or the Employer to satisfy all Tax Related Items.</w:t>
      </w:r>
    </w:p>
    <w:p>
      <w:pPr>
        <w:spacing w:after="0" w:line="25" w:lineRule="exact"/>
        <w:rPr>
          <w:rFonts w:ascii="Arial" w:cs="Arial" w:eastAsia="Arial" w:hAnsi="Arial"/>
          <w:sz w:val="21"/>
          <w:szCs w:val="21"/>
          <w:color w:val="auto"/>
        </w:rPr>
      </w:pPr>
    </w:p>
    <w:p>
      <w:pPr>
        <w:jc w:val="both"/>
        <w:ind w:left="1620" w:hanging="332"/>
        <w:spacing w:after="0" w:line="253" w:lineRule="auto"/>
        <w:tabs>
          <w:tab w:leader="none" w:pos="1742" w:val="left"/>
        </w:tabs>
        <w:numPr>
          <w:ilvl w:val="2"/>
          <w:numId w:val="93"/>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cash in lieu of Shares and/or Fractional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70" w:lineRule="exact"/>
        <w:rPr>
          <w:rFonts w:ascii="Arial" w:cs="Arial" w:eastAsia="Arial" w:hAnsi="Arial"/>
          <w:sz w:val="22"/>
          <w:szCs w:val="22"/>
          <w:color w:val="auto"/>
        </w:rPr>
      </w:pPr>
    </w:p>
    <w:p>
      <w:pPr>
        <w:jc w:val="both"/>
        <w:ind w:left="1620" w:hanging="332"/>
        <w:spacing w:after="0" w:line="248" w:lineRule="auto"/>
        <w:tabs>
          <w:tab w:leader="none" w:pos="1757" w:val="left"/>
        </w:tabs>
        <w:numPr>
          <w:ilvl w:val="2"/>
          <w:numId w:val="93"/>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and/or Fractional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and/or Fractional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and/or Fractional</w:t>
      </w:r>
    </w:p>
    <w:p>
      <w:pPr>
        <w:sectPr>
          <w:pgSz w:w="11900" w:h="16838" w:orient="portrait"/>
          <w:cols w:equalWidth="0" w:num="1">
            <w:col w:w="10900"/>
          </w:cols>
          <w:pgMar w:left="660" w:top="1440" w:right="339" w:bottom="1440" w:gutter="0" w:footer="0" w:header="0"/>
        </w:sectPr>
      </w:pPr>
    </w:p>
    <w:bookmarkStart w:id="143" w:name="page144"/>
    <w:bookmarkEnd w:id="143"/>
    <w:p>
      <w:pPr>
        <w:spacing w:after="0" w:line="200" w:lineRule="exact"/>
        <w:rPr>
          <w:sz w:val="20"/>
          <w:szCs w:val="20"/>
          <w:color w:val="auto"/>
        </w:rPr>
      </w:pPr>
    </w:p>
    <w:p>
      <w:pPr>
        <w:spacing w:after="0" w:line="228" w:lineRule="exact"/>
        <w:rPr>
          <w:sz w:val="20"/>
          <w:szCs w:val="20"/>
          <w:color w:val="auto"/>
        </w:rPr>
      </w:pPr>
    </w:p>
    <w:p>
      <w:pPr>
        <w:jc w:val="both"/>
        <w:ind w:left="1620"/>
        <w:spacing w:after="0" w:line="257" w:lineRule="auto"/>
        <w:rPr>
          <w:sz w:val="20"/>
          <w:szCs w:val="20"/>
          <w:color w:val="auto"/>
        </w:rPr>
      </w:pPr>
      <w:r>
        <w:rPr>
          <w:rFonts w:ascii="Arial" w:cs="Arial" w:eastAsia="Arial" w:hAnsi="Arial"/>
          <w:sz w:val="22"/>
          <w:szCs w:val="22"/>
          <w:color w:val="auto"/>
        </w:rPr>
        <w:t>Shares otherwise issuable to the Grantee pursuant to this Award, and/or (D) apply any other method of withholding determined by the Company and, to the extent required by Applicable Laws or the Plan, approved by the Committee.</w:t>
      </w:r>
    </w:p>
    <w:p>
      <w:pPr>
        <w:spacing w:after="0" w:line="65" w:lineRule="exact"/>
        <w:rPr>
          <w:sz w:val="20"/>
          <w:szCs w:val="20"/>
          <w:color w:val="auto"/>
        </w:rPr>
      </w:pPr>
    </w:p>
    <w:p>
      <w:pPr>
        <w:jc w:val="both"/>
        <w:ind w:left="1620" w:hanging="332"/>
        <w:spacing w:after="0" w:line="250" w:lineRule="auto"/>
        <w:tabs>
          <w:tab w:leader="none" w:pos="1794" w:val="left"/>
        </w:tabs>
        <w:numPr>
          <w:ilvl w:val="1"/>
          <w:numId w:val="94"/>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and/or Fractional Shares and the Grantee is subject to the short-swing profit rules of Section 16(b) of the Exchange Act, Lilly will withhold in Shares and Fractional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85" w:lineRule="exact"/>
        <w:rPr>
          <w:rFonts w:ascii="Arial" w:cs="Arial" w:eastAsia="Arial" w:hAnsi="Arial"/>
          <w:sz w:val="22"/>
          <w:szCs w:val="22"/>
          <w:color w:val="auto"/>
        </w:rPr>
      </w:pPr>
    </w:p>
    <w:p>
      <w:pPr>
        <w:ind w:left="960" w:hanging="644"/>
        <w:spacing w:after="0" w:line="262" w:lineRule="auto"/>
        <w:tabs>
          <w:tab w:leader="none" w:pos="751" w:val="left"/>
        </w:tabs>
        <w:numPr>
          <w:ilvl w:val="0"/>
          <w:numId w:val="95"/>
        </w:numPr>
        <w:rPr>
          <w:rFonts w:ascii="Arial" w:cs="Arial" w:eastAsia="Arial" w:hAnsi="Arial"/>
          <w:sz w:val="21"/>
          <w:szCs w:val="21"/>
          <w:color w:val="auto"/>
        </w:rPr>
      </w:pPr>
      <w:r>
        <w:rPr>
          <w:rFonts w:ascii="Arial" w:cs="Arial" w:eastAsia="Arial" w:hAnsi="Arial"/>
          <w:sz w:val="21"/>
          <w:szCs w:val="21"/>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and/or Fractional Shares to which he or she is entitled pursuant to this Award, notwithstanding that a number of Shares and/or Fractional Shares are withheld to satisfy the obligation for Tax Related Items.</w:t>
      </w:r>
    </w:p>
    <w:p>
      <w:pPr>
        <w:spacing w:after="0" w:line="64" w:lineRule="exact"/>
        <w:rPr>
          <w:rFonts w:ascii="Arial" w:cs="Arial" w:eastAsia="Arial" w:hAnsi="Arial"/>
          <w:sz w:val="21"/>
          <w:szCs w:val="21"/>
          <w:color w:val="auto"/>
        </w:rPr>
      </w:pPr>
    </w:p>
    <w:p>
      <w:pPr>
        <w:ind w:left="960" w:hanging="644"/>
        <w:spacing w:after="0" w:line="257" w:lineRule="auto"/>
        <w:tabs>
          <w:tab w:leader="none" w:pos="830" w:val="left"/>
        </w:tabs>
        <w:numPr>
          <w:ilvl w:val="0"/>
          <w:numId w:val="95"/>
        </w:numPr>
        <w:rPr>
          <w:rFonts w:ascii="Arial" w:cs="Arial" w:eastAsia="Arial" w:hAnsi="Arial"/>
          <w:sz w:val="22"/>
          <w:szCs w:val="22"/>
          <w:color w:val="auto"/>
        </w:rPr>
      </w:pPr>
      <w:r>
        <w:rPr>
          <w:rFonts w:ascii="Arial" w:cs="Arial" w:eastAsia="Arial" w:hAnsi="Arial"/>
          <w:sz w:val="22"/>
          <w:szCs w:val="22"/>
          <w:color w:val="auto"/>
        </w:rPr>
        <w:t>Lilly may refuse to deliver Shares and/or Fractional Shares or any cash payment to the Grantee if the Grantee fails to comply with the Grantee’s obligation in connection with the Tax Related Items as described in this Section 8.</w:t>
      </w:r>
    </w:p>
    <w:p>
      <w:pPr>
        <w:spacing w:after="0" w:line="78" w:lineRule="exact"/>
        <w:rPr>
          <w:rFonts w:ascii="Arial" w:cs="Arial" w:eastAsia="Arial" w:hAnsi="Arial"/>
          <w:sz w:val="22"/>
          <w:szCs w:val="22"/>
          <w:color w:val="auto"/>
        </w:rPr>
      </w:pPr>
    </w:p>
    <w:p>
      <w:pPr>
        <w:ind w:left="960" w:right="20" w:hanging="644"/>
        <w:spacing w:after="0" w:line="272" w:lineRule="auto"/>
        <w:tabs>
          <w:tab w:leader="none" w:pos="862" w:val="left"/>
        </w:tabs>
        <w:numPr>
          <w:ilvl w:val="0"/>
          <w:numId w:val="95"/>
        </w:numPr>
        <w:rPr>
          <w:rFonts w:ascii="Arial" w:cs="Arial" w:eastAsia="Arial" w:hAnsi="Arial"/>
          <w:sz w:val="22"/>
          <w:szCs w:val="22"/>
          <w:color w:val="auto"/>
        </w:rPr>
      </w:pPr>
      <w:r>
        <w:rPr>
          <w:rFonts w:ascii="Arial" w:cs="Arial" w:eastAsia="Arial" w:hAnsi="Arial"/>
          <w:sz w:val="22"/>
          <w:szCs w:val="22"/>
          <w:color w:val="auto"/>
        </w:rPr>
        <w:t>For purposes of this Section 8, references to the withholding or sale of a Share shall also mean the withholding or sale of any portion that is less than a whole Share, to the extent applicable.</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9.</w:t>
        <w:tab/>
        <w:t>Section 409A Compliance</w:t>
      </w:r>
    </w:p>
    <w:p>
      <w:pPr>
        <w:spacing w:after="0" w:line="78" w:lineRule="exact"/>
        <w:rPr>
          <w:sz w:val="20"/>
          <w:szCs w:val="20"/>
          <w:color w:val="auto"/>
        </w:rPr>
      </w:pPr>
    </w:p>
    <w:p>
      <w:pPr>
        <w:jc w:val="both"/>
        <w:ind w:left="80"/>
        <w:spacing w:after="0" w:line="253"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color w:val="auto"/>
        </w:rPr>
        <w:t>Section 10.</w:t>
        <w:tab/>
        <w:t>Grantee’s Acknowledgment</w:t>
      </w:r>
    </w:p>
    <w:p>
      <w:pPr>
        <w:spacing w:after="0" w:line="78"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ectPr>
          <w:pgSz w:w="11900" w:h="16838" w:orient="portrait"/>
          <w:cols w:equalWidth="0" w:num="1">
            <w:col w:w="10900"/>
          </w:cols>
          <w:pgMar w:left="660" w:top="1440" w:right="339" w:bottom="1440" w:gutter="0" w:footer="0" w:header="0"/>
        </w:sectPr>
      </w:pPr>
    </w:p>
    <w:bookmarkStart w:id="144" w:name="page145"/>
    <w:bookmarkEnd w:id="144"/>
    <w:p>
      <w:pPr>
        <w:spacing w:after="0" w:line="200" w:lineRule="exact"/>
        <w:rPr>
          <w:sz w:val="20"/>
          <w:szCs w:val="20"/>
          <w:color w:val="auto"/>
        </w:rPr>
      </w:pPr>
    </w:p>
    <w:p>
      <w:pPr>
        <w:spacing w:after="0" w:line="336" w:lineRule="exact"/>
        <w:rPr>
          <w:sz w:val="20"/>
          <w:szCs w:val="20"/>
          <w:color w:val="auto"/>
        </w:rPr>
      </w:pPr>
    </w:p>
    <w:p>
      <w:pPr>
        <w:ind w:left="644" w:right="20" w:hanging="644"/>
        <w:spacing w:after="0" w:line="272" w:lineRule="auto"/>
        <w:tabs>
          <w:tab w:leader="none" w:pos="475"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47" w:lineRule="exact"/>
        <w:rPr>
          <w:rFonts w:ascii="Arial" w:cs="Arial" w:eastAsia="Arial" w:hAnsi="Arial"/>
          <w:sz w:val="22"/>
          <w:szCs w:val="22"/>
          <w:color w:val="auto"/>
        </w:rPr>
      </w:pPr>
    </w:p>
    <w:p>
      <w:pPr>
        <w:ind w:left="644" w:hanging="644"/>
        <w:spacing w:after="0" w:line="257" w:lineRule="auto"/>
        <w:tabs>
          <w:tab w:leader="none" w:pos="4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78" w:lineRule="exact"/>
        <w:rPr>
          <w:rFonts w:ascii="Arial" w:cs="Arial" w:eastAsia="Arial" w:hAnsi="Arial"/>
          <w:sz w:val="22"/>
          <w:szCs w:val="22"/>
          <w:color w:val="auto"/>
        </w:rPr>
      </w:pPr>
    </w:p>
    <w:p>
      <w:pPr>
        <w:ind w:left="644" w:hanging="644"/>
        <w:spacing w:after="0" w:line="272" w:lineRule="auto"/>
        <w:tabs>
          <w:tab w:leader="none" w:pos="445" w:val="left"/>
        </w:tabs>
        <w:numPr>
          <w:ilvl w:val="0"/>
          <w:numId w:val="96"/>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7" w:lineRule="exact"/>
        <w:rPr>
          <w:rFonts w:ascii="Arial" w:cs="Arial" w:eastAsia="Arial" w:hAnsi="Arial"/>
          <w:sz w:val="22"/>
          <w:szCs w:val="22"/>
          <w:color w:val="auto"/>
        </w:rPr>
      </w:pPr>
    </w:p>
    <w:p>
      <w:pPr>
        <w:ind w:left="424" w:hanging="424"/>
        <w:spacing w:after="0"/>
        <w:tabs>
          <w:tab w:leader="none" w:pos="424"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111" w:lineRule="exact"/>
        <w:rPr>
          <w:rFonts w:ascii="Arial" w:cs="Arial" w:eastAsia="Arial" w:hAnsi="Arial"/>
          <w:sz w:val="22"/>
          <w:szCs w:val="22"/>
          <w:color w:val="auto"/>
        </w:rPr>
      </w:pPr>
    </w:p>
    <w:p>
      <w:pPr>
        <w:ind w:left="424" w:hanging="424"/>
        <w:spacing w:after="0"/>
        <w:tabs>
          <w:tab w:leader="none" w:pos="424"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Award is not intended to replace any pension rights or compensation;</w:t>
      </w:r>
    </w:p>
    <w:p>
      <w:pPr>
        <w:spacing w:after="0" w:line="111" w:lineRule="exact"/>
        <w:rPr>
          <w:rFonts w:ascii="Arial" w:cs="Arial" w:eastAsia="Arial" w:hAnsi="Arial"/>
          <w:sz w:val="22"/>
          <w:szCs w:val="22"/>
          <w:color w:val="auto"/>
        </w:rPr>
      </w:pPr>
    </w:p>
    <w:p>
      <w:pPr>
        <w:ind w:left="644" w:hanging="644"/>
        <w:spacing w:after="0" w:line="257" w:lineRule="auto"/>
        <w:tabs>
          <w:tab w:leader="none" w:pos="441"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3" w:lineRule="exact"/>
        <w:rPr>
          <w:rFonts w:ascii="Arial" w:cs="Arial" w:eastAsia="Arial" w:hAnsi="Arial"/>
          <w:sz w:val="22"/>
          <w:szCs w:val="22"/>
          <w:color w:val="auto"/>
        </w:rPr>
      </w:pPr>
    </w:p>
    <w:p>
      <w:pPr>
        <w:ind w:left="644" w:hanging="644"/>
        <w:spacing w:after="0" w:line="272" w:lineRule="auto"/>
        <w:tabs>
          <w:tab w:leader="none" w:pos="426" w:val="left"/>
        </w:tabs>
        <w:numPr>
          <w:ilvl w:val="0"/>
          <w:numId w:val="96"/>
        </w:numPr>
        <w:rPr>
          <w:rFonts w:ascii="Arial" w:cs="Arial" w:eastAsia="Arial" w:hAnsi="Arial"/>
          <w:sz w:val="22"/>
          <w:szCs w:val="22"/>
          <w:color w:val="auto"/>
        </w:rPr>
      </w:pPr>
      <w:r>
        <w:rPr>
          <w:rFonts w:ascii="Arial" w:cs="Arial" w:eastAsia="Arial" w:hAnsi="Arial"/>
          <w:sz w:val="22"/>
          <w:szCs w:val="22"/>
          <w:color w:val="auto"/>
        </w:rPr>
        <w:t>unless otherwise agreed with Lilly, the Award is not granted as consideration for, or in connection with, the service the Grantee may provide as a director of an Affiliate;</w:t>
      </w:r>
    </w:p>
    <w:p>
      <w:pPr>
        <w:spacing w:after="0" w:line="47" w:lineRule="exact"/>
        <w:rPr>
          <w:rFonts w:ascii="Arial" w:cs="Arial" w:eastAsia="Arial" w:hAnsi="Arial"/>
          <w:sz w:val="22"/>
          <w:szCs w:val="22"/>
          <w:color w:val="auto"/>
        </w:rPr>
      </w:pPr>
    </w:p>
    <w:p>
      <w:pPr>
        <w:ind w:left="644" w:hanging="644"/>
        <w:spacing w:after="0" w:line="273" w:lineRule="auto"/>
        <w:tabs>
          <w:tab w:leader="none" w:pos="426" w:val="left"/>
        </w:tabs>
        <w:numPr>
          <w:ilvl w:val="0"/>
          <w:numId w:val="96"/>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48" w:lineRule="exact"/>
        <w:rPr>
          <w:rFonts w:ascii="Arial" w:cs="Arial" w:eastAsia="Arial" w:hAnsi="Arial"/>
          <w:sz w:val="21"/>
          <w:szCs w:val="21"/>
          <w:color w:val="auto"/>
        </w:rPr>
      </w:pPr>
    </w:p>
    <w:p>
      <w:pPr>
        <w:ind w:left="644" w:right="20" w:hanging="644"/>
        <w:spacing w:after="0" w:line="272" w:lineRule="auto"/>
        <w:tabs>
          <w:tab w:leader="none" w:pos="3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future value of the underlying Shares and other amounts that may be acquired pursuant to this Award is unknown, indeterminable and cannot be predicted with certainty;</w:t>
      </w:r>
    </w:p>
    <w:p>
      <w:pPr>
        <w:spacing w:after="0" w:line="61" w:lineRule="exact"/>
        <w:rPr>
          <w:rFonts w:ascii="Arial" w:cs="Arial" w:eastAsia="Arial" w:hAnsi="Arial"/>
          <w:sz w:val="22"/>
          <w:szCs w:val="22"/>
          <w:color w:val="auto"/>
        </w:rPr>
      </w:pPr>
    </w:p>
    <w:p>
      <w:pPr>
        <w:ind w:left="644" w:hanging="644"/>
        <w:spacing w:after="0" w:line="262" w:lineRule="auto"/>
        <w:tabs>
          <w:tab w:leader="none" w:pos="355" w:val="left"/>
        </w:tabs>
        <w:numPr>
          <w:ilvl w:val="0"/>
          <w:numId w:val="96"/>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Award or recoupment of any Shares and other amounts that may be acquired pursuant to this Award acquired under the Plan or proceeds therefrom resulting from (i) the application of a clawback policy described in Section 16 of this Award Agreement or required by law, (ii) the application of Section 5(b) of this Award Agreement, (iii) the application of any of the remedies described in Section 12 of this Award Agreement, or (iv)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4" w:lineRule="exact"/>
        <w:rPr>
          <w:rFonts w:ascii="Arial" w:cs="Arial" w:eastAsia="Arial" w:hAnsi="Arial"/>
          <w:sz w:val="21"/>
          <w:szCs w:val="21"/>
          <w:color w:val="auto"/>
        </w:rPr>
      </w:pPr>
    </w:p>
    <w:p>
      <w:pPr>
        <w:ind w:left="644" w:hanging="644"/>
        <w:spacing w:after="0" w:line="253" w:lineRule="auto"/>
        <w:tabs>
          <w:tab w:leader="none" w:pos="455" w:val="left"/>
        </w:tabs>
        <w:numPr>
          <w:ilvl w:val="0"/>
          <w:numId w:val="96"/>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w:t>
      </w:r>
    </w:p>
    <w:p>
      <w:pPr>
        <w:sectPr>
          <w:pgSz w:w="11900" w:h="16838" w:orient="portrait"/>
          <w:cols w:equalWidth="0" w:num="1">
            <w:col w:w="10584"/>
          </w:cols>
          <w:pgMar w:left="976" w:top="1440" w:right="339" w:bottom="1440" w:gutter="0" w:footer="0" w:header="0"/>
        </w:sectPr>
      </w:pPr>
    </w:p>
    <w:bookmarkStart w:id="145" w:name="page146"/>
    <w:bookmarkEnd w:id="145"/>
    <w:p>
      <w:pPr>
        <w:spacing w:after="0" w:line="200" w:lineRule="exact"/>
        <w:rPr>
          <w:sz w:val="20"/>
          <w:szCs w:val="20"/>
          <w:color w:val="auto"/>
        </w:rPr>
      </w:pPr>
    </w:p>
    <w:p>
      <w:pPr>
        <w:spacing w:after="0" w:line="336" w:lineRule="exact"/>
        <w:rPr>
          <w:sz w:val="20"/>
          <w:szCs w:val="20"/>
          <w:color w:val="auto"/>
        </w:rPr>
      </w:pPr>
    </w:p>
    <w:p>
      <w:pPr>
        <w:jc w:val="both"/>
        <w:ind w:left="960"/>
        <w:spacing w:after="0" w:line="248" w:lineRule="auto"/>
        <w:rPr>
          <w:sz w:val="20"/>
          <w:szCs w:val="20"/>
          <w:color w:val="auto"/>
        </w:rPr>
      </w:pPr>
      <w:r>
        <w:rPr>
          <w:rFonts w:ascii="Arial" w:cs="Arial" w:eastAsia="Arial" w:hAnsi="Arial"/>
          <w:sz w:val="22"/>
          <w:szCs w:val="22"/>
          <w:color w:val="auto"/>
        </w:rPr>
        <w:t>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7" w:lineRule="exact"/>
        <w:rPr>
          <w:sz w:val="20"/>
          <w:szCs w:val="20"/>
          <w:color w:val="auto"/>
        </w:rPr>
      </w:pPr>
    </w:p>
    <w:p>
      <w:pPr>
        <w:ind w:left="960" w:hanging="644"/>
        <w:spacing w:after="0" w:line="253" w:lineRule="auto"/>
        <w:tabs>
          <w:tab w:leader="none" w:pos="750" w:val="left"/>
        </w:tabs>
        <w:numPr>
          <w:ilvl w:val="0"/>
          <w:numId w:val="9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 other amounts that may be acquired pursuant to this Award;</w:t>
      </w:r>
    </w:p>
    <w:p>
      <w:pPr>
        <w:spacing w:after="0" w:line="70" w:lineRule="exact"/>
        <w:rPr>
          <w:rFonts w:ascii="Arial" w:cs="Arial" w:eastAsia="Arial" w:hAnsi="Arial"/>
          <w:sz w:val="22"/>
          <w:szCs w:val="22"/>
          <w:color w:val="auto"/>
        </w:rPr>
      </w:pPr>
    </w:p>
    <w:p>
      <w:pPr>
        <w:ind w:left="960" w:hanging="644"/>
        <w:spacing w:after="0" w:line="264" w:lineRule="auto"/>
        <w:tabs>
          <w:tab w:leader="none" w:pos="825"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w:t>
      </w:r>
    </w:p>
    <w:p>
      <w:pPr>
        <w:spacing w:after="0" w:line="56" w:lineRule="exact"/>
        <w:rPr>
          <w:rFonts w:ascii="Arial" w:cs="Arial" w:eastAsia="Arial" w:hAnsi="Arial"/>
          <w:sz w:val="22"/>
          <w:szCs w:val="22"/>
          <w:color w:val="auto"/>
        </w:rPr>
      </w:pPr>
    </w:p>
    <w:p>
      <w:pPr>
        <w:ind w:left="960" w:hanging="644"/>
        <w:spacing w:after="0" w:line="272" w:lineRule="auto"/>
        <w:tabs>
          <w:tab w:leader="none" w:pos="755"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47" w:lineRule="exact"/>
        <w:rPr>
          <w:rFonts w:ascii="Arial" w:cs="Arial" w:eastAsia="Arial" w:hAnsi="Arial"/>
          <w:sz w:val="22"/>
          <w:szCs w:val="22"/>
          <w:color w:val="auto"/>
        </w:rPr>
      </w:pPr>
    </w:p>
    <w:p>
      <w:pPr>
        <w:jc w:val="both"/>
        <w:ind w:left="960" w:hanging="644"/>
        <w:spacing w:after="0" w:line="253" w:lineRule="auto"/>
        <w:tabs>
          <w:tab w:leader="none" w:pos="9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and other amounts that may be acquired pursuant to this Award acquired upon settlement.</w:t>
      </w:r>
    </w:p>
    <w:p>
      <w:pPr>
        <w:spacing w:after="0" w:line="174" w:lineRule="exact"/>
        <w:rPr>
          <w:sz w:val="20"/>
          <w:szCs w:val="20"/>
          <w:color w:val="auto"/>
        </w:rPr>
      </w:pPr>
    </w:p>
    <w:p>
      <w:pPr>
        <w:spacing w:after="0"/>
        <w:tabs>
          <w:tab w:leader="none" w:pos="1380" w:val="left"/>
        </w:tabs>
        <w:rPr>
          <w:sz w:val="20"/>
          <w:szCs w:val="20"/>
          <w:color w:val="auto"/>
        </w:rPr>
      </w:pPr>
      <w:r>
        <w:rPr>
          <w:rFonts w:ascii="Arial" w:cs="Arial" w:eastAsia="Arial" w:hAnsi="Arial"/>
          <w:sz w:val="23"/>
          <w:szCs w:val="23"/>
          <w:color w:val="auto"/>
        </w:rPr>
        <w:t>Section 11.</w:t>
        <w:tab/>
        <w:t>Data Privacy</w:t>
      </w:r>
    </w:p>
    <w:p>
      <w:pPr>
        <w:spacing w:after="0" w:line="132" w:lineRule="exact"/>
        <w:rPr>
          <w:sz w:val="20"/>
          <w:szCs w:val="20"/>
          <w:color w:val="auto"/>
        </w:rPr>
      </w:pPr>
    </w:p>
    <w:p>
      <w:pPr>
        <w:jc w:val="both"/>
        <w:ind w:left="960" w:hanging="644"/>
        <w:spacing w:after="0" w:line="249" w:lineRule="auto"/>
        <w:tabs>
          <w:tab w:leader="none" w:pos="908" w:val="left"/>
        </w:tabs>
        <w:numPr>
          <w:ilvl w:val="0"/>
          <w:numId w:val="9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w:t>
      </w:r>
    </w:p>
    <w:p>
      <w:pPr>
        <w:sectPr>
          <w:pgSz w:w="11900" w:h="16838" w:orient="portrait"/>
          <w:cols w:equalWidth="0" w:num="1">
            <w:col w:w="10900"/>
          </w:cols>
          <w:pgMar w:left="660" w:top="1440" w:right="339" w:bottom="1440" w:gutter="0" w:footer="0" w:header="0"/>
        </w:sectPr>
      </w:pPr>
    </w:p>
    <w:bookmarkStart w:id="146" w:name="page147"/>
    <w:bookmarkEnd w:id="146"/>
    <w:p>
      <w:pPr>
        <w:spacing w:after="0" w:line="200" w:lineRule="exact"/>
        <w:rPr>
          <w:sz w:val="20"/>
          <w:szCs w:val="20"/>
          <w:color w:val="auto"/>
        </w:rPr>
      </w:pPr>
    </w:p>
    <w:p>
      <w:pPr>
        <w:spacing w:after="0" w:line="336" w:lineRule="exact"/>
        <w:rPr>
          <w:sz w:val="20"/>
          <w:szCs w:val="20"/>
          <w:color w:val="auto"/>
        </w:rPr>
      </w:pPr>
    </w:p>
    <w:p>
      <w:pPr>
        <w:ind w:left="644" w:right="20"/>
        <w:spacing w:after="0" w:line="272" w:lineRule="auto"/>
        <w:rPr>
          <w:sz w:val="20"/>
          <w:szCs w:val="20"/>
          <w:color w:val="auto"/>
        </w:rPr>
      </w:pPr>
      <w:r>
        <w:rPr>
          <w:rFonts w:ascii="Arial" w:cs="Arial" w:eastAsia="Arial" w:hAnsi="Arial"/>
          <w:sz w:val="22"/>
          <w:szCs w:val="22"/>
          <w:i w:val="1"/>
          <w:iCs w:val="1"/>
          <w:color w:val="auto"/>
        </w:rPr>
        <w:t>listed or traded or regulatory filings are made and the legal basis, where required, for such disclosure are the applicable laws.</w:t>
      </w:r>
    </w:p>
    <w:p>
      <w:pPr>
        <w:spacing w:after="0" w:line="48" w:lineRule="exact"/>
        <w:rPr>
          <w:sz w:val="20"/>
          <w:szCs w:val="20"/>
          <w:color w:val="auto"/>
        </w:rPr>
      </w:pPr>
    </w:p>
    <w:p>
      <w:pPr>
        <w:ind w:left="644" w:hanging="644"/>
        <w:spacing w:after="0" w:line="262" w:lineRule="auto"/>
        <w:tabs>
          <w:tab w:leader="none" w:pos="430" w:val="left"/>
        </w:tabs>
        <w:numPr>
          <w:ilvl w:val="0"/>
          <w:numId w:val="99"/>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Stock Plan Administration Service Providers</w:t>
      </w:r>
      <w:r>
        <w:rPr>
          <w:rFonts w:ascii="Arial" w:cs="Arial" w:eastAsia="Arial" w:hAnsi="Arial"/>
          <w:sz w:val="21"/>
          <w:szCs w:val="21"/>
          <w:i w:val="1"/>
          <w:iCs w:val="1"/>
          <w:color w:val="auto"/>
        </w:rPr>
        <w:t>. The Company transfers Data to Morgan Stanley’s E*TRADE Financial Corporate Services, Inc. and/or its affiliated companies (“E*TRADE”),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3" w:lineRule="exact"/>
        <w:rPr>
          <w:rFonts w:ascii="Arial" w:cs="Arial" w:eastAsia="Arial" w:hAnsi="Arial"/>
          <w:sz w:val="21"/>
          <w:szCs w:val="21"/>
          <w:i w:val="1"/>
          <w:iCs w:val="1"/>
          <w:color w:val="auto"/>
        </w:rPr>
      </w:pPr>
    </w:p>
    <w:p>
      <w:pPr>
        <w:ind w:left="644" w:hanging="644"/>
        <w:spacing w:after="0" w:line="275" w:lineRule="auto"/>
        <w:tabs>
          <w:tab w:leader="none" w:pos="431" w:val="left"/>
        </w:tabs>
        <w:numPr>
          <w:ilvl w:val="0"/>
          <w:numId w:val="99"/>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7" w:lineRule="exact"/>
        <w:rPr>
          <w:rFonts w:ascii="Arial" w:cs="Arial" w:eastAsia="Arial" w:hAnsi="Arial"/>
          <w:sz w:val="21"/>
          <w:szCs w:val="21"/>
          <w:i w:val="1"/>
          <w:iCs w:val="1"/>
          <w:color w:val="auto"/>
        </w:rPr>
      </w:pPr>
    </w:p>
    <w:p>
      <w:pPr>
        <w:ind w:left="644" w:hanging="644"/>
        <w:spacing w:after="0" w:line="264" w:lineRule="auto"/>
        <w:tabs>
          <w:tab w:leader="none" w:pos="524" w:val="left"/>
        </w:tabs>
        <w:numPr>
          <w:ilvl w:val="0"/>
          <w:numId w:val="9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6" w:lineRule="exact"/>
        <w:rPr>
          <w:rFonts w:ascii="Arial" w:cs="Arial" w:eastAsia="Arial" w:hAnsi="Arial"/>
          <w:sz w:val="22"/>
          <w:szCs w:val="22"/>
          <w:i w:val="1"/>
          <w:iCs w:val="1"/>
          <w:color w:val="auto"/>
        </w:rPr>
      </w:pPr>
    </w:p>
    <w:p>
      <w:pPr>
        <w:ind w:left="644" w:hanging="644"/>
        <w:spacing w:after="0" w:line="251" w:lineRule="auto"/>
        <w:tabs>
          <w:tab w:leader="none" w:pos="470" w:val="left"/>
        </w:tabs>
        <w:numPr>
          <w:ilvl w:val="0"/>
          <w:numId w:val="9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73" w:lineRule="exact"/>
        <w:rPr>
          <w:rFonts w:ascii="Arial" w:cs="Arial" w:eastAsia="Arial" w:hAnsi="Arial"/>
          <w:sz w:val="22"/>
          <w:szCs w:val="22"/>
          <w:i w:val="1"/>
          <w:iCs w:val="1"/>
          <w:color w:val="auto"/>
        </w:rPr>
      </w:pPr>
    </w:p>
    <w:p>
      <w:pPr>
        <w:ind w:left="644" w:hanging="644"/>
        <w:spacing w:after="0" w:line="249" w:lineRule="auto"/>
        <w:tabs>
          <w:tab w:leader="none" w:pos="424" w:val="left"/>
        </w:tabs>
        <w:numPr>
          <w:ilvl w:val="0"/>
          <w:numId w:val="9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w:t>
      </w:r>
    </w:p>
    <w:p>
      <w:pPr>
        <w:sectPr>
          <w:pgSz w:w="11900" w:h="16838" w:orient="portrait"/>
          <w:cols w:equalWidth="0" w:num="1">
            <w:col w:w="10584"/>
          </w:cols>
          <w:pgMar w:left="976" w:top="1440" w:right="339" w:bottom="1440" w:gutter="0" w:footer="0" w:header="0"/>
        </w:sectPr>
      </w:pPr>
    </w:p>
    <w:bookmarkStart w:id="147" w:name="page148"/>
    <w:bookmarkEnd w:id="147"/>
    <w:p>
      <w:pPr>
        <w:spacing w:after="0" w:line="200" w:lineRule="exact"/>
        <w:rPr>
          <w:sz w:val="20"/>
          <w:szCs w:val="20"/>
          <w:color w:val="auto"/>
        </w:rPr>
      </w:pPr>
    </w:p>
    <w:p>
      <w:pPr>
        <w:spacing w:after="0" w:line="336" w:lineRule="exact"/>
        <w:rPr>
          <w:sz w:val="20"/>
          <w:szCs w:val="20"/>
          <w:color w:val="auto"/>
        </w:rPr>
      </w:pPr>
    </w:p>
    <w:p>
      <w:pPr>
        <w:jc w:val="both"/>
        <w:ind w:left="1292"/>
        <w:spacing w:after="0" w:line="250" w:lineRule="auto"/>
        <w:rPr>
          <w:sz w:val="20"/>
          <w:szCs w:val="20"/>
          <w:color w:val="auto"/>
        </w:rPr>
      </w:pPr>
      <w:r>
        <w:rPr>
          <w:rFonts w:ascii="Arial" w:cs="Arial" w:eastAsia="Arial" w:hAnsi="Arial"/>
          <w:sz w:val="22"/>
          <w:szCs w:val="22"/>
          <w:i w:val="1"/>
          <w:iCs w:val="1"/>
          <w:color w:val="auto"/>
        </w:rPr>
        <w:t>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72" w:lineRule="exact"/>
        <w:rPr>
          <w:sz w:val="20"/>
          <w:szCs w:val="20"/>
          <w:color w:val="auto"/>
        </w:rPr>
      </w:pPr>
    </w:p>
    <w:p>
      <w:pPr>
        <w:jc w:val="both"/>
        <w:ind w:left="1292" w:hanging="644"/>
        <w:spacing w:after="0" w:line="251" w:lineRule="auto"/>
        <w:tabs>
          <w:tab w:leader="none" w:pos="1267" w:val="left"/>
        </w:tabs>
        <w:numPr>
          <w:ilvl w:val="0"/>
          <w:numId w:val="10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6" w:lineRule="exact"/>
        <w:rPr>
          <w:sz w:val="20"/>
          <w:szCs w:val="20"/>
          <w:color w:val="auto"/>
        </w:rPr>
      </w:pPr>
    </w:p>
    <w:p>
      <w:pPr>
        <w:ind w:left="332"/>
        <w:spacing w:after="0"/>
        <w:tabs>
          <w:tab w:leader="none" w:pos="1732" w:val="left"/>
        </w:tabs>
        <w:rPr>
          <w:sz w:val="20"/>
          <w:szCs w:val="20"/>
          <w:color w:val="auto"/>
        </w:rPr>
      </w:pPr>
      <w:r>
        <w:rPr>
          <w:rFonts w:ascii="Arial" w:cs="Arial" w:eastAsia="Arial" w:hAnsi="Arial"/>
          <w:sz w:val="23"/>
          <w:szCs w:val="23"/>
          <w:color w:val="auto"/>
        </w:rPr>
        <w:t>Section 12.</w:t>
        <w:tab/>
        <w:t>Restrictive Covenants and Remedies</w:t>
      </w:r>
    </w:p>
    <w:p>
      <w:pPr>
        <w:spacing w:after="0" w:line="71" w:lineRule="exact"/>
        <w:rPr>
          <w:sz w:val="20"/>
          <w:szCs w:val="20"/>
          <w:color w:val="auto"/>
        </w:rPr>
      </w:pPr>
    </w:p>
    <w:p>
      <w:pPr>
        <w:jc w:val="both"/>
        <w:ind w:left="412"/>
        <w:spacing w:after="0"/>
        <w:rPr>
          <w:sz w:val="20"/>
          <w:szCs w:val="20"/>
          <w:color w:val="auto"/>
        </w:rPr>
      </w:pPr>
      <w:r>
        <w:rPr>
          <w:rFonts w:ascii="Arial" w:cs="Arial" w:eastAsia="Arial" w:hAnsi="Arial"/>
          <w:sz w:val="22"/>
          <w:szCs w:val="22"/>
          <w:color w:val="auto"/>
        </w:rPr>
        <w:t>This Section 12 is entered into by Lilly (which for purposes of Section 12 includes any of its Affiliates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to which Grantee provides (or has provided) services during Grantee’s employment) and Grantee as of the date of Grantee’s acceptance of this Award. This Section 12 is not applicable if the Grantee is working and/or residing in Canada or otherwise where impermissible under applicable law. However, conduct involving misappropriation of Lilly trade secrets or confidential information will remain prohibited as provided in the Grantee’s Employee Confidentiality and Invention Agreement and nothing in this Award Agreement shall be construed to limit or eliminate any rights or remedies Lilly would have against Grantee under trade secret law, unfair competition law, or other applicable laws.</w:t>
      </w:r>
    </w:p>
    <w:p>
      <w:pPr>
        <w:spacing w:after="0" w:line="87" w:lineRule="exact"/>
        <w:rPr>
          <w:sz w:val="20"/>
          <w:szCs w:val="20"/>
          <w:color w:val="auto"/>
        </w:rPr>
      </w:pPr>
    </w:p>
    <w:p>
      <w:pPr>
        <w:jc w:val="both"/>
        <w:ind w:left="412"/>
        <w:spacing w:after="0" w:line="264" w:lineRule="auto"/>
        <w:rPr>
          <w:sz w:val="20"/>
          <w:szCs w:val="20"/>
          <w:color w:val="auto"/>
        </w:rPr>
      </w:pPr>
      <w:r>
        <w:rPr>
          <w:rFonts w:ascii="Arial" w:cs="Arial" w:eastAsia="Arial" w:hAnsi="Arial"/>
          <w:sz w:val="22"/>
          <w:szCs w:val="22"/>
          <w:color w:val="auto"/>
        </w:rPr>
        <w:t>In consideration of the Grantee’s receipt of the Award from Lilly, and the mutual covenants contained herein and other good and valuable consideration, the receipt and sufficiency of which are hereby acknowledged, the Grantee and Lilly hereby agree as follows:</w:t>
      </w:r>
    </w:p>
    <w:p>
      <w:pPr>
        <w:spacing w:after="0" w:line="56" w:lineRule="exact"/>
        <w:rPr>
          <w:sz w:val="20"/>
          <w:szCs w:val="20"/>
          <w:color w:val="auto"/>
        </w:rPr>
      </w:pPr>
    </w:p>
    <w:p>
      <w:pPr>
        <w:ind w:left="1072" w:hanging="424"/>
        <w:spacing w:after="0"/>
        <w:tabs>
          <w:tab w:leader="none" w:pos="1072"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jc w:val="both"/>
        <w:ind w:left="1952" w:hanging="494"/>
        <w:spacing w:after="0" w:line="262" w:lineRule="auto"/>
        <w:tabs>
          <w:tab w:leader="none" w:pos="1946" w:val="left"/>
        </w:tabs>
        <w:numPr>
          <w:ilvl w:val="1"/>
          <w:numId w:val="101"/>
        </w:numPr>
        <w:rPr>
          <w:rFonts w:ascii="Arial" w:cs="Arial" w:eastAsia="Arial" w:hAnsi="Arial"/>
          <w:sz w:val="21"/>
          <w:szCs w:val="21"/>
          <w:color w:val="auto"/>
        </w:rPr>
      </w:pPr>
      <w:r>
        <w:rPr>
          <w:rFonts w:ascii="Arial" w:cs="Arial" w:eastAsia="Arial" w:hAnsi="Arial"/>
          <w:sz w:val="21"/>
          <w:szCs w:val="21"/>
          <w:color w:val="auto"/>
        </w:rPr>
        <w:t>Grantee understands and agrees that Grantee’s employment by Lilly creates a relationship of confidence and trust with respect to any information or materials of a confidential, non-public or proprietary nature that have been or may be made, created or discovered by Grantee or that have been or will be disclosed to Grantee in relation to the business of Lilly, or its direct or indirect parents, subsidiaries or Affiliates (together with Lilly, the “Lilly Group Companies”), or any of their respective predecessors, or any entity, business or assets acquired in whole or in part by any of the Lilly Group Companies (each, an “Acquired Company”), or any Protected Contact, or any other person with whom the Lilly Group Companies agrees to hold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16459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2" w:lineRule="exact"/>
        <w:rPr>
          <w:sz w:val="20"/>
          <w:szCs w:val="20"/>
          <w:color w:val="auto"/>
        </w:rPr>
      </w:pPr>
    </w:p>
    <w:p>
      <w:pPr>
        <w:ind w:left="-8" w:right="140" w:firstLine="8"/>
        <w:spacing w:after="0" w:line="227" w:lineRule="auto"/>
        <w:tabs>
          <w:tab w:leader="none" w:pos="85" w:val="left"/>
        </w:tabs>
        <w:numPr>
          <w:ilvl w:val="0"/>
          <w:numId w:val="102"/>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For purposes of this Section 12, “Affiliate” means any entity that directly, or indirectly through one or more intermediaries, controls, or is controlled by, or is under common control with, Eli Lilly and Company or Lilly USA, LLC.</w:t>
      </w:r>
    </w:p>
    <w:p>
      <w:pPr>
        <w:sectPr>
          <w:pgSz w:w="11900" w:h="16838" w:orient="portrait"/>
          <w:cols w:equalWidth="0" w:num="1">
            <w:col w:w="11232"/>
          </w:cols>
          <w:pgMar w:left="328" w:top="1440" w:right="339" w:bottom="1440" w:gutter="0" w:footer="0" w:header="0"/>
        </w:sectPr>
      </w:pPr>
    </w:p>
    <w:bookmarkStart w:id="148" w:name="page149"/>
    <w:bookmarkEnd w:id="148"/>
    <w:p>
      <w:pPr>
        <w:spacing w:after="0" w:line="200" w:lineRule="exact"/>
        <w:rPr>
          <w:sz w:val="20"/>
          <w:szCs w:val="20"/>
          <w:color w:val="auto"/>
        </w:rPr>
      </w:pPr>
    </w:p>
    <w:p>
      <w:pPr>
        <w:spacing w:after="0" w:line="228" w:lineRule="exact"/>
        <w:rPr>
          <w:sz w:val="20"/>
          <w:szCs w:val="20"/>
          <w:color w:val="auto"/>
        </w:rPr>
      </w:pPr>
    </w:p>
    <w:p>
      <w:pPr>
        <w:jc w:val="both"/>
        <w:ind w:left="840"/>
        <w:spacing w:after="0" w:line="247" w:lineRule="auto"/>
        <w:rPr>
          <w:sz w:val="20"/>
          <w:szCs w:val="20"/>
          <w:color w:val="auto"/>
        </w:rPr>
      </w:pPr>
      <w:r>
        <w:rPr>
          <w:rFonts w:ascii="Arial" w:cs="Arial" w:eastAsia="Arial" w:hAnsi="Arial"/>
          <w:sz w:val="22"/>
          <w:szCs w:val="22"/>
          <w:color w:val="auto"/>
        </w:rPr>
        <w:t>or materials in confidence (the “Confidential Information”). For the avoidance of doubt, any information developed by an Acquired Company will be considered “Confidential Information” if it meets the definition of that term herein regardless of whether the Confidential Information was developed by the Acquired Company prior to or after the acquisition by Lilly. Without limitation as to the forms that Confidential Information may take, Grantee acknowledges and agrees that Confidential Information may be contained in tangible material such as writings, drawings, samples, electronic media, or computer programs, or may be in the nature of unwritten knowledge or know-how. Confidential Information includes, but is not limited to, information concerning the Lilly Group Companies’ inventions, marketing plans, products, designs, processes, services, research data, prototypes, specimens, test protocols, laboratory notebooks, business strategies, financial information, forecasts, personnel information, contract information, Protected Contacts, business pursuits and other information that is not generally known outside the Lilly Group Companies and from which the Lilly Group Companies could derive economic value, including any such information to which Grantee had access prior to agreeing to the terms of this Section 12. Notwithstanding the foregoing, it is understood that Confidential Information does not include information that is generally known in the trade or industry through no breach of this Section 12 or other act or omission by Grantee or any other person with confidentiality obligations to the Lilly Group Companies, or information arising from Grantee’s general training, knowledge, skill or experience.</w:t>
      </w:r>
    </w:p>
    <w:p>
      <w:pPr>
        <w:spacing w:after="0" w:line="200" w:lineRule="exact"/>
        <w:rPr>
          <w:sz w:val="20"/>
          <w:szCs w:val="20"/>
          <w:color w:val="auto"/>
        </w:rPr>
      </w:pPr>
    </w:p>
    <w:p>
      <w:pPr>
        <w:spacing w:after="0" w:line="226" w:lineRule="exact"/>
        <w:rPr>
          <w:sz w:val="20"/>
          <w:szCs w:val="20"/>
          <w:color w:val="auto"/>
        </w:rPr>
      </w:pPr>
    </w:p>
    <w:p>
      <w:pPr>
        <w:jc w:val="both"/>
        <w:ind w:left="840" w:hanging="488"/>
        <w:spacing w:after="0" w:line="248" w:lineRule="auto"/>
        <w:tabs>
          <w:tab w:leader="none" w:pos="81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At all times, both during Grantee’s employment and during the Confidentiality Restricted Period (as defined herein) after the end of Grantee’s employment with Lilly for any reason, and to the fullest extent permitted by law, Grantee agrees to keep and hold all Confidential Information in strict confidence and trust. Grantee will not use or disclose any Confidential Information without the prior written consent of Lilly in each instance, except in the good faith performance of Grantee’s duties as an employee of Lilly for the benefit of Lilly. For purposes of this Section 12, “Confidentiality Restricted Period” shall mean: (i) five (5) years following the end of Grantee’s employment with Lilly for any reason if the item of Confidential Information at issue does not constitute a trade secret under applicable law; and (ii) if the item of Confidential Information at issue constitutes a trade secret under applicable law, the longer of (A) five (5) years following the end of Grantee’s employment with Lilly for any reason, and (B) for so long as such item of Confidential Information at issue continues to constitute a trade secret.</w:t>
      </w:r>
    </w:p>
    <w:p>
      <w:pPr>
        <w:spacing w:after="0" w:line="319" w:lineRule="exact"/>
        <w:rPr>
          <w:rFonts w:ascii="Arial" w:cs="Arial" w:eastAsia="Arial" w:hAnsi="Arial"/>
          <w:sz w:val="22"/>
          <w:szCs w:val="22"/>
          <w:color w:val="auto"/>
        </w:rPr>
      </w:pPr>
    </w:p>
    <w:p>
      <w:pPr>
        <w:ind w:left="840" w:hanging="488"/>
        <w:spacing w:after="0" w:line="285" w:lineRule="auto"/>
        <w:tabs>
          <w:tab w:leader="none" w:pos="95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Grantee understands and agrees that all Confidential Information, and all other documents, supplies, equipment and other physical property furnished</w:t>
      </w:r>
    </w:p>
    <w:p>
      <w:pPr>
        <w:sectPr>
          <w:pgSz w:w="11900" w:h="16838" w:orient="portrait"/>
          <w:cols w:equalWidth="0" w:num="1">
            <w:col w:w="10120"/>
          </w:cols>
          <w:pgMar w:left="1440" w:top="1440" w:right="339" w:bottom="1440" w:gutter="0" w:footer="0" w:header="0"/>
        </w:sectPr>
      </w:pPr>
    </w:p>
    <w:bookmarkStart w:id="149" w:name="page150"/>
    <w:bookmarkEnd w:id="149"/>
    <w:p>
      <w:pPr>
        <w:spacing w:after="0" w:line="200" w:lineRule="exact"/>
        <w:rPr>
          <w:sz w:val="20"/>
          <w:szCs w:val="20"/>
          <w:color w:val="auto"/>
        </w:rPr>
      </w:pPr>
    </w:p>
    <w:p>
      <w:pPr>
        <w:spacing w:after="0" w:line="228" w:lineRule="exact"/>
        <w:rPr>
          <w:sz w:val="20"/>
          <w:szCs w:val="20"/>
          <w:color w:val="auto"/>
        </w:rPr>
      </w:pPr>
    </w:p>
    <w:p>
      <w:pPr>
        <w:jc w:val="both"/>
        <w:ind w:left="1304"/>
        <w:spacing w:after="0" w:line="249" w:lineRule="auto"/>
        <w:rPr>
          <w:sz w:val="20"/>
          <w:szCs w:val="20"/>
          <w:color w:val="auto"/>
        </w:rPr>
      </w:pPr>
      <w:r>
        <w:rPr>
          <w:rFonts w:ascii="Arial" w:cs="Arial" w:eastAsia="Arial" w:hAnsi="Arial"/>
          <w:sz w:val="22"/>
          <w:szCs w:val="22"/>
          <w:color w:val="auto"/>
        </w:rPr>
        <w:t>to Grantee by Lilly, produced by Grantee or others in connection with Grantee’s employment, or otherwise pertaining to Grantee’s work with Lilly or any of the Lilly Group Companies (collectively, “Lilly Property”) will be and remain the sole property of Lilly. Upon the end of Grantee’s employment with Lilly for any reason, Grantee agrees to promptly deliver to Lilly all Confidential Information and all other Lilly Property, and Grantee will not take with Grantee or retain in any form any documents or materials or copies containing any Confidential Information, excepting only Grantee’s personal copies of records of Grantee’s employment or compensation with Lilly.</w:t>
      </w:r>
    </w:p>
    <w:p>
      <w:pPr>
        <w:spacing w:after="0" w:line="317" w:lineRule="exact"/>
        <w:rPr>
          <w:sz w:val="20"/>
          <w:szCs w:val="20"/>
          <w:color w:val="auto"/>
        </w:rPr>
      </w:pPr>
    </w:p>
    <w:p>
      <w:pPr>
        <w:jc w:val="both"/>
        <w:ind w:left="644" w:hanging="644"/>
        <w:spacing w:after="0" w:line="249" w:lineRule="auto"/>
        <w:tabs>
          <w:tab w:leader="none" w:pos="578"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Except as may be modified for Grantee as described in subsection 12.i., Grantee agrees that during Grantee’s employment with Lilly and for twelve (12) months immediately following the end of Grantee’s employment (regardless of reason) (the “Restricted Period”), Grantee will not directly or indirectly, anywhere in or with respect to the United States or any other country in which Lilly operates or conducts business as of the end of Grantee’s employment (the “Restricted Territory”), work for, advise, manage, act as an agent, employee or consultant for, or otherwise provide any services, in each case in a Competitively-Sensitive Capacity (as defined herein), to any person or entity engaged in research, development, production, sale, or distribution of a product or service competitive with or substantially similar to any product or service in research, development or design, or manufactured, produced, sold, or distributed by Lilly (each such person or entity, a “Competitor”).</w:t>
      </w:r>
    </w:p>
    <w:p>
      <w:pPr>
        <w:spacing w:after="0" w:line="75" w:lineRule="exact"/>
        <w:rPr>
          <w:sz w:val="20"/>
          <w:szCs w:val="20"/>
          <w:color w:val="auto"/>
        </w:rPr>
      </w:pPr>
    </w:p>
    <w:p>
      <w:pPr>
        <w:jc w:val="both"/>
        <w:ind w:left="644"/>
        <w:spacing w:after="0" w:line="260" w:lineRule="auto"/>
        <w:rPr>
          <w:sz w:val="20"/>
          <w:szCs w:val="20"/>
          <w:color w:val="auto"/>
        </w:rPr>
      </w:pPr>
      <w:r>
        <w:rPr>
          <w:rFonts w:ascii="Arial" w:cs="Arial" w:eastAsia="Arial" w:hAnsi="Arial"/>
          <w:sz w:val="21"/>
          <w:szCs w:val="21"/>
          <w:color w:val="auto"/>
        </w:rPr>
        <w:t>For purposes of this Section 12, “Competitively-Sensitive Capacity” means: (i) the same or similar capacity or function in which Grantee worked for Lilly at any time during the two (2) years immediately preceding the end of Grantee’s employment; (ii) any officer, director, executive or senior management capacity or function; (iii) any research or development capacity or function; (iv) any sales management or business development management capacity or function; (v) any ownership capacity (except Grantee may own as a passive investment up to 2% of any publicly traded securities); or (vi) any other capacity or function in which the trade secrets or other Confidential Information of Lilly or any of the Lilly Group Companies to which Grantee had access during the two (2) years immediately preceding the end of Grantee’s employment, if used or disclosed by Grantee, would enable a Competitor to unfairly compete with Lilly. For purposes of clarity, if a Competitor has multiple divisions, lines or segments, some of which are not competitive with the business of Lilly, nothing in this Section 12 will prohibit Grantee from being employed by, working for or assisting only that division, line or segment of such Competitor that is not competitive with (or planned to be competitive with) the business of Lilly, provided Grantee is not involved in a Competitively-Sensitive Capacity in the research, development, production, sale or distribution of any product or service competitive with or substantially similar to any product or service in research, development or design, or manufactured, produced, sold, or distributed by Lilly.</w:t>
      </w:r>
    </w:p>
    <w:p>
      <w:pPr>
        <w:sectPr>
          <w:pgSz w:w="11900" w:h="16838" w:orient="portrait"/>
          <w:cols w:equalWidth="0" w:num="1">
            <w:col w:w="10584"/>
          </w:cols>
          <w:pgMar w:left="976" w:top="1440" w:right="339" w:bottom="1440" w:gutter="0" w:footer="0" w:header="0"/>
        </w:sectPr>
      </w:pPr>
    </w:p>
    <w:bookmarkStart w:id="150" w:name="page151"/>
    <w:bookmarkEnd w:id="150"/>
    <w:p>
      <w:pPr>
        <w:spacing w:after="0" w:line="200" w:lineRule="exact"/>
        <w:rPr>
          <w:sz w:val="20"/>
          <w:szCs w:val="20"/>
          <w:color w:val="auto"/>
        </w:rPr>
      </w:pPr>
    </w:p>
    <w:p>
      <w:pPr>
        <w:spacing w:after="0" w:line="228" w:lineRule="exact"/>
        <w:rPr>
          <w:sz w:val="20"/>
          <w:szCs w:val="20"/>
          <w:color w:val="auto"/>
        </w:rPr>
      </w:pPr>
    </w:p>
    <w:p>
      <w:pPr>
        <w:jc w:val="both"/>
        <w:ind w:left="644"/>
        <w:spacing w:after="0" w:line="253" w:lineRule="auto"/>
        <w:rPr>
          <w:sz w:val="20"/>
          <w:szCs w:val="20"/>
          <w:color w:val="auto"/>
        </w:rPr>
      </w:pPr>
      <w:r>
        <w:rPr>
          <w:rFonts w:ascii="Arial" w:cs="Arial" w:eastAsia="Arial" w:hAnsi="Arial"/>
          <w:sz w:val="22"/>
          <w:szCs w:val="22"/>
          <w:color w:val="auto"/>
        </w:rPr>
        <w:t>In accordance with American Bar Association Model Rule 5.6, this subsection 12.b. shall be inapplicable following the end of Grantee’s employment if: (i) during Grantee’s employment with Lilly, Grantee primarily performed services for Lilly as a licensed attorney, and (ii) Grantee provides legal services as a licensed attorney to a company other than Lilly.</w:t>
      </w:r>
    </w:p>
    <w:p>
      <w:pPr>
        <w:spacing w:after="0" w:line="67" w:lineRule="exact"/>
        <w:rPr>
          <w:sz w:val="20"/>
          <w:szCs w:val="20"/>
          <w:color w:val="auto"/>
        </w:rPr>
      </w:pPr>
    </w:p>
    <w:p>
      <w:pPr>
        <w:jc w:val="both"/>
        <w:ind w:left="644" w:hanging="644"/>
        <w:spacing w:after="0" w:line="252" w:lineRule="auto"/>
        <w:tabs>
          <w:tab w:leader="none" w:pos="593"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Non-Interference with Protected Contacts</w:t>
      </w:r>
      <w:r>
        <w:rPr>
          <w:rFonts w:ascii="Arial" w:cs="Arial" w:eastAsia="Arial" w:hAnsi="Arial"/>
          <w:sz w:val="22"/>
          <w:szCs w:val="22"/>
          <w:color w:val="auto"/>
        </w:rPr>
        <w:t>. Except as may be modified for Grantee as described in subsection 12.i., Grantee agrees that, during the Restricted Period, Grantee will not directly or indirectly, anywhere in or with respect to the Restricted Territory, solicit, urge, divert, induce, or seek to induce any Protected Contact to: (a) terminate their relationship with, or representation of, Lilly or any of the Lilly Group Companies; (b) cancel, withdraw, reduce, limit or in any manner to adversely modify any such person’s business with, or representation of, Lilly or any of the Lilly Group Companies; or (c) enter into a relationship, represent, or provide services to a Competitor.</w:t>
      </w:r>
    </w:p>
    <w:p>
      <w:pPr>
        <w:spacing w:after="0" w:line="71" w:lineRule="exact"/>
        <w:rPr>
          <w:sz w:val="20"/>
          <w:szCs w:val="20"/>
          <w:color w:val="auto"/>
        </w:rPr>
      </w:pPr>
    </w:p>
    <w:p>
      <w:pPr>
        <w:jc w:val="both"/>
        <w:ind w:left="644"/>
        <w:spacing w:after="0" w:line="265" w:lineRule="auto"/>
        <w:rPr>
          <w:sz w:val="20"/>
          <w:szCs w:val="20"/>
          <w:color w:val="auto"/>
        </w:rPr>
      </w:pPr>
      <w:r>
        <w:rPr>
          <w:rFonts w:ascii="Arial" w:cs="Arial" w:eastAsia="Arial" w:hAnsi="Arial"/>
          <w:sz w:val="21"/>
          <w:szCs w:val="21"/>
          <w:color w:val="auto"/>
        </w:rPr>
        <w:t>For purposes of this Section 12, “Protected Contact” means any independent contractor, subcontractor, business partner, distributor, broker, consultant, sales representative, customer, vendor, supplier or any other person with which Lilly or any of the Lilly Group Companies has a business relationship and (i) with which Grantee had material interaction during Grantee’s employment with Lilly, or (ii) about which Grantee had access to Confidential Information during Grantee’s employment with Lilly.</w:t>
      </w:r>
    </w:p>
    <w:p>
      <w:pPr>
        <w:spacing w:after="0" w:line="71" w:lineRule="exact"/>
        <w:rPr>
          <w:sz w:val="20"/>
          <w:szCs w:val="20"/>
          <w:color w:val="auto"/>
        </w:rPr>
      </w:pPr>
    </w:p>
    <w:p>
      <w:pPr>
        <w:ind w:left="644" w:hanging="644"/>
        <w:spacing w:after="0" w:line="253" w:lineRule="auto"/>
        <w:tabs>
          <w:tab w:leader="none" w:pos="41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Grantee agrees that, during the Restricted Period, Grantee will not, directly or indirectly solicit, urge, divert, induce, or seek to induce any Protected Employee of Lilly to: (a) terminate or adversely modify their relationship with Lilly or any of the Lilly Group Companies; or (b) enter into a relationship, represent, or provide services to a Competitor.</w:t>
      </w:r>
    </w:p>
    <w:p>
      <w:pPr>
        <w:spacing w:after="0" w:line="67" w:lineRule="exact"/>
        <w:rPr>
          <w:sz w:val="20"/>
          <w:szCs w:val="20"/>
          <w:color w:val="auto"/>
        </w:rPr>
      </w:pPr>
    </w:p>
    <w:p>
      <w:pPr>
        <w:jc w:val="both"/>
        <w:ind w:left="644"/>
        <w:spacing w:after="0" w:line="257" w:lineRule="auto"/>
        <w:rPr>
          <w:sz w:val="20"/>
          <w:szCs w:val="20"/>
          <w:color w:val="auto"/>
        </w:rPr>
      </w:pPr>
      <w:r>
        <w:rPr>
          <w:rFonts w:ascii="Arial" w:cs="Arial" w:eastAsia="Arial" w:hAnsi="Arial"/>
          <w:sz w:val="22"/>
          <w:szCs w:val="22"/>
          <w:color w:val="auto"/>
        </w:rPr>
        <w:t>For purposes of this Section 12, “Protected Employee” means any employee of Lilly or any of the Lilly Group Companies that has or has had access to Confidential Information and: (i) with whom Grantee had material interaction during Grantee’s employment with Lilly; or (ii) about whom Grantee had access to Confidential Information during Grantee’s employment with Lilly.</w:t>
      </w:r>
    </w:p>
    <w:p>
      <w:pPr>
        <w:spacing w:after="0" w:line="64" w:lineRule="exact"/>
        <w:rPr>
          <w:sz w:val="20"/>
          <w:szCs w:val="20"/>
          <w:color w:val="auto"/>
        </w:rPr>
      </w:pPr>
    </w:p>
    <w:p>
      <w:pPr>
        <w:ind w:left="644" w:hanging="644"/>
        <w:spacing w:after="0" w:line="249" w:lineRule="auto"/>
        <w:tabs>
          <w:tab w:leader="none" w:pos="48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Reasonableness of Restrictions</w:t>
      </w:r>
      <w:r>
        <w:rPr>
          <w:rFonts w:ascii="Arial" w:cs="Arial" w:eastAsia="Arial" w:hAnsi="Arial"/>
          <w:sz w:val="22"/>
          <w:szCs w:val="22"/>
          <w:color w:val="auto"/>
        </w:rPr>
        <w:t>. Grantee acknowledges and agrees that during the course of Grantee’s employment with Lilly, Grantee will be provided access to and will become intimately familiar with trade secrets and other Confidential Information key to Lilly’s (and the Lilly Group Companies’) unique competitive advantage. Grantee also acknowledges and agrees that Lilly’s (and the Lilly Group Companies’) trade secrets and other Confidential Information will retain continuing vitality throughout and beyond the Restricted Period. And Grantee acknowledges and agrees that, should Grantee’s employment with Lilly end for any reason and, during the Restricted Period, Grantee works in a Competitively-Sensitive Capacity with a Competitor, it would be highly likely, if not inevitable, that Grantee would rely on trade secrets or other Confidential Information of Lilly or the Lilly Group Companies</w:t>
      </w:r>
    </w:p>
    <w:p>
      <w:pPr>
        <w:sectPr>
          <w:pgSz w:w="11900" w:h="16838" w:orient="portrait"/>
          <w:cols w:equalWidth="0" w:num="1">
            <w:col w:w="10584"/>
          </w:cols>
          <w:pgMar w:left="976" w:top="1440" w:right="339" w:bottom="1440" w:gutter="0" w:footer="0" w:header="0"/>
        </w:sectPr>
      </w:pPr>
    </w:p>
    <w:bookmarkStart w:id="151" w:name="page152"/>
    <w:bookmarkEnd w:id="151"/>
    <w:p>
      <w:pPr>
        <w:spacing w:after="0" w:line="200" w:lineRule="exact"/>
        <w:rPr>
          <w:sz w:val="20"/>
          <w:szCs w:val="20"/>
          <w:color w:val="auto"/>
        </w:rPr>
      </w:pPr>
    </w:p>
    <w:p>
      <w:pPr>
        <w:spacing w:after="0" w:line="228" w:lineRule="exact"/>
        <w:rPr>
          <w:sz w:val="20"/>
          <w:szCs w:val="20"/>
          <w:color w:val="auto"/>
        </w:rPr>
      </w:pPr>
    </w:p>
    <w:p>
      <w:pPr>
        <w:jc w:val="both"/>
        <w:ind w:left="644"/>
        <w:spacing w:after="0" w:line="248" w:lineRule="auto"/>
        <w:rPr>
          <w:sz w:val="20"/>
          <w:szCs w:val="20"/>
          <w:color w:val="auto"/>
        </w:rPr>
      </w:pPr>
      <w:r>
        <w:rPr>
          <w:rFonts w:ascii="Arial" w:cs="Arial" w:eastAsia="Arial" w:hAnsi="Arial"/>
          <w:sz w:val="22"/>
          <w:szCs w:val="22"/>
          <w:color w:val="auto"/>
        </w:rPr>
        <w:t>in the course of Grantee’s work, either consciously or subconsciously, thereby irreparably harming Lilly and the Lilly Group Companies. For these and other reasons, Grantee agrees that the restrictions in this Section 12 are reasonable and necessary to protect the legitimate business interests of Lilly and the Lilly Group Companies and do so by creating a specific amount of time after Grantee’s employment ends during which Grantee will not be able to engage or prepare to engage in the activities restricted in this Section 12. Grantee and Lilly further acknowledge and agree that Lilly and the Lilly Group Companies conduct business throughout the Restricted Territory and the geographic scope of the foregoing covenants is reasonable and necessary given, among other things, that: (a) absent such restrictions, Grantee could utilize Lilly’s (or Lilly Group Companies) trade secrets and other Confidential Information and unfairly compete with Lilly in the Restricted Territory from virtually anywhere in the world; and (b) such scope is the only way for Lilly and the Lilly Group Companies adequately to protect its trade secrets and other Confidential Information.</w:t>
      </w:r>
    </w:p>
    <w:p>
      <w:pPr>
        <w:spacing w:after="0" w:line="76" w:lineRule="exact"/>
        <w:rPr>
          <w:sz w:val="20"/>
          <w:szCs w:val="20"/>
          <w:color w:val="auto"/>
        </w:rPr>
      </w:pPr>
    </w:p>
    <w:p>
      <w:pPr>
        <w:ind w:left="644" w:hanging="644"/>
        <w:spacing w:after="0" w:line="247" w:lineRule="auto"/>
        <w:tabs>
          <w:tab w:leader="none" w:pos="383"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Grantee acknowledges that a breach by Grantee of this Section 12 will give rise to irreparable injury to Lilly and money damages will not be adequate relief for such injury. As a result, Grantee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Grantee. If Lilly determines that Grantee has violated any applicable provisions of this Section 12, in addition to injunctive relief and damages, Grantee agrees and covenants that: (i)Grantee will automatically forfeit any rights Grantee may have with respect to this Award as well as any equity grant (of any form or type) awarded after the date Grantee accepts this Award Agreement, including any right to continue to be eligible to vest or receive a payment under such equity awards; and (ii) if Grantee was an Executive Officer during Grantee’s employment, and is entitled to receive benefits under The Lilly Excess Benefits Plan-Retirement (the “SERP”), Grantee will forfeit 60 months of payment under the SERP (whether payment has commenced at the time of breach or commences in the future). Further, Grantee acknowledges that Lilly and the Lilly Group Companies reserve all other rights and remedies available at law or in equity. In addition, in the event Grantee violates any of the restrictive covenants contained herein, the Restricted Period or Confidentiality Restricted Period (as applicable) for the violated restrictive covenants will automatically be extended by the length of time during which Grantee was in violation of such restrictive covenants.</w:t>
      </w:r>
    </w:p>
    <w:p>
      <w:pPr>
        <w:spacing w:after="0" w:line="79" w:lineRule="exact"/>
        <w:rPr>
          <w:rFonts w:ascii="Arial" w:cs="Arial" w:eastAsia="Arial" w:hAnsi="Arial"/>
          <w:sz w:val="22"/>
          <w:szCs w:val="22"/>
          <w:color w:val="auto"/>
        </w:rPr>
      </w:pPr>
    </w:p>
    <w:p>
      <w:pPr>
        <w:ind w:left="644" w:hanging="644"/>
        <w:spacing w:after="0" w:line="253" w:lineRule="auto"/>
        <w:tabs>
          <w:tab w:leader="none" w:pos="443"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Notification Requirements</w:t>
      </w:r>
      <w:r>
        <w:rPr>
          <w:rFonts w:ascii="Arial" w:cs="Arial" w:eastAsia="Arial" w:hAnsi="Arial"/>
          <w:sz w:val="22"/>
          <w:szCs w:val="22"/>
          <w:color w:val="auto"/>
        </w:rPr>
        <w:t>. During the Restricted Period, Grantee acknowledges and agrees to notify Lilly of the name, job title, job duties and location of Grantee’s next employer or any other person or entity for which Grantee otherwise will be working or providing services. This notification to Lilly is necessary to ensure adherence to Grantee’s post-employment obligations and to protect Lilly trade secrets and confidential information from improper disclosure. During the Restricted</w:t>
      </w:r>
    </w:p>
    <w:p>
      <w:pPr>
        <w:sectPr>
          <w:pgSz w:w="11900" w:h="16838" w:orient="portrait"/>
          <w:cols w:equalWidth="0" w:num="1">
            <w:col w:w="10584"/>
          </w:cols>
          <w:pgMar w:left="976" w:top="1440" w:right="339" w:bottom="1440" w:gutter="0" w:footer="0" w:header="0"/>
        </w:sectPr>
      </w:pPr>
    </w:p>
    <w:bookmarkStart w:id="152" w:name="page153"/>
    <w:bookmarkEnd w:id="152"/>
    <w:p>
      <w:pPr>
        <w:spacing w:after="0" w:line="200" w:lineRule="exact"/>
        <w:rPr>
          <w:sz w:val="20"/>
          <w:szCs w:val="20"/>
          <w:color w:val="auto"/>
        </w:rPr>
      </w:pPr>
    </w:p>
    <w:p>
      <w:pPr>
        <w:spacing w:after="0" w:line="229" w:lineRule="exact"/>
        <w:rPr>
          <w:sz w:val="20"/>
          <w:szCs w:val="20"/>
          <w:color w:val="auto"/>
        </w:rPr>
      </w:pPr>
    </w:p>
    <w:p>
      <w:pPr>
        <w:jc w:val="both"/>
        <w:ind w:left="644"/>
        <w:spacing w:after="0" w:line="250" w:lineRule="auto"/>
        <w:rPr>
          <w:sz w:val="20"/>
          <w:szCs w:val="20"/>
          <w:color w:val="auto"/>
        </w:rPr>
      </w:pPr>
      <w:r>
        <w:rPr>
          <w:rFonts w:ascii="Arial" w:cs="Arial" w:eastAsia="Arial" w:hAnsi="Arial"/>
          <w:sz w:val="22"/>
          <w:szCs w:val="22"/>
          <w:color w:val="auto"/>
        </w:rPr>
        <w:t>Period or Confidentiality Restricted Period, Grantee will provide a copy of Grantee’s post-employment obligations under this Section 12 to each subsequent employer and to each other person or entity for which Grantee otherwise will be working or providing services, in each case prior to commencing employment with or providing any services to such employer, person or entity. Grantee also authorizes Lilly to notify third parties, including any actual or potential employers and Protected Contacts, of the terms of this Section 12 and Grantee’s obligations hereunder, by providing a copy of this Section 12 or otherwise.</w:t>
      </w:r>
    </w:p>
    <w:p>
      <w:pPr>
        <w:spacing w:after="0" w:line="72" w:lineRule="exact"/>
        <w:rPr>
          <w:sz w:val="20"/>
          <w:szCs w:val="20"/>
          <w:color w:val="auto"/>
        </w:rPr>
      </w:pPr>
    </w:p>
    <w:p>
      <w:pPr>
        <w:ind w:left="644" w:hanging="644"/>
        <w:spacing w:after="0" w:line="247" w:lineRule="auto"/>
        <w:tabs>
          <w:tab w:leader="none" w:pos="43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Government Agencies; Permitted Disclosures</w:t>
      </w:r>
      <w:r>
        <w:rPr>
          <w:rFonts w:ascii="Arial" w:cs="Arial" w:eastAsia="Arial" w:hAnsi="Arial"/>
          <w:sz w:val="22"/>
          <w:szCs w:val="22"/>
          <w:color w:val="auto"/>
        </w:rPr>
        <w:t>. Notwithstanding anything in this Section 12 to the contrary, Grantee understands that Grantee may report possible violations of law or regulation to any governmental agency or entity, or make other disclosures that are protected under law or regulation. Grantee also understands that nothing in this Section 12 requires Grantee to obtain prior authorization from Lilly to make any such reports or disclosures or to notify Lilly that you have made such reports or disclosures. Nor shall anything in this Section 12 impede Grantee from discussing or disclosing in good faith information about unlawful acts in the workplace, such as harassment (including sexual harassment), discrimination, sexual assault, or any other conduct Grantee has reason to believe in good faith is unlawful, or from exercising any rights Grantee may have under Section 7 of the National Labor Relations Act. Grantee further understands that Grantee may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Without prior written authorization of Lilly, however, Grantee is not authorized to disclose to any third party (including any government official or any attorney Grantee may retain) any communication that is covered by the attorney-client privilege of Lilly or any of the Lilly Group Companies.</w:t>
      </w:r>
    </w:p>
    <w:p>
      <w:pPr>
        <w:spacing w:after="0" w:line="83" w:lineRule="exact"/>
        <w:rPr>
          <w:rFonts w:ascii="Arial" w:cs="Arial" w:eastAsia="Arial" w:hAnsi="Arial"/>
          <w:sz w:val="22"/>
          <w:szCs w:val="22"/>
          <w:color w:val="auto"/>
        </w:rPr>
      </w:pPr>
    </w:p>
    <w:p>
      <w:pPr>
        <w:ind w:left="644" w:right="60" w:hanging="644"/>
        <w:spacing w:after="0" w:line="253" w:lineRule="auto"/>
        <w:tabs>
          <w:tab w:leader="none" w:pos="34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State Law Considerations</w:t>
      </w:r>
      <w:r>
        <w:rPr>
          <w:rFonts w:ascii="Arial" w:cs="Arial" w:eastAsia="Arial" w:hAnsi="Arial"/>
          <w:sz w:val="22"/>
          <w:szCs w:val="22"/>
          <w:color w:val="auto"/>
        </w:rPr>
        <w:t>. Grantee and Lilly intend for this Section 12 to comply with all applicable state laws and that this Section 12 should be read and construed consistent with this shared intention. As such, Grantee and Lilly agree that this Section 12 is hereby modified as set forth in this subsection 12.i. to the extent Grantee primarily is employed by and primarily provide services to Lilly in one of the states identified in this subsection 12.i. as of the dates described below.</w:t>
      </w:r>
    </w:p>
    <w:p>
      <w:pPr>
        <w:spacing w:after="0" w:line="205" w:lineRule="exact"/>
        <w:rPr>
          <w:rFonts w:ascii="Arial" w:cs="Arial" w:eastAsia="Arial" w:hAnsi="Arial"/>
          <w:sz w:val="22"/>
          <w:szCs w:val="22"/>
          <w:color w:val="auto"/>
        </w:rPr>
      </w:pPr>
    </w:p>
    <w:p>
      <w:pPr>
        <w:jc w:val="both"/>
        <w:ind w:left="964" w:hanging="316"/>
        <w:spacing w:after="0" w:line="257" w:lineRule="auto"/>
        <w:tabs>
          <w:tab w:leader="none" w:pos="1039"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If, as of the date on which Grantee receives this Award Agreement, Grantee primarily is employed by and primarily provide services to Lilly in a state identified in this subsection 12.i.(i), the following shall apply:</w:t>
      </w:r>
    </w:p>
    <w:p>
      <w:pPr>
        <w:spacing w:after="0" w:line="78" w:lineRule="exact"/>
        <w:rPr>
          <w:rFonts w:ascii="Arial" w:cs="Arial" w:eastAsia="Arial" w:hAnsi="Arial"/>
          <w:sz w:val="22"/>
          <w:szCs w:val="22"/>
          <w:color w:val="auto"/>
        </w:rPr>
      </w:pPr>
    </w:p>
    <w:p>
      <w:pPr>
        <w:jc w:val="both"/>
        <w:ind w:left="1544" w:hanging="572"/>
        <w:spacing w:after="0" w:line="257" w:lineRule="auto"/>
        <w:tabs>
          <w:tab w:leader="none" w:pos="1705" w:val="left"/>
        </w:tabs>
        <w:numPr>
          <w:ilvl w:val="2"/>
          <w:numId w:val="109"/>
        </w:numPr>
        <w:rPr>
          <w:rFonts w:ascii="Arial" w:cs="Arial" w:eastAsia="Arial" w:hAnsi="Arial"/>
          <w:sz w:val="22"/>
          <w:szCs w:val="22"/>
          <w:color w:val="auto"/>
        </w:rPr>
      </w:pPr>
      <w:r>
        <w:rPr>
          <w:rFonts w:ascii="Arial" w:cs="Arial" w:eastAsia="Arial" w:hAnsi="Arial"/>
          <w:sz w:val="22"/>
          <w:szCs w:val="22"/>
          <w:i w:val="1"/>
          <w:iCs w:val="1"/>
          <w:color w:val="auto"/>
        </w:rPr>
        <w:t xml:space="preserve">Colorado. </w:t>
      </w:r>
      <w:r>
        <w:rPr>
          <w:rFonts w:ascii="Arial" w:cs="Arial" w:eastAsia="Arial" w:hAnsi="Arial"/>
          <w:sz w:val="22"/>
          <w:szCs w:val="22"/>
          <w:color w:val="auto"/>
        </w:rPr>
        <w:t>Grantee acknowledges receipt of a separate notice attached to this Award</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as “Appendix for Colorado Employees” that Lilly has provided to Grantee contemporaneously with this Award Agreement, which</w:t>
      </w:r>
    </w:p>
    <w:p>
      <w:pPr>
        <w:sectPr>
          <w:pgSz w:w="11900" w:h="16838" w:orient="portrait"/>
          <w:cols w:equalWidth="0" w:num="1">
            <w:col w:w="10584"/>
          </w:cols>
          <w:pgMar w:left="976" w:top="1440" w:right="339" w:bottom="1440" w:gutter="0" w:footer="0" w:header="0"/>
        </w:sectPr>
      </w:pPr>
    </w:p>
    <w:bookmarkStart w:id="153" w:name="page154"/>
    <w:bookmarkEnd w:id="153"/>
    <w:p>
      <w:pPr>
        <w:spacing w:after="0" w:line="200" w:lineRule="exact"/>
        <w:rPr>
          <w:sz w:val="20"/>
          <w:szCs w:val="20"/>
          <w:color w:val="auto"/>
        </w:rPr>
      </w:pPr>
    </w:p>
    <w:p>
      <w:pPr>
        <w:spacing w:after="0" w:line="229" w:lineRule="exact"/>
        <w:rPr>
          <w:sz w:val="20"/>
          <w:szCs w:val="20"/>
          <w:color w:val="auto"/>
        </w:rPr>
      </w:pPr>
    </w:p>
    <w:p>
      <w:pPr>
        <w:jc w:val="both"/>
        <w:ind w:left="1080"/>
        <w:spacing w:after="0" w:line="253" w:lineRule="auto"/>
        <w:rPr>
          <w:sz w:val="20"/>
          <w:szCs w:val="20"/>
          <w:color w:val="auto"/>
        </w:rPr>
      </w:pPr>
      <w:r>
        <w:rPr>
          <w:rFonts w:ascii="Arial" w:cs="Arial" w:eastAsia="Arial" w:hAnsi="Arial"/>
          <w:sz w:val="22"/>
          <w:szCs w:val="22"/>
          <w:color w:val="auto"/>
        </w:rPr>
        <w:t>identifies this Award Agreement by name, states that this Award Agreement contains covenants not to compete that could restrict Grantee’s options for subsequent employment following the end of Grantee’s employment with Lilly, and directs Grantee to the specific sections of this Award Agreement containing such covenants.</w:t>
      </w:r>
    </w:p>
    <w:p>
      <w:pPr>
        <w:spacing w:after="0" w:line="175" w:lineRule="exact"/>
        <w:rPr>
          <w:sz w:val="20"/>
          <w:szCs w:val="20"/>
          <w:color w:val="auto"/>
        </w:rPr>
      </w:pPr>
    </w:p>
    <w:p>
      <w:pPr>
        <w:jc w:val="both"/>
        <w:ind w:left="1080" w:hanging="410"/>
        <w:spacing w:after="0" w:line="252" w:lineRule="auto"/>
        <w:tabs>
          <w:tab w:leader="none" w:pos="1200" w:val="left"/>
        </w:tabs>
        <w:numPr>
          <w:ilvl w:val="1"/>
          <w:numId w:val="110"/>
        </w:numPr>
        <w:rPr>
          <w:rFonts w:ascii="Arial" w:cs="Arial" w:eastAsia="Arial" w:hAnsi="Arial"/>
          <w:sz w:val="22"/>
          <w:szCs w:val="22"/>
          <w:color w:val="auto"/>
        </w:rPr>
      </w:pPr>
      <w:r>
        <w:rPr>
          <w:rFonts w:ascii="Arial" w:cs="Arial" w:eastAsia="Arial" w:hAnsi="Arial"/>
          <w:sz w:val="22"/>
          <w:szCs w:val="22"/>
          <w:i w:val="1"/>
          <w:iCs w:val="1"/>
          <w:color w:val="auto"/>
        </w:rPr>
        <w:t xml:space="preserve">District of Columbia. </w:t>
      </w:r>
      <w:r>
        <w:rPr>
          <w:rFonts w:ascii="Arial" w:cs="Arial" w:eastAsia="Arial" w:hAnsi="Arial"/>
          <w:sz w:val="22"/>
          <w:szCs w:val="22"/>
          <w:color w:val="auto"/>
        </w:rPr>
        <w:t>Grantee is advised of the following notice: “The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Lilly has determined that Grantee is a highly compensated employee. For more information about the Ban on Non-Compete Agreements Amendment Act of 2020, contact the District of Columbia Department of Employment Services (DOES).”</w:t>
      </w:r>
    </w:p>
    <w:p>
      <w:pPr>
        <w:spacing w:after="0" w:line="179" w:lineRule="exact"/>
        <w:rPr>
          <w:rFonts w:ascii="Arial" w:cs="Arial" w:eastAsia="Arial" w:hAnsi="Arial"/>
          <w:sz w:val="22"/>
          <w:szCs w:val="22"/>
          <w:color w:val="auto"/>
        </w:rPr>
      </w:pPr>
    </w:p>
    <w:p>
      <w:pPr>
        <w:jc w:val="both"/>
        <w:ind w:left="1080" w:hanging="410"/>
        <w:spacing w:after="0" w:line="247" w:lineRule="auto"/>
        <w:tabs>
          <w:tab w:leader="none" w:pos="1253" w:val="left"/>
        </w:tabs>
        <w:numPr>
          <w:ilvl w:val="1"/>
          <w:numId w:val="110"/>
        </w:numPr>
        <w:rPr>
          <w:rFonts w:ascii="Arial" w:cs="Arial" w:eastAsia="Arial" w:hAnsi="Arial"/>
          <w:sz w:val="22"/>
          <w:szCs w:val="22"/>
          <w:color w:val="auto"/>
        </w:rPr>
      </w:pPr>
      <w:r>
        <w:rPr>
          <w:rFonts w:ascii="Arial" w:cs="Arial" w:eastAsia="Arial" w:hAnsi="Arial"/>
          <w:sz w:val="22"/>
          <w:szCs w:val="22"/>
          <w:i w:val="1"/>
          <w:iCs w:val="1"/>
          <w:color w:val="auto"/>
        </w:rPr>
        <w:t xml:space="preserve">Washington. </w:t>
      </w:r>
      <w:r>
        <w:rPr>
          <w:rFonts w:ascii="Arial" w:cs="Arial" w:eastAsia="Arial" w:hAnsi="Arial"/>
          <w:sz w:val="22"/>
          <w:szCs w:val="22"/>
          <w:color w:val="auto"/>
        </w:rPr>
        <w:t>Subsection 12.j.(v) shall not apply to Grantee, and the following language is</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substituted as a new subsection 12.j.(viii):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12 will be interpreted and enforced in accordance with the laws of the State of Washington, without giving effect to any choice-of-law or conflict-of-law principle that would cause the application of the substantive law of any jurisdiction other than Washington. Grantee and Lilly agree that any legal action arising out of or relating to this Section 12 will be commenced and maintained exclusively before any state or federal court having appropriate subject matter jurisdiction located in Washington; further, with respect to any such legal action, Grantee and Lilly hereby irrevocably consent and submit to the personal jurisdiction and venue of such courts located in Washington.”</w:t>
      </w:r>
    </w:p>
    <w:p>
      <w:pPr>
        <w:spacing w:after="0" w:line="204" w:lineRule="exact"/>
        <w:rPr>
          <w:rFonts w:ascii="Arial" w:cs="Arial" w:eastAsia="Arial" w:hAnsi="Arial"/>
          <w:sz w:val="22"/>
          <w:szCs w:val="22"/>
          <w:color w:val="auto"/>
        </w:rPr>
      </w:pPr>
    </w:p>
    <w:p>
      <w:pPr>
        <w:jc w:val="both"/>
        <w:ind w:left="500" w:hanging="316"/>
        <w:spacing w:after="0" w:line="257" w:lineRule="auto"/>
        <w:tabs>
          <w:tab w:leader="none" w:pos="60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as of the date on which Grantee’s employment with Lilly ends, Grantee primarily is employed by and primarily provide services to Lilly in a state identified in this subsection 12.i.(ii), the following shall apply:</w:t>
      </w:r>
    </w:p>
    <w:p>
      <w:pPr>
        <w:spacing w:after="0" w:line="64" w:lineRule="exact"/>
        <w:rPr>
          <w:rFonts w:ascii="Arial" w:cs="Arial" w:eastAsia="Arial" w:hAnsi="Arial"/>
          <w:sz w:val="22"/>
          <w:szCs w:val="22"/>
          <w:color w:val="auto"/>
        </w:rPr>
      </w:pPr>
    </w:p>
    <w:p>
      <w:pPr>
        <w:jc w:val="both"/>
        <w:ind w:left="1160" w:hanging="490"/>
        <w:spacing w:after="0" w:line="257" w:lineRule="auto"/>
        <w:tabs>
          <w:tab w:leader="none" w:pos="1132" w:val="left"/>
        </w:tabs>
        <w:numPr>
          <w:ilvl w:val="1"/>
          <w:numId w:val="111"/>
        </w:numPr>
        <w:rPr>
          <w:rFonts w:ascii="Arial" w:cs="Arial" w:eastAsia="Arial" w:hAnsi="Arial"/>
          <w:sz w:val="22"/>
          <w:szCs w:val="22"/>
          <w:color w:val="auto"/>
        </w:rPr>
      </w:pPr>
      <w:r>
        <w:rPr>
          <w:rFonts w:ascii="Arial" w:cs="Arial" w:eastAsia="Arial" w:hAnsi="Arial"/>
          <w:sz w:val="22"/>
          <w:szCs w:val="22"/>
          <w:i w:val="1"/>
          <w:iCs w:val="1"/>
          <w:color w:val="auto"/>
        </w:rPr>
        <w:t xml:space="preserve">California. </w:t>
      </w:r>
      <w:r>
        <w:rPr>
          <w:rFonts w:ascii="Arial" w:cs="Arial" w:eastAsia="Arial" w:hAnsi="Arial"/>
          <w:sz w:val="22"/>
          <w:szCs w:val="22"/>
          <w:color w:val="auto"/>
        </w:rPr>
        <w:t>The “Restricted Period,” for purposes of subsections 12.b. and 12.c., means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period of Grantee’s employment with Lilly (and not, for the avoidance of doubt, for any period following the end of Grantee’s employment with Lilly), notwithstanding any other provision of Section 12 to the contrary.</w:t>
      </w:r>
    </w:p>
    <w:p>
      <w:pPr>
        <w:spacing w:after="0" w:line="171" w:lineRule="exact"/>
        <w:rPr>
          <w:rFonts w:ascii="Arial" w:cs="Arial" w:eastAsia="Arial" w:hAnsi="Arial"/>
          <w:sz w:val="22"/>
          <w:szCs w:val="22"/>
          <w:color w:val="auto"/>
        </w:rPr>
      </w:pPr>
    </w:p>
    <w:p>
      <w:pPr>
        <w:jc w:val="both"/>
        <w:ind w:left="1160" w:hanging="490"/>
        <w:spacing w:after="0" w:line="253" w:lineRule="auto"/>
        <w:tabs>
          <w:tab w:leader="none" w:pos="1307" w:val="left"/>
        </w:tabs>
        <w:numPr>
          <w:ilvl w:val="1"/>
          <w:numId w:val="111"/>
        </w:numPr>
        <w:rPr>
          <w:rFonts w:ascii="Arial" w:cs="Arial" w:eastAsia="Arial" w:hAnsi="Arial"/>
          <w:sz w:val="22"/>
          <w:szCs w:val="22"/>
          <w:color w:val="auto"/>
        </w:rPr>
      </w:pPr>
      <w:r>
        <w:rPr>
          <w:rFonts w:ascii="Arial" w:cs="Arial" w:eastAsia="Arial" w:hAnsi="Arial"/>
          <w:sz w:val="22"/>
          <w:szCs w:val="22"/>
          <w:i w:val="1"/>
          <w:iCs w:val="1"/>
          <w:color w:val="auto"/>
        </w:rPr>
        <w:t xml:space="preserve">Colorado. </w:t>
      </w:r>
      <w:r>
        <w:rPr>
          <w:rFonts w:ascii="Arial" w:cs="Arial" w:eastAsia="Arial" w:hAnsi="Arial"/>
          <w:sz w:val="22"/>
          <w:szCs w:val="22"/>
          <w:color w:val="auto"/>
        </w:rPr>
        <w:t>Subsection 12.j.(v) shall not apply to Grantee, and the following language is</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substituted as a new subsection 12.j.(v):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12 will be interpreted and enforced in accordance with the laws of the State of Colorado, without giving effect to any choice-of-law or conflict-of-law principle that would cause the application of the substantive law of any jurisdiction other than Colorado.</w:t>
      </w:r>
    </w:p>
    <w:p>
      <w:pPr>
        <w:sectPr>
          <w:pgSz w:w="11900" w:h="16838" w:orient="portrait"/>
          <w:cols w:equalWidth="0" w:num="1">
            <w:col w:w="10120"/>
          </w:cols>
          <w:pgMar w:left="1440" w:top="1440" w:right="339" w:bottom="1440" w:gutter="0" w:footer="0" w:header="0"/>
        </w:sectPr>
      </w:pPr>
    </w:p>
    <w:bookmarkStart w:id="154" w:name="page155"/>
    <w:bookmarkEnd w:id="154"/>
    <w:p>
      <w:pPr>
        <w:spacing w:after="0" w:line="200" w:lineRule="exact"/>
        <w:rPr>
          <w:sz w:val="20"/>
          <w:szCs w:val="20"/>
          <w:color w:val="auto"/>
        </w:rPr>
      </w:pPr>
    </w:p>
    <w:p>
      <w:pPr>
        <w:spacing w:after="0" w:line="229" w:lineRule="exact"/>
        <w:rPr>
          <w:sz w:val="20"/>
          <w:szCs w:val="20"/>
          <w:color w:val="auto"/>
        </w:rPr>
      </w:pPr>
    </w:p>
    <w:p>
      <w:pPr>
        <w:jc w:val="both"/>
        <w:ind w:left="1160"/>
        <w:spacing w:after="0" w:line="250" w:lineRule="auto"/>
        <w:rPr>
          <w:sz w:val="20"/>
          <w:szCs w:val="20"/>
          <w:color w:val="auto"/>
        </w:rPr>
      </w:pPr>
      <w:r>
        <w:rPr>
          <w:rFonts w:ascii="Arial" w:cs="Arial" w:eastAsia="Arial" w:hAnsi="Arial"/>
          <w:sz w:val="22"/>
          <w:szCs w:val="22"/>
          <w:color w:val="auto"/>
        </w:rPr>
        <w:t>Grantee and Lilly agree that any legal action arising out of or relating to this Section 12 will be commenced and maintained exclusively before any state or federal court having appropriate subject matter jurisdiction located in Colorado; further, with respect to any such legal action, Grantee and Lilly hereby irrevocably consent and submit to the personal jurisdiction and venue of such courts located in Colorado.”</w:t>
      </w:r>
    </w:p>
    <w:p>
      <w:pPr>
        <w:spacing w:after="0" w:line="194" w:lineRule="exact"/>
        <w:rPr>
          <w:sz w:val="20"/>
          <w:szCs w:val="20"/>
          <w:color w:val="auto"/>
        </w:rPr>
      </w:pPr>
    </w:p>
    <w:p>
      <w:pPr>
        <w:ind w:left="1120" w:hanging="450"/>
        <w:spacing w:after="0"/>
        <w:tabs>
          <w:tab w:leader="none" w:pos="1120" w:val="left"/>
        </w:tabs>
        <w:numPr>
          <w:ilvl w:val="1"/>
          <w:numId w:val="112"/>
        </w:numPr>
        <w:rPr>
          <w:rFonts w:ascii="Arial" w:cs="Arial" w:eastAsia="Arial" w:hAnsi="Arial"/>
          <w:sz w:val="22"/>
          <w:szCs w:val="22"/>
          <w:color w:val="auto"/>
        </w:rPr>
      </w:pPr>
      <w:r>
        <w:rPr>
          <w:rFonts w:ascii="Arial" w:cs="Arial" w:eastAsia="Arial" w:hAnsi="Arial"/>
          <w:sz w:val="22"/>
          <w:szCs w:val="22"/>
          <w:i w:val="1"/>
          <w:iCs w:val="1"/>
          <w:color w:val="auto"/>
        </w:rPr>
        <w:t>Massachusetts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880" w:right="20" w:hanging="319"/>
        <w:spacing w:after="0" w:line="257" w:lineRule="auto"/>
        <w:tabs>
          <w:tab w:leader="none" w:pos="2081" w:val="left"/>
        </w:tabs>
        <w:numPr>
          <w:ilvl w:val="2"/>
          <w:numId w:val="112"/>
        </w:numPr>
        <w:rPr>
          <w:rFonts w:ascii="Arial" w:cs="Arial" w:eastAsia="Arial" w:hAnsi="Arial"/>
          <w:sz w:val="22"/>
          <w:szCs w:val="22"/>
          <w:color w:val="auto"/>
        </w:rPr>
      </w:pPr>
      <w:r>
        <w:rPr>
          <w:rFonts w:ascii="Arial" w:cs="Arial" w:eastAsia="Arial" w:hAnsi="Arial"/>
          <w:sz w:val="22"/>
          <w:szCs w:val="22"/>
          <w:color w:val="auto"/>
        </w:rPr>
        <w:t>Subsection 12.b. shall not apply during the Restricted Period following the end of Grantee’s employment with Lilly if Grantee’s employment with Lilly ended as a result of a termination of Grantee’s employment by Lilly without cause or in a layoff.</w:t>
      </w:r>
    </w:p>
    <w:p>
      <w:pPr>
        <w:spacing w:after="0" w:line="172" w:lineRule="exact"/>
        <w:rPr>
          <w:rFonts w:ascii="Arial" w:cs="Arial" w:eastAsia="Arial" w:hAnsi="Arial"/>
          <w:sz w:val="22"/>
          <w:szCs w:val="22"/>
          <w:color w:val="auto"/>
        </w:rPr>
      </w:pPr>
    </w:p>
    <w:p>
      <w:pPr>
        <w:jc w:val="both"/>
        <w:ind w:left="1880" w:hanging="319"/>
        <w:spacing w:after="0" w:line="248" w:lineRule="auto"/>
        <w:tabs>
          <w:tab w:leader="none" w:pos="2221" w:val="left"/>
        </w:tabs>
        <w:numPr>
          <w:ilvl w:val="2"/>
          <w:numId w:val="112"/>
        </w:numPr>
        <w:rPr>
          <w:rFonts w:ascii="Arial" w:cs="Arial" w:eastAsia="Arial" w:hAnsi="Arial"/>
          <w:sz w:val="22"/>
          <w:szCs w:val="22"/>
          <w:color w:val="auto"/>
        </w:rPr>
      </w:pPr>
      <w:r>
        <w:rPr>
          <w:rFonts w:ascii="Arial" w:cs="Arial" w:eastAsia="Arial" w:hAnsi="Arial"/>
          <w:sz w:val="22"/>
          <w:szCs w:val="22"/>
          <w:color w:val="auto"/>
        </w:rPr>
        <w:t>Subsection 12.j.(v) shall not apply to Grantee, and the following language is substituted as a new subsection 12.j.(v):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12 will be interpreted and enforced in accordance with the laws of the State of Massachusetts, without giving effect to any choice-of-law or conflict-of-law principle that would cause the application of the substantive law of any jurisdiction other than Massachusetts. Grantee and Lilly agree that any legal action arising out of or relating to this Section 12 will be commenced and maintained exclusively before any state or federal court having appropriate subject matter jurisdiction located in Massachusetts; further, with respect to any such legal action, Grantee and Lilly hereby irrevocably consent and submit to the personal jurisdiction and venue of such courts located in Massachusetts.</w:t>
      </w:r>
    </w:p>
    <w:p>
      <w:pPr>
        <w:spacing w:after="0" w:line="189" w:lineRule="exact"/>
        <w:rPr>
          <w:rFonts w:ascii="Arial" w:cs="Arial" w:eastAsia="Arial" w:hAnsi="Arial"/>
          <w:sz w:val="22"/>
          <w:szCs w:val="22"/>
          <w:color w:val="auto"/>
        </w:rPr>
      </w:pPr>
    </w:p>
    <w:p>
      <w:pPr>
        <w:jc w:val="both"/>
        <w:ind w:left="1160" w:hanging="571"/>
        <w:spacing w:after="0" w:line="257" w:lineRule="auto"/>
        <w:tabs>
          <w:tab w:leader="none" w:pos="1130" w:val="left"/>
        </w:tabs>
        <w:numPr>
          <w:ilvl w:val="0"/>
          <w:numId w:val="113"/>
        </w:numPr>
        <w:rPr>
          <w:rFonts w:ascii="Arial" w:cs="Arial" w:eastAsia="Arial" w:hAnsi="Arial"/>
          <w:sz w:val="22"/>
          <w:szCs w:val="22"/>
          <w:color w:val="auto"/>
        </w:rPr>
      </w:pPr>
      <w:r>
        <w:rPr>
          <w:rFonts w:ascii="Arial" w:cs="Arial" w:eastAsia="Arial" w:hAnsi="Arial"/>
          <w:sz w:val="22"/>
          <w:szCs w:val="22"/>
          <w:i w:val="1"/>
          <w:iCs w:val="1"/>
          <w:color w:val="auto"/>
        </w:rPr>
        <w:t xml:space="preserve">Minnesota, North Dakota, or Oklahoma. </w:t>
      </w:r>
      <w:r>
        <w:rPr>
          <w:rFonts w:ascii="Arial" w:cs="Arial" w:eastAsia="Arial" w:hAnsi="Arial"/>
          <w:sz w:val="22"/>
          <w:szCs w:val="22"/>
          <w:color w:val="auto"/>
        </w:rPr>
        <w:t>The “Restricted Period,” for purposes of subsection</w:t>
      </w:r>
      <w:r>
        <w:rPr>
          <w:rFonts w:ascii="Arial" w:cs="Arial" w:eastAsia="Arial" w:hAnsi="Arial"/>
          <w:sz w:val="22"/>
          <w:szCs w:val="22"/>
          <w:i w:val="1"/>
          <w:iCs w:val="1"/>
          <w:color w:val="auto"/>
        </w:rPr>
        <w:t xml:space="preserve"> </w:t>
      </w:r>
      <w:r>
        <w:rPr>
          <w:rFonts w:ascii="Arial" w:cs="Arial" w:eastAsia="Arial" w:hAnsi="Arial"/>
          <w:sz w:val="22"/>
          <w:szCs w:val="22"/>
          <w:color w:val="auto"/>
        </w:rPr>
        <w:t>12.b., means during the period of Grantee’s employment with Lilly (and not, for the avoidance of doubt, for any period following the end of Grantee’s employment with Lilly), notwithstanding any other provision of Section 12 to the contrary.</w:t>
      </w:r>
    </w:p>
    <w:p>
      <w:pPr>
        <w:spacing w:after="0" w:line="171" w:lineRule="exact"/>
        <w:rPr>
          <w:rFonts w:ascii="Arial" w:cs="Arial" w:eastAsia="Arial" w:hAnsi="Arial"/>
          <w:sz w:val="22"/>
          <w:szCs w:val="22"/>
          <w:color w:val="auto"/>
        </w:rPr>
      </w:pPr>
    </w:p>
    <w:p>
      <w:pPr>
        <w:ind w:left="1040" w:hanging="451"/>
        <w:spacing w:after="0"/>
        <w:tabs>
          <w:tab w:leader="none" w:pos="1040" w:val="left"/>
        </w:tabs>
        <w:numPr>
          <w:ilvl w:val="0"/>
          <w:numId w:val="113"/>
        </w:numPr>
        <w:rPr>
          <w:rFonts w:ascii="Arial" w:cs="Arial" w:eastAsia="Arial" w:hAnsi="Arial"/>
          <w:sz w:val="22"/>
          <w:szCs w:val="22"/>
          <w:color w:val="auto"/>
        </w:rPr>
      </w:pPr>
      <w:r>
        <w:rPr>
          <w:rFonts w:ascii="Arial" w:cs="Arial" w:eastAsia="Arial" w:hAnsi="Arial"/>
          <w:sz w:val="22"/>
          <w:szCs w:val="22"/>
          <w:i w:val="1"/>
          <w:iCs w:val="1"/>
          <w:color w:val="auto"/>
        </w:rPr>
        <w:t>Nevada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880" w:right="20" w:hanging="319"/>
        <w:spacing w:after="0" w:line="264" w:lineRule="auto"/>
        <w:tabs>
          <w:tab w:leader="none" w:pos="2081" w:val="left"/>
        </w:tabs>
        <w:numPr>
          <w:ilvl w:val="2"/>
          <w:numId w:val="113"/>
        </w:numPr>
        <w:rPr>
          <w:rFonts w:ascii="Arial" w:cs="Arial" w:eastAsia="Arial" w:hAnsi="Arial"/>
          <w:sz w:val="22"/>
          <w:szCs w:val="22"/>
          <w:color w:val="auto"/>
        </w:rPr>
      </w:pPr>
      <w:r>
        <w:rPr>
          <w:rFonts w:ascii="Arial" w:cs="Arial" w:eastAsia="Arial" w:hAnsi="Arial"/>
          <w:sz w:val="22"/>
          <w:szCs w:val="22"/>
          <w:color w:val="auto"/>
        </w:rPr>
        <w:t>Subsection 12.b. shall not apply during the Restricted Period following the end of Grantee’s employment with Lilly if Grantee’s employment with Lilly ended as a result of a reduction of force, reorganization or similar restructuring.</w:t>
      </w:r>
    </w:p>
    <w:p>
      <w:pPr>
        <w:spacing w:after="0" w:line="164" w:lineRule="exact"/>
        <w:rPr>
          <w:rFonts w:ascii="Arial" w:cs="Arial" w:eastAsia="Arial" w:hAnsi="Arial"/>
          <w:sz w:val="22"/>
          <w:szCs w:val="22"/>
          <w:color w:val="auto"/>
        </w:rPr>
      </w:pPr>
    </w:p>
    <w:p>
      <w:pPr>
        <w:jc w:val="both"/>
        <w:ind w:left="1880" w:hanging="319"/>
        <w:spacing w:after="0" w:line="257" w:lineRule="auto"/>
        <w:tabs>
          <w:tab w:leader="none" w:pos="1972" w:val="left"/>
        </w:tabs>
        <w:numPr>
          <w:ilvl w:val="2"/>
          <w:numId w:val="113"/>
        </w:numPr>
        <w:rPr>
          <w:rFonts w:ascii="Arial" w:cs="Arial" w:eastAsia="Arial" w:hAnsi="Arial"/>
          <w:sz w:val="22"/>
          <w:szCs w:val="22"/>
          <w:color w:val="auto"/>
        </w:rPr>
      </w:pPr>
      <w:r>
        <w:rPr>
          <w:rFonts w:ascii="Arial" w:cs="Arial" w:eastAsia="Arial" w:hAnsi="Arial"/>
          <w:sz w:val="22"/>
          <w:szCs w:val="22"/>
          <w:color w:val="auto"/>
        </w:rPr>
        <w:t>The following sentence shall be added to the end of subsection 12.b.: “Nothing in this subsection 12.b. shall restrict Grantee from providing a service to a customer or client of Lilly if (i) Grantee</w:t>
      </w:r>
    </w:p>
    <w:p>
      <w:pPr>
        <w:sectPr>
          <w:pgSz w:w="11900" w:h="16838" w:orient="portrait"/>
          <w:cols w:equalWidth="0" w:num="1">
            <w:col w:w="10120"/>
          </w:cols>
          <w:pgMar w:left="1440" w:top="1440" w:right="339" w:bottom="1440" w:gutter="0" w:footer="0" w:header="0"/>
        </w:sectPr>
      </w:pPr>
    </w:p>
    <w:bookmarkStart w:id="155" w:name="page156"/>
    <w:bookmarkEnd w:id="155"/>
    <w:p>
      <w:pPr>
        <w:spacing w:after="0" w:line="200" w:lineRule="exact"/>
        <w:rPr>
          <w:sz w:val="20"/>
          <w:szCs w:val="20"/>
          <w:color w:val="auto"/>
        </w:rPr>
      </w:pPr>
    </w:p>
    <w:p>
      <w:pPr>
        <w:spacing w:after="0" w:line="229" w:lineRule="exact"/>
        <w:rPr>
          <w:sz w:val="20"/>
          <w:szCs w:val="20"/>
          <w:color w:val="auto"/>
        </w:rPr>
      </w:pPr>
    </w:p>
    <w:p>
      <w:pPr>
        <w:jc w:val="both"/>
        <w:ind w:left="2263"/>
        <w:spacing w:after="0" w:line="275" w:lineRule="auto"/>
        <w:rPr>
          <w:sz w:val="20"/>
          <w:szCs w:val="20"/>
          <w:color w:val="auto"/>
        </w:rPr>
      </w:pPr>
      <w:r>
        <w:rPr>
          <w:rFonts w:ascii="Arial" w:cs="Arial" w:eastAsia="Arial" w:hAnsi="Arial"/>
          <w:sz w:val="21"/>
          <w:szCs w:val="21"/>
          <w:color w:val="auto"/>
        </w:rPr>
        <w:t>does not solicit the customer or client, (ii) the customer or client voluntarily chose to leave and seek services from Grantee, and (iii) Grantee is otherwise in full compliance with the terms and conditions of this Section 12 (including subsection 12.b. hereof).”</w:t>
      </w:r>
    </w:p>
    <w:p>
      <w:pPr>
        <w:spacing w:after="0" w:line="155" w:lineRule="exact"/>
        <w:rPr>
          <w:sz w:val="20"/>
          <w:szCs w:val="20"/>
          <w:color w:val="auto"/>
        </w:rPr>
      </w:pPr>
    </w:p>
    <w:p>
      <w:pPr>
        <w:jc w:val="both"/>
        <w:ind w:left="1543" w:hanging="490"/>
        <w:spacing w:after="0" w:line="264" w:lineRule="auto"/>
        <w:tabs>
          <w:tab w:leader="none" w:pos="1478" w:val="left"/>
        </w:tabs>
        <w:numPr>
          <w:ilvl w:val="2"/>
          <w:numId w:val="114"/>
        </w:numPr>
        <w:rPr>
          <w:rFonts w:ascii="Arial" w:cs="Arial" w:eastAsia="Arial" w:hAnsi="Arial"/>
          <w:sz w:val="22"/>
          <w:szCs w:val="22"/>
          <w:color w:val="auto"/>
        </w:rPr>
      </w:pPr>
      <w:r>
        <w:rPr>
          <w:rFonts w:ascii="Arial" w:cs="Arial" w:eastAsia="Arial" w:hAnsi="Arial"/>
          <w:sz w:val="22"/>
          <w:szCs w:val="22"/>
          <w:i w:val="1"/>
          <w:iCs w:val="1"/>
          <w:color w:val="auto"/>
        </w:rPr>
        <w:t>Virginia</w:t>
      </w:r>
      <w:r>
        <w:rPr>
          <w:rFonts w:ascii="Arial" w:cs="Arial" w:eastAsia="Arial" w:hAnsi="Arial"/>
          <w:sz w:val="22"/>
          <w:szCs w:val="22"/>
          <w:color w:val="auto"/>
        </w:rPr>
        <w:t>. The following sentence shall be added to the end of subsection 12.c.: “Nothing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subsection 12.c. shall restrict Grantee from providing a service to a customer or client of Lilly if Grantee does not initiate contact with or solicit the customer or client.”</w:t>
      </w:r>
    </w:p>
    <w:p>
      <w:pPr>
        <w:spacing w:after="0" w:line="164" w:lineRule="exact"/>
        <w:rPr>
          <w:rFonts w:ascii="Arial" w:cs="Arial" w:eastAsia="Arial" w:hAnsi="Arial"/>
          <w:sz w:val="22"/>
          <w:szCs w:val="22"/>
          <w:color w:val="auto"/>
        </w:rPr>
      </w:pPr>
    </w:p>
    <w:p>
      <w:pPr>
        <w:ind w:left="1523" w:hanging="470"/>
        <w:spacing w:after="0"/>
        <w:tabs>
          <w:tab w:leader="none" w:pos="1523" w:val="left"/>
        </w:tabs>
        <w:numPr>
          <w:ilvl w:val="2"/>
          <w:numId w:val="114"/>
        </w:numPr>
        <w:rPr>
          <w:rFonts w:ascii="Arial" w:cs="Arial" w:eastAsia="Arial" w:hAnsi="Arial"/>
          <w:sz w:val="22"/>
          <w:szCs w:val="22"/>
          <w:color w:val="auto"/>
        </w:rPr>
      </w:pPr>
      <w:r>
        <w:rPr>
          <w:rFonts w:ascii="Arial" w:cs="Arial" w:eastAsia="Arial" w:hAnsi="Arial"/>
          <w:sz w:val="22"/>
          <w:szCs w:val="22"/>
          <w:i w:val="1"/>
          <w:iCs w:val="1"/>
          <w:color w:val="auto"/>
        </w:rPr>
        <w:t>Washington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263" w:right="20" w:hanging="319"/>
        <w:spacing w:after="0" w:line="257" w:lineRule="auto"/>
        <w:tabs>
          <w:tab w:leader="none" w:pos="2464" w:val="left"/>
        </w:tabs>
        <w:numPr>
          <w:ilvl w:val="3"/>
          <w:numId w:val="114"/>
        </w:numPr>
        <w:rPr>
          <w:rFonts w:ascii="Arial" w:cs="Arial" w:eastAsia="Arial" w:hAnsi="Arial"/>
          <w:sz w:val="22"/>
          <w:szCs w:val="22"/>
          <w:color w:val="auto"/>
        </w:rPr>
      </w:pPr>
      <w:r>
        <w:rPr>
          <w:rFonts w:ascii="Arial" w:cs="Arial" w:eastAsia="Arial" w:hAnsi="Arial"/>
          <w:sz w:val="22"/>
          <w:szCs w:val="22"/>
          <w:color w:val="auto"/>
        </w:rPr>
        <w:t>Subsection 12.b. shall not apply during the Restricted Period following the end of Grantee’s employment with Lilly if Grantee’s employment with Lilly ended as a result of a layoff.</w:t>
      </w:r>
    </w:p>
    <w:p>
      <w:pPr>
        <w:spacing w:after="0" w:line="186" w:lineRule="exact"/>
        <w:rPr>
          <w:rFonts w:ascii="Arial" w:cs="Arial" w:eastAsia="Arial" w:hAnsi="Arial"/>
          <w:sz w:val="22"/>
          <w:szCs w:val="22"/>
          <w:color w:val="auto"/>
        </w:rPr>
      </w:pPr>
    </w:p>
    <w:p>
      <w:pPr>
        <w:jc w:val="both"/>
        <w:ind w:left="2263" w:hanging="319"/>
        <w:spacing w:after="0" w:line="247" w:lineRule="auto"/>
        <w:tabs>
          <w:tab w:leader="none" w:pos="2604" w:val="left"/>
        </w:tabs>
        <w:numPr>
          <w:ilvl w:val="3"/>
          <w:numId w:val="114"/>
        </w:numPr>
        <w:rPr>
          <w:rFonts w:ascii="Arial" w:cs="Arial" w:eastAsia="Arial" w:hAnsi="Arial"/>
          <w:sz w:val="22"/>
          <w:szCs w:val="22"/>
          <w:color w:val="auto"/>
        </w:rPr>
      </w:pPr>
      <w:r>
        <w:rPr>
          <w:rFonts w:ascii="Arial" w:cs="Arial" w:eastAsia="Arial" w:hAnsi="Arial"/>
          <w:sz w:val="22"/>
          <w:szCs w:val="22"/>
          <w:color w:val="auto"/>
        </w:rPr>
        <w:t>Subsection 12.j.(v) shall not apply to Grantee, and the following language is substituted as a new subsection 12.j.(viii):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12 will be interpreted and enforced in accordance with the laws of the State of Washington, without giving effect to any choice-of-law or conflict-of-law principle that would cause the application of the substantive law of any jurisdiction other than Washington. Grantee and Lilly agree that any legal action arising out of or relating to this Section 12 will be commenced and maintained exclusively before any state or federal court having appropriate subject matter jurisdiction located in Washington; further, with respect to any such legal action, Grantee and Lilly hereby irrevocably consent and submit to the personal jurisdiction and venue of such courts located in Washington.”</w:t>
      </w:r>
    </w:p>
    <w:p>
      <w:pPr>
        <w:spacing w:after="0" w:line="200" w:lineRule="exact"/>
        <w:rPr>
          <w:rFonts w:ascii="Arial" w:cs="Arial" w:eastAsia="Arial" w:hAnsi="Arial"/>
          <w:sz w:val="22"/>
          <w:szCs w:val="22"/>
          <w:color w:val="auto"/>
        </w:rPr>
      </w:pPr>
    </w:p>
    <w:p>
      <w:pPr>
        <w:ind w:left="343" w:hanging="343"/>
        <w:spacing w:after="0"/>
        <w:tabs>
          <w:tab w:leader="none" w:pos="343"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Other Provisions.</w:t>
      </w:r>
    </w:p>
    <w:p>
      <w:pPr>
        <w:spacing w:after="0" w:line="111" w:lineRule="exact"/>
        <w:rPr>
          <w:rFonts w:ascii="Arial" w:cs="Arial" w:eastAsia="Arial" w:hAnsi="Arial"/>
          <w:sz w:val="22"/>
          <w:szCs w:val="22"/>
          <w:color w:val="auto"/>
        </w:rPr>
      </w:pPr>
    </w:p>
    <w:p>
      <w:pPr>
        <w:jc w:val="both"/>
        <w:ind w:left="883" w:hanging="316"/>
        <w:spacing w:after="0" w:line="251" w:lineRule="auto"/>
        <w:tabs>
          <w:tab w:leader="none" w:pos="1042" w:val="left"/>
        </w:tabs>
        <w:numPr>
          <w:ilvl w:val="1"/>
          <w:numId w:val="115"/>
        </w:numPr>
        <w:rPr>
          <w:rFonts w:ascii="Arial" w:cs="Arial" w:eastAsia="Arial" w:hAnsi="Arial"/>
          <w:sz w:val="22"/>
          <w:szCs w:val="22"/>
          <w:color w:val="auto"/>
        </w:rPr>
      </w:pPr>
      <w:r>
        <w:rPr>
          <w:rFonts w:ascii="Arial" w:cs="Arial" w:eastAsia="Arial" w:hAnsi="Arial"/>
          <w:sz w:val="22"/>
          <w:szCs w:val="22"/>
          <w:i w:val="1"/>
          <w:iCs w:val="1"/>
          <w:color w:val="auto"/>
        </w:rPr>
        <w:t>Successors and Assigns; Third Party Beneficiaries</w:t>
      </w:r>
      <w:r>
        <w:rPr>
          <w:rFonts w:ascii="Arial" w:cs="Arial" w:eastAsia="Arial" w:hAnsi="Arial"/>
          <w:sz w:val="22"/>
          <w:szCs w:val="22"/>
          <w:color w:val="auto"/>
        </w:rPr>
        <w:t>. This Section 12 shall bind and inure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benefit of and be enforceable by Lilly, the Lilly Group Companies and Grantee and their respective successors and assigns; provided, Grantee’s rights and obligations under this Section 12 may not be assigned or delegated. Grantee acknowledges and agrees that any Lilly Group Company is an intended third-party beneficiary of Section 12 of this Award Agreement, which may be enforced by Lilly or any such Lilly Group Company, either singularly or jointly.</w:t>
      </w:r>
    </w:p>
    <w:p>
      <w:pPr>
        <w:spacing w:after="0" w:line="73" w:lineRule="exact"/>
        <w:rPr>
          <w:rFonts w:ascii="Arial" w:cs="Arial" w:eastAsia="Arial" w:hAnsi="Arial"/>
          <w:sz w:val="22"/>
          <w:szCs w:val="22"/>
          <w:color w:val="auto"/>
        </w:rPr>
      </w:pPr>
    </w:p>
    <w:p>
      <w:pPr>
        <w:jc w:val="both"/>
        <w:ind w:left="883" w:hanging="316"/>
        <w:spacing w:after="0" w:line="268" w:lineRule="auto"/>
        <w:tabs>
          <w:tab w:leader="none" w:pos="982" w:val="left"/>
        </w:tabs>
        <w:numPr>
          <w:ilvl w:val="1"/>
          <w:numId w:val="115"/>
        </w:numPr>
        <w:rPr>
          <w:rFonts w:ascii="Arial" w:cs="Arial" w:eastAsia="Arial" w:hAnsi="Arial"/>
          <w:sz w:val="21"/>
          <w:szCs w:val="21"/>
          <w:color w:val="auto"/>
        </w:rPr>
      </w:pPr>
      <w:r>
        <w:rPr>
          <w:rFonts w:ascii="Arial" w:cs="Arial" w:eastAsia="Arial" w:hAnsi="Arial"/>
          <w:sz w:val="21"/>
          <w:szCs w:val="21"/>
          <w:i w:val="1"/>
          <w:iCs w:val="1"/>
          <w:color w:val="auto"/>
        </w:rPr>
        <w:t>Reformation; Severability</w:t>
      </w:r>
      <w:r>
        <w:rPr>
          <w:rFonts w:ascii="Arial" w:cs="Arial" w:eastAsia="Arial" w:hAnsi="Arial"/>
          <w:sz w:val="21"/>
          <w:szCs w:val="21"/>
          <w:color w:val="auto"/>
        </w:rPr>
        <w:t>. Grantee and Lilly acknowledge and agree that if any particular covenant</w:t>
      </w:r>
      <w:r>
        <w:rPr>
          <w:rFonts w:ascii="Arial" w:cs="Arial" w:eastAsia="Arial" w:hAnsi="Arial"/>
          <w:sz w:val="21"/>
          <w:szCs w:val="21"/>
          <w:i w:val="1"/>
          <w:iCs w:val="1"/>
          <w:color w:val="auto"/>
        </w:rPr>
        <w:t xml:space="preserve"> </w:t>
      </w:r>
      <w:r>
        <w:rPr>
          <w:rFonts w:ascii="Arial" w:cs="Arial" w:eastAsia="Arial" w:hAnsi="Arial"/>
          <w:sz w:val="21"/>
          <w:szCs w:val="21"/>
          <w:color w:val="auto"/>
        </w:rPr>
        <w:t>or provision is determined by a court to be unreasonable or unenforceable in any respect, including the time period, geographic area, or scope of activity covered by any restrictive covenant, such covenant or provision will be reformed or modified so that such covenant or provision will have the closest effect permitted by applicable law to the original form and will be given</w:t>
      </w:r>
    </w:p>
    <w:p>
      <w:pPr>
        <w:sectPr>
          <w:pgSz w:w="11900" w:h="16838" w:orient="portrait"/>
          <w:cols w:equalWidth="0" w:num="1">
            <w:col w:w="10503"/>
          </w:cols>
          <w:pgMar w:left="1057" w:top="1440" w:right="339" w:bottom="1440" w:gutter="0" w:footer="0" w:header="0"/>
        </w:sectPr>
      </w:pPr>
    </w:p>
    <w:bookmarkStart w:id="156" w:name="page157"/>
    <w:bookmarkEnd w:id="156"/>
    <w:p>
      <w:pPr>
        <w:spacing w:after="0" w:line="200" w:lineRule="exact"/>
        <w:rPr>
          <w:sz w:val="20"/>
          <w:szCs w:val="20"/>
          <w:color w:val="auto"/>
        </w:rPr>
      </w:pPr>
    </w:p>
    <w:p>
      <w:pPr>
        <w:spacing w:after="0" w:line="229"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color w:val="auto"/>
        </w:rPr>
        <w:t>effect and enforced as so reformed or modified, or, if such reformation or modification is not possible, such covenant or provision will be removed from this Section 12. In either case, this Section 12 shall be interpreted, even if reformed or modified, to achieve the full intent expressed, and the other provisions of this Section 12 will remain in force and unmodified and will be enforced as written. Any court interpreting any restrictive covenant provision of this Section 12 will, if necessary, reform or modify any such provision to make it enforceable under applicable law.</w:t>
      </w:r>
    </w:p>
    <w:p>
      <w:pPr>
        <w:spacing w:after="0" w:line="73" w:lineRule="exact"/>
        <w:rPr>
          <w:sz w:val="20"/>
          <w:szCs w:val="20"/>
          <w:color w:val="auto"/>
        </w:rPr>
      </w:pPr>
    </w:p>
    <w:p>
      <w:pPr>
        <w:jc w:val="both"/>
        <w:ind w:left="500" w:hanging="316"/>
        <w:spacing w:after="0" w:line="248" w:lineRule="auto"/>
        <w:tabs>
          <w:tab w:leader="none" w:pos="674"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Section 12 embodies the complete agreement and understanding among</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parties hereto and supersedes and preempts any prior understandings, discussions, agreements or representations by or among the parties hereto, written or oral, which may have related to the subject matter hereof. Notwithstanding the foregoing, this Section 12 is intended to, among other things, supplement (and not supersede) all applicable statutes protecting trade secrets and the duties Grantee owes to Lilly or any of the Lilly Group Companies under the common law, as well as any other written non-competition, non-solicitation, or confidentiality provisions that Grantee agreed to in the past, including those in Grantee’s Employee Confidentiality and Invention Agreement and any Non-Compete Payment Agreement entered into between Grantee and Lilly (collectively, “Prior Agreements”), each of which remains in full force and effect, or that Grantee agrees to in writing in the future. To the extent of conflict between this Section 12 and any Prior Agreement, this Section 12 shall control.</w:t>
      </w:r>
    </w:p>
    <w:p>
      <w:pPr>
        <w:spacing w:after="0" w:line="76" w:lineRule="exact"/>
        <w:rPr>
          <w:rFonts w:ascii="Arial" w:cs="Arial" w:eastAsia="Arial" w:hAnsi="Arial"/>
          <w:sz w:val="22"/>
          <w:szCs w:val="22"/>
          <w:color w:val="auto"/>
        </w:rPr>
      </w:pPr>
    </w:p>
    <w:p>
      <w:pPr>
        <w:jc w:val="both"/>
        <w:ind w:left="500" w:hanging="316"/>
        <w:spacing w:after="0" w:line="253" w:lineRule="auto"/>
        <w:tabs>
          <w:tab w:leader="none" w:pos="670"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Amendment and Waiver</w:t>
      </w:r>
      <w:r>
        <w:rPr>
          <w:rFonts w:ascii="Arial" w:cs="Arial" w:eastAsia="Arial" w:hAnsi="Arial"/>
          <w:sz w:val="22"/>
          <w:szCs w:val="22"/>
          <w:color w:val="auto"/>
        </w:rPr>
        <w:t>. This Section 12 may be amended, and any provision of this Section 12</w:t>
      </w:r>
      <w:r>
        <w:rPr>
          <w:rFonts w:ascii="Arial" w:cs="Arial" w:eastAsia="Arial" w:hAnsi="Arial"/>
          <w:sz w:val="22"/>
          <w:szCs w:val="22"/>
          <w:i w:val="1"/>
          <w:iCs w:val="1"/>
          <w:color w:val="auto"/>
        </w:rPr>
        <w:t xml:space="preserve"> </w:t>
      </w:r>
      <w:r>
        <w:rPr>
          <w:rFonts w:ascii="Arial" w:cs="Arial" w:eastAsia="Arial" w:hAnsi="Arial"/>
          <w:sz w:val="22"/>
          <w:szCs w:val="22"/>
          <w:color w:val="auto"/>
        </w:rPr>
        <w:t>may be waived, only by a written agreement executed and delivered by Lilly and Grantee. No course of dealing between or among the parties hereto shall be deemed effective to modify, amend or discharge any part of this Section 12 or any rights or obligations of any party hereto under or by reason of this Section 12.</w:t>
      </w:r>
    </w:p>
    <w:p>
      <w:pPr>
        <w:spacing w:after="0" w:line="70" w:lineRule="exact"/>
        <w:rPr>
          <w:rFonts w:ascii="Arial" w:cs="Arial" w:eastAsia="Arial" w:hAnsi="Arial"/>
          <w:sz w:val="22"/>
          <w:szCs w:val="22"/>
          <w:color w:val="auto"/>
        </w:rPr>
      </w:pPr>
    </w:p>
    <w:p>
      <w:pPr>
        <w:jc w:val="both"/>
        <w:ind w:left="500" w:hanging="316"/>
        <w:spacing w:after="0" w:line="248" w:lineRule="auto"/>
        <w:tabs>
          <w:tab w:leader="none" w:pos="676"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Choice of Law</w:t>
      </w:r>
      <w:r>
        <w:rPr>
          <w:rFonts w:ascii="Arial" w:cs="Arial" w:eastAsia="Arial" w:hAnsi="Arial"/>
          <w:sz w:val="22"/>
          <w:szCs w:val="22"/>
          <w:color w:val="auto"/>
        </w:rPr>
        <w:t>. Except as may be modified for Grantee as described in subsection 12.i.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Award Agreement, this Section 12 will be interpreted and enforced in accordance with the laws of the State of Indiana, without giving effect to any choice-of-law or conflict-of-law principle that would cause the application of the substantive law of any jurisdiction other than Indiana. Grantee and Lilly agree that any legal action arising out of or relating to this Section 12 will be commenced and maintained exclusively before any state or federal court having appropriate subject matter jurisdiction located in Indianapolis, Indiana; further, with respect to any such legal action, Grantee and Lilly hereby irrevocably consent and submit to the personal jurisdiction and venue of such courts located in Indianapolis, Indiana.</w:t>
      </w:r>
    </w:p>
    <w:p>
      <w:pPr>
        <w:spacing w:after="0" w:line="90" w:lineRule="exact"/>
        <w:rPr>
          <w:rFonts w:ascii="Arial" w:cs="Arial" w:eastAsia="Arial" w:hAnsi="Arial"/>
          <w:sz w:val="22"/>
          <w:szCs w:val="22"/>
          <w:color w:val="auto"/>
        </w:rPr>
      </w:pPr>
    </w:p>
    <w:p>
      <w:pPr>
        <w:jc w:val="both"/>
        <w:ind w:left="500" w:hanging="316"/>
        <w:spacing w:after="0" w:line="257" w:lineRule="auto"/>
        <w:tabs>
          <w:tab w:leader="none" w:pos="781"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Acknowledgements</w:t>
      </w:r>
      <w:r>
        <w:rPr>
          <w:rFonts w:ascii="Arial" w:cs="Arial" w:eastAsia="Arial" w:hAnsi="Arial"/>
          <w:sz w:val="22"/>
          <w:szCs w:val="22"/>
          <w:color w:val="auto"/>
        </w:rPr>
        <w:t>. Grantee acknowledges and agrees that Grantee has been given at least</w:t>
      </w:r>
      <w:r>
        <w:rPr>
          <w:rFonts w:ascii="Arial" w:cs="Arial" w:eastAsia="Arial" w:hAnsi="Arial"/>
          <w:sz w:val="22"/>
          <w:szCs w:val="22"/>
          <w:i w:val="1"/>
          <w:iCs w:val="1"/>
          <w:color w:val="auto"/>
        </w:rPr>
        <w:t xml:space="preserve"> </w:t>
      </w:r>
      <w:r>
        <w:rPr>
          <w:rFonts w:ascii="Arial" w:cs="Arial" w:eastAsia="Arial" w:hAnsi="Arial"/>
          <w:sz w:val="22"/>
          <w:szCs w:val="22"/>
          <w:color w:val="auto"/>
        </w:rPr>
        <w:t>fourteen (14) calendar days (or, if longer, ten (10) business days) from the date of Grantee’s receipt of this Award Agreement (the “Consideration</w:t>
      </w:r>
    </w:p>
    <w:p>
      <w:pPr>
        <w:sectPr>
          <w:pgSz w:w="11900" w:h="16838" w:orient="portrait"/>
          <w:cols w:equalWidth="0" w:num="1">
            <w:col w:w="10120"/>
          </w:cols>
          <w:pgMar w:left="1440" w:top="1440" w:right="339" w:bottom="1440" w:gutter="0" w:footer="0" w:header="0"/>
        </w:sectPr>
      </w:pPr>
    </w:p>
    <w:bookmarkStart w:id="157" w:name="page158"/>
    <w:bookmarkEnd w:id="157"/>
    <w:p>
      <w:pPr>
        <w:spacing w:after="0" w:line="200" w:lineRule="exact"/>
        <w:rPr>
          <w:sz w:val="20"/>
          <w:szCs w:val="20"/>
          <w:color w:val="auto"/>
        </w:rPr>
      </w:pPr>
    </w:p>
    <w:p>
      <w:pPr>
        <w:spacing w:after="0" w:line="229" w:lineRule="exact"/>
        <w:rPr>
          <w:sz w:val="20"/>
          <w:szCs w:val="20"/>
          <w:color w:val="auto"/>
        </w:rPr>
      </w:pPr>
    </w:p>
    <w:p>
      <w:pPr>
        <w:jc w:val="both"/>
        <w:ind w:left="1280"/>
        <w:spacing w:after="0" w:line="251" w:lineRule="auto"/>
        <w:rPr>
          <w:sz w:val="20"/>
          <w:szCs w:val="20"/>
          <w:color w:val="auto"/>
        </w:rPr>
      </w:pPr>
      <w:r>
        <w:rPr>
          <w:rFonts w:ascii="Arial" w:cs="Arial" w:eastAsia="Arial" w:hAnsi="Arial"/>
          <w:sz w:val="22"/>
          <w:szCs w:val="22"/>
          <w:color w:val="auto"/>
        </w:rPr>
        <w:t>Period”) to consider its terms. Grantee represents and warrants that, if Grantee accepts this Award Agreement before the expiration of the Consideration Period, Grantee has done so knowingly and voluntarily. Grantee also acknowledges and agrees that Grantee has read, understands and agrees with this Section 12, and that Grantee will faithfully comply with each term of this Section 12. Grantee further acknowledges that Grantee has been advised by Lilly to consult with an attorney before agreeing to this Section 12, and has had the opportunity to do so if desired.</w:t>
      </w:r>
    </w:p>
    <w:p>
      <w:pPr>
        <w:spacing w:after="0" w:line="73" w:lineRule="exact"/>
        <w:rPr>
          <w:sz w:val="20"/>
          <w:szCs w:val="20"/>
          <w:color w:val="auto"/>
        </w:rPr>
      </w:pPr>
    </w:p>
    <w:p>
      <w:pPr>
        <w:jc w:val="both"/>
        <w:ind w:left="1280" w:hanging="316"/>
        <w:spacing w:after="0" w:line="253" w:lineRule="auto"/>
        <w:tabs>
          <w:tab w:leader="none" w:pos="1487" w:val="left"/>
        </w:tabs>
        <w:numPr>
          <w:ilvl w:val="0"/>
          <w:numId w:val="117"/>
        </w:numPr>
        <w:rPr>
          <w:rFonts w:ascii="Arial" w:cs="Arial" w:eastAsia="Arial" w:hAnsi="Arial"/>
          <w:sz w:val="22"/>
          <w:szCs w:val="22"/>
          <w:color w:val="auto"/>
        </w:rPr>
      </w:pPr>
      <w:r>
        <w:rPr>
          <w:rFonts w:ascii="Arial" w:cs="Arial" w:eastAsia="Arial" w:hAnsi="Arial"/>
          <w:sz w:val="22"/>
          <w:szCs w:val="22"/>
          <w:i w:val="1"/>
          <w:iCs w:val="1"/>
          <w:color w:val="auto"/>
        </w:rPr>
        <w:t>Declaration of Consent</w:t>
      </w:r>
      <w:r>
        <w:rPr>
          <w:rFonts w:ascii="Arial" w:cs="Arial" w:eastAsia="Arial" w:hAnsi="Arial"/>
          <w:sz w:val="22"/>
          <w:szCs w:val="22"/>
          <w:color w:val="auto"/>
        </w:rPr>
        <w:t>. By accepting this Award and indicating consent via the Company’s online</w:t>
      </w:r>
      <w:r>
        <w:rPr>
          <w:rFonts w:ascii="Arial" w:cs="Arial" w:eastAsia="Arial" w:hAnsi="Arial"/>
          <w:sz w:val="22"/>
          <w:szCs w:val="22"/>
          <w:i w:val="1"/>
          <w:iCs w:val="1"/>
          <w:color w:val="auto"/>
        </w:rPr>
        <w:t xml:space="preserve"> </w:t>
      </w:r>
      <w:r>
        <w:rPr>
          <w:rFonts w:ascii="Arial" w:cs="Arial" w:eastAsia="Arial" w:hAnsi="Arial"/>
          <w:sz w:val="22"/>
          <w:szCs w:val="22"/>
          <w:color w:val="auto"/>
        </w:rPr>
        <w:t>acceptance procedure, Grantee is declaring that he or she agrees to this Section 12. No party hereto shall raise the use of the online acceptance procedure that any signature or document was transmitted or communicated through the use of an electronic device as a defense to the formation of a contract, and each such party forever waives any such defense.</w:t>
      </w:r>
    </w:p>
    <w:p>
      <w:pPr>
        <w:spacing w:after="0" w:line="174" w:lineRule="exact"/>
        <w:rPr>
          <w:sz w:val="20"/>
          <w:szCs w:val="20"/>
          <w:color w:val="auto"/>
        </w:rPr>
      </w:pPr>
    </w:p>
    <w:p>
      <w:pPr>
        <w:spacing w:after="0"/>
        <w:tabs>
          <w:tab w:leader="none" w:pos="1380" w:val="left"/>
        </w:tabs>
        <w:rPr>
          <w:sz w:val="20"/>
          <w:szCs w:val="20"/>
          <w:color w:val="auto"/>
        </w:rPr>
      </w:pPr>
      <w:r>
        <w:rPr>
          <w:rFonts w:ascii="Arial" w:cs="Arial" w:eastAsia="Arial" w:hAnsi="Arial"/>
          <w:sz w:val="23"/>
          <w:szCs w:val="23"/>
          <w:color w:val="auto"/>
        </w:rPr>
        <w:t>Section 13.</w:t>
        <w:tab/>
        <w:t>Additional Terms and Conditions</w:t>
      </w:r>
    </w:p>
    <w:p>
      <w:pPr>
        <w:spacing w:after="0" w:line="307" w:lineRule="exact"/>
        <w:rPr>
          <w:sz w:val="20"/>
          <w:szCs w:val="20"/>
          <w:color w:val="auto"/>
        </w:rPr>
      </w:pPr>
    </w:p>
    <w:p>
      <w:pPr>
        <w:ind w:left="960" w:hanging="644"/>
        <w:spacing w:after="0" w:line="251" w:lineRule="auto"/>
        <w:tabs>
          <w:tab w:leader="none" w:pos="78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86" w:lineRule="exact"/>
        <w:rPr>
          <w:rFonts w:ascii="Arial" w:cs="Arial" w:eastAsia="Arial" w:hAnsi="Arial"/>
          <w:sz w:val="22"/>
          <w:szCs w:val="22"/>
          <w:color w:val="auto"/>
        </w:rPr>
      </w:pPr>
    </w:p>
    <w:p>
      <w:pPr>
        <w:ind w:left="960" w:hanging="644"/>
        <w:spacing w:after="0" w:line="247" w:lineRule="auto"/>
        <w:tabs>
          <w:tab w:leader="none" w:pos="80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and/or Fractional Shares or rights to acquire Shares and/or Fractional Shares (e.g., the Relative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92" w:lineRule="exact"/>
        <w:rPr>
          <w:rFonts w:ascii="Arial" w:cs="Arial" w:eastAsia="Arial" w:hAnsi="Arial"/>
          <w:sz w:val="22"/>
          <w:szCs w:val="22"/>
          <w:color w:val="auto"/>
        </w:rPr>
      </w:pPr>
    </w:p>
    <w:p>
      <w:pPr>
        <w:ind w:left="960" w:hanging="644"/>
        <w:spacing w:after="0" w:line="268" w:lineRule="auto"/>
        <w:tabs>
          <w:tab w:leader="none" w:pos="76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the Award and any Shares and/or other amounts acquired pursuant to this Award under the Plan, to the extent the Company determines it is necessary or advisable for legal or administrative reasons, and to require the Grantee to execute any additional agreements or undertakings that may be necessary to</w:t>
      </w:r>
    </w:p>
    <w:p>
      <w:pPr>
        <w:sectPr>
          <w:pgSz w:w="11900" w:h="16838" w:orient="portrait"/>
          <w:cols w:equalWidth="0" w:num="1">
            <w:col w:w="10900"/>
          </w:cols>
          <w:pgMar w:left="660" w:top="1440" w:right="339" w:bottom="1440" w:gutter="0" w:footer="0" w:header="0"/>
        </w:sectPr>
      </w:pPr>
    </w:p>
    <w:bookmarkStart w:id="158" w:name="page159"/>
    <w:bookmarkEnd w:id="158"/>
    <w:p>
      <w:pPr>
        <w:spacing w:after="0" w:line="200" w:lineRule="exact"/>
        <w:rPr>
          <w:sz w:val="20"/>
          <w:szCs w:val="20"/>
          <w:color w:val="auto"/>
        </w:rPr>
      </w:pPr>
    </w:p>
    <w:p>
      <w:pPr>
        <w:spacing w:after="0" w:line="229" w:lineRule="exact"/>
        <w:rPr>
          <w:sz w:val="20"/>
          <w:szCs w:val="20"/>
          <w:color w:val="auto"/>
        </w:rPr>
      </w:pPr>
    </w:p>
    <w:p>
      <w:pPr>
        <w:jc w:val="both"/>
        <w:ind w:left="960"/>
        <w:spacing w:after="0" w:line="265" w:lineRule="auto"/>
        <w:rPr>
          <w:sz w:val="20"/>
          <w:szCs w:val="20"/>
          <w:color w:val="auto"/>
        </w:rPr>
      </w:pPr>
      <w:r>
        <w:rPr>
          <w:rFonts w:ascii="Arial" w:cs="Arial" w:eastAsia="Arial" w:hAnsi="Arial"/>
          <w:sz w:val="21"/>
          <w:szCs w:val="21"/>
          <w:color w:val="auto"/>
        </w:rPr>
        <w:t>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any compensation recovery policy of the Company that reflects the provisions of Applicable Laws, or to the extent provided in any agreement between Grantee and the Company.</w:t>
      </w:r>
    </w:p>
    <w:p>
      <w:pPr>
        <w:spacing w:after="0" w:line="174"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color w:val="auto"/>
        </w:rPr>
        <w:t>Section 14.</w:t>
        <w:tab/>
        <w:t>Governing Law and Choice of Venue</w:t>
      </w:r>
    </w:p>
    <w:p>
      <w:pPr>
        <w:spacing w:after="0" w:line="118" w:lineRule="exact"/>
        <w:rPr>
          <w:sz w:val="20"/>
          <w:szCs w:val="20"/>
          <w:color w:val="auto"/>
        </w:rPr>
      </w:pPr>
    </w:p>
    <w:p>
      <w:pPr>
        <w:jc w:val="both"/>
        <w:ind w:left="60"/>
        <w:spacing w:after="0" w:line="251"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4"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color w:val="auto"/>
        </w:rPr>
        <w:t>Section 15.</w:t>
        <w:tab/>
        <w:t>Miscellaneous Provisions</w:t>
      </w:r>
    </w:p>
    <w:p>
      <w:pPr>
        <w:spacing w:after="0" w:line="132" w:lineRule="exact"/>
        <w:rPr>
          <w:sz w:val="20"/>
          <w:szCs w:val="20"/>
          <w:color w:val="auto"/>
        </w:rPr>
      </w:pPr>
    </w:p>
    <w:p>
      <w:pPr>
        <w:ind w:left="960" w:hanging="644"/>
        <w:spacing w:after="0" w:line="261" w:lineRule="auto"/>
        <w:tabs>
          <w:tab w:leader="none" w:pos="827"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67" w:lineRule="exact"/>
        <w:rPr>
          <w:rFonts w:ascii="Arial" w:cs="Arial" w:eastAsia="Arial" w:hAnsi="Arial"/>
          <w:sz w:val="21"/>
          <w:szCs w:val="21"/>
          <w:color w:val="auto"/>
        </w:rPr>
      </w:pPr>
    </w:p>
    <w:p>
      <w:pPr>
        <w:jc w:val="both"/>
        <w:ind w:left="960" w:hanging="644"/>
        <w:spacing w:after="0" w:line="251" w:lineRule="auto"/>
        <w:tabs>
          <w:tab w:leader="none" w:pos="90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ectPr>
          <w:pgSz w:w="11900" w:h="16838" w:orient="portrait"/>
          <w:cols w:equalWidth="0" w:num="1">
            <w:col w:w="10900"/>
          </w:cols>
          <w:pgMar w:left="660" w:top="1440" w:right="339" w:bottom="1440" w:gutter="0" w:footer="0" w:header="0"/>
        </w:sectPr>
      </w:pPr>
    </w:p>
    <w:bookmarkStart w:id="159" w:name="page160"/>
    <w:bookmarkEnd w:id="159"/>
    <w:p>
      <w:pPr>
        <w:spacing w:after="0" w:line="200" w:lineRule="exact"/>
        <w:rPr>
          <w:sz w:val="20"/>
          <w:szCs w:val="20"/>
          <w:color w:val="auto"/>
        </w:rPr>
      </w:pPr>
    </w:p>
    <w:p>
      <w:pPr>
        <w:spacing w:after="0" w:line="350" w:lineRule="exact"/>
        <w:rPr>
          <w:sz w:val="20"/>
          <w:szCs w:val="20"/>
          <w:color w:val="auto"/>
        </w:rPr>
      </w:pPr>
    </w:p>
    <w:p>
      <w:pPr>
        <w:ind w:left="960" w:hanging="644"/>
        <w:spacing w:after="0" w:line="258" w:lineRule="auto"/>
        <w:tabs>
          <w:tab w:leader="none" w:pos="781" w:val="left"/>
        </w:tabs>
        <w:numPr>
          <w:ilvl w:val="0"/>
          <w:numId w:val="120"/>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76" w:lineRule="exact"/>
        <w:rPr>
          <w:rFonts w:ascii="Arial" w:cs="Arial" w:eastAsia="Arial" w:hAnsi="Arial"/>
          <w:sz w:val="23"/>
          <w:szCs w:val="23"/>
          <w:color w:val="auto"/>
        </w:rPr>
      </w:pPr>
    </w:p>
    <w:p>
      <w:pPr>
        <w:ind w:left="960" w:hanging="644"/>
        <w:spacing w:after="0" w:line="250" w:lineRule="auto"/>
        <w:tabs>
          <w:tab w:leader="none" w:pos="767" w:val="left"/>
        </w:tabs>
        <w:numPr>
          <w:ilvl w:val="0"/>
          <w:numId w:val="120"/>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74" w:lineRule="exact"/>
        <w:rPr>
          <w:sz w:val="20"/>
          <w:szCs w:val="20"/>
          <w:color w:val="auto"/>
        </w:rPr>
      </w:pPr>
    </w:p>
    <w:p>
      <w:pPr>
        <w:ind w:left="960"/>
        <w:spacing w:after="0" w:line="272"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61" w:lineRule="exact"/>
        <w:rPr>
          <w:sz w:val="20"/>
          <w:szCs w:val="20"/>
          <w:color w:val="auto"/>
        </w:rPr>
      </w:pPr>
    </w:p>
    <w:p>
      <w:pPr>
        <w:ind w:left="960" w:hanging="644"/>
        <w:spacing w:after="0" w:line="250" w:lineRule="auto"/>
        <w:tabs>
          <w:tab w:leader="none" w:pos="780" w:val="left"/>
        </w:tabs>
        <w:numPr>
          <w:ilvl w:val="0"/>
          <w:numId w:val="121"/>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and/or other amounts acquired pursuant to this Award. The Grantee should consult with his or her own personal tax, legal and financial advisors regarding the Grantee’s participation in the Plan before taking any action related to the Plan.</w:t>
      </w:r>
    </w:p>
    <w:p>
      <w:pPr>
        <w:spacing w:after="0" w:line="191"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color w:val="auto"/>
        </w:rPr>
        <w:t>Section 16.</w:t>
        <w:tab/>
        <w:t>Compensation Recovery</w:t>
      </w:r>
    </w:p>
    <w:p>
      <w:pPr>
        <w:spacing w:after="0" w:line="118" w:lineRule="exact"/>
        <w:rPr>
          <w:sz w:val="20"/>
          <w:szCs w:val="20"/>
          <w:color w:val="auto"/>
        </w:rPr>
      </w:pPr>
    </w:p>
    <w:p>
      <w:pPr>
        <w:ind w:left="960" w:hanging="644"/>
        <w:spacing w:after="0" w:line="252" w:lineRule="auto"/>
        <w:tabs>
          <w:tab w:leader="none" w:pos="76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any recovery, recoupment, “clawback” or similar policy of the Company that is in effect as of the Grant Date, including but not limited to the Eli Lilly and Company Executive Compensation Recovery Policy, effective October 2, 2023, as may be amended, restated, or superseded from time to time (with the provisions contained in such policy deemed incorporated into this Award Agreement without the Grantee’s additional or separate consent).</w:t>
      </w:r>
    </w:p>
    <w:p>
      <w:pPr>
        <w:spacing w:after="0" w:line="71" w:lineRule="exact"/>
        <w:rPr>
          <w:rFonts w:ascii="Arial" w:cs="Arial" w:eastAsia="Arial" w:hAnsi="Arial"/>
          <w:sz w:val="22"/>
          <w:szCs w:val="22"/>
          <w:color w:val="auto"/>
        </w:rPr>
      </w:pPr>
    </w:p>
    <w:p>
      <w:pPr>
        <w:ind w:left="960" w:hanging="644"/>
        <w:spacing w:after="0" w:line="253" w:lineRule="auto"/>
        <w:tabs>
          <w:tab w:leader="none" w:pos="73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80" w:lineRule="exact"/>
        <w:rPr>
          <w:rFonts w:ascii="Arial" w:cs="Arial" w:eastAsia="Arial" w:hAnsi="Arial"/>
          <w:sz w:val="22"/>
          <w:szCs w:val="22"/>
          <w:color w:val="auto"/>
        </w:rPr>
      </w:pPr>
    </w:p>
    <w:p>
      <w:pPr>
        <w:jc w:val="both"/>
        <w:ind w:left="1360" w:hanging="315"/>
        <w:spacing w:after="0" w:line="253" w:lineRule="auto"/>
        <w:tabs>
          <w:tab w:leader="none" w:pos="1484"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w:t>
      </w:r>
    </w:p>
    <w:p>
      <w:pPr>
        <w:sectPr>
          <w:pgSz w:w="11900" w:h="16838" w:orient="portrait"/>
          <w:cols w:equalWidth="0" w:num="1">
            <w:col w:w="10900"/>
          </w:cols>
          <w:pgMar w:left="660" w:top="1440" w:right="339" w:bottom="1440" w:gutter="0" w:footer="0" w:header="0"/>
        </w:sectPr>
      </w:pPr>
    </w:p>
    <w:bookmarkStart w:id="160" w:name="page161"/>
    <w:bookmarkEnd w:id="160"/>
    <w:p>
      <w:pPr>
        <w:spacing w:after="0" w:line="200" w:lineRule="exact"/>
        <w:rPr>
          <w:sz w:val="20"/>
          <w:szCs w:val="20"/>
          <w:color w:val="auto"/>
        </w:rPr>
      </w:pPr>
    </w:p>
    <w:p>
      <w:pPr>
        <w:spacing w:after="0" w:line="337" w:lineRule="exact"/>
        <w:rPr>
          <w:sz w:val="20"/>
          <w:szCs w:val="20"/>
          <w:color w:val="auto"/>
        </w:rPr>
      </w:pPr>
    </w:p>
    <w:p>
      <w:pPr>
        <w:jc w:val="both"/>
        <w:ind w:left="1360"/>
        <w:spacing w:after="0" w:line="253" w:lineRule="auto"/>
        <w:rPr>
          <w:sz w:val="20"/>
          <w:szCs w:val="20"/>
          <w:color w:val="auto"/>
        </w:rPr>
      </w:pPr>
      <w:r>
        <w:rPr>
          <w:rFonts w:ascii="Arial" w:cs="Arial" w:eastAsia="Arial" w:hAnsi="Arial"/>
          <w:sz w:val="22"/>
          <w:szCs w:val="22"/>
          <w:color w:val="auto"/>
        </w:rPr>
        <w:t>caused or partially caused the need for such a restatement; and (C)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67" w:lineRule="exact"/>
        <w:rPr>
          <w:sz w:val="20"/>
          <w:szCs w:val="20"/>
          <w:color w:val="auto"/>
        </w:rPr>
      </w:pPr>
    </w:p>
    <w:p>
      <w:pPr>
        <w:jc w:val="both"/>
        <w:ind w:left="1360" w:hanging="315"/>
        <w:spacing w:after="0" w:line="257" w:lineRule="auto"/>
        <w:tabs>
          <w:tab w:leader="none" w:pos="144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4" w:lineRule="exact"/>
        <w:rPr>
          <w:sz w:val="20"/>
          <w:szCs w:val="20"/>
          <w:color w:val="auto"/>
        </w:rPr>
      </w:pPr>
    </w:p>
    <w:p>
      <w:pPr>
        <w:jc w:val="both"/>
        <w:ind w:left="960"/>
        <w:spacing w:after="0" w:line="262" w:lineRule="auto"/>
        <w:rPr>
          <w:sz w:val="20"/>
          <w:szCs w:val="20"/>
          <w:color w:val="auto"/>
        </w:rPr>
      </w:pPr>
      <w:r>
        <w:rPr>
          <w:rFonts w:ascii="Arial" w:cs="Arial" w:eastAsia="Arial" w:hAnsi="Arial"/>
          <w:sz w:val="21"/>
          <w:szCs w:val="21"/>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78" w:lineRule="exact"/>
        <w:rPr>
          <w:sz w:val="20"/>
          <w:szCs w:val="20"/>
          <w:color w:val="auto"/>
        </w:rPr>
      </w:pPr>
    </w:p>
    <w:p>
      <w:pPr>
        <w:ind w:left="960" w:hanging="644"/>
        <w:spacing w:after="0" w:line="250" w:lineRule="auto"/>
        <w:tabs>
          <w:tab w:leader="none" w:pos="85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this Award to re-convey, transfer or otherwise return such Shares and/or other amounts acquired pursuant to this Award to the Company upon the Company’s enforcement of this Section 16.</w:t>
      </w:r>
    </w:p>
    <w:p>
      <w:pPr>
        <w:spacing w:after="0" w:line="221" w:lineRule="exact"/>
        <w:rPr>
          <w:rFonts w:ascii="Arial" w:cs="Arial" w:eastAsia="Arial" w:hAnsi="Arial"/>
          <w:sz w:val="22"/>
          <w:szCs w:val="22"/>
          <w:color w:val="auto"/>
        </w:rPr>
      </w:pPr>
    </w:p>
    <w:p>
      <w:pPr>
        <w:ind w:left="960" w:hanging="644"/>
        <w:spacing w:after="0" w:line="257" w:lineRule="auto"/>
        <w:tabs>
          <w:tab w:leader="none" w:pos="7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This Section 16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8" w:lineRule="exact"/>
        <w:rPr>
          <w:sz w:val="20"/>
          <w:szCs w:val="20"/>
          <w:color w:val="auto"/>
        </w:rPr>
      </w:pPr>
    </w:p>
    <w:p>
      <w:pPr>
        <w:spacing w:after="0"/>
        <w:tabs>
          <w:tab w:leader="none" w:pos="1380" w:val="left"/>
        </w:tabs>
        <w:rPr>
          <w:sz w:val="20"/>
          <w:szCs w:val="20"/>
          <w:color w:val="auto"/>
        </w:rPr>
      </w:pPr>
      <w:r>
        <w:rPr>
          <w:rFonts w:ascii="Arial" w:cs="Arial" w:eastAsia="Arial" w:hAnsi="Arial"/>
          <w:sz w:val="23"/>
          <w:szCs w:val="23"/>
          <w:color w:val="auto"/>
        </w:rPr>
        <w:t>Section 17.</w:t>
        <w:tab/>
        <w:t>Award Subject to Acknowledgement of Acceptance</w:t>
      </w:r>
    </w:p>
    <w:p>
      <w:pPr>
        <w:spacing w:after="0" w:line="132" w:lineRule="exact"/>
        <w:rPr>
          <w:sz w:val="20"/>
          <w:szCs w:val="20"/>
          <w:color w:val="auto"/>
        </w:rPr>
      </w:pPr>
    </w:p>
    <w:p>
      <w:pPr>
        <w:jc w:val="both"/>
        <w:ind w:left="60"/>
        <w:spacing w:after="0" w:line="253"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on or before [•], through the website of E*TRADE, the Company’s stock plan administrator. If the Grantee does not acknowledge acceptance of the Award on or before [•], the Award will be cancelled, subject to the Committee’s discretion for unforeseen circumstances.</w:t>
      </w:r>
    </w:p>
    <w:p>
      <w:pPr>
        <w:sectPr>
          <w:pgSz w:w="11900" w:h="16838" w:orient="portrait"/>
          <w:cols w:equalWidth="0" w:num="1">
            <w:col w:w="10900"/>
          </w:cols>
          <w:pgMar w:left="660" w:top="1440" w:right="339" w:bottom="1440" w:gutter="0" w:footer="0" w:header="0"/>
        </w:sectPr>
      </w:pPr>
    </w:p>
    <w:bookmarkStart w:id="161" w:name="page162"/>
    <w:bookmarkEnd w:id="161"/>
    <w:p>
      <w:pPr>
        <w:spacing w:after="0" w:line="200" w:lineRule="exact"/>
        <w:rPr>
          <w:sz w:val="20"/>
          <w:szCs w:val="20"/>
          <w:color w:val="auto"/>
        </w:rPr>
      </w:pP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90"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 _________________________</w:t>
      </w:r>
    </w:p>
    <w:p>
      <w:pPr>
        <w:sectPr>
          <w:pgSz w:w="11900" w:h="16838" w:orient="portrait"/>
          <w:cols w:equalWidth="0" w:num="1">
            <w:col w:w="10900"/>
          </w:cols>
          <w:pgMar w:left="660" w:top="1440" w:right="339" w:bottom="1440" w:gutter="0" w:footer="0" w:header="0"/>
        </w:sectPr>
      </w:pPr>
    </w:p>
    <w:bookmarkStart w:id="162" w:name="page163"/>
    <w:bookmarkEnd w:id="162"/>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Arial" w:cs="Arial" w:eastAsia="Arial" w:hAnsi="Arial"/>
          <w:sz w:val="32"/>
          <w:szCs w:val="32"/>
          <w:color w:val="auto"/>
        </w:rPr>
        <w:t>Appendix</w:t>
      </w:r>
    </w:p>
    <w:p>
      <w:pPr>
        <w:spacing w:after="0" w:line="253" w:lineRule="exact"/>
        <w:rPr>
          <w:sz w:val="20"/>
          <w:szCs w:val="20"/>
          <w:color w:val="auto"/>
        </w:rPr>
      </w:pPr>
    </w:p>
    <w:p>
      <w:pPr>
        <w:ind w:left="3800"/>
        <w:spacing w:after="0"/>
        <w:rPr>
          <w:sz w:val="20"/>
          <w:szCs w:val="20"/>
          <w:color w:val="auto"/>
        </w:rPr>
      </w:pPr>
      <w:r>
        <w:rPr>
          <w:rFonts w:ascii="Arial" w:cs="Arial" w:eastAsia="Arial" w:hAnsi="Arial"/>
          <w:sz w:val="32"/>
          <w:szCs w:val="32"/>
          <w:color w:val="auto"/>
        </w:rPr>
        <w:t>Eli Lilly and Company</w:t>
      </w:r>
    </w:p>
    <w:p>
      <w:pPr>
        <w:spacing w:after="0" w:line="56" w:lineRule="exact"/>
        <w:rPr>
          <w:sz w:val="20"/>
          <w:szCs w:val="20"/>
          <w:color w:val="auto"/>
        </w:rPr>
      </w:pPr>
    </w:p>
    <w:p>
      <w:pPr>
        <w:jc w:val="center"/>
        <w:ind w:right="240"/>
        <w:spacing w:after="0"/>
        <w:rPr>
          <w:sz w:val="20"/>
          <w:szCs w:val="20"/>
          <w:color w:val="auto"/>
        </w:rPr>
      </w:pPr>
      <w:r>
        <w:rPr>
          <w:rFonts w:ascii="Arial" w:cs="Arial" w:eastAsia="Arial" w:hAnsi="Arial"/>
          <w:sz w:val="32"/>
          <w:szCs w:val="32"/>
          <w:color w:val="auto"/>
        </w:rPr>
        <w:t>Amended and Restated 2002 Lilly Stock Plan</w:t>
      </w:r>
    </w:p>
    <w:p>
      <w:pPr>
        <w:spacing w:after="0" w:line="24" w:lineRule="exact"/>
        <w:rPr>
          <w:sz w:val="20"/>
          <w:szCs w:val="20"/>
          <w:color w:val="auto"/>
        </w:rPr>
      </w:pPr>
    </w:p>
    <w:p>
      <w:pPr>
        <w:jc w:val="center"/>
        <w:ind w:right="240"/>
        <w:spacing w:after="0"/>
        <w:rPr>
          <w:sz w:val="20"/>
          <w:szCs w:val="20"/>
          <w:color w:val="auto"/>
        </w:rPr>
      </w:pPr>
      <w:r>
        <w:rPr>
          <w:rFonts w:ascii="Arial" w:cs="Arial" w:eastAsia="Arial" w:hAnsi="Arial"/>
          <w:sz w:val="32"/>
          <w:szCs w:val="32"/>
          <w:color w:val="auto"/>
        </w:rPr>
        <w:t>Relative Value Award Agreement</w:t>
      </w:r>
    </w:p>
    <w:p>
      <w:pPr>
        <w:spacing w:after="0" w:line="250" w:lineRule="exact"/>
        <w:rPr>
          <w:sz w:val="20"/>
          <w:szCs w:val="20"/>
          <w:color w:val="auto"/>
        </w:rPr>
      </w:pPr>
    </w:p>
    <w:p>
      <w:pPr>
        <w:jc w:val="both"/>
        <w:ind w:left="160"/>
        <w:spacing w:after="0" w:line="250" w:lineRule="auto"/>
        <w:rPr>
          <w:sz w:val="20"/>
          <w:szCs w:val="20"/>
          <w:color w:val="auto"/>
        </w:rPr>
      </w:pPr>
      <w:r>
        <w:rPr>
          <w:rFonts w:ascii="Arial" w:cs="Arial" w:eastAsia="Arial" w:hAnsi="Arial"/>
          <w:sz w:val="22"/>
          <w:szCs w:val="22"/>
          <w:color w:val="auto"/>
        </w:rPr>
        <w:t>This Appendix includes special terms and conditions applicable to the Grantee’s country and the State of Colorado. These terms and conditions supplement or replace (as indicated) the terms and conditions set forth in the Award Agreement to which it is attached. If the Grantee is a citizen or resident of a country other than the one in which the Grantee is currently working and/or residing (or is considered as such for local law purposes), or if the Grantee transfers employment or residency to a different country after the Award is granted, Lilly will, in its discretion, determine the extent to which the terms and conditions herein will apply. This Appendix also includes other information relevant to the Award.</w:t>
      </w:r>
    </w:p>
    <w:p>
      <w:pPr>
        <w:spacing w:after="0" w:line="180" w:lineRule="exact"/>
        <w:rPr>
          <w:sz w:val="20"/>
          <w:szCs w:val="20"/>
          <w:color w:val="auto"/>
        </w:rPr>
      </w:pPr>
    </w:p>
    <w:p>
      <w:pPr>
        <w:jc w:val="both"/>
        <w:ind w:left="160"/>
        <w:spacing w:after="0" w:line="264" w:lineRule="auto"/>
        <w:rPr>
          <w:sz w:val="20"/>
          <w:szCs w:val="20"/>
          <w:color w:val="auto"/>
        </w:rPr>
      </w:pPr>
      <w:r>
        <w:rPr>
          <w:rFonts w:ascii="Arial" w:cs="Arial" w:eastAsia="Arial" w:hAnsi="Arial"/>
          <w:sz w:val="22"/>
          <w:szCs w:val="22"/>
          <w:color w:val="auto"/>
        </w:rPr>
        <w:t>Unless otherwise defined herein, the terms defined in the Plan or the Award Agreement, as applicable, shall have the same meanings in this Appendix. Notwithstanding the foregoing, for purposes of this Appendix, “Share” shall mean a share of Common Stock and shall include any Fractional Share.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There are no special terms and conditions or information for the following countries: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Belgium</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Germany</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India</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Japan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United States</w:t>
      </w:r>
    </w:p>
    <w:p>
      <w:pPr>
        <w:spacing w:after="0" w:line="247" w:lineRule="exact"/>
        <w:rPr>
          <w:sz w:val="20"/>
          <w:szCs w:val="20"/>
          <w:color w:val="auto"/>
        </w:rPr>
      </w:pPr>
    </w:p>
    <w:p>
      <w:pPr>
        <w:jc w:val="both"/>
        <w:ind w:left="160"/>
        <w:spacing w:after="0" w:line="262" w:lineRule="auto"/>
        <w:rPr>
          <w:sz w:val="20"/>
          <w:szCs w:val="20"/>
          <w:color w:val="auto"/>
        </w:rPr>
      </w:pPr>
      <w:r>
        <w:rPr>
          <w:rFonts w:ascii="Arial" w:cs="Arial" w:eastAsia="Arial" w:hAnsi="Arial"/>
          <w:sz w:val="21"/>
          <w:szCs w:val="21"/>
          <w:color w:val="auto"/>
        </w:rPr>
        <w:t xml:space="preserve">However, the Grantee should be aware that he or she may be required to take certain steps to comply with Applicable Laws in the Grantee’s country in connection with the Award. For example, exchange control, foreign asset and/or account and/or other tax reporting obligations may apply to the Grantee upon receipt of the Award or the Shares subject to the Award or upon the sale of Shares. </w:t>
      </w:r>
      <w:r>
        <w:rPr>
          <w:rFonts w:ascii="Arial" w:cs="Arial" w:eastAsia="Arial" w:hAnsi="Arial"/>
          <w:sz w:val="21"/>
          <w:szCs w:val="21"/>
          <w:i w:val="1"/>
          <w:iCs w:val="1"/>
          <w:color w:val="auto"/>
        </w:rPr>
        <w:t>For more information regarding such obligations,</w:t>
      </w:r>
      <w:r>
        <w:rPr>
          <w:rFonts w:ascii="Arial" w:cs="Arial" w:eastAsia="Arial" w:hAnsi="Arial"/>
          <w:sz w:val="21"/>
          <w:szCs w:val="21"/>
          <w:color w:val="auto"/>
        </w:rPr>
        <w:t xml:space="preserve"> </w:t>
      </w:r>
      <w:r>
        <w:rPr>
          <w:rFonts w:ascii="Arial" w:cs="Arial" w:eastAsia="Arial" w:hAnsi="Arial"/>
          <w:sz w:val="21"/>
          <w:szCs w:val="21"/>
          <w:i w:val="1"/>
          <w:iCs w:val="1"/>
          <w:color w:val="auto"/>
        </w:rPr>
        <w:t>the Grantee should refer to the Country-Specific Tax Supplement for the Grantee’s country, if any</w:t>
      </w:r>
      <w:r>
        <w:rPr>
          <w:rFonts w:ascii="Arial" w:cs="Arial" w:eastAsia="Arial" w:hAnsi="Arial"/>
          <w:sz w:val="21"/>
          <w:szCs w:val="21"/>
          <w:color w:val="auto"/>
        </w:rPr>
        <w:t>.</w:t>
      </w:r>
      <w:r>
        <w:rPr>
          <w:rFonts w:ascii="Arial" w:cs="Arial" w:eastAsia="Arial" w:hAnsi="Arial"/>
          <w:sz w:val="21"/>
          <w:szCs w:val="21"/>
          <w:i w:val="1"/>
          <w:iCs w:val="1"/>
          <w:color w:val="auto"/>
        </w:rPr>
        <w:t xml:space="preserve"> The Grantee should also consult with his or her own personal tax and legal advisors to determine what, if any, obligations exist with respect to the Award and/or the acquisition or sale of Shares. Neither the Company nor the Employer is responsible for any failure on the part of the Grantee to be aware of or comply with Applicable Laws.</w:t>
      </w:r>
    </w:p>
    <w:p>
      <w:pPr>
        <w:sectPr>
          <w:pgSz w:w="11900" w:h="16838" w:orient="portrait"/>
          <w:cols w:equalWidth="0" w:num="1">
            <w:col w:w="10980"/>
          </w:cols>
          <w:pgMar w:left="580" w:top="1440"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Exhibit 10.5 Form of Restricted Stock Unit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59"/>
        <w:spacing w:after="0"/>
        <w:rPr>
          <w:sz w:val="20"/>
          <w:szCs w:val="20"/>
          <w:color w:val="auto"/>
        </w:rPr>
      </w:pPr>
      <w:r>
        <w:rPr>
          <w:rFonts w:ascii="Arial" w:cs="Arial" w:eastAsia="Arial" w:hAnsi="Arial"/>
          <w:sz w:val="43"/>
          <w:szCs w:val="43"/>
          <w:color w:val="auto"/>
        </w:rPr>
        <w:t>Eli Lilly and Company</w:t>
      </w:r>
    </w:p>
    <w:p>
      <w:pPr>
        <w:spacing w:after="0" w:line="74" w:lineRule="exact"/>
        <w:rPr>
          <w:sz w:val="20"/>
          <w:szCs w:val="20"/>
          <w:color w:val="auto"/>
        </w:rPr>
      </w:pPr>
    </w:p>
    <w:p>
      <w:pPr>
        <w:jc w:val="center"/>
        <w:ind w:right="-259"/>
        <w:spacing w:after="0"/>
        <w:rPr>
          <w:sz w:val="20"/>
          <w:szCs w:val="20"/>
          <w:color w:val="auto"/>
        </w:rPr>
      </w:pPr>
      <w:r>
        <w:rPr>
          <w:rFonts w:ascii="Arial" w:cs="Arial" w:eastAsia="Arial" w:hAnsi="Arial"/>
          <w:sz w:val="43"/>
          <w:szCs w:val="43"/>
          <w:color w:val="auto"/>
        </w:rPr>
        <w:t>Restricted Stock Unit Award Agreement</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32"/>
          <w:szCs w:val="32"/>
          <w:i w:val="1"/>
          <w:iCs w:val="1"/>
          <w:color w:val="auto"/>
        </w:rPr>
        <w:t>(for Executives and Executive Officers)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This Restricted Stock Unit Award has been granted on [•] (“Grant Date”) by Eli Lilly and Company, an Indiana corporation, with its principal offices in Indianapolis, Indiana (“Lilly” or the “Company”), to the Eligible Individual who has received this Restricted Stock Unit Award Agreement (the “Grantee”).</w:t>
      </w:r>
    </w:p>
    <w:p>
      <w:pPr>
        <w:sectPr>
          <w:pgSz w:w="11900" w:h="16838" w:orient="portrait"/>
          <w:cols w:equalWidth="0" w:num="1">
            <w:col w:w="10980"/>
          </w:cols>
          <w:pgMar w:left="320" w:top="1440" w:right="599" w:bottom="1440" w:gutter="0" w:footer="0" w:header="0"/>
        </w:sect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Grantee:</w:t>
      </w:r>
    </w:p>
    <w:p>
      <w:pPr>
        <w:sectPr>
          <w:pgSz w:w="11900" w:h="16838" w:orient="portrait"/>
          <w:cols w:equalWidth="0" w:num="1">
            <w:col w:w="10980"/>
          </w:cols>
          <w:pgMar w:left="320" w:top="1440" w:right="599" w:bottom="1440" w:gutter="0" w:footer="0" w:header="0"/>
          <w:type w:val="continuous"/>
        </w:sectPr>
      </w:pPr>
    </w:p>
    <w:p>
      <w:pPr>
        <w:spacing w:after="0" w:line="5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Units Granted: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4" w:lineRule="exact"/>
        <w:rPr>
          <w:sz w:val="20"/>
          <w:szCs w:val="20"/>
          <w:color w:val="auto"/>
        </w:rPr>
      </w:pPr>
    </w:p>
    <w:p>
      <w:pPr>
        <w:sectPr>
          <w:pgSz w:w="11900" w:h="16838" w:orient="portrait"/>
          <w:cols w:equalWidth="0" w:num="2">
            <w:col w:w="2760" w:space="720"/>
            <w:col w:w="7500"/>
          </w:cols>
          <w:pgMar w:left="320" w:top="1440" w:right="5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64" w:lineRule="exact"/>
        <w:rPr>
          <w:sz w:val="20"/>
          <w:szCs w:val="20"/>
          <w:color w:val="auto"/>
        </w:rPr>
      </w:pPr>
    </w:p>
    <w:p>
      <w:pPr>
        <w:sectPr>
          <w:pgSz w:w="11900" w:h="16838" w:orient="portrait"/>
          <w:cols w:equalWidth="0" w:num="2">
            <w:col w:w="2760" w:space="720"/>
            <w:col w:w="7500"/>
          </w:cols>
          <w:pgMar w:left="320" w:top="1440" w:right="5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73" w:lineRule="exact"/>
        <w:rPr>
          <w:sz w:val="20"/>
          <w:szCs w:val="20"/>
          <w:color w:val="auto"/>
        </w:rPr>
      </w:pPr>
    </w:p>
    <w:p>
      <w:pPr>
        <w:sectPr>
          <w:pgSz w:w="11900" w:h="16838" w:orient="portrait"/>
          <w:cols w:equalWidth="0" w:num="2">
            <w:col w:w="2760" w:space="720"/>
            <w:col w:w="7500"/>
          </w:cols>
          <w:pgMar w:left="320" w:top="1440" w:right="599" w:bottom="1440" w:gutter="0" w:footer="0" w:header="0"/>
          <w:type w:val="continuous"/>
        </w:sectPr>
      </w:pPr>
    </w:p>
    <w:p>
      <w:pPr>
        <w:ind w:left="3480"/>
        <w:spacing w:after="0"/>
        <w:rPr>
          <w:sz w:val="20"/>
          <w:szCs w:val="20"/>
          <w:color w:val="auto"/>
        </w:rPr>
      </w:pPr>
      <w:r>
        <w:rPr>
          <w:rFonts w:ascii="Arial" w:cs="Arial" w:eastAsia="Arial" w:hAnsi="Arial"/>
          <w:sz w:val="17"/>
          <w:szCs w:val="17"/>
          <w:color w:val="auto"/>
        </w:rPr>
        <w:t>(except as otherwise provided in this Restricted</w:t>
      </w:r>
    </w:p>
    <w:p>
      <w:pPr>
        <w:spacing w:after="0" w:line="3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Stock Unit Award Agreement)</w:t>
      </w:r>
    </w:p>
    <w:p>
      <w:pPr>
        <w:sectPr>
          <w:pgSz w:w="11900" w:h="16838" w:orient="portrait"/>
          <w:cols w:equalWidth="0" w:num="1">
            <w:col w:w="10980"/>
          </w:cols>
          <w:pgMar w:left="320" w:top="1440" w:right="599" w:bottom="1440" w:gutter="0" w:footer="0" w:header="0"/>
          <w:type w:val="continuous"/>
        </w:sectPr>
      </w:pPr>
    </w:p>
    <w:bookmarkStart w:id="164" w:name="page165"/>
    <w:bookmarkEnd w:id="164"/>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80" w:type="dxa"/>
            <w:vAlign w:val="bottom"/>
          </w:tcPr>
          <w:p>
            <w:pPr>
              <w:ind w:left="3620"/>
              <w:spacing w:after="0"/>
              <w:rPr>
                <w:sz w:val="20"/>
                <w:szCs w:val="20"/>
                <w:color w:val="auto"/>
              </w:rPr>
            </w:pPr>
            <w:r>
              <w:rPr>
                <w:rFonts w:ascii="Arial" w:cs="Arial" w:eastAsia="Arial" w:hAnsi="Arial"/>
                <w:sz w:val="22"/>
                <w:szCs w:val="22"/>
                <w:b w:val="1"/>
                <w:bCs w:val="1"/>
                <w:color w:val="auto"/>
              </w:rPr>
              <w:t>Table of Contents</w:t>
            </w:r>
          </w:p>
        </w:tc>
        <w:tc>
          <w:tcPr>
            <w:tcW w:w="2420" w:type="dxa"/>
            <w:vAlign w:val="bottom"/>
          </w:tcPr>
          <w:p>
            <w:pPr>
              <w:spacing w:after="0"/>
              <w:rPr>
                <w:sz w:val="24"/>
                <w:szCs w:val="24"/>
                <w:color w:val="auto"/>
              </w:rPr>
            </w:pPr>
          </w:p>
        </w:tc>
      </w:tr>
      <w:tr>
        <w:trPr>
          <w:trHeight w:val="455"/>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  Grant of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40" w:type="dxa"/>
            <w:vAlign w:val="bottom"/>
          </w:tcPr>
          <w:p>
            <w:pPr>
              <w:spacing w:after="0"/>
              <w:rPr>
                <w:sz w:val="19"/>
                <w:szCs w:val="19"/>
                <w:color w:val="auto"/>
              </w:rPr>
            </w:pP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  Change in Control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40" w:type="dxa"/>
            <w:vAlign w:val="bottom"/>
          </w:tcPr>
          <w:p>
            <w:pPr>
              <w:spacing w:after="0"/>
              <w:rPr>
                <w:sz w:val="19"/>
                <w:szCs w:val="19"/>
                <w:color w:val="auto"/>
              </w:rPr>
            </w:pP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  Rights of the Grantee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  Prohibition Against Transfer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  Responsibility for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409A Compliance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40" w:type="dxa"/>
            <w:vAlign w:val="bottom"/>
          </w:tcPr>
          <w:p>
            <w:pPr>
              <w:spacing w:after="0"/>
              <w:rPr>
                <w:sz w:val="19"/>
                <w:szCs w:val="19"/>
                <w:color w:val="auto"/>
              </w:rPr>
            </w:pP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Grantee’s Acknowledgement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Privacy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  Restrictive Covenants and Remedies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  Additional Terms and Conditions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13.  Governing Law and Choice of Venue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Recovery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w:t>
            </w:r>
          </w:p>
        </w:tc>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 Subject to Acknowledgement of Acceptance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0960"/>
          </w:cols>
          <w:pgMar w:left="560" w:top="1440" w:right="379" w:bottom="1440" w:gutter="0" w:footer="0" w:header="0"/>
        </w:sectPr>
      </w:pPr>
    </w:p>
    <w:bookmarkStart w:id="165" w:name="page166"/>
    <w:bookmarkEnd w:id="165"/>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1.</w:t>
      </w:r>
      <w:r>
        <w:rPr>
          <w:sz w:val="20"/>
          <w:szCs w:val="20"/>
          <w:color w:val="auto"/>
        </w:rPr>
        <w:tab/>
      </w:r>
      <w:r>
        <w:rPr>
          <w:rFonts w:ascii="Arial" w:cs="Arial" w:eastAsia="Arial" w:hAnsi="Arial"/>
          <w:sz w:val="25"/>
          <w:szCs w:val="25"/>
          <w:color w:val="auto"/>
        </w:rPr>
        <w:t>Grant of Restricted Stock Units</w:t>
      </w:r>
    </w:p>
    <w:p>
      <w:pPr>
        <w:spacing w:after="0" w:line="235" w:lineRule="exact"/>
        <w:rPr>
          <w:sz w:val="20"/>
          <w:szCs w:val="20"/>
          <w:color w:val="auto"/>
        </w:rPr>
      </w:pPr>
    </w:p>
    <w:p>
      <w:pPr>
        <w:jc w:val="both"/>
        <w:ind w:left="160"/>
        <w:spacing w:after="0" w:line="25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Restricted Stock Unit Award Agreement (the “Grantee”) an award of restricted stock units (the “Restricted Stock Units” or the “Award”) with respect to the number of shares of Lilly Common Stock (the “Shares”) set forth on the first page of this document and available by logging on to the Company’s stock plan administrator’s website at </w:t>
      </w:r>
      <w:r>
        <w:rPr>
          <w:rFonts w:ascii="Arial" w:cs="Arial" w:eastAsia="Arial" w:hAnsi="Arial"/>
          <w:sz w:val="22"/>
          <w:szCs w:val="22"/>
          <w:u w:val="single" w:color="auto"/>
          <w:color w:val="0000FF"/>
        </w:rPr>
        <w:t>http://mystock.lilly.com</w:t>
      </w:r>
      <w:r>
        <w:rPr>
          <w:rFonts w:ascii="Arial" w:cs="Arial" w:eastAsia="Arial" w:hAnsi="Arial"/>
          <w:sz w:val="22"/>
          <w:szCs w:val="22"/>
          <w:color w:val="auto"/>
        </w:rPr>
        <w:t>.</w:t>
      </w:r>
    </w:p>
    <w:p>
      <w:pPr>
        <w:spacing w:after="0" w:line="179" w:lineRule="exact"/>
        <w:rPr>
          <w:sz w:val="20"/>
          <w:szCs w:val="20"/>
          <w:color w:val="auto"/>
        </w:rPr>
      </w:pPr>
    </w:p>
    <w:p>
      <w:pPr>
        <w:jc w:val="both"/>
        <w:ind w:left="160"/>
        <w:spacing w:after="0" w:line="25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Restricted Stock Unit Award Agreement, including all appendices, exhibits and addenda hereto (the “Award Agreement”). In the event of any conflict between the terms of the Plan and this Award Agreement, the terms of the Plan shall govern except with respect to the provisions described in Section 11 below (in which case, the terms of the Award Agreement shall govern).</w:t>
      </w:r>
    </w:p>
    <w:p>
      <w:pPr>
        <w:spacing w:after="0" w:line="181" w:lineRule="exact"/>
        <w:rPr>
          <w:sz w:val="20"/>
          <w:szCs w:val="20"/>
          <w:color w:val="auto"/>
        </w:rPr>
      </w:pPr>
    </w:p>
    <w:p>
      <w:pPr>
        <w:jc w:val="both"/>
        <w:ind w:left="160"/>
        <w:spacing w:after="0" w:line="28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132" w:lineRule="exact"/>
        <w:rPr>
          <w:sz w:val="20"/>
          <w:szCs w:val="20"/>
          <w:color w:val="auto"/>
        </w:rPr>
      </w:pPr>
    </w:p>
    <w:p>
      <w:pPr>
        <w:ind w:left="960" w:hanging="644"/>
        <w:spacing w:after="0" w:line="272" w:lineRule="auto"/>
        <w:tabs>
          <w:tab w:leader="none" w:pos="881" w:val="left"/>
        </w:tabs>
        <w:numPr>
          <w:ilvl w:val="0"/>
          <w:numId w:val="125"/>
        </w:numPr>
        <w:rPr>
          <w:rFonts w:ascii="Arial" w:cs="Arial" w:eastAsia="Arial" w:hAnsi="Arial"/>
          <w:sz w:val="22"/>
          <w:szCs w:val="22"/>
          <w:color w:val="auto"/>
        </w:rPr>
      </w:pPr>
      <w:r>
        <w:rPr>
          <w:rFonts w:ascii="Arial" w:cs="Arial" w:eastAsia="Arial" w:hAnsi="Arial"/>
          <w:sz w:val="22"/>
          <w:szCs w:val="22"/>
          <w:color w:val="auto"/>
        </w:rPr>
        <w:t>For purposes of the vesting provisions set forth in Section 2 of this Award Agreement, the following definitions will apply:</w:t>
      </w:r>
    </w:p>
    <w:p>
      <w:pPr>
        <w:spacing w:after="0" w:line="182" w:lineRule="exact"/>
        <w:rPr>
          <w:rFonts w:ascii="Arial" w:cs="Arial" w:eastAsia="Arial" w:hAnsi="Arial"/>
          <w:sz w:val="22"/>
          <w:szCs w:val="22"/>
          <w:color w:val="auto"/>
        </w:rPr>
      </w:pPr>
    </w:p>
    <w:p>
      <w:pPr>
        <w:ind w:left="1460" w:hanging="334"/>
        <w:spacing w:after="0" w:line="272" w:lineRule="auto"/>
        <w:tabs>
          <w:tab w:leader="none" w:pos="160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“Qualifying Termination” means the termination of the Grantee's Service under any one of the following circumstances:</w:t>
      </w:r>
    </w:p>
    <w:p>
      <w:pPr>
        <w:spacing w:after="0" w:line="182" w:lineRule="exact"/>
        <w:rPr>
          <w:rFonts w:ascii="Arial" w:cs="Arial" w:eastAsia="Arial" w:hAnsi="Arial"/>
          <w:sz w:val="22"/>
          <w:szCs w:val="22"/>
          <w:color w:val="auto"/>
        </w:rPr>
      </w:pPr>
    </w:p>
    <w:p>
      <w:pPr>
        <w:ind w:left="1900" w:hanging="450"/>
        <w:spacing w:after="0"/>
        <w:tabs>
          <w:tab w:leader="none" w:pos="1900" w:val="left"/>
        </w:tabs>
        <w:numPr>
          <w:ilvl w:val="2"/>
          <w:numId w:val="125"/>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260" w:lineRule="exact"/>
        <w:rPr>
          <w:rFonts w:ascii="Arial" w:cs="Arial" w:eastAsia="Arial" w:hAnsi="Arial"/>
          <w:sz w:val="22"/>
          <w:szCs w:val="22"/>
          <w:color w:val="auto"/>
        </w:rPr>
      </w:pPr>
    </w:p>
    <w:p>
      <w:pPr>
        <w:jc w:val="both"/>
        <w:ind w:left="1940" w:hanging="490"/>
        <w:spacing w:after="0" w:line="253" w:lineRule="auto"/>
        <w:tabs>
          <w:tab w:leader="none" w:pos="2022" w:val="left"/>
        </w:tabs>
        <w:numPr>
          <w:ilvl w:val="2"/>
          <w:numId w:val="125"/>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202" w:lineRule="exact"/>
        <w:rPr>
          <w:sz w:val="20"/>
          <w:szCs w:val="20"/>
          <w:color w:val="auto"/>
        </w:rPr>
      </w:pPr>
    </w:p>
    <w:p>
      <w:pPr>
        <w:jc w:val="both"/>
        <w:ind w:left="1460"/>
        <w:spacing w:after="0" w:line="28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169" w:lineRule="exact"/>
        <w:rPr>
          <w:sz w:val="20"/>
          <w:szCs w:val="20"/>
          <w:color w:val="auto"/>
        </w:rPr>
      </w:pPr>
    </w:p>
    <w:p>
      <w:pPr>
        <w:jc w:val="both"/>
        <w:ind w:left="1460"/>
        <w:spacing w:after="0" w:line="257" w:lineRule="auto"/>
        <w:rPr>
          <w:sz w:val="20"/>
          <w:szCs w:val="20"/>
          <w:color w:val="auto"/>
        </w:rPr>
      </w:pPr>
      <w:r>
        <w:rPr>
          <w:rFonts w:ascii="Arial" w:cs="Arial" w:eastAsia="Arial" w:hAnsi="Arial"/>
          <w:sz w:val="22"/>
          <w:szCs w:val="22"/>
          <w:color w:val="auto"/>
        </w:rPr>
        <w:t>“Reduction in workforce” means the elimination of a work group, functional or business unit or other broadly applicable reduction in job positions that directly results in termination of the Grantee’s Service.</w:t>
      </w:r>
    </w:p>
    <w:p>
      <w:pPr>
        <w:spacing w:after="0" w:line="173" w:lineRule="exact"/>
        <w:rPr>
          <w:sz w:val="20"/>
          <w:szCs w:val="20"/>
          <w:color w:val="auto"/>
        </w:rPr>
      </w:pPr>
    </w:p>
    <w:p>
      <w:pPr>
        <w:ind w:left="960" w:hanging="644"/>
        <w:spacing w:after="0" w:line="272" w:lineRule="auto"/>
        <w:tabs>
          <w:tab w:leader="none" w:pos="88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Award shall vest at the close of business in Indianapolis, Indiana, U.S.A. on the earliest of the following dates (each, a “Vesting Date”):</w:t>
      </w:r>
    </w:p>
    <w:p>
      <w:pPr>
        <w:sectPr>
          <w:pgSz w:w="11900" w:h="16838" w:orient="portrait"/>
          <w:cols w:equalWidth="0" w:num="1">
            <w:col w:w="10900"/>
          </w:cols>
          <w:pgMar w:left="660" w:top="1440" w:right="339" w:bottom="1440" w:gutter="0" w:footer="0" w:header="0"/>
        </w:sectPr>
      </w:pPr>
    </w:p>
    <w:bookmarkStart w:id="166" w:name="page167"/>
    <w:bookmarkEnd w:id="166"/>
    <w:p>
      <w:pPr>
        <w:spacing w:after="0" w:line="199" w:lineRule="exact"/>
        <w:rPr>
          <w:sz w:val="20"/>
          <w:szCs w:val="20"/>
          <w:color w:val="auto"/>
        </w:rPr>
      </w:pPr>
    </w:p>
    <w:p>
      <w:pPr>
        <w:ind w:left="1460" w:right="660" w:hanging="334"/>
        <w:spacing w:after="0" w:line="272" w:lineRule="auto"/>
        <w:tabs>
          <w:tab w:leader="none" w:pos="165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provided the Grantee is still in active Service on the Vesting Date, subject to any alternative date(s) set forth in any appendix attached hereto (the “Appendix”), or</w:t>
      </w:r>
    </w:p>
    <w:p>
      <w:pPr>
        <w:spacing w:after="0" w:line="398" w:lineRule="exact"/>
        <w:rPr>
          <w:rFonts w:ascii="Arial" w:cs="Arial" w:eastAsia="Arial" w:hAnsi="Arial"/>
          <w:sz w:val="22"/>
          <w:szCs w:val="22"/>
          <w:color w:val="auto"/>
        </w:rPr>
      </w:pPr>
    </w:p>
    <w:p>
      <w:pPr>
        <w:ind w:left="1520" w:hanging="394"/>
        <w:spacing w:after="0"/>
        <w:tabs>
          <w:tab w:leader="none" w:pos="15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date the Grantee’s Service is terminated due to the Grantee’s death, or</w:t>
      </w:r>
    </w:p>
    <w:p>
      <w:pPr>
        <w:spacing w:after="0" w:line="368" w:lineRule="exact"/>
        <w:rPr>
          <w:rFonts w:ascii="Arial" w:cs="Arial" w:eastAsia="Arial" w:hAnsi="Arial"/>
          <w:sz w:val="22"/>
          <w:szCs w:val="22"/>
          <w:color w:val="auto"/>
        </w:rPr>
      </w:pPr>
    </w:p>
    <w:p>
      <w:pPr>
        <w:jc w:val="both"/>
        <w:ind w:left="1460" w:right="660" w:hanging="334"/>
        <w:spacing w:after="0" w:line="253" w:lineRule="auto"/>
        <w:tabs>
          <w:tab w:leader="none" w:pos="164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date the Grantee is subject to a Qualifying Termination, in which case the number of Restricted Stock Units that shall vest shall be reduced proportionally for the portion of the total days between the Grant Date and the Vesting Date specified in 2(b)(i) that the Grantee was not in active Service.</w:t>
      </w:r>
    </w:p>
    <w:p>
      <w:pPr>
        <w:spacing w:after="0" w:line="202" w:lineRule="exact"/>
        <w:rPr>
          <w:sz w:val="20"/>
          <w:szCs w:val="20"/>
          <w:color w:val="auto"/>
        </w:rPr>
      </w:pPr>
    </w:p>
    <w:p>
      <w:pPr>
        <w:jc w:val="both"/>
        <w:ind w:left="960"/>
        <w:spacing w:after="0" w:line="251" w:lineRule="auto"/>
        <w:rPr>
          <w:sz w:val="20"/>
          <w:szCs w:val="20"/>
          <w:color w:val="auto"/>
        </w:rPr>
      </w:pPr>
      <w:r>
        <w:rPr>
          <w:rFonts w:ascii="Arial" w:cs="Arial" w:eastAsia="Arial" w:hAnsi="Arial"/>
          <w:sz w:val="22"/>
          <w:szCs w:val="22"/>
          <w:color w:val="auto"/>
        </w:rPr>
        <w:t>The Committee’s and/or the Company’s determination as to whether (A) the Grantee’s Service has been terminated as a direct result of either a plant closing or a reduction in workforce, (B) the Grantee’s Service has been terminated as a result of the failure to locate a position within the Company or an Affiliate following reallocation, including medical reassignment, and (C) a transfer of employment between Lilly and an Affiliate or between Affiliates constitutes a termination of Service shall be final and binding on the Grantee.</w:t>
      </w:r>
    </w:p>
    <w:p>
      <w:pPr>
        <w:spacing w:after="0" w:line="208" w:lineRule="exact"/>
        <w:rPr>
          <w:sz w:val="20"/>
          <w:szCs w:val="20"/>
          <w:color w:val="auto"/>
        </w:rPr>
      </w:pPr>
    </w:p>
    <w:p>
      <w:pPr>
        <w:ind w:left="960" w:hanging="644"/>
        <w:spacing w:after="0" w:line="264" w:lineRule="auto"/>
        <w:tabs>
          <w:tab w:leader="none" w:pos="7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In the event the Grantee's Service with the Company or an Affiliate is terminated prior to a Vesting Date for any reason or in any circumstance other than those specified in Sections 2(b)(ii) or 2(b)(iii), any unvested portion of the Award will be forfeited.</w:t>
      </w:r>
    </w:p>
    <w:p>
      <w:pPr>
        <w:spacing w:after="0" w:line="191" w:lineRule="exact"/>
        <w:rPr>
          <w:rFonts w:ascii="Arial" w:cs="Arial" w:eastAsia="Arial" w:hAnsi="Arial"/>
          <w:sz w:val="22"/>
          <w:szCs w:val="22"/>
          <w:color w:val="auto"/>
        </w:rPr>
      </w:pPr>
    </w:p>
    <w:p>
      <w:pPr>
        <w:ind w:left="960" w:hanging="644"/>
        <w:spacing w:after="0" w:line="251" w:lineRule="auto"/>
        <w:tabs>
          <w:tab w:leader="none" w:pos="79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Committee may, at its discretion, cancel the Award or reduce the number of Restricted Stock Units and any accrued Dividend Equivalent Rights, prorated according to time or other measure as deemed appropriate by the Committee, if at any time prior to the Vesting Date,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3.</w:t>
      </w:r>
      <w:r>
        <w:rPr>
          <w:sz w:val="20"/>
          <w:szCs w:val="20"/>
          <w:color w:val="auto"/>
        </w:rPr>
        <w:tab/>
      </w:r>
      <w:r>
        <w:rPr>
          <w:rFonts w:ascii="Arial" w:cs="Arial" w:eastAsia="Arial" w:hAnsi="Arial"/>
          <w:sz w:val="25"/>
          <w:szCs w:val="25"/>
          <w:color w:val="auto"/>
        </w:rPr>
        <w:t>Change in Control</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20" w:lineRule="exact"/>
        <w:rPr>
          <w:sz w:val="20"/>
          <w:szCs w:val="20"/>
          <w:color w:val="auto"/>
        </w:rPr>
      </w:pPr>
    </w:p>
    <w:p>
      <w:pPr>
        <w:jc w:val="both"/>
        <w:ind w:left="960" w:hanging="644"/>
        <w:spacing w:after="0" w:line="257" w:lineRule="auto"/>
        <w:tabs>
          <w:tab w:leader="none" w:pos="94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3 shall be the consummation of a merger, share exchange, or consolidation of the Company, as defined in Section 2.6(c) of the Plan (a “Transaction”).</w:t>
      </w:r>
    </w:p>
    <w:p>
      <w:pPr>
        <w:sectPr>
          <w:pgSz w:w="11900" w:h="16838" w:orient="portrait"/>
          <w:cols w:equalWidth="0" w:num="1">
            <w:col w:w="10900"/>
          </w:cols>
          <w:pgMar w:left="660" w:top="1440" w:right="339" w:bottom="1440" w:gutter="0" w:footer="0" w:header="0"/>
        </w:sectPr>
      </w:pPr>
    </w:p>
    <w:bookmarkStart w:id="167" w:name="page168"/>
    <w:bookmarkEnd w:id="167"/>
    <w:p>
      <w:pPr>
        <w:ind w:left="960" w:hanging="644"/>
        <w:spacing w:after="0" w:line="257" w:lineRule="auto"/>
        <w:tabs>
          <w:tab w:leader="none" w:pos="87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the event the Award is converted, assumed, substituted, continued or replaced by a successor or surviving corporation, or a parent or subsidiary thereof, in connection with a Transaction, any Fractional Share issued under this Award shall vest automatically and be payable in cash unless otherwise determined by the Committee, in its sole discretion.</w:t>
      </w:r>
    </w:p>
    <w:p>
      <w:pPr>
        <w:spacing w:after="0" w:line="198" w:lineRule="exact"/>
        <w:rPr>
          <w:rFonts w:ascii="Arial" w:cs="Arial" w:eastAsia="Arial" w:hAnsi="Arial"/>
          <w:sz w:val="22"/>
          <w:szCs w:val="22"/>
          <w:color w:val="auto"/>
        </w:rPr>
      </w:pPr>
    </w:p>
    <w:p>
      <w:pPr>
        <w:ind w:left="960" w:right="20" w:hanging="644"/>
        <w:spacing w:after="0" w:line="257" w:lineRule="auto"/>
        <w:tabs>
          <w:tab w:leader="none" w:pos="78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the event the Award is not converted, assumed, substituted, continued or replaced by a successor or surviving corporation, or a parent or subsidiary thereof, in connection with a Transaction, then immediately prior to the Transaction, the Award shall vest automatically in full.</w:t>
      </w:r>
    </w:p>
    <w:p>
      <w:pPr>
        <w:spacing w:after="0" w:line="199" w:lineRule="exact"/>
        <w:rPr>
          <w:rFonts w:ascii="Arial" w:cs="Arial" w:eastAsia="Arial" w:hAnsi="Arial"/>
          <w:sz w:val="22"/>
          <w:szCs w:val="22"/>
          <w:color w:val="auto"/>
        </w:rPr>
      </w:pPr>
    </w:p>
    <w:p>
      <w:pPr>
        <w:ind w:left="960" w:hanging="644"/>
        <w:spacing w:after="0" w:line="257" w:lineRule="auto"/>
        <w:tabs>
          <w:tab w:leader="none" w:pos="87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the event the Award is converted, assumed, substituted, continued or replaced by a successor or surviving corporation, or a parent or subsidiary thereof, in connection with a Transaction and the Grantee is subject to a Covered Termination (as defined below) prior to any applicable Vesting Date, the Award shall vest automatically in full.</w:t>
      </w:r>
    </w:p>
    <w:p>
      <w:pPr>
        <w:spacing w:after="0" w:line="199" w:lineRule="exact"/>
        <w:rPr>
          <w:sz w:val="20"/>
          <w:szCs w:val="20"/>
          <w:color w:val="auto"/>
        </w:rPr>
      </w:pPr>
    </w:p>
    <w:p>
      <w:pPr>
        <w:jc w:val="both"/>
        <w:ind w:left="960"/>
        <w:spacing w:after="0" w:line="253" w:lineRule="auto"/>
        <w:rPr>
          <w:sz w:val="20"/>
          <w:szCs w:val="20"/>
          <w:color w:val="auto"/>
        </w:rPr>
      </w:pPr>
      <w:r>
        <w:rPr>
          <w:rFonts w:ascii="Arial" w:cs="Arial" w:eastAsia="Arial" w:hAnsi="Arial"/>
          <w:sz w:val="22"/>
          <w:szCs w:val="22"/>
          <w:color w:val="auto"/>
        </w:rPr>
        <w:t>For purposes of this provision, “Covered Termination” shall mean a termination of Service as described in Sections 2(b)(ii) and 2(b)(iii), Grantee’s termination without Cause or the Grantee’s resignation for Good Reason. “Cause” and “Good Reason” shall have the meanings ascribed to them in the Eli Lilly and Company 2007 Change in Control Severance Pay Plan for Select Employees, as amended, restated, or superseded from time to time.</w:t>
      </w:r>
    </w:p>
    <w:p>
      <w:pPr>
        <w:spacing w:after="0" w:line="206" w:lineRule="exact"/>
        <w:rPr>
          <w:sz w:val="20"/>
          <w:szCs w:val="20"/>
          <w:color w:val="auto"/>
        </w:rPr>
      </w:pPr>
    </w:p>
    <w:p>
      <w:pPr>
        <w:ind w:left="960" w:hanging="644"/>
        <w:spacing w:after="0" w:line="257" w:lineRule="auto"/>
        <w:tabs>
          <w:tab w:leader="none" w:pos="73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3, then references to Shares in this Award Agreement shall be read to mean stock of the successor or surviving corporation, or a parent or subsidiary thereof, as and when applicable.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4.</w:t>
        <w:tab/>
        <w:t>Settlement</w:t>
      </w:r>
    </w:p>
    <w:p>
      <w:pPr>
        <w:spacing w:after="0" w:line="132" w:lineRule="exact"/>
        <w:rPr>
          <w:sz w:val="20"/>
          <w:szCs w:val="20"/>
          <w:color w:val="auto"/>
        </w:rPr>
      </w:pPr>
    </w:p>
    <w:p>
      <w:pPr>
        <w:ind w:left="960" w:hanging="644"/>
        <w:spacing w:after="0" w:line="257" w:lineRule="auto"/>
        <w:tabs>
          <w:tab w:leader="none" w:pos="79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and generally within sixty (60) days following the applicable Vesting Date, or, if earlier, a vesting event contemplated under the Section 3 above.</w:t>
      </w:r>
    </w:p>
    <w:p>
      <w:pPr>
        <w:spacing w:after="0" w:line="199" w:lineRule="exact"/>
        <w:rPr>
          <w:rFonts w:ascii="Arial" w:cs="Arial" w:eastAsia="Arial" w:hAnsi="Arial"/>
          <w:sz w:val="22"/>
          <w:szCs w:val="22"/>
          <w:color w:val="auto"/>
        </w:rPr>
      </w:pPr>
    </w:p>
    <w:p>
      <w:pPr>
        <w:ind w:left="960" w:hanging="644"/>
        <w:spacing w:after="0" w:line="251" w:lineRule="auto"/>
        <w:tabs>
          <w:tab w:leader="none" w:pos="72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At the time of settlement, Lilly shall issue or transfer Shares to the Grantee that became vested (including, in the interest of clarity, a Fractional Share). Notwithstanding the foregoing, a Fractional Share may be paid in cash or rounded to the extent provided in the Appendix for the Grantee’s country or to the extent otherwise determined by the Committee in its sole discretion. For purposes of this Award, references to “issue” or variations of such term shall instead mean “allocate” when used in the context of Fractional Shares.</w:t>
      </w:r>
    </w:p>
    <w:p>
      <w:pPr>
        <w:sectPr>
          <w:pgSz w:w="11900" w:h="16838" w:orient="portrait"/>
          <w:cols w:equalWidth="0" w:num="1">
            <w:col w:w="10900"/>
          </w:cols>
          <w:pgMar w:left="660" w:top="1423" w:right="339" w:bottom="1440" w:gutter="0" w:footer="0" w:header="0"/>
        </w:sectPr>
      </w:pPr>
    </w:p>
    <w:bookmarkStart w:id="168" w:name="page169"/>
    <w:bookmarkEnd w:id="168"/>
    <w:p>
      <w:pPr>
        <w:ind w:left="960" w:right="20" w:hanging="644"/>
        <w:spacing w:after="0" w:line="272" w:lineRule="auto"/>
        <w:tabs>
          <w:tab w:leader="none" w:pos="72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51"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23"/>
          <w:szCs w:val="23"/>
          <w:color w:val="auto"/>
        </w:rPr>
        <w:t>Section 5.</w:t>
        <w:tab/>
        <w:t>Rights of the Grantee</w:t>
      </w:r>
    </w:p>
    <w:p>
      <w:pPr>
        <w:spacing w:after="0" w:line="132" w:lineRule="exact"/>
        <w:rPr>
          <w:sz w:val="20"/>
          <w:szCs w:val="20"/>
          <w:color w:val="auto"/>
        </w:rPr>
      </w:pPr>
    </w:p>
    <w:p>
      <w:pPr>
        <w:jc w:val="both"/>
        <w:ind w:left="960" w:hanging="644"/>
        <w:spacing w:after="0" w:line="251" w:lineRule="auto"/>
        <w:tabs>
          <w:tab w:leader="none" w:pos="94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Restricted Stock Units do not entitle the Grantee to any rights of a shareholder of Lilly until such time as the Restricted Stock Units vest and Shares are issued or transferred to the Grantee. In the event a Fractional Share is issued, the Grantee shall have the rights of a shareholder to receive dividends payable with respect to a Share and, unless otherwise provided by the Committee, the right to vote, in each case, that are proportionate to the interest the Fractional Share bears to a whole Share.</w:t>
      </w:r>
    </w:p>
    <w:p>
      <w:pPr>
        <w:spacing w:after="0" w:line="73" w:lineRule="exact"/>
        <w:rPr>
          <w:rFonts w:ascii="Arial" w:cs="Arial" w:eastAsia="Arial" w:hAnsi="Arial"/>
          <w:sz w:val="22"/>
          <w:szCs w:val="22"/>
          <w:color w:val="auto"/>
        </w:rPr>
      </w:pPr>
    </w:p>
    <w:p>
      <w:pPr>
        <w:ind w:left="960" w:hanging="644"/>
        <w:spacing w:after="0" w:line="248" w:lineRule="auto"/>
        <w:tabs>
          <w:tab w:leader="none" w:pos="759"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As long as the Grantee holds Restricted Stock Units granted pursuant to this Award, the Company shall accrue for the Grantee, on each date that the Company pays a cash dividend to holders of Company Shares, Dividend Equivalent Rights equal to the total number of Restricted Stock Units credited to the Grantee under this Award multiplied by the dollar amount of the cash dividend paid per Share by the Company on such date. Dividend Equivalent Rights shall accrue in an account denominated in U.S. dollars and shall not accrue interest or other credits prior to being paid. A report showing the accrued Dividend Equivalent Rights shall be sent to the Grantee periodically, as determined by the Company. The accrued Dividend Equivalent Rights shall be subject to the same vesting conditions as the Restricted Stock Units to which the Dividend Equivalent Rights relate, and the Dividend Equivalent Rights shall be forfeited in the event that the Restricted Stock Units with respect to which such Dividend Equivalent Rights were credited are forfeited. Following the applicable Vesting Date, Lilly shall pay to the Grantee in cash all accrued Dividend Equivalent Rights in accordance with Section 4 above.</w:t>
      </w:r>
    </w:p>
    <w:p>
      <w:pPr>
        <w:spacing w:after="0" w:line="219" w:lineRule="exact"/>
        <w:rPr>
          <w:rFonts w:ascii="Arial" w:cs="Arial" w:eastAsia="Arial" w:hAnsi="Arial"/>
          <w:sz w:val="22"/>
          <w:szCs w:val="22"/>
          <w:color w:val="auto"/>
        </w:rPr>
      </w:pPr>
    </w:p>
    <w:p>
      <w:pPr>
        <w:ind w:left="960" w:hanging="644"/>
        <w:spacing w:after="0" w:line="253" w:lineRule="auto"/>
        <w:tabs>
          <w:tab w:leader="none" w:pos="774"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a payment pursuant to this Award Agreement shall be an unsecured claim against the general assets of the Company.</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6.</w:t>
        <w:tab/>
        <w:t>Prohibition Against Transfer</w:t>
      </w:r>
    </w:p>
    <w:p>
      <w:pPr>
        <w:spacing w:after="0" w:line="132" w:lineRule="exact"/>
        <w:rPr>
          <w:sz w:val="20"/>
          <w:szCs w:val="20"/>
          <w:color w:val="auto"/>
        </w:rPr>
      </w:pPr>
    </w:p>
    <w:p>
      <w:pPr>
        <w:ind w:left="960" w:hanging="644"/>
        <w:spacing w:after="0" w:line="253" w:lineRule="auto"/>
        <w:tabs>
          <w:tab w:leader="none" w:pos="759"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Awards</w:t>
      </w:r>
      <w:r>
        <w:rPr>
          <w:rFonts w:ascii="Arial" w:cs="Arial" w:eastAsia="Arial" w:hAnsi="Arial"/>
          <w:sz w:val="22"/>
          <w:szCs w:val="22"/>
          <w:color w:val="auto"/>
        </w:rPr>
        <w:t>. 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this Award or the rights thereunder to which he or she may be entitled</w:t>
      </w:r>
    </w:p>
    <w:p>
      <w:pPr>
        <w:sectPr>
          <w:pgSz w:w="11900" w:h="16838" w:orient="portrait"/>
          <w:cols w:equalWidth="0" w:num="1">
            <w:col w:w="10900"/>
          </w:cols>
          <w:pgMar w:left="660" w:top="1423" w:right="339" w:bottom="1440" w:gutter="0" w:footer="0" w:header="0"/>
        </w:sectPr>
      </w:pPr>
    </w:p>
    <w:bookmarkStart w:id="169" w:name="page170"/>
    <w:bookmarkEnd w:id="169"/>
    <w:p>
      <w:pPr>
        <w:spacing w:after="0" w:line="91" w:lineRule="exact"/>
        <w:rPr>
          <w:sz w:val="20"/>
          <w:szCs w:val="20"/>
          <w:color w:val="auto"/>
        </w:rPr>
      </w:pPr>
    </w:p>
    <w:p>
      <w:pPr>
        <w:ind w:left="960"/>
        <w:spacing w:after="0" w:line="272" w:lineRule="auto"/>
        <w:rPr>
          <w:sz w:val="20"/>
          <w:szCs w:val="20"/>
          <w:color w:val="auto"/>
        </w:rPr>
      </w:pPr>
      <w:r>
        <w:rPr>
          <w:rFonts w:ascii="Arial" w:cs="Arial" w:eastAsia="Arial" w:hAnsi="Arial"/>
          <w:sz w:val="22"/>
          <w:szCs w:val="22"/>
          <w:color w:val="auto"/>
        </w:rPr>
        <w:t>hereunder prior to transfer or payment thereof to the Grantee, and any such attempted assignment, sale, pledge or transfer shall be void.</w:t>
      </w:r>
    </w:p>
    <w:p>
      <w:pPr>
        <w:spacing w:after="0" w:line="48" w:lineRule="exact"/>
        <w:rPr>
          <w:sz w:val="20"/>
          <w:szCs w:val="20"/>
          <w:color w:val="auto"/>
        </w:rPr>
      </w:pPr>
    </w:p>
    <w:p>
      <w:pPr>
        <w:ind w:left="960" w:hanging="644"/>
        <w:spacing w:after="0" w:line="257" w:lineRule="auto"/>
        <w:tabs>
          <w:tab w:leader="none" w:pos="80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Any Fractional Share issued to the Grantee shall remain in the Grantee’s account at the Company’s broker until the disposition of the Fractional Share and shall not become transferrable to another broker unless and until any Fractional Shares issued to the Grantee aggregate to a whole Share.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7.</w:t>
      </w:r>
      <w:r>
        <w:rPr>
          <w:sz w:val="20"/>
          <w:szCs w:val="20"/>
          <w:color w:val="auto"/>
        </w:rPr>
        <w:tab/>
      </w:r>
      <w:r>
        <w:rPr>
          <w:rFonts w:ascii="Arial" w:cs="Arial" w:eastAsia="Arial" w:hAnsi="Arial"/>
          <w:sz w:val="22"/>
          <w:szCs w:val="22"/>
          <w:color w:val="auto"/>
        </w:rPr>
        <w:t>Responsibility for Taxes</w:t>
      </w:r>
    </w:p>
    <w:p>
      <w:pPr>
        <w:spacing w:after="0" w:line="78" w:lineRule="exact"/>
        <w:rPr>
          <w:sz w:val="20"/>
          <w:szCs w:val="20"/>
          <w:color w:val="auto"/>
        </w:rPr>
      </w:pPr>
    </w:p>
    <w:p>
      <w:pPr>
        <w:ind w:left="960" w:hanging="644"/>
        <w:spacing w:after="0" w:line="247" w:lineRule="auto"/>
        <w:tabs>
          <w:tab w:leader="none" w:pos="78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Regardless of any action Lilly and/or the Grantee’s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Restricted Stock Units, the accrual of Dividend Equivalent Rights, the vesting of the Restricted Stock Units and the lapse of restrictions, the transfer and issuance of any Shares and/or Fractional Shares, the receipt of any cash payment pursuant to the Award and/or Dividend Equivalent Rights, the receipt of any dividends (including any dividends that are reinvested in additional Shares) and the sale or other disposition of any Shares and/or Fractional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214" w:lineRule="exact"/>
        <w:rPr>
          <w:rFonts w:ascii="Arial" w:cs="Arial" w:eastAsia="Arial" w:hAnsi="Arial"/>
          <w:sz w:val="22"/>
          <w:szCs w:val="22"/>
          <w:color w:val="auto"/>
        </w:rPr>
      </w:pPr>
    </w:p>
    <w:p>
      <w:pPr>
        <w:jc w:val="center"/>
        <w:ind w:left="960" w:hanging="644"/>
        <w:spacing w:after="0" w:line="296" w:lineRule="auto"/>
        <w:tabs>
          <w:tab w:leader="none" w:pos="762"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In connection with the applicable taxable or tax withholding event, as applicable, the Grantee shall pay or make adequate arrangements satisfactory to Lilly and/or the Employer to satisfy all Tax Related Items.</w:t>
      </w:r>
    </w:p>
    <w:p>
      <w:pPr>
        <w:spacing w:after="0" w:line="173" w:lineRule="exact"/>
        <w:rPr>
          <w:rFonts w:ascii="Arial" w:cs="Arial" w:eastAsia="Arial" w:hAnsi="Arial"/>
          <w:sz w:val="21"/>
          <w:szCs w:val="21"/>
          <w:color w:val="auto"/>
        </w:rPr>
      </w:pPr>
    </w:p>
    <w:p>
      <w:pPr>
        <w:ind w:left="1620" w:hanging="494"/>
        <w:spacing w:after="0" w:line="250" w:lineRule="auto"/>
        <w:tabs>
          <w:tab w:leader="none" w:pos="1495"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In the case of Dividend Equivalent Rights paid to the Grantee and if the Restricted Stock Units are paid to the Grantee in cash in lieu of Shares and/or Fractional Shares, the Grantee authorizes the Company and/or the Employer, or their respective agents, at their discretion, to satisfy any obligation for Tax Related Items by withholding from the cash amount paid to the Grantee pursuant to the</w:t>
      </w:r>
    </w:p>
    <w:p>
      <w:pPr>
        <w:sectPr>
          <w:pgSz w:w="11900" w:h="16838" w:orient="portrait"/>
          <w:cols w:equalWidth="0" w:num="1">
            <w:col w:w="10900"/>
          </w:cols>
          <w:pgMar w:left="660" w:top="1440" w:right="339" w:bottom="1440" w:gutter="0" w:footer="0" w:header="0"/>
        </w:sectPr>
      </w:pPr>
    </w:p>
    <w:bookmarkStart w:id="170" w:name="page171"/>
    <w:bookmarkEnd w:id="170"/>
    <w:p>
      <w:pPr>
        <w:ind w:left="1304"/>
        <w:spacing w:after="0" w:line="272" w:lineRule="auto"/>
        <w:rPr>
          <w:sz w:val="20"/>
          <w:szCs w:val="20"/>
          <w:color w:val="auto"/>
        </w:rPr>
      </w:pPr>
      <w:r>
        <w:rPr>
          <w:rFonts w:ascii="Arial" w:cs="Arial" w:eastAsia="Arial" w:hAnsi="Arial"/>
          <w:sz w:val="22"/>
          <w:szCs w:val="22"/>
          <w:color w:val="auto"/>
        </w:rPr>
        <w:t>Award or from the Grantee’s wages or other cash compensation paid to the Grantee by the Company and/or the Employer.</w:t>
      </w:r>
    </w:p>
    <w:p>
      <w:pPr>
        <w:spacing w:after="0" w:line="183" w:lineRule="exact"/>
        <w:rPr>
          <w:sz w:val="20"/>
          <w:szCs w:val="20"/>
          <w:color w:val="auto"/>
        </w:rPr>
      </w:pPr>
    </w:p>
    <w:p>
      <w:pPr>
        <w:jc w:val="both"/>
        <w:ind w:left="1304" w:hanging="494"/>
        <w:spacing w:after="0" w:line="248" w:lineRule="auto"/>
        <w:tabs>
          <w:tab w:leader="none" w:pos="1263"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If the Restricted Stock Units are paid to the Grantee in Shares and/or Fractional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and/or Fractional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and/or Fractional Shares otherwise issuable to the Grantee pursuant to this Award, and/or (D) apply any other method of withholding determined by the Company and, to the extent required by Applicable Laws or the Plan, approved by the Committee.</w:t>
      </w:r>
    </w:p>
    <w:p>
      <w:pPr>
        <w:spacing w:after="0" w:line="224" w:lineRule="exact"/>
        <w:rPr>
          <w:rFonts w:ascii="Arial" w:cs="Arial" w:eastAsia="Arial" w:hAnsi="Arial"/>
          <w:sz w:val="22"/>
          <w:szCs w:val="22"/>
          <w:color w:val="auto"/>
        </w:rPr>
      </w:pPr>
    </w:p>
    <w:p>
      <w:pPr>
        <w:jc w:val="both"/>
        <w:ind w:left="1304" w:hanging="494"/>
        <w:spacing w:after="0" w:line="250" w:lineRule="auto"/>
        <w:tabs>
          <w:tab w:leader="none" w:pos="1303"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If the Restricted Stock Units are paid to the Grantee in Shares and/or Fractional Shares and the Grantee is subject to the short-swing profit rules of Section 16(b) of the Exchange Act, Lilly will withhold in Shares and Fractional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7(b)(ii)(A) and (B) above.</w:t>
      </w:r>
    </w:p>
    <w:p>
      <w:pPr>
        <w:spacing w:after="0" w:line="207" w:lineRule="exact"/>
        <w:rPr>
          <w:rFonts w:ascii="Arial" w:cs="Arial" w:eastAsia="Arial" w:hAnsi="Arial"/>
          <w:sz w:val="22"/>
          <w:szCs w:val="22"/>
          <w:color w:val="auto"/>
        </w:rPr>
      </w:pPr>
    </w:p>
    <w:p>
      <w:pPr>
        <w:ind w:left="644" w:hanging="644"/>
        <w:spacing w:after="0" w:line="262" w:lineRule="auto"/>
        <w:tabs>
          <w:tab w:leader="none" w:pos="435" w:val="left"/>
        </w:tabs>
        <w:numPr>
          <w:ilvl w:val="0"/>
          <w:numId w:val="139"/>
        </w:numPr>
        <w:rPr>
          <w:rFonts w:ascii="Arial" w:cs="Arial" w:eastAsia="Arial" w:hAnsi="Arial"/>
          <w:sz w:val="21"/>
          <w:szCs w:val="21"/>
          <w:color w:val="auto"/>
        </w:rPr>
      </w:pPr>
      <w:r>
        <w:rPr>
          <w:rFonts w:ascii="Arial" w:cs="Arial" w:eastAsia="Arial" w:hAnsi="Arial"/>
          <w:sz w:val="21"/>
          <w:szCs w:val="21"/>
          <w:color w:val="auto"/>
        </w:rPr>
        <w:t>Depending on the withholding method, Lilly and/or the Employer may withhold or account for Tax Related Items by considering applicable statutory or other withholding rates, including minimum or maximum rates in the jurisdiction(s) applicable to the Grantee, in which case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and/or Fractional Shares to which he or she is entitled pursuant to this Award, notwithstanding that a number of Shares and/or Fractional Shares are withheld to satisfy the obligation for Tax Related Items.</w:t>
      </w:r>
    </w:p>
    <w:p>
      <w:pPr>
        <w:spacing w:after="0" w:line="199" w:lineRule="exact"/>
        <w:rPr>
          <w:rFonts w:ascii="Arial" w:cs="Arial" w:eastAsia="Arial" w:hAnsi="Arial"/>
          <w:sz w:val="21"/>
          <w:szCs w:val="21"/>
          <w:color w:val="auto"/>
        </w:rPr>
      </w:pPr>
    </w:p>
    <w:p>
      <w:pPr>
        <w:ind w:left="644" w:hanging="644"/>
        <w:spacing w:after="0" w:line="285" w:lineRule="auto"/>
        <w:tabs>
          <w:tab w:leader="none" w:pos="51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Lilly may refuse to deliver Shares and/or Fractional Shares or any cash payment to the Grantee if the Grantee fails to comply with the Grantee’s</w:t>
      </w:r>
    </w:p>
    <w:p>
      <w:pPr>
        <w:sectPr>
          <w:pgSz w:w="11900" w:h="16838" w:orient="portrait"/>
          <w:cols w:equalWidth="0" w:num="1">
            <w:col w:w="10584"/>
          </w:cols>
          <w:pgMar w:left="976" w:top="1423" w:right="339" w:bottom="1440" w:gutter="0" w:footer="0" w:header="0"/>
        </w:sectPr>
      </w:pPr>
    </w:p>
    <w:bookmarkStart w:id="171" w:name="page172"/>
    <w:bookmarkEnd w:id="171"/>
    <w:p>
      <w:pPr>
        <w:ind w:left="960"/>
        <w:spacing w:after="0"/>
        <w:rPr>
          <w:sz w:val="20"/>
          <w:szCs w:val="20"/>
          <w:color w:val="auto"/>
        </w:rPr>
      </w:pPr>
      <w:r>
        <w:rPr>
          <w:rFonts w:ascii="Arial" w:cs="Arial" w:eastAsia="Arial" w:hAnsi="Arial"/>
          <w:sz w:val="22"/>
          <w:szCs w:val="22"/>
          <w:color w:val="auto"/>
        </w:rPr>
        <w:t>obligation in connection with the Tax Related Items as described in this Section 7.</w:t>
      </w:r>
    </w:p>
    <w:p>
      <w:pPr>
        <w:spacing w:after="0" w:line="247" w:lineRule="exact"/>
        <w:rPr>
          <w:sz w:val="20"/>
          <w:szCs w:val="20"/>
          <w:color w:val="auto"/>
        </w:rPr>
      </w:pPr>
    </w:p>
    <w:p>
      <w:pPr>
        <w:ind w:left="960" w:right="20" w:hanging="644"/>
        <w:spacing w:after="0" w:line="272" w:lineRule="auto"/>
        <w:tabs>
          <w:tab w:leader="none" w:pos="86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For purposes of this Section 7, references to the withholding or sale of a Share shall also mean the withholding or sale of any portion that is less than a whole Share, to the extent applicable.</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8.</w:t>
        <w:tab/>
        <w:t>Section 409A Compliance</w:t>
      </w:r>
    </w:p>
    <w:p>
      <w:pPr>
        <w:spacing w:after="0" w:line="64" w:lineRule="exact"/>
        <w:rPr>
          <w:sz w:val="20"/>
          <w:szCs w:val="20"/>
          <w:color w:val="auto"/>
        </w:rPr>
      </w:pPr>
    </w:p>
    <w:p>
      <w:pPr>
        <w:jc w:val="both"/>
        <w:ind w:left="160"/>
        <w:spacing w:after="0" w:line="257"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3"/>
          <w:szCs w:val="23"/>
          <w:color w:val="auto"/>
        </w:rPr>
        <w:t>Section 9.</w:t>
        <w:tab/>
        <w:t>Grantee’s Acknowledgement</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247" w:lineRule="exact"/>
        <w:rPr>
          <w:sz w:val="20"/>
          <w:szCs w:val="20"/>
          <w:color w:val="auto"/>
        </w:rPr>
      </w:pPr>
    </w:p>
    <w:p>
      <w:pPr>
        <w:ind w:left="960" w:right="20" w:hanging="644"/>
        <w:spacing w:after="0" w:line="272" w:lineRule="auto"/>
        <w:tabs>
          <w:tab w:leader="none" w:pos="79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155" w:lineRule="exact"/>
        <w:rPr>
          <w:rFonts w:ascii="Arial" w:cs="Arial" w:eastAsia="Arial" w:hAnsi="Arial"/>
          <w:sz w:val="22"/>
          <w:szCs w:val="22"/>
          <w:color w:val="auto"/>
        </w:rPr>
      </w:pPr>
    </w:p>
    <w:p>
      <w:pPr>
        <w:ind w:left="960" w:hanging="644"/>
        <w:spacing w:after="0" w:line="264" w:lineRule="auto"/>
        <w:tabs>
          <w:tab w:leader="none" w:pos="7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of Restricted Stock Units and/or Dividend Equivalent Rights, or benefits in lieu thereof, even if Restricted Stock Units and/or Dividend Equivalent Rights have been granted in the past;</w:t>
      </w:r>
    </w:p>
    <w:p>
      <w:pPr>
        <w:spacing w:after="0" w:line="164" w:lineRule="exact"/>
        <w:rPr>
          <w:rFonts w:ascii="Arial" w:cs="Arial" w:eastAsia="Arial" w:hAnsi="Arial"/>
          <w:sz w:val="22"/>
          <w:szCs w:val="22"/>
          <w:color w:val="auto"/>
        </w:rPr>
      </w:pPr>
    </w:p>
    <w:p>
      <w:pPr>
        <w:ind w:left="960" w:hanging="644"/>
        <w:spacing w:after="0" w:line="272" w:lineRule="auto"/>
        <w:tabs>
          <w:tab w:leader="none" w:pos="77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all decisions with respect to future awards of Restricted Stock Units, Dividend Equivalent Rights or other awards, if any, will be at the sole discretion of the Committee;</w:t>
      </w:r>
    </w:p>
    <w:p>
      <w:pPr>
        <w:spacing w:after="0" w:line="155" w:lineRule="exact"/>
        <w:rPr>
          <w:rFonts w:ascii="Arial" w:cs="Arial" w:eastAsia="Arial" w:hAnsi="Arial"/>
          <w:sz w:val="22"/>
          <w:szCs w:val="22"/>
          <w:color w:val="auto"/>
        </w:rPr>
      </w:pPr>
    </w:p>
    <w:p>
      <w:pPr>
        <w:ind w:left="740" w:hanging="424"/>
        <w:spacing w:after="0"/>
        <w:tabs>
          <w:tab w:leader="none" w:pos="7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233" w:lineRule="exact"/>
        <w:rPr>
          <w:rFonts w:ascii="Arial" w:cs="Arial" w:eastAsia="Arial" w:hAnsi="Arial"/>
          <w:sz w:val="22"/>
          <w:szCs w:val="22"/>
          <w:color w:val="auto"/>
        </w:rPr>
      </w:pPr>
    </w:p>
    <w:p>
      <w:pPr>
        <w:ind w:left="740" w:hanging="424"/>
        <w:spacing w:after="0"/>
        <w:tabs>
          <w:tab w:leader="none" w:pos="7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Award is not intended to replace any pension rights or compensation;</w:t>
      </w:r>
    </w:p>
    <w:p>
      <w:pPr>
        <w:spacing w:after="0" w:line="219" w:lineRule="exact"/>
        <w:rPr>
          <w:rFonts w:ascii="Arial" w:cs="Arial" w:eastAsia="Arial" w:hAnsi="Arial"/>
          <w:sz w:val="22"/>
          <w:szCs w:val="22"/>
          <w:color w:val="auto"/>
        </w:rPr>
      </w:pPr>
    </w:p>
    <w:p>
      <w:pPr>
        <w:ind w:left="960" w:hanging="644"/>
        <w:spacing w:after="0" w:line="253" w:lineRule="auto"/>
        <w:tabs>
          <w:tab w:leader="none" w:pos="75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88" w:lineRule="exact"/>
        <w:rPr>
          <w:rFonts w:ascii="Arial" w:cs="Arial" w:eastAsia="Arial" w:hAnsi="Arial"/>
          <w:sz w:val="22"/>
          <w:szCs w:val="22"/>
          <w:color w:val="auto"/>
        </w:rPr>
      </w:pPr>
    </w:p>
    <w:p>
      <w:pPr>
        <w:ind w:left="960" w:hanging="644"/>
        <w:spacing w:after="0" w:line="272" w:lineRule="auto"/>
        <w:tabs>
          <w:tab w:leader="none" w:pos="74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unless otherwise agreed with Lilly, the Award is not granted as consideration for, or in connection with, the service the Grantee may provide as a director of an Affiliate;</w:t>
      </w:r>
    </w:p>
    <w:p>
      <w:pPr>
        <w:sectPr>
          <w:pgSz w:w="11900" w:h="16838" w:orient="portrait"/>
          <w:cols w:equalWidth="0" w:num="1">
            <w:col w:w="10900"/>
          </w:cols>
          <w:pgMar w:left="660" w:top="1423" w:right="339" w:bottom="1440" w:gutter="0" w:footer="0" w:header="0"/>
        </w:sectPr>
      </w:pPr>
    </w:p>
    <w:bookmarkStart w:id="172" w:name="page173"/>
    <w:bookmarkEnd w:id="172"/>
    <w:p>
      <w:pPr>
        <w:ind w:left="644" w:hanging="644"/>
        <w:spacing w:after="0" w:line="273" w:lineRule="auto"/>
        <w:tabs>
          <w:tab w:leader="none" w:pos="42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56" w:lineRule="exact"/>
        <w:rPr>
          <w:rFonts w:ascii="Arial" w:cs="Arial" w:eastAsia="Arial" w:hAnsi="Arial"/>
          <w:sz w:val="21"/>
          <w:szCs w:val="21"/>
          <w:color w:val="auto"/>
        </w:rPr>
      </w:pPr>
    </w:p>
    <w:p>
      <w:pPr>
        <w:ind w:left="644" w:right="20" w:hanging="644"/>
        <w:spacing w:after="0" w:line="272" w:lineRule="auto"/>
        <w:tabs>
          <w:tab w:leader="none" w:pos="38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future value of the underlying Shares and other amounts that may be acquired pursuant to this Award is unknown, indeterminable and cannot be predicted with certainty;</w:t>
      </w:r>
    </w:p>
    <w:p>
      <w:pPr>
        <w:spacing w:after="0" w:line="155" w:lineRule="exact"/>
        <w:rPr>
          <w:rFonts w:ascii="Arial" w:cs="Arial" w:eastAsia="Arial" w:hAnsi="Arial"/>
          <w:sz w:val="22"/>
          <w:szCs w:val="22"/>
          <w:color w:val="auto"/>
        </w:rPr>
      </w:pPr>
    </w:p>
    <w:p>
      <w:pPr>
        <w:ind w:left="644" w:hanging="644"/>
        <w:spacing w:after="0" w:line="249" w:lineRule="auto"/>
        <w:tabs>
          <w:tab w:leader="none" w:pos="35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or recoupment of any Shares and other amounts that may be acquired pursuant to this Award acquired under the Plan or proceeds therefrom resulting from (i) the application of a clawback policy described in Section 15 of this Award Agreement or required by law, (ii) application of any of the remedies described in Section 11 of this Award Agreement or (iii)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95" w:lineRule="exact"/>
        <w:rPr>
          <w:rFonts w:ascii="Arial" w:cs="Arial" w:eastAsia="Arial" w:hAnsi="Arial"/>
          <w:sz w:val="22"/>
          <w:szCs w:val="22"/>
          <w:color w:val="auto"/>
        </w:rPr>
      </w:pPr>
    </w:p>
    <w:p>
      <w:pPr>
        <w:ind w:left="644" w:hanging="644"/>
        <w:spacing w:after="0" w:line="248" w:lineRule="auto"/>
        <w:tabs>
          <w:tab w:leader="none" w:pos="45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w:t>
      </w:r>
    </w:p>
    <w:p>
      <w:pPr>
        <w:spacing w:after="0" w:line="184" w:lineRule="exact"/>
        <w:rPr>
          <w:rFonts w:ascii="Arial" w:cs="Arial" w:eastAsia="Arial" w:hAnsi="Arial"/>
          <w:sz w:val="22"/>
          <w:szCs w:val="22"/>
          <w:color w:val="auto"/>
        </w:rPr>
      </w:pPr>
    </w:p>
    <w:p>
      <w:pPr>
        <w:ind w:left="644" w:hanging="644"/>
        <w:spacing w:after="0" w:line="257" w:lineRule="auto"/>
        <w:tabs>
          <w:tab w:leader="none" w:pos="38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to the extent applicable to the Grantee, the Company has communicated share ownership guidelines that apply to the Grantee, and the Grantee understands and agrees that those guidelines may impact any Shares subject to, or issued pursuant to, the Award;</w:t>
      </w:r>
    </w:p>
    <w:p>
      <w:pPr>
        <w:sectPr>
          <w:pgSz w:w="11900" w:h="16838" w:orient="portrait"/>
          <w:cols w:equalWidth="0" w:num="1">
            <w:col w:w="10584"/>
          </w:cols>
          <w:pgMar w:left="976" w:top="1423" w:right="339" w:bottom="1440" w:gutter="0" w:footer="0" w:header="0"/>
        </w:sectPr>
      </w:pPr>
    </w:p>
    <w:bookmarkStart w:id="173" w:name="page174"/>
    <w:bookmarkEnd w:id="173"/>
    <w:p>
      <w:pPr>
        <w:ind w:left="960" w:right="20" w:hanging="644"/>
        <w:spacing w:after="0" w:line="272" w:lineRule="auto"/>
        <w:tabs>
          <w:tab w:leader="none" w:pos="80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w:t>
      </w:r>
    </w:p>
    <w:p>
      <w:pPr>
        <w:spacing w:after="0" w:line="155" w:lineRule="exact"/>
        <w:rPr>
          <w:rFonts w:ascii="Arial" w:cs="Arial" w:eastAsia="Arial" w:hAnsi="Arial"/>
          <w:sz w:val="22"/>
          <w:szCs w:val="22"/>
          <w:color w:val="auto"/>
        </w:rPr>
      </w:pPr>
    </w:p>
    <w:p>
      <w:pPr>
        <w:ind w:left="960" w:hanging="644"/>
        <w:spacing w:after="0" w:line="264" w:lineRule="auto"/>
        <w:tabs>
          <w:tab w:leader="none" w:pos="75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to the extent applicable to the Grantee, the Company has communicated share ownership guidelines that apply to the Grantee, and the Grantee understands and agrees that those guidelines may impact any Shares subject to, or issued pursuant to, the Award;</w:t>
      </w:r>
    </w:p>
    <w:p>
      <w:pPr>
        <w:spacing w:after="0" w:line="164" w:lineRule="exact"/>
        <w:rPr>
          <w:rFonts w:ascii="Arial" w:cs="Arial" w:eastAsia="Arial" w:hAnsi="Arial"/>
          <w:sz w:val="22"/>
          <w:szCs w:val="22"/>
          <w:color w:val="auto"/>
        </w:rPr>
      </w:pPr>
    </w:p>
    <w:p>
      <w:pPr>
        <w:ind w:left="960" w:hanging="644"/>
        <w:spacing w:after="0" w:line="253" w:lineRule="auto"/>
        <w:tabs>
          <w:tab w:leader="none" w:pos="80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 other amounts that may be acquired pursuant to this Award; and</w:t>
      </w:r>
    </w:p>
    <w:p>
      <w:pPr>
        <w:spacing w:after="0" w:line="178" w:lineRule="exact"/>
        <w:rPr>
          <w:rFonts w:ascii="Arial" w:cs="Arial" w:eastAsia="Arial" w:hAnsi="Arial"/>
          <w:sz w:val="22"/>
          <w:szCs w:val="22"/>
          <w:color w:val="auto"/>
        </w:rPr>
      </w:pPr>
    </w:p>
    <w:p>
      <w:pPr>
        <w:jc w:val="both"/>
        <w:ind w:left="960" w:hanging="644"/>
        <w:spacing w:after="0" w:line="253" w:lineRule="auto"/>
        <w:tabs>
          <w:tab w:leader="none" w:pos="9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and other amounts that may be acquired pursuant to this Award acquired upon settlement.</w:t>
      </w:r>
    </w:p>
    <w:p>
      <w:pPr>
        <w:spacing w:after="0" w:line="174"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color w:val="auto"/>
        </w:rPr>
        <w:t>Section 10.</w:t>
        <w:tab/>
        <w:t>Data Privacy</w:t>
      </w:r>
    </w:p>
    <w:p>
      <w:pPr>
        <w:spacing w:after="0" w:line="78" w:lineRule="exact"/>
        <w:rPr>
          <w:sz w:val="20"/>
          <w:szCs w:val="20"/>
          <w:color w:val="auto"/>
        </w:rPr>
      </w:pPr>
    </w:p>
    <w:p>
      <w:pPr>
        <w:jc w:val="both"/>
        <w:ind w:left="960" w:hanging="644"/>
        <w:spacing w:after="0" w:line="248" w:lineRule="auto"/>
        <w:tabs>
          <w:tab w:leader="none" w:pos="908" w:val="left"/>
        </w:tabs>
        <w:numPr>
          <w:ilvl w:val="0"/>
          <w:numId w:val="144"/>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Restricted Stock Units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211" w:lineRule="exact"/>
        <w:rPr>
          <w:rFonts w:ascii="Arial" w:cs="Arial" w:eastAsia="Arial" w:hAnsi="Arial"/>
          <w:sz w:val="22"/>
          <w:szCs w:val="22"/>
          <w:i w:val="1"/>
          <w:iCs w:val="1"/>
          <w:color w:val="auto"/>
        </w:rPr>
      </w:pPr>
    </w:p>
    <w:p>
      <w:pPr>
        <w:ind w:left="960" w:hanging="644"/>
        <w:spacing w:after="0" w:line="253" w:lineRule="auto"/>
        <w:tabs>
          <w:tab w:leader="none" w:pos="746" w:val="left"/>
        </w:tabs>
        <w:numPr>
          <w:ilvl w:val="0"/>
          <w:numId w:val="144"/>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Morgan Stanley’s E*TRADE Financial Corporate Services, Inc. and/or its affiliated companies (“E*TRADE”), an independent service provider, which is assisting the Company with the implementation, administration and management of the Plan. In the future, the Company may select a different service provider and share Data with such other provider serving in a similar</w:t>
      </w:r>
    </w:p>
    <w:p>
      <w:pPr>
        <w:sectPr>
          <w:pgSz w:w="11900" w:h="16838" w:orient="portrait"/>
          <w:cols w:equalWidth="0" w:num="1">
            <w:col w:w="10900"/>
          </w:cols>
          <w:pgMar w:left="660" w:top="1423" w:right="339" w:bottom="1440" w:gutter="0" w:footer="0" w:header="0"/>
        </w:sectPr>
      </w:pPr>
    </w:p>
    <w:bookmarkStart w:id="174" w:name="page175"/>
    <w:bookmarkEnd w:id="174"/>
    <w:p>
      <w:pPr>
        <w:jc w:val="both"/>
        <w:ind w:left="644"/>
        <w:spacing w:after="0" w:line="251" w:lineRule="auto"/>
        <w:rPr>
          <w:sz w:val="20"/>
          <w:szCs w:val="20"/>
          <w:color w:val="auto"/>
        </w:rPr>
      </w:pPr>
      <w:r>
        <w:rPr>
          <w:rFonts w:ascii="Arial" w:cs="Arial" w:eastAsia="Arial" w:hAnsi="Arial"/>
          <w:sz w:val="22"/>
          <w:szCs w:val="22"/>
          <w:i w:val="1"/>
          <w:iCs w:val="1"/>
          <w:color w:val="auto"/>
        </w:rPr>
        <w:t>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208" w:lineRule="exact"/>
        <w:rPr>
          <w:sz w:val="20"/>
          <w:szCs w:val="20"/>
          <w:color w:val="auto"/>
        </w:rPr>
      </w:pPr>
    </w:p>
    <w:p>
      <w:pPr>
        <w:ind w:left="644" w:hanging="644"/>
        <w:spacing w:after="0" w:line="282" w:lineRule="auto"/>
        <w:tabs>
          <w:tab w:leader="none" w:pos="431" w:val="left"/>
        </w:tabs>
        <w:numPr>
          <w:ilvl w:val="0"/>
          <w:numId w:val="145"/>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174" w:lineRule="exact"/>
        <w:rPr>
          <w:rFonts w:ascii="Arial" w:cs="Arial" w:eastAsia="Arial" w:hAnsi="Arial"/>
          <w:sz w:val="21"/>
          <w:szCs w:val="21"/>
          <w:i w:val="1"/>
          <w:iCs w:val="1"/>
          <w:color w:val="auto"/>
        </w:rPr>
      </w:pPr>
    </w:p>
    <w:p>
      <w:pPr>
        <w:ind w:left="644" w:hanging="644"/>
        <w:spacing w:after="0" w:line="257" w:lineRule="auto"/>
        <w:tabs>
          <w:tab w:leader="none" w:pos="524" w:val="left"/>
        </w:tabs>
        <w:numPr>
          <w:ilvl w:val="0"/>
          <w:numId w:val="14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99" w:lineRule="exact"/>
        <w:rPr>
          <w:rFonts w:ascii="Arial" w:cs="Arial" w:eastAsia="Arial" w:hAnsi="Arial"/>
          <w:sz w:val="22"/>
          <w:szCs w:val="22"/>
          <w:i w:val="1"/>
          <w:iCs w:val="1"/>
          <w:color w:val="auto"/>
        </w:rPr>
      </w:pPr>
    </w:p>
    <w:p>
      <w:pPr>
        <w:ind w:left="644" w:hanging="644"/>
        <w:spacing w:after="0" w:line="251" w:lineRule="auto"/>
        <w:tabs>
          <w:tab w:leader="none" w:pos="470" w:val="left"/>
        </w:tabs>
        <w:numPr>
          <w:ilvl w:val="0"/>
          <w:numId w:val="14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08" w:lineRule="exact"/>
        <w:rPr>
          <w:rFonts w:ascii="Arial" w:cs="Arial" w:eastAsia="Arial" w:hAnsi="Arial"/>
          <w:sz w:val="22"/>
          <w:szCs w:val="22"/>
          <w:i w:val="1"/>
          <w:iCs w:val="1"/>
          <w:color w:val="auto"/>
        </w:rPr>
      </w:pPr>
    </w:p>
    <w:p>
      <w:pPr>
        <w:ind w:left="644" w:hanging="644"/>
        <w:spacing w:after="0" w:line="248" w:lineRule="auto"/>
        <w:tabs>
          <w:tab w:leader="none" w:pos="424" w:val="left"/>
        </w:tabs>
        <w:numPr>
          <w:ilvl w:val="0"/>
          <w:numId w:val="14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w:t>
      </w:r>
    </w:p>
    <w:p>
      <w:pPr>
        <w:sectPr>
          <w:pgSz w:w="11900" w:h="16838" w:orient="portrait"/>
          <w:cols w:equalWidth="0" w:num="1">
            <w:col w:w="10584"/>
          </w:cols>
          <w:pgMar w:left="976" w:top="1423" w:right="339" w:bottom="1440" w:gutter="0" w:footer="0" w:header="0"/>
        </w:sectPr>
      </w:pPr>
    </w:p>
    <w:bookmarkStart w:id="175" w:name="page176"/>
    <w:bookmarkEnd w:id="175"/>
    <w:p>
      <w:pPr>
        <w:jc w:val="both"/>
        <w:ind w:left="1292"/>
        <w:spacing w:after="0" w:line="253" w:lineRule="auto"/>
        <w:rPr>
          <w:sz w:val="20"/>
          <w:szCs w:val="20"/>
          <w:color w:val="auto"/>
        </w:rPr>
      </w:pPr>
      <w:r>
        <w:rPr>
          <w:rFonts w:ascii="Arial" w:cs="Arial" w:eastAsia="Arial" w:hAnsi="Arial"/>
          <w:sz w:val="22"/>
          <w:szCs w:val="22"/>
          <w:i w:val="1"/>
          <w:iCs w:val="1"/>
          <w:color w:val="auto"/>
        </w:rPr>
        <w:t>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206" w:lineRule="exact"/>
        <w:rPr>
          <w:sz w:val="20"/>
          <w:szCs w:val="20"/>
          <w:color w:val="auto"/>
        </w:rPr>
      </w:pPr>
    </w:p>
    <w:p>
      <w:pPr>
        <w:jc w:val="both"/>
        <w:ind w:left="1292" w:hanging="644"/>
        <w:spacing w:after="0" w:line="251" w:lineRule="auto"/>
        <w:tabs>
          <w:tab w:leader="none" w:pos="1267" w:val="left"/>
        </w:tabs>
        <w:numPr>
          <w:ilvl w:val="0"/>
          <w:numId w:val="14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offer an adequate level of protection from a European (or other non-U.S.) data protection law perspective, for the purposes described above.</w:t>
      </w:r>
    </w:p>
    <w:p>
      <w:pPr>
        <w:spacing w:after="0" w:line="176" w:lineRule="exact"/>
        <w:rPr>
          <w:sz w:val="20"/>
          <w:szCs w:val="20"/>
          <w:color w:val="auto"/>
        </w:rPr>
      </w:pPr>
    </w:p>
    <w:p>
      <w:pPr>
        <w:ind w:left="332"/>
        <w:spacing w:after="0"/>
        <w:tabs>
          <w:tab w:leader="none" w:pos="1712" w:val="left"/>
        </w:tabs>
        <w:rPr>
          <w:sz w:val="20"/>
          <w:szCs w:val="20"/>
          <w:color w:val="auto"/>
        </w:rPr>
      </w:pPr>
      <w:r>
        <w:rPr>
          <w:rFonts w:ascii="Arial" w:cs="Arial" w:eastAsia="Arial" w:hAnsi="Arial"/>
          <w:sz w:val="23"/>
          <w:szCs w:val="23"/>
          <w:color w:val="auto"/>
        </w:rPr>
        <w:t>Section 11.</w:t>
        <w:tab/>
        <w:t>Restrictive Covenants and Remedies</w:t>
      </w:r>
    </w:p>
    <w:p>
      <w:pPr>
        <w:spacing w:after="0" w:line="233" w:lineRule="exact"/>
        <w:rPr>
          <w:sz w:val="20"/>
          <w:szCs w:val="20"/>
          <w:color w:val="auto"/>
        </w:rPr>
      </w:pPr>
    </w:p>
    <w:p>
      <w:pPr>
        <w:jc w:val="both"/>
        <w:ind w:left="412"/>
        <w:spacing w:after="0"/>
        <w:rPr>
          <w:sz w:val="20"/>
          <w:szCs w:val="20"/>
          <w:color w:val="auto"/>
        </w:rPr>
      </w:pPr>
      <w:r>
        <w:rPr>
          <w:rFonts w:ascii="Arial" w:cs="Arial" w:eastAsia="Arial" w:hAnsi="Arial"/>
          <w:sz w:val="22"/>
          <w:szCs w:val="22"/>
          <w:color w:val="auto"/>
        </w:rPr>
        <w:t>This Section 11 is entered into by Lilly (which for purposes of Section 11 includes any of its Affiliates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to which Grantee provides (or has provided) services during Grantee’s employment) and Grantee as of the date of Grantee’s acceptance of this Award. This Section 11 is not applicable if the Grantee is working and/or residing in Canada or otherwise where impermissible under applicable law. However, conduct involving misappropriation of Lilly trade secrets or confidential information will remain prohibited as provided in the Grantee’s Employee Confidentiality and Invention Agreement and nothing in this Award Agreement shall be construed to limit or eliminate any rights or remedies Lilly would have against Grantee under trade secret law, unfair competition law, or other applicable laws.</w:t>
      </w:r>
    </w:p>
    <w:p>
      <w:pPr>
        <w:spacing w:after="0" w:line="87" w:lineRule="exact"/>
        <w:rPr>
          <w:sz w:val="20"/>
          <w:szCs w:val="20"/>
          <w:color w:val="auto"/>
        </w:rPr>
      </w:pPr>
    </w:p>
    <w:p>
      <w:pPr>
        <w:jc w:val="both"/>
        <w:ind w:left="412"/>
        <w:spacing w:after="0" w:line="264" w:lineRule="auto"/>
        <w:rPr>
          <w:sz w:val="20"/>
          <w:szCs w:val="20"/>
          <w:color w:val="auto"/>
        </w:rPr>
      </w:pPr>
      <w:r>
        <w:rPr>
          <w:rFonts w:ascii="Arial" w:cs="Arial" w:eastAsia="Arial" w:hAnsi="Arial"/>
          <w:sz w:val="22"/>
          <w:szCs w:val="22"/>
          <w:color w:val="auto"/>
        </w:rPr>
        <w:t>In consideration of the Grantee’s receipt of the Award from Lilly, and the mutual covenants contained herein and other good and valuable consideration, the receipt and sufficiency of which are hereby acknowledged, the Grantee and Lilly hereby agree as follows:</w:t>
      </w:r>
    </w:p>
    <w:p>
      <w:pPr>
        <w:spacing w:after="0" w:line="299" w:lineRule="exact"/>
        <w:rPr>
          <w:sz w:val="20"/>
          <w:szCs w:val="20"/>
          <w:color w:val="auto"/>
        </w:rPr>
      </w:pPr>
    </w:p>
    <w:p>
      <w:pPr>
        <w:ind w:left="1072" w:hanging="424"/>
        <w:spacing w:after="0"/>
        <w:tabs>
          <w:tab w:leader="none" w:pos="1072"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1792" w:hanging="324"/>
        <w:spacing w:after="0" w:line="251" w:lineRule="auto"/>
        <w:rPr>
          <w:rFonts w:ascii="Arial" w:cs="Arial" w:eastAsia="Arial" w:hAnsi="Arial"/>
          <w:sz w:val="22"/>
          <w:szCs w:val="22"/>
          <w:color w:val="auto"/>
        </w:rPr>
      </w:pPr>
      <w:r>
        <w:rPr>
          <w:rFonts w:ascii="Arial" w:cs="Arial" w:eastAsia="Arial" w:hAnsi="Arial"/>
          <w:sz w:val="22"/>
          <w:szCs w:val="22"/>
          <w:color w:val="auto"/>
        </w:rPr>
        <w:t>i. Grantee understands and agrees that Grantee’s employment by Lilly creates a relationship of confidence and trust with respect to any information or materials of a confidential, non-public or proprietary nature that have been or may be made, created or discovered by Grantee or that have been or will be disclosed to Grantee in relation to the business of Lilly, or its direct or indirect parents, subsidiaries or Affiliates (together with Lilly, the “Lilly Group Companies”), or any of their respective predecessors, or any entity, business 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6459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8" w:lineRule="exact"/>
        <w:rPr>
          <w:sz w:val="20"/>
          <w:szCs w:val="20"/>
          <w:color w:val="auto"/>
        </w:rPr>
      </w:pPr>
    </w:p>
    <w:p>
      <w:pPr>
        <w:ind w:left="-8" w:right="160" w:firstLine="8"/>
        <w:spacing w:after="0" w:line="235" w:lineRule="auto"/>
        <w:tabs>
          <w:tab w:leader="none" w:pos="85" w:val="left"/>
        </w:tabs>
        <w:numPr>
          <w:ilvl w:val="0"/>
          <w:numId w:val="148"/>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For purposes of this Section 11, “Affiliate” means any entity that directly, or indirectly through one or more intermediaries, controls, or is controlled by, or is under common control with, Eli Lilly and Company or Lilly USA, LLC.</w:t>
      </w:r>
    </w:p>
    <w:p>
      <w:pPr>
        <w:sectPr>
          <w:pgSz w:w="11900" w:h="16838" w:orient="portrait"/>
          <w:cols w:equalWidth="0" w:num="1">
            <w:col w:w="11232"/>
          </w:cols>
          <w:pgMar w:left="328" w:top="1423" w:right="339" w:bottom="1440" w:gutter="0" w:footer="0" w:header="0"/>
        </w:sectPr>
      </w:pPr>
    </w:p>
    <w:bookmarkStart w:id="176" w:name="page177"/>
    <w:bookmarkEnd w:id="176"/>
    <w:p>
      <w:pPr>
        <w:jc w:val="both"/>
        <w:ind w:left="680"/>
        <w:spacing w:after="0" w:line="247" w:lineRule="auto"/>
        <w:rPr>
          <w:sz w:val="20"/>
          <w:szCs w:val="20"/>
          <w:color w:val="auto"/>
        </w:rPr>
      </w:pPr>
      <w:r>
        <w:rPr>
          <w:rFonts w:ascii="Arial" w:cs="Arial" w:eastAsia="Arial" w:hAnsi="Arial"/>
          <w:sz w:val="22"/>
          <w:szCs w:val="22"/>
          <w:color w:val="auto"/>
        </w:rPr>
        <w:t>acquired in whole or in part by any of the Lilly Group Companies (each, an “Acquired Company”), or any Protected Contact, or any other person with whom the Lilly Group Companies agrees to hold such information or materials in confidence (the “Confidential Information”). For the avoidance of doubt, any information developed by an Acquired Company will be considered “Confidential Information” if it meets the definition of that term herein regardless of whether the Confidential Information was developed by the Acquired Company prior to or after the acquisition by Lilly. Without limitation as to the forms that Confidential Information may take, Grantee acknowledges and agrees that Confidential Information may be contained in tangible material such as writings, drawings, samples, electronic media, or computer programs, or may be in the nature of unwritten knowledge or know-how. Confidential Information includes, but is not limited to, information concerning the Lilly Group Companies’ inventions, marketing plans, products, designs, processes, services, research data, prototypes, specimens, test protocols, laboratory notebooks, business strategies, financial information, forecasts, personnel information, contract information, Protected Contacts, business pursuits and other information that is not generally known outside the Lilly Group Companies and from which the Lilly Group Companies could derive economic value, including any such information to which Grantee had access prior to agreeing to the terms of this Section 11. Notwithstanding the foregoing, it is understood that Confidential Information does not include information that is generally known in the trade or industry through no breach of this Section 11 or other act or omission by Grantee or any other person with confidentiality obligations to the Lilly Group Companies, or information arising from Grantee’s general training, knowledge, skill or experience.</w:t>
      </w:r>
    </w:p>
    <w:p>
      <w:pPr>
        <w:spacing w:after="0" w:line="81" w:lineRule="exact"/>
        <w:rPr>
          <w:sz w:val="20"/>
          <w:szCs w:val="20"/>
          <w:color w:val="auto"/>
        </w:rPr>
      </w:pPr>
    </w:p>
    <w:p>
      <w:pPr>
        <w:jc w:val="both"/>
        <w:ind w:left="680" w:hanging="334"/>
        <w:spacing w:after="0" w:line="248" w:lineRule="auto"/>
        <w:tabs>
          <w:tab w:leader="none" w:pos="82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At all times, both during Grantee’s employment and during the Confidentiality Restricted Period (as defined herein) after the end of Grantee’s employment with Lilly for any reason, and to the fullest extent permitted by law, Grantee agrees to keep and hold all Confidential Information in strict confidence and trust. Grantee will not use or disclose any Confidential Information without the prior written consent of Lilly in each instance, except in the good faith performance of Grantee’s duties as an employee of Lilly for the benefit of Lilly. For purposes of this Section 11, “Confidentiality Restricted Period” shall mean: (i) five (5) years following the end of Grantee’s employment with Lilly for any reason if the item of Confidential Information at issue does not constitute a trade secret under applicable law; and (ii) if the item of Confidential Information at issue constitutes a trade secret under applicable law, the longer of (A) five (5) years following the end of Grantee’s employment with Lilly for any reason, and (B) for so long as</w:t>
      </w:r>
    </w:p>
    <w:p>
      <w:pPr>
        <w:sectPr>
          <w:pgSz w:w="11900" w:h="16838" w:orient="portrait"/>
          <w:cols w:equalWidth="0" w:num="1">
            <w:col w:w="10120"/>
          </w:cols>
          <w:pgMar w:left="1440" w:top="1423" w:right="339" w:bottom="1440" w:gutter="0" w:footer="0" w:header="0"/>
        </w:sectPr>
      </w:pPr>
    </w:p>
    <w:bookmarkStart w:id="177" w:name="page178"/>
    <w:bookmarkEnd w:id="177"/>
    <w:p>
      <w:pPr>
        <w:ind w:left="1225"/>
        <w:spacing w:after="0"/>
        <w:rPr>
          <w:sz w:val="20"/>
          <w:szCs w:val="20"/>
          <w:color w:val="auto"/>
        </w:rPr>
      </w:pPr>
      <w:r>
        <w:rPr>
          <w:rFonts w:ascii="Arial" w:cs="Arial" w:eastAsia="Arial" w:hAnsi="Arial"/>
          <w:sz w:val="22"/>
          <w:szCs w:val="22"/>
          <w:color w:val="auto"/>
        </w:rPr>
        <w:t>such item of Confidential Information at issue continues to constitute a trade secret.</w:t>
      </w:r>
    </w:p>
    <w:p>
      <w:pPr>
        <w:spacing w:after="0" w:line="112" w:lineRule="exact"/>
        <w:rPr>
          <w:sz w:val="20"/>
          <w:szCs w:val="20"/>
          <w:color w:val="auto"/>
        </w:rPr>
      </w:pPr>
    </w:p>
    <w:p>
      <w:pPr>
        <w:jc w:val="both"/>
        <w:ind w:left="1225" w:hanging="334"/>
        <w:spacing w:after="0" w:line="250" w:lineRule="auto"/>
        <w:tabs>
          <w:tab w:leader="none" w:pos="151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Grantee understands and agrees that all Confidential Information, and all other documents, supplies, equipment and other physical property furnished to Grantee by Lilly, produced by Grantee or others in connection with Grantee’s employment, or otherwise pertaining to Grantee’s work with Lilly or any of the Lilly Group Companies (collectively, “Lilly Property”) will be and remain the sole property of Lilly. Upon the end of Grantee’s employment with Lilly for any reason, Grantee agrees to promptly deliver to Lilly all Confidential Information and all other Lilly Property, and Grantee will not take with Grantee or retain in any form any documents or materials or copies containing any Confidential Information, excepting only Grantee’s personal copies of records of Grantee’s employment or compensation with Lilly.</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725" w:hanging="725"/>
        <w:spacing w:after="0" w:line="249" w:lineRule="auto"/>
        <w:tabs>
          <w:tab w:leader="none" w:pos="43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Except as may be modified for Grantee as described in subsection 11.i., Grantee agrees that during Grantee’s employment with Lilly and for twelve (12) months immediately following the end of Grantee’s employment (regardless of reason) (the “Restricted Period”), Grantee will not directly or indirectly, anywhere in or with respect to the United States or any other country in which Lilly operates or conducts business as of the end of Grantee’s employment (the “Restricted Territory”), work for, advise, manage, act as an agent, employee or consultant for, or otherwise provide any services, in each case in a Competitively-Sensitive Capacity (as defined herein), to any person or entity engaged in research, development, production, sale, or distribution of a product or service competitive with or substantially similar to any product or service in research, development or design, or manufactured, produced, sold, or distributed by Lilly (each such person or entity, a “Competitor”).</w:t>
      </w:r>
    </w:p>
    <w:p>
      <w:pPr>
        <w:spacing w:after="0" w:line="75" w:lineRule="exact"/>
        <w:rPr>
          <w:sz w:val="20"/>
          <w:szCs w:val="20"/>
          <w:color w:val="auto"/>
        </w:rPr>
      </w:pPr>
    </w:p>
    <w:p>
      <w:pPr>
        <w:jc w:val="both"/>
        <w:ind w:left="725"/>
        <w:spacing w:after="0" w:line="248" w:lineRule="auto"/>
        <w:rPr>
          <w:sz w:val="20"/>
          <w:szCs w:val="20"/>
          <w:color w:val="auto"/>
        </w:rPr>
      </w:pPr>
      <w:r>
        <w:rPr>
          <w:rFonts w:ascii="Arial" w:cs="Arial" w:eastAsia="Arial" w:hAnsi="Arial"/>
          <w:sz w:val="22"/>
          <w:szCs w:val="22"/>
          <w:color w:val="auto"/>
        </w:rPr>
        <w:t>For purposes of this Section 11, “Competitively-Sensitive Capacity” means: (i) the same or similar capacity or function in which Grantee worked for Lilly at any time during the two (2) years immediately preceding the end of Grantee’s employment; (ii) any officer, director, executive or senior management capacity or function; (iii) any research or development capacity or function; (iv) any sales management or business development management capacity or function; (v) any ownership capacity (except Grantee may own as a passive investment up to 2% of any publicly traded securities); or (vi) any other capacity or function in which the trade secrets or other Confidential Information of Lilly or any of the Lilly Group Companies to which Grantee had access during the two (2) years immediately preceding the end of Grantee’s employment, if used or disclosed by Grantee, would enable a Competitor to unfairly compete with Lilly. For purposes of clarity, if a Competitor has multiple divisions, lines or segments, some of which are</w:t>
      </w:r>
    </w:p>
    <w:p>
      <w:pPr>
        <w:sectPr>
          <w:pgSz w:w="11900" w:h="16838" w:orient="portrait"/>
          <w:cols w:equalWidth="0" w:num="1">
            <w:col w:w="10665"/>
          </w:cols>
          <w:pgMar w:left="895" w:top="1423" w:right="339" w:bottom="1440" w:gutter="0" w:footer="0" w:header="0"/>
        </w:sectPr>
      </w:pPr>
    </w:p>
    <w:bookmarkStart w:id="178" w:name="page179"/>
    <w:bookmarkEnd w:id="178"/>
    <w:p>
      <w:pPr>
        <w:jc w:val="both"/>
        <w:ind w:left="644"/>
        <w:spacing w:after="0" w:line="251" w:lineRule="auto"/>
        <w:rPr>
          <w:sz w:val="20"/>
          <w:szCs w:val="20"/>
          <w:color w:val="auto"/>
        </w:rPr>
      </w:pPr>
      <w:r>
        <w:rPr>
          <w:rFonts w:ascii="Arial" w:cs="Arial" w:eastAsia="Arial" w:hAnsi="Arial"/>
          <w:sz w:val="22"/>
          <w:szCs w:val="22"/>
          <w:color w:val="auto"/>
        </w:rPr>
        <w:t>not competitive with the business of Lilly, nothing in this Section 11 will prohibit Grantee from being employed by, working for or assisting only that division, line or segment of such Competitor that is not competitive with (or planned to be competitive with) the business of Lilly, provided Grantee is not involved in a Competitively-Sensitive Capacity in the research, development, production, sale or distribution of any product or service competitive with or substantially similar to any product or service in research, development or design, or manufactured, produced, sold, or distributed by Lilly.</w:t>
      </w:r>
    </w:p>
    <w:p>
      <w:pPr>
        <w:spacing w:after="0" w:line="73" w:lineRule="exact"/>
        <w:rPr>
          <w:sz w:val="20"/>
          <w:szCs w:val="20"/>
          <w:color w:val="auto"/>
        </w:rPr>
      </w:pPr>
    </w:p>
    <w:p>
      <w:pPr>
        <w:jc w:val="both"/>
        <w:ind w:left="644"/>
        <w:spacing w:after="0" w:line="257" w:lineRule="auto"/>
        <w:rPr>
          <w:sz w:val="20"/>
          <w:szCs w:val="20"/>
          <w:color w:val="auto"/>
        </w:rPr>
      </w:pPr>
      <w:r>
        <w:rPr>
          <w:rFonts w:ascii="Arial" w:cs="Arial" w:eastAsia="Arial" w:hAnsi="Arial"/>
          <w:sz w:val="22"/>
          <w:szCs w:val="22"/>
          <w:color w:val="auto"/>
        </w:rPr>
        <w:t>In accordance with American Bar Association Model Rule 5.6, this subsection 11.b. shall be inapplicable following the end of Grantee’s employment if: (i) during Grantee’s employment with Lilly, Grantee primarily performed services for Lilly as a licensed attorney, and (ii) Grantee provides legal services as a licensed attorney to a company other than Lilly.</w:t>
      </w:r>
    </w:p>
    <w:p>
      <w:pPr>
        <w:spacing w:after="0" w:line="64" w:lineRule="exact"/>
        <w:rPr>
          <w:sz w:val="20"/>
          <w:szCs w:val="20"/>
          <w:color w:val="auto"/>
        </w:rPr>
      </w:pPr>
    </w:p>
    <w:p>
      <w:pPr>
        <w:jc w:val="both"/>
        <w:ind w:left="644" w:hanging="644"/>
        <w:spacing w:after="0" w:line="250" w:lineRule="auto"/>
        <w:tabs>
          <w:tab w:leader="none" w:pos="593"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Non-Interference with Protected Contacts</w:t>
      </w:r>
      <w:r>
        <w:rPr>
          <w:rFonts w:ascii="Arial" w:cs="Arial" w:eastAsia="Arial" w:hAnsi="Arial"/>
          <w:sz w:val="22"/>
          <w:szCs w:val="22"/>
          <w:color w:val="auto"/>
        </w:rPr>
        <w:t>. Except as may be modified for Grantee as described in subsection 11.i., Grantee agrees that, during the Restricted Period, Grantee will not directly or indirectly, anywhere in or with respect to the Restricted Territory, solicit, urge, divert, induce, or seek to induce any Protected Contact to: (a) terminate their relationship with, or representation of, Lilly or any of the Lilly Group Companies; (b) cancel, withdraw, reduce, limit or in any manner to adversely modify any such person’s business with, or representation of, Lilly or any of the Lilly Group Companies; or (c) enter into a relationship, represent, or provide services to a Competitor.</w:t>
      </w:r>
    </w:p>
    <w:p>
      <w:pPr>
        <w:spacing w:after="0" w:line="72" w:lineRule="exact"/>
        <w:rPr>
          <w:sz w:val="20"/>
          <w:szCs w:val="20"/>
          <w:color w:val="auto"/>
        </w:rPr>
      </w:pPr>
    </w:p>
    <w:p>
      <w:pPr>
        <w:jc w:val="both"/>
        <w:ind w:left="644"/>
        <w:spacing w:after="0" w:line="268" w:lineRule="auto"/>
        <w:rPr>
          <w:sz w:val="20"/>
          <w:szCs w:val="20"/>
          <w:color w:val="auto"/>
        </w:rPr>
      </w:pPr>
      <w:r>
        <w:rPr>
          <w:rFonts w:ascii="Arial" w:cs="Arial" w:eastAsia="Arial" w:hAnsi="Arial"/>
          <w:sz w:val="21"/>
          <w:szCs w:val="21"/>
          <w:color w:val="auto"/>
        </w:rPr>
        <w:t>For purposes of this Section 11, “Protected Contact” means any independent contractor, subcontractor, business partner, distributor, broker, consultant, sales representative, customer, vendor, supplier or any other person with which Lilly or any of the Lilly Group Companies has a business relationship and (i) with which Grantee had material interaction during Grantee’s employment with Lilly, or (ii) about which Grantee had access to Confidential Information during Grantee’s employment with Lilly.</w:t>
      </w:r>
    </w:p>
    <w:p>
      <w:pPr>
        <w:spacing w:after="0" w:line="299" w:lineRule="exact"/>
        <w:rPr>
          <w:sz w:val="20"/>
          <w:szCs w:val="20"/>
          <w:color w:val="auto"/>
        </w:rPr>
      </w:pPr>
    </w:p>
    <w:p>
      <w:pPr>
        <w:ind w:left="644" w:hanging="644"/>
        <w:spacing w:after="0" w:line="257" w:lineRule="auto"/>
        <w:tabs>
          <w:tab w:leader="none" w:pos="416"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Grantee agrees that, during the Restricted Period, Grantee will not, directly or indirectly solicit, urge, divert, induce, or seek to induce any Protected Employee of Lilly to: (a) terminate or adversely modify their relationship with Lilly or any of the Lilly Group Companies; or (b) enter into a relationship, represent, or provide services to a Competitor.</w:t>
      </w:r>
    </w:p>
    <w:p>
      <w:pPr>
        <w:spacing w:after="0" w:line="64" w:lineRule="exact"/>
        <w:rPr>
          <w:sz w:val="20"/>
          <w:szCs w:val="20"/>
          <w:color w:val="auto"/>
        </w:rPr>
      </w:pPr>
    </w:p>
    <w:p>
      <w:pPr>
        <w:jc w:val="both"/>
        <w:ind w:left="644"/>
        <w:spacing w:after="0" w:line="257" w:lineRule="auto"/>
        <w:rPr>
          <w:sz w:val="20"/>
          <w:szCs w:val="20"/>
          <w:color w:val="auto"/>
        </w:rPr>
      </w:pPr>
      <w:r>
        <w:rPr>
          <w:rFonts w:ascii="Arial" w:cs="Arial" w:eastAsia="Arial" w:hAnsi="Arial"/>
          <w:sz w:val="22"/>
          <w:szCs w:val="22"/>
          <w:color w:val="auto"/>
        </w:rPr>
        <w:t>For purposes of this Section 11, “Protected Employee” means any employee of Lilly or any of the Lilly Group Companies that has or has had access to Confidential Information and: (i) with whom Grantee had material interaction</w:t>
      </w:r>
    </w:p>
    <w:p>
      <w:pPr>
        <w:sectPr>
          <w:pgSz w:w="11900" w:h="16838" w:orient="portrait"/>
          <w:cols w:equalWidth="0" w:num="1">
            <w:col w:w="10584"/>
          </w:cols>
          <w:pgMar w:left="976" w:top="1423" w:right="339" w:bottom="1440" w:gutter="0" w:footer="0" w:header="0"/>
        </w:sectPr>
      </w:pPr>
    </w:p>
    <w:bookmarkStart w:id="179" w:name="page180"/>
    <w:bookmarkEnd w:id="179"/>
    <w:p>
      <w:pPr>
        <w:ind w:left="644"/>
        <w:spacing w:after="0" w:line="272" w:lineRule="auto"/>
        <w:rPr>
          <w:sz w:val="20"/>
          <w:szCs w:val="20"/>
          <w:color w:val="auto"/>
        </w:rPr>
      </w:pPr>
      <w:r>
        <w:rPr>
          <w:rFonts w:ascii="Arial" w:cs="Arial" w:eastAsia="Arial" w:hAnsi="Arial"/>
          <w:sz w:val="22"/>
          <w:szCs w:val="22"/>
          <w:color w:val="auto"/>
        </w:rPr>
        <w:t>during Grantee’s employment with Lilly; or (ii) about whom Grantee had access to Confidential Information during Grantee’s employment with Lilly.</w:t>
      </w:r>
    </w:p>
    <w:p>
      <w:pPr>
        <w:spacing w:after="0" w:line="291" w:lineRule="exact"/>
        <w:rPr>
          <w:sz w:val="20"/>
          <w:szCs w:val="20"/>
          <w:color w:val="auto"/>
        </w:rPr>
      </w:pPr>
    </w:p>
    <w:p>
      <w:pPr>
        <w:ind w:left="644" w:hanging="644"/>
        <w:spacing w:after="0" w:line="247" w:lineRule="auto"/>
        <w:tabs>
          <w:tab w:leader="none" w:pos="484"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Reasonableness of Restrictions</w:t>
      </w:r>
      <w:r>
        <w:rPr>
          <w:rFonts w:ascii="Arial" w:cs="Arial" w:eastAsia="Arial" w:hAnsi="Arial"/>
          <w:sz w:val="22"/>
          <w:szCs w:val="22"/>
          <w:color w:val="auto"/>
        </w:rPr>
        <w:t>. Grantee acknowledges and agrees that during the course of Grantee’s employment with Lilly, Grantee will be provided access to and will become intimately familiar with trade secrets and other Confidential Information key to Lilly’s (and the Lilly Group Companies’) unique competitive advantage. Grantee also acknowledges and agrees that Lilly’s (and the Lilly Group Companies’) trade secrets and other Confidential Information will retain continuing vitality throughout and beyond the Restricted Period. And Grantee acknowledges and agrees that, should Grantee’s employment with Lilly end for any reason and, during the Restricted Period, Grantee works in a Competitively-Sensitive Capacity with a Competitor, it would be highly likely, if not inevitable, that Grantee would rely on trade secrets or other Confidential Information of Lilly or the Lilly Group Companies in the course of Grantee’s work, either consciously or subconsciously, thereby irreparably harming Lilly and the Lilly Group Companies. For these and other reasons, Grantee agrees that the restrictions in this Section 11 are reasonable and necessary to protect the legitimate business interests of Lilly and the Lilly Group Companies and do so by creating a specific amount of time after Grantee’s employment ends during which Grantee will not be able to engage or prepare to engage in the activities restricted in this Section 11. Grantee and Lilly further acknowledge and agree that Lilly and the Lilly Group Companies conduct business throughout the Restricted Territory and the geographic scope of the foregoing covenants is reasonable and necessary given, among other things, that: (a) absent such restrictions, Grantee could utilize Lilly’s (or Lilly Group Companies) trade secrets and other Confidential Information and unfairly compete with Lilly in the Restricted Territory from virtually anywhere in the world; and (b) such scope is the only way for Lilly and the Lilly Group Companies adequately to protect its trade secrets and other Confidential Information.</w:t>
      </w:r>
    </w:p>
    <w:p>
      <w:pPr>
        <w:spacing w:after="0" w:line="81" w:lineRule="exact"/>
        <w:rPr>
          <w:rFonts w:ascii="Arial" w:cs="Arial" w:eastAsia="Arial" w:hAnsi="Arial"/>
          <w:sz w:val="22"/>
          <w:szCs w:val="22"/>
          <w:color w:val="auto"/>
        </w:rPr>
      </w:pPr>
    </w:p>
    <w:p>
      <w:pPr>
        <w:ind w:left="644" w:hanging="644"/>
        <w:spacing w:after="0" w:line="250" w:lineRule="auto"/>
        <w:tabs>
          <w:tab w:leader="none" w:pos="397"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Grantee acknowledges that a breach by Grantee of this Section 11 will give rise to irreparable injury to Lilly and money damages will not be adequate relief for such injury. As a result, Grantee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Grantee. If Lilly determines that Grantee has violated any applicable provisions of this Section 11, in addition to injunctive relief and damages, Grantee agrees and covenants that: (i)Grantee will automatically forfeit any rights Grantee may have with respect to this Award as well as any equity grant (of any form or type) awarded after the date Grantee accepts</w:t>
      </w:r>
    </w:p>
    <w:p>
      <w:pPr>
        <w:sectPr>
          <w:pgSz w:w="11900" w:h="16838" w:orient="portrait"/>
          <w:cols w:equalWidth="0" w:num="1">
            <w:col w:w="10584"/>
          </w:cols>
          <w:pgMar w:left="976" w:top="1423" w:right="339" w:bottom="1440" w:gutter="0" w:footer="0" w:header="0"/>
        </w:sectPr>
      </w:pPr>
    </w:p>
    <w:bookmarkStart w:id="180" w:name="page181"/>
    <w:bookmarkEnd w:id="180"/>
    <w:p>
      <w:pPr>
        <w:jc w:val="both"/>
        <w:ind w:left="644"/>
        <w:spacing w:after="0" w:line="263" w:lineRule="auto"/>
        <w:rPr>
          <w:sz w:val="20"/>
          <w:szCs w:val="20"/>
          <w:color w:val="auto"/>
        </w:rPr>
      </w:pPr>
      <w:r>
        <w:rPr>
          <w:rFonts w:ascii="Arial" w:cs="Arial" w:eastAsia="Arial" w:hAnsi="Arial"/>
          <w:sz w:val="21"/>
          <w:szCs w:val="21"/>
          <w:color w:val="auto"/>
        </w:rPr>
        <w:t>this Award Agreement, including any right to continue to be eligible to vest or receive a payment under such equity awards; and (ii) if Grantee was designated an Executive Officer of Lilly during Grantee’s employment, and is entitled to receive benefits under The Lilly Excess Benefits Plan-Retirement (the “SERP”), Grantee will forfeit 60 months of payment under the SERP (whether payment has commenced at the time of breach or commences in the future). Further, Grantee acknowledges that Lilly and the Lilly Group Companies reserve all other rights and remedies available at law or in equity. In addition, in the event Grantee violates any of the restrictive covenants contained herein, the Restricted Period or Confidentiality Restricted Period (as applicable) for the violated restrictive covenants will automatically be extended by the length of time during which Grantee was in violation of such restrictive covenants.</w:t>
      </w:r>
    </w:p>
    <w:p>
      <w:pPr>
        <w:spacing w:after="0" w:line="62" w:lineRule="exact"/>
        <w:rPr>
          <w:sz w:val="20"/>
          <w:szCs w:val="20"/>
          <w:color w:val="auto"/>
        </w:rPr>
      </w:pPr>
    </w:p>
    <w:p>
      <w:pPr>
        <w:ind w:left="644" w:hanging="644"/>
        <w:spacing w:after="0" w:line="261" w:lineRule="auto"/>
        <w:tabs>
          <w:tab w:leader="none" w:pos="443"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Notification Requirements</w:t>
      </w:r>
      <w:r>
        <w:rPr>
          <w:rFonts w:ascii="Arial" w:cs="Arial" w:eastAsia="Arial" w:hAnsi="Arial"/>
          <w:sz w:val="21"/>
          <w:szCs w:val="21"/>
          <w:color w:val="auto"/>
        </w:rPr>
        <w:t>. During the Restricted Period, Grantee acknowledges and agrees to notify Lilly of the name, job title, job duties and location of Grantee’s next employer or any other person or entity for which Grantee otherwise will be working or providing services. This notification to Lilly is necessary to ensure adherence to Grantee’s post-employment obligations and to protect Lilly trade secrets and confidential information from improper disclosure. During the Restricted Period or Confidentiality Restricted Period, Grantee will provide a copy of Grantee’s post-employment obligations under this Section 11 to each subsequent employer and to each other person or entity for which Grantee otherwise will be working or providing services, in each case prior to commencing employment with or providing any services to such employer, person or entity. Grantee also authorizes Lilly to notify third parties, including any actual or potential employers and Protected Contacts, of the terms of this Section 11 and Grantee’s obligations hereunder, by providing a copy of this Section 11 or otherwise.</w:t>
      </w:r>
    </w:p>
    <w:p>
      <w:pPr>
        <w:spacing w:after="0" w:line="67" w:lineRule="exact"/>
        <w:rPr>
          <w:rFonts w:ascii="Arial" w:cs="Arial" w:eastAsia="Arial" w:hAnsi="Arial"/>
          <w:sz w:val="21"/>
          <w:szCs w:val="21"/>
          <w:color w:val="auto"/>
        </w:rPr>
      </w:pPr>
    </w:p>
    <w:p>
      <w:pPr>
        <w:ind w:left="644" w:hanging="644"/>
        <w:spacing w:after="0" w:line="248" w:lineRule="auto"/>
        <w:tabs>
          <w:tab w:leader="none" w:pos="43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Government Agencies; Permitted Disclosures</w:t>
      </w:r>
      <w:r>
        <w:rPr>
          <w:rFonts w:ascii="Arial" w:cs="Arial" w:eastAsia="Arial" w:hAnsi="Arial"/>
          <w:sz w:val="22"/>
          <w:szCs w:val="22"/>
          <w:color w:val="auto"/>
        </w:rPr>
        <w:t>. Notwithstanding anything in this Section 11 to the contrary, Grantee understands that Grantee may report possible violations of law or regulation to any governmental agency or entity, or make other disclosures that are protected under law or regulation. Grantee also understands that nothing in this Section 11 requires Grantee to obtain prior authorization from Lilly to make any such reports or disclosures or to notify Lilly that you have made such reports or disclosures. Nor shall anything in this Section 11 impede Grantee from discussing or disclosing in good faith information about unlawful acts in the workplace, such as harassment (including sexual harassment), discrimination, sexual assault, or any other conduct Grantee has reason to believe in good faith is unlawful, or from exercising any rights Grantee may have under Section 7 of the National Labor Relations Act. Grantee further understands that Grantee may not be held criminally or civilly liable under any federal or state trade secret law for the disclosure of a trade secret that is made: (a) in confidence to a federal,</w:t>
      </w:r>
    </w:p>
    <w:p>
      <w:pPr>
        <w:sectPr>
          <w:pgSz w:w="11900" w:h="16838" w:orient="portrait"/>
          <w:cols w:equalWidth="0" w:num="1">
            <w:col w:w="10584"/>
          </w:cols>
          <w:pgMar w:left="976" w:top="1423" w:right="339" w:bottom="1440" w:gutter="0" w:footer="0" w:header="0"/>
        </w:sectPr>
      </w:pPr>
    </w:p>
    <w:bookmarkStart w:id="181" w:name="page182"/>
    <w:bookmarkEnd w:id="181"/>
    <w:p>
      <w:pPr>
        <w:jc w:val="both"/>
        <w:ind w:left="644"/>
        <w:spacing w:after="0" w:line="251" w:lineRule="auto"/>
        <w:rPr>
          <w:sz w:val="20"/>
          <w:szCs w:val="20"/>
          <w:color w:val="auto"/>
        </w:rPr>
      </w:pPr>
      <w:r>
        <w:rPr>
          <w:rFonts w:ascii="Arial" w:cs="Arial" w:eastAsia="Arial" w:hAnsi="Arial"/>
          <w:sz w:val="22"/>
          <w:szCs w:val="22"/>
          <w:color w:val="auto"/>
        </w:rPr>
        <w:t>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Without prior written authorization of Lilly, however, Grantee is not authorized to disclose to any third party (including any government official or any attorney Grantee may retain) any communication that is covered by the attorney-client privilege of Lilly or any of the Lilly Group Companies.</w:t>
      </w:r>
    </w:p>
    <w:p>
      <w:pPr>
        <w:spacing w:after="0" w:line="73" w:lineRule="exact"/>
        <w:rPr>
          <w:sz w:val="20"/>
          <w:szCs w:val="20"/>
          <w:color w:val="auto"/>
        </w:rPr>
      </w:pPr>
    </w:p>
    <w:p>
      <w:pPr>
        <w:ind w:left="644" w:right="60" w:hanging="644"/>
        <w:spacing w:after="0" w:line="253" w:lineRule="auto"/>
        <w:tabs>
          <w:tab w:leader="none" w:pos="344"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State Law Considerations</w:t>
      </w:r>
      <w:r>
        <w:rPr>
          <w:rFonts w:ascii="Arial" w:cs="Arial" w:eastAsia="Arial" w:hAnsi="Arial"/>
          <w:sz w:val="22"/>
          <w:szCs w:val="22"/>
          <w:color w:val="auto"/>
        </w:rPr>
        <w:t>. Grantee and Lilly intend for this Section 11 to comply with all applicable state laws and that this Section 11 should be read and construed consistent with this shared intention. As such, Grantee and Lilly agree that this Section 11 is hereby modified as set forth in this subsection 11.i. to the extent Grantee primarily is employed by and primarily provide services to Lilly in one of the states identified in this subsection 11.i. as of the dates described below.</w:t>
      </w:r>
    </w:p>
    <w:p>
      <w:pPr>
        <w:spacing w:after="0" w:line="205" w:lineRule="exact"/>
        <w:rPr>
          <w:rFonts w:ascii="Arial" w:cs="Arial" w:eastAsia="Arial" w:hAnsi="Arial"/>
          <w:sz w:val="22"/>
          <w:szCs w:val="22"/>
          <w:color w:val="auto"/>
        </w:rPr>
      </w:pPr>
    </w:p>
    <w:p>
      <w:pPr>
        <w:jc w:val="both"/>
        <w:ind w:left="1044" w:hanging="315"/>
        <w:spacing w:after="0" w:line="257" w:lineRule="auto"/>
        <w:tabs>
          <w:tab w:leader="none" w:pos="1102" w:val="left"/>
        </w:tabs>
        <w:numPr>
          <w:ilvl w:val="1"/>
          <w:numId w:val="156"/>
        </w:numPr>
        <w:rPr>
          <w:rFonts w:ascii="Arial" w:cs="Arial" w:eastAsia="Arial" w:hAnsi="Arial"/>
          <w:sz w:val="22"/>
          <w:szCs w:val="22"/>
          <w:color w:val="auto"/>
        </w:rPr>
      </w:pPr>
      <w:r>
        <w:rPr>
          <w:rFonts w:ascii="Arial" w:cs="Arial" w:eastAsia="Arial" w:hAnsi="Arial"/>
          <w:sz w:val="22"/>
          <w:szCs w:val="22"/>
          <w:color w:val="auto"/>
        </w:rPr>
        <w:t>If, as of the date on which Grantee receives this Award Agreement, Grantee primarily is employed by and primarily provide services to Lilly in a state identified in this subsection 11.i.(i), the following shall apply:</w:t>
      </w:r>
    </w:p>
    <w:p>
      <w:pPr>
        <w:spacing w:after="0" w:line="200" w:lineRule="exact"/>
        <w:rPr>
          <w:rFonts w:ascii="Arial" w:cs="Arial" w:eastAsia="Arial" w:hAnsi="Arial"/>
          <w:sz w:val="22"/>
          <w:szCs w:val="22"/>
          <w:color w:val="auto"/>
        </w:rPr>
      </w:pPr>
    </w:p>
    <w:p>
      <w:pPr>
        <w:spacing w:after="0" w:line="337" w:lineRule="exact"/>
        <w:rPr>
          <w:rFonts w:ascii="Arial" w:cs="Arial" w:eastAsia="Arial" w:hAnsi="Arial"/>
          <w:sz w:val="22"/>
          <w:szCs w:val="22"/>
          <w:color w:val="auto"/>
        </w:rPr>
      </w:pPr>
    </w:p>
    <w:p>
      <w:pPr>
        <w:jc w:val="both"/>
        <w:ind w:left="1544" w:hanging="410"/>
        <w:spacing w:after="0" w:line="250" w:lineRule="auto"/>
        <w:tabs>
          <w:tab w:leader="none" w:pos="1826" w:val="left"/>
        </w:tabs>
        <w:numPr>
          <w:ilvl w:val="2"/>
          <w:numId w:val="156"/>
        </w:numPr>
        <w:rPr>
          <w:rFonts w:ascii="Arial" w:cs="Arial" w:eastAsia="Arial" w:hAnsi="Arial"/>
          <w:sz w:val="22"/>
          <w:szCs w:val="22"/>
          <w:color w:val="auto"/>
        </w:rPr>
      </w:pPr>
      <w:r>
        <w:rPr>
          <w:rFonts w:ascii="Arial" w:cs="Arial" w:eastAsia="Arial" w:hAnsi="Arial"/>
          <w:sz w:val="22"/>
          <w:szCs w:val="22"/>
          <w:i w:val="1"/>
          <w:iCs w:val="1"/>
          <w:color w:val="auto"/>
        </w:rPr>
        <w:t xml:space="preserve">Colorado. </w:t>
      </w:r>
      <w:r>
        <w:rPr>
          <w:rFonts w:ascii="Arial" w:cs="Arial" w:eastAsia="Arial" w:hAnsi="Arial"/>
          <w:sz w:val="22"/>
          <w:szCs w:val="22"/>
          <w:color w:val="auto"/>
        </w:rPr>
        <w:t>Grantee acknowledges receipt of a separate notice attached to this Award</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as “Appendix for Colorado Employees” that Lilly has provided to Grantee contemporaneously with this Award Agreement, which identifies this Award Agreement by name, states that this Award Agreement contains covenants not to compete that could restrict Grantee’s options for subsequent employment following the end of Grantee’s employment with Lilly, and directs Grantee to the specific sections of this Award Agreement containing such covenants.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9" w:lineRule="exact"/>
        <w:rPr>
          <w:rFonts w:ascii="Arial" w:cs="Arial" w:eastAsia="Arial" w:hAnsi="Arial"/>
          <w:sz w:val="22"/>
          <w:szCs w:val="22"/>
          <w:color w:val="auto"/>
        </w:rPr>
      </w:pPr>
    </w:p>
    <w:p>
      <w:pPr>
        <w:jc w:val="both"/>
        <w:ind w:left="1544" w:hanging="410"/>
        <w:spacing w:after="0" w:line="250" w:lineRule="auto"/>
        <w:tabs>
          <w:tab w:leader="none" w:pos="1664" w:val="left"/>
        </w:tabs>
        <w:numPr>
          <w:ilvl w:val="2"/>
          <w:numId w:val="156"/>
        </w:numPr>
        <w:rPr>
          <w:rFonts w:ascii="Arial" w:cs="Arial" w:eastAsia="Arial" w:hAnsi="Arial"/>
          <w:sz w:val="22"/>
          <w:szCs w:val="22"/>
          <w:color w:val="auto"/>
        </w:rPr>
      </w:pPr>
      <w:r>
        <w:rPr>
          <w:rFonts w:ascii="Arial" w:cs="Arial" w:eastAsia="Arial" w:hAnsi="Arial"/>
          <w:sz w:val="22"/>
          <w:szCs w:val="22"/>
          <w:i w:val="1"/>
          <w:iCs w:val="1"/>
          <w:color w:val="auto"/>
        </w:rPr>
        <w:t xml:space="preserve">District of Columbia. </w:t>
      </w:r>
      <w:r>
        <w:rPr>
          <w:rFonts w:ascii="Arial" w:cs="Arial" w:eastAsia="Arial" w:hAnsi="Arial"/>
          <w:sz w:val="22"/>
          <w:szCs w:val="22"/>
          <w:color w:val="auto"/>
        </w:rPr>
        <w:t>Grantee is advised of the following notice: “The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Lilly has determined that Grantee is a highly compensated employee. For more information about the Ban on Non-Compete Agreements Amendment Act of 2020, contact the District of Columbia Department of Employment Services (DOES).”</w:t>
      </w:r>
    </w:p>
    <w:p>
      <w:pPr>
        <w:sectPr>
          <w:pgSz w:w="11900" w:h="16838" w:orient="portrait"/>
          <w:cols w:equalWidth="0" w:num="1">
            <w:col w:w="10584"/>
          </w:cols>
          <w:pgMar w:left="976" w:top="1423" w:right="339" w:bottom="1440" w:gutter="0" w:footer="0" w:header="0"/>
        </w:sectPr>
      </w:pPr>
    </w:p>
    <w:bookmarkStart w:id="182" w:name="page183"/>
    <w:bookmarkEnd w:id="182"/>
    <w:p>
      <w:pPr>
        <w:jc w:val="both"/>
        <w:ind w:left="1080" w:hanging="410"/>
        <w:spacing w:after="0" w:line="249" w:lineRule="auto"/>
        <w:tabs>
          <w:tab w:leader="none" w:pos="1253" w:val="left"/>
        </w:tabs>
        <w:numPr>
          <w:ilvl w:val="1"/>
          <w:numId w:val="157"/>
        </w:numPr>
        <w:rPr>
          <w:rFonts w:ascii="Arial" w:cs="Arial" w:eastAsia="Arial" w:hAnsi="Arial"/>
          <w:sz w:val="22"/>
          <w:szCs w:val="22"/>
          <w:color w:val="auto"/>
        </w:rPr>
      </w:pPr>
      <w:r>
        <w:rPr>
          <w:rFonts w:ascii="Arial" w:cs="Arial" w:eastAsia="Arial" w:hAnsi="Arial"/>
          <w:sz w:val="22"/>
          <w:szCs w:val="22"/>
          <w:i w:val="1"/>
          <w:iCs w:val="1"/>
          <w:color w:val="auto"/>
        </w:rPr>
        <w:t xml:space="preserve">Washington. </w:t>
      </w:r>
      <w:r>
        <w:rPr>
          <w:rFonts w:ascii="Arial" w:cs="Arial" w:eastAsia="Arial" w:hAnsi="Arial"/>
          <w:sz w:val="22"/>
          <w:szCs w:val="22"/>
          <w:color w:val="auto"/>
        </w:rPr>
        <w:t>Subsection 11.j.(v) shall not apply to Grantee, and the following language is</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substituted as a new subsection 11.j.(viii):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11 will be interpreted and enforced in accordance with the laws of the State of Washington, without giving effect to any choice-of-law or conflict-of-law principle that would cause the application of the substantive law of any jurisdiction other than Washington. Grantee and Lilly agree that any legal action arising out of or relating to this Section 11 will be commenced and maintained exclusively before any state or federal court having appropriate subject matter jurisdiction located in Washington; further, with respect to any such legal action, Grantee and Lilly hereby irrevocably consent and submit to the personal jurisdiction and venue of such courts located in Washington.”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jc w:val="both"/>
        <w:ind w:left="580" w:hanging="315"/>
        <w:spacing w:after="0" w:line="257" w:lineRule="auto"/>
        <w:tabs>
          <w:tab w:leader="none" w:pos="66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as of the date on which Grantee’s employment with Lilly ends, Grantee primarily is employed by and primarily provide services to Lilly in a state identified in this subsection 11.i.(ii), the following shall apply:</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jc w:val="both"/>
        <w:ind w:left="1080" w:hanging="410"/>
        <w:spacing w:after="0" w:line="257" w:lineRule="auto"/>
        <w:tabs>
          <w:tab w:leader="none" w:pos="1133" w:val="left"/>
        </w:tabs>
        <w:numPr>
          <w:ilvl w:val="1"/>
          <w:numId w:val="158"/>
        </w:numPr>
        <w:rPr>
          <w:rFonts w:ascii="Arial" w:cs="Arial" w:eastAsia="Arial" w:hAnsi="Arial"/>
          <w:sz w:val="22"/>
          <w:szCs w:val="22"/>
          <w:color w:val="auto"/>
        </w:rPr>
      </w:pPr>
      <w:r>
        <w:rPr>
          <w:rFonts w:ascii="Arial" w:cs="Arial" w:eastAsia="Arial" w:hAnsi="Arial"/>
          <w:sz w:val="22"/>
          <w:szCs w:val="22"/>
          <w:i w:val="1"/>
          <w:iCs w:val="1"/>
          <w:color w:val="auto"/>
        </w:rPr>
        <w:t xml:space="preserve">California. </w:t>
      </w:r>
      <w:r>
        <w:rPr>
          <w:rFonts w:ascii="Arial" w:cs="Arial" w:eastAsia="Arial" w:hAnsi="Arial"/>
          <w:sz w:val="22"/>
          <w:szCs w:val="22"/>
          <w:color w:val="auto"/>
        </w:rPr>
        <w:t>The “Restricted Period,” for purposes of subsections 11.b. and 11.c., means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period of Grantee’s employment with Lilly (and not, for the avoidance of doubt, for any period following the end of Grantee’s employment with Lilly), notwithstanding any other provision of Section 11 to the contrary.</w:t>
      </w:r>
    </w:p>
    <w:p>
      <w:pPr>
        <w:spacing w:after="0" w:line="171" w:lineRule="exact"/>
        <w:rPr>
          <w:rFonts w:ascii="Arial" w:cs="Arial" w:eastAsia="Arial" w:hAnsi="Arial"/>
          <w:sz w:val="22"/>
          <w:szCs w:val="22"/>
          <w:color w:val="auto"/>
        </w:rPr>
      </w:pPr>
    </w:p>
    <w:p>
      <w:pPr>
        <w:jc w:val="both"/>
        <w:ind w:left="1080" w:hanging="410"/>
        <w:spacing w:after="0" w:line="249" w:lineRule="auto"/>
        <w:tabs>
          <w:tab w:leader="none" w:pos="1308" w:val="left"/>
        </w:tabs>
        <w:numPr>
          <w:ilvl w:val="1"/>
          <w:numId w:val="158"/>
        </w:numPr>
        <w:rPr>
          <w:rFonts w:ascii="Arial" w:cs="Arial" w:eastAsia="Arial" w:hAnsi="Arial"/>
          <w:sz w:val="22"/>
          <w:szCs w:val="22"/>
          <w:color w:val="auto"/>
        </w:rPr>
      </w:pPr>
      <w:r>
        <w:rPr>
          <w:rFonts w:ascii="Arial" w:cs="Arial" w:eastAsia="Arial" w:hAnsi="Arial"/>
          <w:sz w:val="22"/>
          <w:szCs w:val="22"/>
          <w:i w:val="1"/>
          <w:iCs w:val="1"/>
          <w:color w:val="auto"/>
        </w:rPr>
        <w:t xml:space="preserve">Colorado. </w:t>
      </w:r>
      <w:r>
        <w:rPr>
          <w:rFonts w:ascii="Arial" w:cs="Arial" w:eastAsia="Arial" w:hAnsi="Arial"/>
          <w:sz w:val="22"/>
          <w:szCs w:val="22"/>
          <w:color w:val="auto"/>
        </w:rPr>
        <w:t>Subsection 11.j.(v) shall not apply to Grantee, and the following language is</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substituted as a new subsection 11.j.(v):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11 will be interpreted and enforced in accordance with the laws of the State of Colorado, without giving effect to any choice-of-law or conflict-of-law principle that would cause the application of the substantive law of any jurisdiction other than Colorado. Grantee and Lilly agree that any legal action arising out of or relating to this Section 11 will be commenced and maintained exclusively before any state or federal court having appropriate subject matter jurisdiction located in Colorado; further, with respect to any such legal action, Grantee and Lilly hereby irrevocably consent and submit to the personal jurisdiction and venue of such courts located in Colorado.”</w:t>
      </w:r>
    </w:p>
    <w:p>
      <w:pPr>
        <w:spacing w:after="0" w:line="183" w:lineRule="exact"/>
        <w:rPr>
          <w:rFonts w:ascii="Arial" w:cs="Arial" w:eastAsia="Arial" w:hAnsi="Arial"/>
          <w:sz w:val="22"/>
          <w:szCs w:val="22"/>
          <w:color w:val="auto"/>
        </w:rPr>
      </w:pPr>
    </w:p>
    <w:p>
      <w:pPr>
        <w:ind w:left="1120" w:hanging="450"/>
        <w:spacing w:after="0"/>
        <w:tabs>
          <w:tab w:leader="none" w:pos="1120" w:val="left"/>
        </w:tabs>
        <w:numPr>
          <w:ilvl w:val="1"/>
          <w:numId w:val="158"/>
        </w:numPr>
        <w:rPr>
          <w:rFonts w:ascii="Arial" w:cs="Arial" w:eastAsia="Arial" w:hAnsi="Arial"/>
          <w:sz w:val="22"/>
          <w:szCs w:val="22"/>
          <w:color w:val="auto"/>
        </w:rPr>
      </w:pPr>
      <w:r>
        <w:rPr>
          <w:rFonts w:ascii="Arial" w:cs="Arial" w:eastAsia="Arial" w:hAnsi="Arial"/>
          <w:sz w:val="22"/>
          <w:szCs w:val="22"/>
          <w:i w:val="1"/>
          <w:iCs w:val="1"/>
          <w:color w:val="auto"/>
        </w:rPr>
        <w:t>Massachusetts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880" w:hanging="319"/>
        <w:spacing w:after="0" w:line="264" w:lineRule="auto"/>
        <w:tabs>
          <w:tab w:leader="none" w:pos="2088" w:val="left"/>
        </w:tabs>
        <w:numPr>
          <w:ilvl w:val="2"/>
          <w:numId w:val="158"/>
        </w:numPr>
        <w:rPr>
          <w:rFonts w:ascii="Arial" w:cs="Arial" w:eastAsia="Arial" w:hAnsi="Arial"/>
          <w:sz w:val="22"/>
          <w:szCs w:val="22"/>
          <w:color w:val="auto"/>
        </w:rPr>
      </w:pPr>
      <w:r>
        <w:rPr>
          <w:rFonts w:ascii="Arial" w:cs="Arial" w:eastAsia="Arial" w:hAnsi="Arial"/>
          <w:sz w:val="22"/>
          <w:szCs w:val="22"/>
          <w:color w:val="auto"/>
        </w:rPr>
        <w:t>Subsection 11.b. shall not apply during the Restricted Period following the end of Grantee’s employment with Lilly if Grantee’s employment with Lilly ended as a result of a</w:t>
      </w:r>
    </w:p>
    <w:p>
      <w:pPr>
        <w:sectPr>
          <w:pgSz w:w="11900" w:h="16838" w:orient="portrait"/>
          <w:cols w:equalWidth="0" w:num="1">
            <w:col w:w="10120"/>
          </w:cols>
          <w:pgMar w:left="1440" w:top="1423" w:right="339" w:bottom="1440" w:gutter="0" w:footer="0" w:header="0"/>
        </w:sectPr>
      </w:pPr>
    </w:p>
    <w:bookmarkStart w:id="183" w:name="page184"/>
    <w:bookmarkEnd w:id="183"/>
    <w:p>
      <w:pPr>
        <w:ind w:left="1880"/>
        <w:spacing w:after="0"/>
        <w:rPr>
          <w:sz w:val="20"/>
          <w:szCs w:val="20"/>
          <w:color w:val="auto"/>
        </w:rPr>
      </w:pPr>
      <w:r>
        <w:rPr>
          <w:rFonts w:ascii="Arial" w:cs="Arial" w:eastAsia="Arial" w:hAnsi="Arial"/>
          <w:sz w:val="22"/>
          <w:szCs w:val="22"/>
          <w:color w:val="auto"/>
        </w:rPr>
        <w:t>termination of Grantee’s employment by Lilly without cause or in a layoff.</w:t>
      </w:r>
    </w:p>
    <w:p>
      <w:pPr>
        <w:spacing w:after="0" w:line="220" w:lineRule="exact"/>
        <w:rPr>
          <w:sz w:val="20"/>
          <w:szCs w:val="20"/>
          <w:color w:val="auto"/>
        </w:rPr>
      </w:pPr>
    </w:p>
    <w:p>
      <w:pPr>
        <w:jc w:val="both"/>
        <w:ind w:left="1880" w:hanging="319"/>
        <w:spacing w:after="0" w:line="248" w:lineRule="auto"/>
        <w:tabs>
          <w:tab w:leader="none" w:pos="2225" w:val="left"/>
        </w:tabs>
        <w:numPr>
          <w:ilvl w:val="1"/>
          <w:numId w:val="159"/>
        </w:numPr>
        <w:rPr>
          <w:rFonts w:ascii="Arial" w:cs="Arial" w:eastAsia="Arial" w:hAnsi="Arial"/>
          <w:sz w:val="22"/>
          <w:szCs w:val="22"/>
          <w:color w:val="auto"/>
        </w:rPr>
      </w:pPr>
      <w:r>
        <w:rPr>
          <w:rFonts w:ascii="Arial" w:cs="Arial" w:eastAsia="Arial" w:hAnsi="Arial"/>
          <w:sz w:val="22"/>
          <w:szCs w:val="22"/>
          <w:color w:val="auto"/>
        </w:rPr>
        <w:t>Subsection 11.j.(v) shall not apply to Grantee, and the following language is substituted as a new subsection 11.j.(v):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11 will be interpreted and enforced in accordance with the laws of the State of Massachusetts, without giving effect to any choice-of-law or conflict-of-law principle that would cause the application of the substantive law of any jurisdiction other than Massachusetts. Grantee and Lilly agree that any legal action arising out of or relating to this Section 11 will be commenced and maintained exclusively before any state or federal court having appropriate subject matter jurisdiction located in Massachusetts; further, with respect to any such legal action, Grantee and Lilly hereby irrevocably consent and submit to the personal jurisdiction and venue of such courts located in Massachusetts.</w:t>
      </w:r>
    </w:p>
    <w:p>
      <w:pPr>
        <w:spacing w:after="0" w:line="189" w:lineRule="exact"/>
        <w:rPr>
          <w:rFonts w:ascii="Arial" w:cs="Arial" w:eastAsia="Arial" w:hAnsi="Arial"/>
          <w:sz w:val="22"/>
          <w:szCs w:val="22"/>
          <w:color w:val="auto"/>
        </w:rPr>
      </w:pPr>
    </w:p>
    <w:p>
      <w:pPr>
        <w:jc w:val="both"/>
        <w:ind w:left="1080" w:hanging="410"/>
        <w:spacing w:after="0" w:line="257" w:lineRule="auto"/>
        <w:tabs>
          <w:tab w:leader="none" w:pos="1185" w:val="left"/>
        </w:tabs>
        <w:numPr>
          <w:ilvl w:val="0"/>
          <w:numId w:val="160"/>
        </w:numPr>
        <w:rPr>
          <w:rFonts w:ascii="Arial" w:cs="Arial" w:eastAsia="Arial" w:hAnsi="Arial"/>
          <w:sz w:val="22"/>
          <w:szCs w:val="22"/>
          <w:color w:val="auto"/>
        </w:rPr>
      </w:pPr>
      <w:r>
        <w:rPr>
          <w:rFonts w:ascii="Arial" w:cs="Arial" w:eastAsia="Arial" w:hAnsi="Arial"/>
          <w:sz w:val="22"/>
          <w:szCs w:val="22"/>
          <w:i w:val="1"/>
          <w:iCs w:val="1"/>
          <w:color w:val="auto"/>
        </w:rPr>
        <w:t xml:space="preserve">Minnesota, North Dakota, or Oklahoma. </w:t>
      </w:r>
      <w:r>
        <w:rPr>
          <w:rFonts w:ascii="Arial" w:cs="Arial" w:eastAsia="Arial" w:hAnsi="Arial"/>
          <w:sz w:val="22"/>
          <w:szCs w:val="22"/>
          <w:color w:val="auto"/>
        </w:rPr>
        <w:t>The “Restricted Period,” for purposes of subsection</w:t>
      </w:r>
      <w:r>
        <w:rPr>
          <w:rFonts w:ascii="Arial" w:cs="Arial" w:eastAsia="Arial" w:hAnsi="Arial"/>
          <w:sz w:val="22"/>
          <w:szCs w:val="22"/>
          <w:i w:val="1"/>
          <w:iCs w:val="1"/>
          <w:color w:val="auto"/>
        </w:rPr>
        <w:t xml:space="preserve"> </w:t>
      </w:r>
      <w:r>
        <w:rPr>
          <w:rFonts w:ascii="Arial" w:cs="Arial" w:eastAsia="Arial" w:hAnsi="Arial"/>
          <w:sz w:val="22"/>
          <w:szCs w:val="22"/>
          <w:color w:val="auto"/>
        </w:rPr>
        <w:t>11.b., means during the period of Grantee’s employment with Lilly (and not, for the avoidance of doubt, for any period following the end of Grantee’s employment with Lilly), notwithstanding any other provision of Section 11 to the contrary.</w:t>
      </w:r>
    </w:p>
    <w:p>
      <w:pPr>
        <w:spacing w:after="0" w:line="171" w:lineRule="exact"/>
        <w:rPr>
          <w:rFonts w:ascii="Arial" w:cs="Arial" w:eastAsia="Arial" w:hAnsi="Arial"/>
          <w:sz w:val="22"/>
          <w:szCs w:val="22"/>
          <w:color w:val="auto"/>
        </w:rPr>
      </w:pPr>
    </w:p>
    <w:p>
      <w:pPr>
        <w:ind w:left="1120" w:hanging="450"/>
        <w:spacing w:after="0"/>
        <w:tabs>
          <w:tab w:leader="none" w:pos="1120" w:val="left"/>
        </w:tabs>
        <w:numPr>
          <w:ilvl w:val="0"/>
          <w:numId w:val="160"/>
        </w:numPr>
        <w:rPr>
          <w:rFonts w:ascii="Arial" w:cs="Arial" w:eastAsia="Arial" w:hAnsi="Arial"/>
          <w:sz w:val="22"/>
          <w:szCs w:val="22"/>
          <w:color w:val="auto"/>
        </w:rPr>
      </w:pPr>
      <w:r>
        <w:rPr>
          <w:rFonts w:ascii="Arial" w:cs="Arial" w:eastAsia="Arial" w:hAnsi="Arial"/>
          <w:sz w:val="22"/>
          <w:szCs w:val="22"/>
          <w:i w:val="1"/>
          <w:iCs w:val="1"/>
          <w:color w:val="auto"/>
        </w:rPr>
        <w:t>Nevada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880" w:hanging="319"/>
        <w:spacing w:after="0" w:line="264" w:lineRule="auto"/>
        <w:tabs>
          <w:tab w:leader="none" w:pos="2088" w:val="left"/>
        </w:tabs>
        <w:numPr>
          <w:ilvl w:val="1"/>
          <w:numId w:val="160"/>
        </w:numPr>
        <w:rPr>
          <w:rFonts w:ascii="Arial" w:cs="Arial" w:eastAsia="Arial" w:hAnsi="Arial"/>
          <w:sz w:val="22"/>
          <w:szCs w:val="22"/>
          <w:color w:val="auto"/>
        </w:rPr>
      </w:pPr>
      <w:r>
        <w:rPr>
          <w:rFonts w:ascii="Arial" w:cs="Arial" w:eastAsia="Arial" w:hAnsi="Arial"/>
          <w:sz w:val="22"/>
          <w:szCs w:val="22"/>
          <w:color w:val="auto"/>
        </w:rPr>
        <w:t>Subsection 11.b. shall not apply during the Restricted Period following the end of Grantee’s employment with Lilly if Grantee’s employment with Lilly ended as a result of a reduction of force, reorganization or similar restructuring.</w:t>
      </w:r>
    </w:p>
    <w:p>
      <w:pPr>
        <w:spacing w:after="0" w:line="164" w:lineRule="exact"/>
        <w:rPr>
          <w:rFonts w:ascii="Arial" w:cs="Arial" w:eastAsia="Arial" w:hAnsi="Arial"/>
          <w:sz w:val="22"/>
          <w:szCs w:val="22"/>
          <w:color w:val="auto"/>
        </w:rPr>
      </w:pPr>
    </w:p>
    <w:p>
      <w:pPr>
        <w:jc w:val="both"/>
        <w:ind w:left="1880" w:hanging="319"/>
        <w:spacing w:after="0" w:line="251" w:lineRule="auto"/>
        <w:tabs>
          <w:tab w:leader="none" w:pos="1976"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following sentence shall be added to the end of subsection 11.b.: “Nothing in this subsection 11.b. shall restrict Grantee from providing a service to a customer or client of Lilly if (i) Grantee does not solicit the customer or client, (ii) the customer or client voluntarily chose to leave and seek services from Grantee, and (iii) Grantee is otherwise in full compliance with the terms and conditions of this Section 11 (including subsection 11.b. hereof).”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1080" w:hanging="410"/>
        <w:spacing w:after="0" w:line="272" w:lineRule="auto"/>
        <w:tabs>
          <w:tab w:leader="none" w:pos="1096" w:val="left"/>
        </w:tabs>
        <w:numPr>
          <w:ilvl w:val="0"/>
          <w:numId w:val="160"/>
        </w:numPr>
        <w:rPr>
          <w:rFonts w:ascii="Arial" w:cs="Arial" w:eastAsia="Arial" w:hAnsi="Arial"/>
          <w:sz w:val="22"/>
          <w:szCs w:val="22"/>
          <w:color w:val="auto"/>
        </w:rPr>
      </w:pPr>
      <w:r>
        <w:rPr>
          <w:rFonts w:ascii="Arial" w:cs="Arial" w:eastAsia="Arial" w:hAnsi="Arial"/>
          <w:sz w:val="22"/>
          <w:szCs w:val="22"/>
          <w:i w:val="1"/>
          <w:iCs w:val="1"/>
          <w:color w:val="auto"/>
        </w:rPr>
        <w:t>Virginia</w:t>
      </w:r>
      <w:r>
        <w:rPr>
          <w:rFonts w:ascii="Arial" w:cs="Arial" w:eastAsia="Arial" w:hAnsi="Arial"/>
          <w:sz w:val="22"/>
          <w:szCs w:val="22"/>
          <w:color w:val="auto"/>
        </w:rPr>
        <w:t>. The following sentence shall be added to the end of subsection 11.c.: “Nothing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subsection 11.c. shall restrict</w:t>
      </w:r>
    </w:p>
    <w:p>
      <w:pPr>
        <w:sectPr>
          <w:pgSz w:w="11900" w:h="16838" w:orient="portrait"/>
          <w:cols w:equalWidth="0" w:num="1">
            <w:col w:w="10120"/>
          </w:cols>
          <w:pgMar w:left="1440" w:top="1423" w:right="339" w:bottom="1440" w:gutter="0" w:footer="0" w:header="0"/>
        </w:sectPr>
      </w:pPr>
    </w:p>
    <w:bookmarkStart w:id="184" w:name="page185"/>
    <w:bookmarkEnd w:id="184"/>
    <w:p>
      <w:pPr>
        <w:ind w:left="1463"/>
        <w:spacing w:after="0" w:line="272" w:lineRule="auto"/>
        <w:rPr>
          <w:sz w:val="20"/>
          <w:szCs w:val="20"/>
          <w:color w:val="auto"/>
        </w:rPr>
      </w:pPr>
      <w:r>
        <w:rPr>
          <w:rFonts w:ascii="Arial" w:cs="Arial" w:eastAsia="Arial" w:hAnsi="Arial"/>
          <w:sz w:val="22"/>
          <w:szCs w:val="22"/>
          <w:color w:val="auto"/>
        </w:rPr>
        <w:t>Grantee from providing a service to a customer or client of Lilly if Grantee does not initiate contact with or solicit the customer or client.”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23" w:hanging="470"/>
        <w:spacing w:after="0"/>
        <w:tabs>
          <w:tab w:leader="none" w:pos="1523" w:val="left"/>
        </w:tabs>
        <w:numPr>
          <w:ilvl w:val="2"/>
          <w:numId w:val="161"/>
        </w:numPr>
        <w:rPr>
          <w:rFonts w:ascii="Arial" w:cs="Arial" w:eastAsia="Arial" w:hAnsi="Arial"/>
          <w:sz w:val="22"/>
          <w:szCs w:val="22"/>
          <w:color w:val="auto"/>
        </w:rPr>
      </w:pPr>
      <w:r>
        <w:rPr>
          <w:rFonts w:ascii="Arial" w:cs="Arial" w:eastAsia="Arial" w:hAnsi="Arial"/>
          <w:sz w:val="22"/>
          <w:szCs w:val="22"/>
          <w:i w:val="1"/>
          <w:iCs w:val="1"/>
          <w:color w:val="auto"/>
        </w:rPr>
        <w:t>Washington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jc w:val="both"/>
        <w:ind w:left="2263" w:hanging="319"/>
        <w:spacing w:after="0" w:line="257" w:lineRule="auto"/>
        <w:tabs>
          <w:tab w:leader="none" w:pos="2471" w:val="left"/>
        </w:tabs>
        <w:numPr>
          <w:ilvl w:val="3"/>
          <w:numId w:val="161"/>
        </w:numPr>
        <w:rPr>
          <w:rFonts w:ascii="Arial" w:cs="Arial" w:eastAsia="Arial" w:hAnsi="Arial"/>
          <w:sz w:val="22"/>
          <w:szCs w:val="22"/>
          <w:color w:val="auto"/>
        </w:rPr>
      </w:pPr>
      <w:r>
        <w:rPr>
          <w:rFonts w:ascii="Arial" w:cs="Arial" w:eastAsia="Arial" w:hAnsi="Arial"/>
          <w:sz w:val="22"/>
          <w:szCs w:val="22"/>
          <w:color w:val="auto"/>
        </w:rPr>
        <w:t>Subsection 11.b. shall not apply during the Restricted Period following the end of Grantee’s employment with Lilly if Grantee’s employment with Lilly ended as a result of a layoff.</w:t>
      </w:r>
    </w:p>
    <w:p>
      <w:pPr>
        <w:spacing w:after="0" w:line="172" w:lineRule="exact"/>
        <w:rPr>
          <w:rFonts w:ascii="Arial" w:cs="Arial" w:eastAsia="Arial" w:hAnsi="Arial"/>
          <w:sz w:val="22"/>
          <w:szCs w:val="22"/>
          <w:color w:val="auto"/>
        </w:rPr>
      </w:pPr>
    </w:p>
    <w:p>
      <w:pPr>
        <w:jc w:val="both"/>
        <w:ind w:left="2263" w:hanging="319"/>
        <w:spacing w:after="0" w:line="248" w:lineRule="auto"/>
        <w:tabs>
          <w:tab w:leader="none" w:pos="2608" w:val="left"/>
        </w:tabs>
        <w:numPr>
          <w:ilvl w:val="3"/>
          <w:numId w:val="161"/>
        </w:numPr>
        <w:rPr>
          <w:rFonts w:ascii="Arial" w:cs="Arial" w:eastAsia="Arial" w:hAnsi="Arial"/>
          <w:sz w:val="22"/>
          <w:szCs w:val="22"/>
          <w:color w:val="auto"/>
        </w:rPr>
      </w:pPr>
      <w:r>
        <w:rPr>
          <w:rFonts w:ascii="Arial" w:cs="Arial" w:eastAsia="Arial" w:hAnsi="Arial"/>
          <w:sz w:val="22"/>
          <w:szCs w:val="22"/>
          <w:color w:val="auto"/>
        </w:rPr>
        <w:t>Subsection 11.j.(v) shall not apply to Grantee, and the following language is substituted as a new subsection 11.j.(viii): “</w:t>
      </w:r>
      <w:r>
        <w:rPr>
          <w:rFonts w:ascii="Arial" w:cs="Arial" w:eastAsia="Arial" w:hAnsi="Arial"/>
          <w:sz w:val="22"/>
          <w:szCs w:val="22"/>
          <w:i w:val="1"/>
          <w:iCs w:val="1"/>
          <w:color w:val="auto"/>
        </w:rPr>
        <w:t>Choice of Law; Jurisdiction</w:t>
      </w:r>
      <w:r>
        <w:rPr>
          <w:rFonts w:ascii="Arial" w:cs="Arial" w:eastAsia="Arial" w:hAnsi="Arial"/>
          <w:sz w:val="22"/>
          <w:szCs w:val="22"/>
          <w:color w:val="auto"/>
        </w:rPr>
        <w:t>. This Section 11 will be interpreted and enforced in accordance with the laws of the State of Washington, without giving effect to any choice-of-law or conflict-of-law principle that would cause the application of the substantive law of any jurisdiction other than Washington. Grantee and Lilly agree that any legal action arising out of or relating to this Section 11 will be commenced and maintained exclusively before any state or federal court having appropriate subject matter jurisdiction located in Washington; further, with respect to any such legal action, Grantee and Lilly hereby irrevocably consent and submit to the personal jurisdiction and venue of such courts located in Washington.”</w:t>
      </w:r>
    </w:p>
    <w:p>
      <w:pPr>
        <w:spacing w:after="0" w:line="189" w:lineRule="exact"/>
        <w:rPr>
          <w:rFonts w:ascii="Arial" w:cs="Arial" w:eastAsia="Arial" w:hAnsi="Arial"/>
          <w:sz w:val="22"/>
          <w:szCs w:val="22"/>
          <w:color w:val="auto"/>
        </w:rPr>
      </w:pPr>
    </w:p>
    <w:p>
      <w:pPr>
        <w:ind w:left="343" w:hanging="343"/>
        <w:spacing w:after="0"/>
        <w:tabs>
          <w:tab w:leader="none" w:pos="343"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Other Provisions.</w:t>
      </w: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jc w:val="both"/>
        <w:ind w:left="1063" w:hanging="496"/>
        <w:spacing w:after="0" w:line="251" w:lineRule="auto"/>
        <w:tabs>
          <w:tab w:leader="none" w:pos="1130" w:val="left"/>
        </w:tabs>
        <w:numPr>
          <w:ilvl w:val="1"/>
          <w:numId w:val="162"/>
        </w:numPr>
        <w:rPr>
          <w:rFonts w:ascii="Arial" w:cs="Arial" w:eastAsia="Arial" w:hAnsi="Arial"/>
          <w:sz w:val="22"/>
          <w:szCs w:val="22"/>
          <w:color w:val="auto"/>
        </w:rPr>
      </w:pPr>
      <w:r>
        <w:rPr>
          <w:rFonts w:ascii="Arial" w:cs="Arial" w:eastAsia="Arial" w:hAnsi="Arial"/>
          <w:sz w:val="22"/>
          <w:szCs w:val="22"/>
          <w:i w:val="1"/>
          <w:iCs w:val="1"/>
          <w:color w:val="auto"/>
        </w:rPr>
        <w:t>Successors and Assigns; Third Party Beneficiaries</w:t>
      </w:r>
      <w:r>
        <w:rPr>
          <w:rFonts w:ascii="Arial" w:cs="Arial" w:eastAsia="Arial" w:hAnsi="Arial"/>
          <w:sz w:val="22"/>
          <w:szCs w:val="22"/>
          <w:color w:val="auto"/>
        </w:rPr>
        <w:t>. This Section 11 shall bind and inure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benefit of and be enforceable by Lilly, the Lilly Group Companies and Grantee and their respective successors and assigns; provided, Grantee’s rights and obligations under this Section 11 may not be assigned or delegated. Grantee acknowledges and agrees that any Lilly Group Company is an intended third-party beneficiary of Section 11 of this Award Agreement, which may be enforced by Lilly or any such Lilly Group Company, either singularly or jointly.</w:t>
      </w:r>
    </w:p>
    <w:p>
      <w:pPr>
        <w:spacing w:after="0" w:line="86" w:lineRule="exact"/>
        <w:rPr>
          <w:rFonts w:ascii="Arial" w:cs="Arial" w:eastAsia="Arial" w:hAnsi="Arial"/>
          <w:sz w:val="22"/>
          <w:szCs w:val="22"/>
          <w:color w:val="auto"/>
        </w:rPr>
      </w:pPr>
    </w:p>
    <w:p>
      <w:pPr>
        <w:jc w:val="both"/>
        <w:ind w:left="1063" w:hanging="496"/>
        <w:spacing w:after="0" w:line="257" w:lineRule="auto"/>
        <w:tabs>
          <w:tab w:leader="none" w:pos="1070" w:val="left"/>
        </w:tabs>
        <w:numPr>
          <w:ilvl w:val="1"/>
          <w:numId w:val="162"/>
        </w:numPr>
        <w:rPr>
          <w:rFonts w:ascii="Arial" w:cs="Arial" w:eastAsia="Arial" w:hAnsi="Arial"/>
          <w:sz w:val="22"/>
          <w:szCs w:val="22"/>
          <w:color w:val="auto"/>
        </w:rPr>
      </w:pPr>
      <w:r>
        <w:rPr>
          <w:rFonts w:ascii="Arial" w:cs="Arial" w:eastAsia="Arial" w:hAnsi="Arial"/>
          <w:sz w:val="22"/>
          <w:szCs w:val="22"/>
          <w:i w:val="1"/>
          <w:iCs w:val="1"/>
          <w:color w:val="auto"/>
        </w:rPr>
        <w:t>Reformation; Severability</w:t>
      </w:r>
      <w:r>
        <w:rPr>
          <w:rFonts w:ascii="Arial" w:cs="Arial" w:eastAsia="Arial" w:hAnsi="Arial"/>
          <w:sz w:val="22"/>
          <w:szCs w:val="22"/>
          <w:color w:val="auto"/>
        </w:rPr>
        <w:t>. Grantee and Lilly acknowledge and agree that if any particular covenant</w:t>
      </w:r>
      <w:r>
        <w:rPr>
          <w:rFonts w:ascii="Arial" w:cs="Arial" w:eastAsia="Arial" w:hAnsi="Arial"/>
          <w:sz w:val="22"/>
          <w:szCs w:val="22"/>
          <w:i w:val="1"/>
          <w:iCs w:val="1"/>
          <w:color w:val="auto"/>
        </w:rPr>
        <w:t xml:space="preserve"> </w:t>
      </w:r>
      <w:r>
        <w:rPr>
          <w:rFonts w:ascii="Arial" w:cs="Arial" w:eastAsia="Arial" w:hAnsi="Arial"/>
          <w:sz w:val="22"/>
          <w:szCs w:val="22"/>
          <w:color w:val="auto"/>
        </w:rPr>
        <w:t>or provision is determined by a court to be unreasonable or unenforceable in any respect, including the time</w:t>
      </w:r>
    </w:p>
    <w:p>
      <w:pPr>
        <w:sectPr>
          <w:pgSz w:w="11900" w:h="16838" w:orient="portrait"/>
          <w:cols w:equalWidth="0" w:num="1">
            <w:col w:w="10503"/>
          </w:cols>
          <w:pgMar w:left="1057" w:top="1423" w:right="339" w:bottom="1440" w:gutter="0" w:footer="0" w:header="0"/>
        </w:sectPr>
      </w:pPr>
    </w:p>
    <w:bookmarkStart w:id="185" w:name="page186"/>
    <w:bookmarkEnd w:id="185"/>
    <w:p>
      <w:pPr>
        <w:jc w:val="both"/>
        <w:ind w:left="680"/>
        <w:spacing w:after="0" w:line="250" w:lineRule="auto"/>
        <w:rPr>
          <w:sz w:val="20"/>
          <w:szCs w:val="20"/>
          <w:color w:val="auto"/>
        </w:rPr>
      </w:pPr>
      <w:r>
        <w:rPr>
          <w:rFonts w:ascii="Arial" w:cs="Arial" w:eastAsia="Arial" w:hAnsi="Arial"/>
          <w:sz w:val="22"/>
          <w:szCs w:val="22"/>
          <w:color w:val="auto"/>
        </w:rPr>
        <w:t>period, geographic area, or scope of activity covered by any restrictive covenant, such covenant or provision will be reformed or modified so that such covenant or provision will have the closest effect permitted by applicable law to the original form and will be given effect and enforced as so reformed or modified, or, if such reformation or modification is not possible, such covenant or provision will be removed from this Section 11. In either case, this Section 11 shall be interpreted, even if reformed or modified, to achieve the full intent expressed, and the other provisions of this Section 11 will remain in force and unmodified and will be enforced as written. Any court interpreting any restrictive covenant provision of this Section 11 will, if necessary, reform or modify any such provision to make it enforceable under applicable law.</w:t>
      </w:r>
    </w:p>
    <w:p>
      <w:pPr>
        <w:spacing w:after="0" w:line="72" w:lineRule="exact"/>
        <w:rPr>
          <w:sz w:val="20"/>
          <w:szCs w:val="20"/>
          <w:color w:val="auto"/>
        </w:rPr>
      </w:pPr>
    </w:p>
    <w:p>
      <w:pPr>
        <w:jc w:val="both"/>
        <w:ind w:left="680" w:hanging="496"/>
        <w:spacing w:after="0" w:line="248" w:lineRule="auto"/>
        <w:tabs>
          <w:tab w:leader="none" w:pos="762"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Section 11 embodies the complete agreement and understanding among</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parties hereto and supersedes and preempts any prior understandings, discussions, agreements or representations by or among the parties hereto, written or oral, which may have related to the subject matter hereof. Notwithstanding the foregoing, this Section 11 is intended to, among other things, supplement (and not supersede) all applicable statutes protecting trade secrets and the duties Grantee owes to Lilly or any of the Lilly Group Companies under the common law, as well as any other written non-competition, non-solicitation, or confidentiality provisions that Grantee agreed to in the past, including those in Grantee’s Employee Confidentiality and Invention Agreement and any Non-Compete Payment Agreement entered into between Grantee and Lilly (collectively, “Prior Agreements”), each of which remains in full force and effect, or that Grantee agrees to in writing in the future. To the extent of conflict between this Section 11 and any Prior Agreement, this Section 11 shall control.</w:t>
      </w:r>
    </w:p>
    <w:p>
      <w:pPr>
        <w:spacing w:after="0" w:line="76" w:lineRule="exact"/>
        <w:rPr>
          <w:rFonts w:ascii="Arial" w:cs="Arial" w:eastAsia="Arial" w:hAnsi="Arial"/>
          <w:sz w:val="22"/>
          <w:szCs w:val="22"/>
          <w:color w:val="auto"/>
        </w:rPr>
      </w:pPr>
    </w:p>
    <w:p>
      <w:pPr>
        <w:jc w:val="both"/>
        <w:ind w:left="680" w:hanging="496"/>
        <w:spacing w:after="0" w:line="253" w:lineRule="auto"/>
        <w:tabs>
          <w:tab w:leader="none" w:pos="774"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Amendment and Waiver</w:t>
      </w:r>
      <w:r>
        <w:rPr>
          <w:rFonts w:ascii="Arial" w:cs="Arial" w:eastAsia="Arial" w:hAnsi="Arial"/>
          <w:sz w:val="22"/>
          <w:szCs w:val="22"/>
          <w:color w:val="auto"/>
        </w:rPr>
        <w:t>. This Section 11 may be amended, and any provision of this Section 11</w:t>
      </w:r>
      <w:r>
        <w:rPr>
          <w:rFonts w:ascii="Arial" w:cs="Arial" w:eastAsia="Arial" w:hAnsi="Arial"/>
          <w:sz w:val="22"/>
          <w:szCs w:val="22"/>
          <w:i w:val="1"/>
          <w:iCs w:val="1"/>
          <w:color w:val="auto"/>
        </w:rPr>
        <w:t xml:space="preserve"> </w:t>
      </w:r>
      <w:r>
        <w:rPr>
          <w:rFonts w:ascii="Arial" w:cs="Arial" w:eastAsia="Arial" w:hAnsi="Arial"/>
          <w:sz w:val="22"/>
          <w:szCs w:val="22"/>
          <w:color w:val="auto"/>
        </w:rPr>
        <w:t>may be waived, only by a written agreement executed and delivered by Lilly and Grantee. No course of dealing between or among the parties hereto shall be deemed effective to modify, amend or discharge any part of this Section 11 or any rights or obligations of any party hereto under or by reason of this Section 11.</w:t>
      </w:r>
    </w:p>
    <w:p>
      <w:pPr>
        <w:spacing w:after="0" w:line="70" w:lineRule="exact"/>
        <w:rPr>
          <w:rFonts w:ascii="Arial" w:cs="Arial" w:eastAsia="Arial" w:hAnsi="Arial"/>
          <w:sz w:val="22"/>
          <w:szCs w:val="22"/>
          <w:color w:val="auto"/>
        </w:rPr>
      </w:pPr>
    </w:p>
    <w:p>
      <w:pPr>
        <w:jc w:val="both"/>
        <w:ind w:left="680" w:hanging="496"/>
        <w:spacing w:after="0" w:line="251" w:lineRule="auto"/>
        <w:tabs>
          <w:tab w:leader="none" w:pos="780"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Choice of Law</w:t>
      </w:r>
      <w:r>
        <w:rPr>
          <w:rFonts w:ascii="Arial" w:cs="Arial" w:eastAsia="Arial" w:hAnsi="Arial"/>
          <w:sz w:val="22"/>
          <w:szCs w:val="22"/>
          <w:color w:val="auto"/>
        </w:rPr>
        <w:t>. Except as may be modified for Grantee as described in subsection 11.i.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Award Agreement, this Section 11 will be interpreted and enforced in accordance with the laws of the State of Indiana, without giving effect to any choice-of-law or conflict-of-law principle that would cause the application of the substantive law of any jurisdiction other than Indiana. Grantee and Lilly agree that any legal action arising out of or relating to this Section 11 will be commenced and maintained exclusively before any state or federal court having</w:t>
      </w:r>
    </w:p>
    <w:p>
      <w:pPr>
        <w:sectPr>
          <w:pgSz w:w="11900" w:h="16838" w:orient="portrait"/>
          <w:cols w:equalWidth="0" w:num="1">
            <w:col w:w="10120"/>
          </w:cols>
          <w:pgMar w:left="1440" w:top="1423" w:right="339" w:bottom="1440" w:gutter="0" w:footer="0" w:header="0"/>
        </w:sectPr>
      </w:pPr>
    </w:p>
    <w:bookmarkStart w:id="186" w:name="page187"/>
    <w:bookmarkEnd w:id="186"/>
    <w:p>
      <w:pPr>
        <w:jc w:val="both"/>
        <w:ind w:left="1460"/>
        <w:spacing w:after="0" w:line="257" w:lineRule="auto"/>
        <w:rPr>
          <w:sz w:val="20"/>
          <w:szCs w:val="20"/>
          <w:color w:val="auto"/>
        </w:rPr>
      </w:pPr>
      <w:r>
        <w:rPr>
          <w:rFonts w:ascii="Arial" w:cs="Arial" w:eastAsia="Arial" w:hAnsi="Arial"/>
          <w:sz w:val="22"/>
          <w:szCs w:val="22"/>
          <w:color w:val="auto"/>
        </w:rPr>
        <w:t>appropriate subject matter jurisdiction located in Indianapolis, Indiana; further, with respect to any such legal action, Grantee and Lilly hereby irrevocably consent and submit to the personal jurisdiction and venue of such courts located in Indianapolis, Indiana.</w:t>
      </w:r>
    </w:p>
    <w:p>
      <w:pPr>
        <w:spacing w:after="0" w:line="78" w:lineRule="exact"/>
        <w:rPr>
          <w:sz w:val="20"/>
          <w:szCs w:val="20"/>
          <w:color w:val="auto"/>
        </w:rPr>
      </w:pPr>
    </w:p>
    <w:p>
      <w:pPr>
        <w:jc w:val="both"/>
        <w:ind w:left="1460" w:hanging="496"/>
        <w:spacing w:after="0" w:line="248" w:lineRule="auto"/>
        <w:tabs>
          <w:tab w:leader="none" w:pos="1649" w:val="left"/>
        </w:tabs>
        <w:numPr>
          <w:ilvl w:val="0"/>
          <w:numId w:val="164"/>
        </w:numPr>
        <w:rPr>
          <w:rFonts w:ascii="Arial" w:cs="Arial" w:eastAsia="Arial" w:hAnsi="Arial"/>
          <w:sz w:val="22"/>
          <w:szCs w:val="22"/>
          <w:color w:val="auto"/>
        </w:rPr>
      </w:pPr>
      <w:r>
        <w:rPr>
          <w:rFonts w:ascii="Arial" w:cs="Arial" w:eastAsia="Arial" w:hAnsi="Arial"/>
          <w:sz w:val="22"/>
          <w:szCs w:val="22"/>
          <w:i w:val="1"/>
          <w:iCs w:val="1"/>
          <w:color w:val="auto"/>
        </w:rPr>
        <w:t>Acknowledgements</w:t>
      </w:r>
      <w:r>
        <w:rPr>
          <w:rFonts w:ascii="Arial" w:cs="Arial" w:eastAsia="Arial" w:hAnsi="Arial"/>
          <w:sz w:val="22"/>
          <w:szCs w:val="22"/>
          <w:color w:val="auto"/>
        </w:rPr>
        <w:t>. Grantee acknowledges and agrees that Grantee has been given at least</w:t>
      </w:r>
      <w:r>
        <w:rPr>
          <w:rFonts w:ascii="Arial" w:cs="Arial" w:eastAsia="Arial" w:hAnsi="Arial"/>
          <w:sz w:val="22"/>
          <w:szCs w:val="22"/>
          <w:i w:val="1"/>
          <w:iCs w:val="1"/>
          <w:color w:val="auto"/>
        </w:rPr>
        <w:t xml:space="preserve"> </w:t>
      </w:r>
      <w:r>
        <w:rPr>
          <w:rFonts w:ascii="Arial" w:cs="Arial" w:eastAsia="Arial" w:hAnsi="Arial"/>
          <w:sz w:val="22"/>
          <w:szCs w:val="22"/>
          <w:color w:val="auto"/>
        </w:rPr>
        <w:t>fourteen (14) calendar days (or, if longer, ten (10) business days) from the date of Grantee’s receipt of this Award Agreement (the “Consideration Period”) to consider its terms. Grantee represents and warrants that, if Grantee accepts this Award Agreement before the expiration of the Consideration Period, Grantee has done so knowingly and voluntarily. Grantee also acknowledges and agrees that Grantee has read, understands and agrees with this Section 11, and that Grantee will faithfully comply with each term of this Section 11. Grantee further acknowledges that Grantee has been advised by Lilly to consult with an attorney before agreeing to this Section 11, and has had the opportunity to do so if desired.</w:t>
      </w:r>
    </w:p>
    <w:p>
      <w:pPr>
        <w:spacing w:after="0" w:line="77" w:lineRule="exact"/>
        <w:rPr>
          <w:rFonts w:ascii="Arial" w:cs="Arial" w:eastAsia="Arial" w:hAnsi="Arial"/>
          <w:sz w:val="22"/>
          <w:szCs w:val="22"/>
          <w:color w:val="auto"/>
        </w:rPr>
      </w:pPr>
    </w:p>
    <w:p>
      <w:pPr>
        <w:ind w:left="1460" w:right="40" w:hanging="496"/>
        <w:spacing w:after="0" w:line="253" w:lineRule="auto"/>
        <w:tabs>
          <w:tab w:leader="none" w:pos="1562" w:val="left"/>
        </w:tabs>
        <w:numPr>
          <w:ilvl w:val="0"/>
          <w:numId w:val="164"/>
        </w:numPr>
        <w:rPr>
          <w:rFonts w:ascii="Arial" w:cs="Arial" w:eastAsia="Arial" w:hAnsi="Arial"/>
          <w:sz w:val="22"/>
          <w:szCs w:val="22"/>
          <w:color w:val="auto"/>
        </w:rPr>
      </w:pPr>
      <w:r>
        <w:rPr>
          <w:rFonts w:ascii="Arial" w:cs="Arial" w:eastAsia="Arial" w:hAnsi="Arial"/>
          <w:sz w:val="22"/>
          <w:szCs w:val="22"/>
          <w:i w:val="1"/>
          <w:iCs w:val="1"/>
          <w:color w:val="auto"/>
        </w:rPr>
        <w:t>Declaration of Consent</w:t>
      </w:r>
      <w:r>
        <w:rPr>
          <w:rFonts w:ascii="Arial" w:cs="Arial" w:eastAsia="Arial" w:hAnsi="Arial"/>
          <w:sz w:val="22"/>
          <w:szCs w:val="22"/>
          <w:color w:val="auto"/>
        </w:rPr>
        <w:t>. By accepting this Award and indicating consent via the Company’s online</w:t>
      </w:r>
      <w:r>
        <w:rPr>
          <w:rFonts w:ascii="Arial" w:cs="Arial" w:eastAsia="Arial" w:hAnsi="Arial"/>
          <w:sz w:val="22"/>
          <w:szCs w:val="22"/>
          <w:i w:val="1"/>
          <w:iCs w:val="1"/>
          <w:color w:val="auto"/>
        </w:rPr>
        <w:t xml:space="preserve"> </w:t>
      </w:r>
      <w:r>
        <w:rPr>
          <w:rFonts w:ascii="Arial" w:cs="Arial" w:eastAsia="Arial" w:hAnsi="Arial"/>
          <w:sz w:val="22"/>
          <w:szCs w:val="22"/>
          <w:color w:val="auto"/>
        </w:rPr>
        <w:t>acceptance procedure, Grantee is declaring that he or she agrees to this Section 11. No party hereto shall raise the use of the online acceptance procedure that any signature or document was transmitted or communicated through the use of an electronic device as a defense to the formation of a contract, and each such party forever waives any such defense.</w:t>
      </w:r>
    </w:p>
    <w:p>
      <w:pPr>
        <w:spacing w:after="0" w:line="174" w:lineRule="exact"/>
        <w:rPr>
          <w:sz w:val="20"/>
          <w:szCs w:val="20"/>
          <w:color w:val="auto"/>
        </w:rPr>
      </w:pPr>
    </w:p>
    <w:p>
      <w:pPr>
        <w:spacing w:after="0"/>
        <w:tabs>
          <w:tab w:leader="none" w:pos="1380" w:val="left"/>
        </w:tabs>
        <w:rPr>
          <w:sz w:val="20"/>
          <w:szCs w:val="20"/>
          <w:color w:val="auto"/>
        </w:rPr>
      </w:pPr>
      <w:r>
        <w:rPr>
          <w:rFonts w:ascii="Arial" w:cs="Arial" w:eastAsia="Arial" w:hAnsi="Arial"/>
          <w:sz w:val="23"/>
          <w:szCs w:val="23"/>
          <w:color w:val="auto"/>
        </w:rPr>
        <w:t>Section 12.</w:t>
        <w:tab/>
        <w:t>Additional Terms and Conditions</w:t>
      </w:r>
    </w:p>
    <w:p>
      <w:pPr>
        <w:spacing w:after="0" w:line="321" w:lineRule="exact"/>
        <w:rPr>
          <w:sz w:val="20"/>
          <w:szCs w:val="20"/>
          <w:color w:val="auto"/>
        </w:rPr>
      </w:pPr>
    </w:p>
    <w:p>
      <w:pPr>
        <w:ind w:left="960" w:hanging="644"/>
        <w:spacing w:after="0" w:line="251" w:lineRule="auto"/>
        <w:tabs>
          <w:tab w:leader="none" w:pos="786"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73" w:lineRule="exact"/>
        <w:rPr>
          <w:rFonts w:ascii="Arial" w:cs="Arial" w:eastAsia="Arial" w:hAnsi="Arial"/>
          <w:sz w:val="22"/>
          <w:szCs w:val="22"/>
          <w:color w:val="auto"/>
        </w:rPr>
      </w:pPr>
    </w:p>
    <w:p>
      <w:pPr>
        <w:ind w:left="960" w:hanging="644"/>
        <w:spacing w:after="0" w:line="250" w:lineRule="auto"/>
        <w:tabs>
          <w:tab w:leader="none" w:pos="84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Insider Trading/Market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and/or Fractional Shares or rights to acquire Shares and/or Fractional Shares (e.g., Restricted Stock Units) under the Plan during such times as the Grantee is considered to have “inside information” regarding the Company (as determined under the laws or</w:t>
      </w:r>
    </w:p>
    <w:p>
      <w:pPr>
        <w:sectPr>
          <w:pgSz w:w="11900" w:h="16838" w:orient="portrait"/>
          <w:cols w:equalWidth="0" w:num="1">
            <w:col w:w="10900"/>
          </w:cols>
          <w:pgMar w:left="660" w:top="1423" w:right="339" w:bottom="1440" w:gutter="0" w:footer="0" w:header="0"/>
        </w:sectPr>
      </w:pPr>
    </w:p>
    <w:bookmarkStart w:id="187" w:name="page188"/>
    <w:bookmarkEnd w:id="187"/>
    <w:p>
      <w:pPr>
        <w:jc w:val="both"/>
        <w:ind w:left="960"/>
        <w:spacing w:after="0" w:line="253" w:lineRule="auto"/>
        <w:rPr>
          <w:sz w:val="20"/>
          <w:szCs w:val="20"/>
          <w:color w:val="auto"/>
        </w:rPr>
      </w:pPr>
      <w:r>
        <w:rPr>
          <w:rFonts w:ascii="Arial" w:cs="Arial" w:eastAsia="Arial" w:hAnsi="Arial"/>
          <w:sz w:val="22"/>
          <w:szCs w:val="22"/>
          <w:color w:val="auto"/>
        </w:rPr>
        <w:t>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71" w:lineRule="exact"/>
        <w:rPr>
          <w:sz w:val="20"/>
          <w:szCs w:val="20"/>
          <w:color w:val="auto"/>
        </w:rPr>
      </w:pPr>
    </w:p>
    <w:p>
      <w:pPr>
        <w:ind w:left="960" w:hanging="644"/>
        <w:spacing w:after="0" w:line="249" w:lineRule="auto"/>
        <w:tabs>
          <w:tab w:leader="none" w:pos="76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and/or other amounts acquired pursuant to this Award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any compensation recovery policy of the Company that reflects the provisions of Applicable Laws, or to the extent provided in any agreement between Grantee and the Company.</w:t>
      </w:r>
    </w:p>
    <w:p>
      <w:pPr>
        <w:spacing w:after="0" w:line="200" w:lineRule="exact"/>
        <w:rPr>
          <w:sz w:val="20"/>
          <w:szCs w:val="20"/>
          <w:color w:val="auto"/>
        </w:rPr>
      </w:pPr>
    </w:p>
    <w:p>
      <w:pPr>
        <w:spacing w:after="0" w:line="330"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color w:val="auto"/>
        </w:rPr>
        <w:t>Section 13.</w:t>
        <w:tab/>
        <w:t>Governing Law and Choice of Venue</w:t>
      </w:r>
    </w:p>
    <w:p>
      <w:pPr>
        <w:spacing w:after="0" w:line="132" w:lineRule="exact"/>
        <w:rPr>
          <w:sz w:val="20"/>
          <w:szCs w:val="20"/>
          <w:color w:val="auto"/>
        </w:rPr>
      </w:pPr>
    </w:p>
    <w:p>
      <w:pPr>
        <w:jc w:val="both"/>
        <w:ind w:left="160"/>
        <w:spacing w:after="0" w:line="249"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Award is granted and/or to be performed.</w:t>
      </w:r>
    </w:p>
    <w:p>
      <w:pPr>
        <w:spacing w:after="0" w:line="177"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color w:val="auto"/>
        </w:rPr>
        <w:t>Section 14.</w:t>
        <w:tab/>
        <w:t>Miscellaneous Provisions</w:t>
      </w:r>
    </w:p>
    <w:p>
      <w:pPr>
        <w:spacing w:after="0" w:line="132" w:lineRule="exact"/>
        <w:rPr>
          <w:sz w:val="20"/>
          <w:szCs w:val="20"/>
          <w:color w:val="auto"/>
        </w:rPr>
      </w:pPr>
    </w:p>
    <w:p>
      <w:pPr>
        <w:ind w:left="960" w:hanging="644"/>
        <w:spacing w:after="0" w:line="250" w:lineRule="auto"/>
        <w:tabs>
          <w:tab w:leader="none" w:pos="827"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Notices and Electronic Delivery and Participation</w:t>
      </w:r>
      <w:r>
        <w:rPr>
          <w:rFonts w:ascii="Arial" w:cs="Arial" w:eastAsia="Arial" w:hAnsi="Arial"/>
          <w:sz w:val="22"/>
          <w:szCs w:val="22"/>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w:t>
      </w:r>
    </w:p>
    <w:p>
      <w:pPr>
        <w:sectPr>
          <w:pgSz w:w="11900" w:h="16838" w:orient="portrait"/>
          <w:cols w:equalWidth="0" w:num="1">
            <w:col w:w="10900"/>
          </w:cols>
          <w:pgMar w:left="660" w:top="1423" w:right="339" w:bottom="1440" w:gutter="0" w:footer="0" w:header="0"/>
        </w:sectPr>
      </w:pPr>
    </w:p>
    <w:bookmarkStart w:id="188" w:name="page189"/>
    <w:bookmarkEnd w:id="188"/>
    <w:p>
      <w:pPr>
        <w:spacing w:after="0" w:line="91" w:lineRule="exact"/>
        <w:rPr>
          <w:sz w:val="20"/>
          <w:szCs w:val="20"/>
          <w:color w:val="auto"/>
        </w:rPr>
      </w:pPr>
    </w:p>
    <w:p>
      <w:pPr>
        <w:jc w:val="both"/>
        <w:ind w:left="644"/>
        <w:spacing w:after="0" w:line="253" w:lineRule="auto"/>
        <w:rPr>
          <w:sz w:val="20"/>
          <w:szCs w:val="20"/>
          <w:color w:val="auto"/>
        </w:rPr>
      </w:pPr>
      <w:r>
        <w:rPr>
          <w:rFonts w:ascii="Arial" w:cs="Arial" w:eastAsia="Arial" w:hAnsi="Arial"/>
          <w:sz w:val="22"/>
          <w:szCs w:val="22"/>
          <w:color w:val="auto"/>
        </w:rPr>
        <w:t>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200" w:lineRule="exact"/>
        <w:rPr>
          <w:sz w:val="20"/>
          <w:szCs w:val="20"/>
          <w:color w:val="auto"/>
        </w:rPr>
      </w:pPr>
    </w:p>
    <w:p>
      <w:pPr>
        <w:spacing w:after="0" w:line="222" w:lineRule="exact"/>
        <w:rPr>
          <w:sz w:val="20"/>
          <w:szCs w:val="20"/>
          <w:color w:val="auto"/>
        </w:rPr>
      </w:pPr>
    </w:p>
    <w:p>
      <w:pPr>
        <w:jc w:val="both"/>
        <w:ind w:left="644" w:hanging="644"/>
        <w:spacing w:after="0" w:line="251" w:lineRule="auto"/>
        <w:tabs>
          <w:tab w:leader="none" w:pos="592"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644" w:hanging="644"/>
        <w:spacing w:after="0" w:line="270" w:lineRule="auto"/>
        <w:tabs>
          <w:tab w:leader="none" w:pos="431"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left="644" w:hanging="644"/>
        <w:spacing w:after="0" w:line="250" w:lineRule="auto"/>
        <w:tabs>
          <w:tab w:leader="none" w:pos="43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207" w:lineRule="exact"/>
        <w:rPr>
          <w:sz w:val="20"/>
          <w:szCs w:val="20"/>
          <w:color w:val="auto"/>
        </w:rPr>
      </w:pPr>
    </w:p>
    <w:p>
      <w:pPr>
        <w:ind w:left="644"/>
        <w:spacing w:after="0" w:line="272"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169" w:lineRule="exact"/>
        <w:rPr>
          <w:sz w:val="20"/>
          <w:szCs w:val="20"/>
          <w:color w:val="auto"/>
        </w:rPr>
      </w:pPr>
    </w:p>
    <w:p>
      <w:pPr>
        <w:ind w:left="644" w:hanging="644"/>
        <w:spacing w:after="0" w:line="250" w:lineRule="auto"/>
        <w:tabs>
          <w:tab w:leader="none" w:pos="443"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and/or other amounts acquired pursuant to this Award. The Grantee should consult with his or her own personal tax, legal and financial advisors regarding the Grantee’s participation in the Plan before taking any action related to the Plan.</w:t>
      </w:r>
    </w:p>
    <w:p>
      <w:pPr>
        <w:sectPr>
          <w:pgSz w:w="11900" w:h="16838" w:orient="portrait"/>
          <w:cols w:equalWidth="0" w:num="1">
            <w:col w:w="10584"/>
          </w:cols>
          <w:pgMar w:left="976" w:top="1440" w:right="339" w:bottom="1440" w:gutter="0" w:footer="0" w:header="0"/>
        </w:sectPr>
      </w:pPr>
    </w:p>
    <w:bookmarkStart w:id="189" w:name="page190"/>
    <w:bookmarkEnd w:id="189"/>
    <w:p>
      <w:pPr>
        <w:spacing w:after="0" w:line="194" w:lineRule="exact"/>
        <w:rPr>
          <w:sz w:val="20"/>
          <w:szCs w:val="20"/>
          <w:color w:val="auto"/>
        </w:rPr>
      </w:pPr>
    </w:p>
    <w:p>
      <w:pPr>
        <w:spacing w:after="0"/>
        <w:tabs>
          <w:tab w:leader="none" w:pos="1400" w:val="left"/>
        </w:tabs>
        <w:rPr>
          <w:sz w:val="20"/>
          <w:szCs w:val="20"/>
          <w:color w:val="auto"/>
        </w:rPr>
      </w:pPr>
      <w:r>
        <w:rPr>
          <w:rFonts w:ascii="Arial" w:cs="Arial" w:eastAsia="Arial" w:hAnsi="Arial"/>
          <w:sz w:val="23"/>
          <w:szCs w:val="23"/>
          <w:color w:val="auto"/>
        </w:rPr>
        <w:t>Section 15.</w:t>
        <w:tab/>
        <w:t>Compensation Recovery</w:t>
      </w:r>
    </w:p>
    <w:p>
      <w:pPr>
        <w:spacing w:after="0" w:line="240" w:lineRule="exact"/>
        <w:rPr>
          <w:sz w:val="20"/>
          <w:szCs w:val="20"/>
          <w:color w:val="auto"/>
        </w:rPr>
      </w:pPr>
    </w:p>
    <w:p>
      <w:pPr>
        <w:ind w:left="960" w:hanging="644"/>
        <w:spacing w:after="0" w:line="248" w:lineRule="auto"/>
        <w:tabs>
          <w:tab w:leader="none" w:pos="76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(i) any recovery, recoupment, “clawback” or similar policy of the Company that is in effect as of the Grant Date and applicable to the Grantee, including but not limited to the Eli Lilly and Company Executive Compensation Recovery Policy, effective October 2, 2023, and (ii) any other such policy adopted by the Company after the Grant Date, to the extent required to comply with any requirements imposed under Applicable Laws and/or the rules and regulations of the securities exchange or inter-dealer quotation system on which the Shares are listed or quoted, or in the event of fraud, misconduct, violation of law or wrongdoing, in each case, as may be amended, restated, or superseded from time to time (with the provisions contained in such policy deemed incorporated into this Award Agreement without the Grantee’s additional or separate consent).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8" w:lineRule="exact"/>
        <w:rPr>
          <w:rFonts w:ascii="Arial" w:cs="Arial" w:eastAsia="Arial" w:hAnsi="Arial"/>
          <w:sz w:val="22"/>
          <w:szCs w:val="22"/>
          <w:color w:val="auto"/>
        </w:rPr>
      </w:pPr>
    </w:p>
    <w:p>
      <w:pPr>
        <w:ind w:left="960" w:hanging="644"/>
        <w:spacing w:after="0" w:line="253" w:lineRule="auto"/>
        <w:tabs>
          <w:tab w:leader="none" w:pos="73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188" w:lineRule="exact"/>
        <w:rPr>
          <w:rFonts w:ascii="Arial" w:cs="Arial" w:eastAsia="Arial" w:hAnsi="Arial"/>
          <w:sz w:val="22"/>
          <w:szCs w:val="22"/>
          <w:color w:val="auto"/>
        </w:rPr>
      </w:pPr>
    </w:p>
    <w:p>
      <w:pPr>
        <w:jc w:val="both"/>
        <w:ind w:left="1620" w:hanging="332"/>
        <w:spacing w:after="0" w:line="250" w:lineRule="auto"/>
        <w:tabs>
          <w:tab w:leader="none" w:pos="1695" w:val="left"/>
        </w:tabs>
        <w:numPr>
          <w:ilvl w:val="1"/>
          <w:numId w:val="170"/>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 caused or partially caused the need for such a restatement; and (C)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180" w:lineRule="exact"/>
        <w:rPr>
          <w:rFonts w:ascii="Arial" w:cs="Arial" w:eastAsia="Arial" w:hAnsi="Arial"/>
          <w:sz w:val="22"/>
          <w:szCs w:val="22"/>
          <w:color w:val="auto"/>
        </w:rPr>
      </w:pPr>
    </w:p>
    <w:p>
      <w:pPr>
        <w:jc w:val="both"/>
        <w:ind w:left="1620" w:hanging="332"/>
        <w:spacing w:after="0" w:line="253" w:lineRule="auto"/>
        <w:tabs>
          <w:tab w:leader="none" w:pos="1788"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189" w:lineRule="exact"/>
        <w:rPr>
          <w:sz w:val="20"/>
          <w:szCs w:val="20"/>
          <w:color w:val="auto"/>
        </w:rPr>
      </w:pPr>
    </w:p>
    <w:p>
      <w:pPr>
        <w:jc w:val="both"/>
        <w:ind w:left="960"/>
        <w:spacing w:after="0" w:line="257"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w:t>
      </w:r>
    </w:p>
    <w:p>
      <w:pPr>
        <w:sectPr>
          <w:pgSz w:w="11900" w:h="16838" w:orient="portrait"/>
          <w:cols w:equalWidth="0" w:num="1">
            <w:col w:w="10900"/>
          </w:cols>
          <w:pgMar w:left="660" w:top="1440" w:right="339" w:bottom="1440" w:gutter="0" w:footer="0" w:header="0"/>
        </w:sectPr>
      </w:pPr>
    </w:p>
    <w:bookmarkStart w:id="190" w:name="page191"/>
    <w:bookmarkEnd w:id="190"/>
    <w:p>
      <w:pPr>
        <w:spacing w:after="0" w:line="199" w:lineRule="exact"/>
        <w:rPr>
          <w:sz w:val="20"/>
          <w:szCs w:val="20"/>
          <w:color w:val="auto"/>
        </w:rPr>
      </w:pPr>
    </w:p>
    <w:p>
      <w:pPr>
        <w:jc w:val="both"/>
        <w:ind w:left="960"/>
        <w:spacing w:after="0" w:line="251" w:lineRule="auto"/>
        <w:rPr>
          <w:sz w:val="20"/>
          <w:szCs w:val="20"/>
          <w:color w:val="auto"/>
        </w:rPr>
      </w:pPr>
      <w:r>
        <w:rPr>
          <w:rFonts w:ascii="Arial" w:cs="Arial" w:eastAsia="Arial" w:hAnsi="Arial"/>
          <w:sz w:val="22"/>
          <w:szCs w:val="22"/>
          <w:color w:val="auto"/>
        </w:rPr>
        <w:t>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200" w:lineRule="exact"/>
        <w:rPr>
          <w:sz w:val="20"/>
          <w:szCs w:val="20"/>
          <w:color w:val="auto"/>
        </w:rPr>
      </w:pPr>
    </w:p>
    <w:p>
      <w:pPr>
        <w:spacing w:after="0" w:line="224" w:lineRule="exact"/>
        <w:rPr>
          <w:sz w:val="20"/>
          <w:szCs w:val="20"/>
          <w:color w:val="auto"/>
        </w:rPr>
      </w:pPr>
    </w:p>
    <w:p>
      <w:pPr>
        <w:ind w:left="960" w:hanging="644"/>
        <w:spacing w:after="0" w:line="253" w:lineRule="auto"/>
        <w:tabs>
          <w:tab w:leader="none" w:pos="852" w:val="left"/>
        </w:tabs>
        <w:numPr>
          <w:ilvl w:val="0"/>
          <w:numId w:val="171"/>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this Award to re-convey, transfer or otherwise return such Shares and/or other amounts acquired pursuant to this Award to the Company upon the Company’s enforcement of this Section 15.</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960" w:hanging="644"/>
        <w:spacing w:after="0" w:line="257" w:lineRule="auto"/>
        <w:tabs>
          <w:tab w:leader="none" w:pos="7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23"/>
          <w:szCs w:val="23"/>
          <w:color w:val="auto"/>
        </w:rPr>
        <w:t>Section 16.</w:t>
        <w:tab/>
        <w:t>Award Subject to Acknowledgement of Acceptance</w:t>
      </w:r>
    </w:p>
    <w:p>
      <w:pPr>
        <w:spacing w:after="0" w:line="118" w:lineRule="exact"/>
        <w:rPr>
          <w:sz w:val="20"/>
          <w:szCs w:val="20"/>
          <w:color w:val="auto"/>
        </w:rPr>
      </w:pPr>
    </w:p>
    <w:p>
      <w:pPr>
        <w:jc w:val="both"/>
        <w:ind w:left="160"/>
        <w:spacing w:after="0" w:line="257"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on or before [•], through the website of E*TRADE, the Company’s stock plan administrator. If the Grantee does not acknowledge acceptance of the Award on or before [•], the Award will be cancelled, subject to the Committee’s discretion for unforeseen circumstances.</w:t>
      </w:r>
    </w:p>
    <w:p>
      <w:pPr>
        <w:spacing w:after="0" w:line="200" w:lineRule="exact"/>
        <w:rPr>
          <w:sz w:val="20"/>
          <w:szCs w:val="20"/>
          <w:color w:val="auto"/>
        </w:rPr>
      </w:pP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5"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317"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By: _________________________</w:t>
      </w:r>
    </w:p>
    <w:p>
      <w:pPr>
        <w:sectPr>
          <w:pgSz w:w="11900" w:h="16838" w:orient="portrait"/>
          <w:cols w:equalWidth="0" w:num="1">
            <w:col w:w="10900"/>
          </w:cols>
          <w:pgMar w:left="660" w:top="1440" w:right="339" w:bottom="1440" w:gutter="0" w:footer="0" w:header="0"/>
        </w:sectPr>
      </w:pPr>
    </w:p>
    <w:bookmarkStart w:id="191" w:name="page192"/>
    <w:bookmarkEnd w:id="191"/>
    <w:p>
      <w:pPr>
        <w:ind w:left="4940"/>
        <w:spacing w:after="0"/>
        <w:rPr>
          <w:sz w:val="20"/>
          <w:szCs w:val="20"/>
          <w:color w:val="auto"/>
        </w:rPr>
      </w:pPr>
      <w:r>
        <w:rPr>
          <w:rFonts w:ascii="Arial" w:cs="Arial" w:eastAsia="Arial" w:hAnsi="Arial"/>
          <w:sz w:val="32"/>
          <w:szCs w:val="32"/>
          <w:color w:val="auto"/>
        </w:rPr>
        <w:t>Appendix</w:t>
      </w:r>
    </w:p>
    <w:p>
      <w:pPr>
        <w:spacing w:after="0" w:line="267" w:lineRule="exact"/>
        <w:rPr>
          <w:sz w:val="20"/>
          <w:szCs w:val="20"/>
          <w:color w:val="auto"/>
        </w:rPr>
      </w:pPr>
    </w:p>
    <w:p>
      <w:pPr>
        <w:ind w:left="4060"/>
        <w:spacing w:after="0"/>
        <w:rPr>
          <w:sz w:val="20"/>
          <w:szCs w:val="20"/>
          <w:color w:val="auto"/>
        </w:rPr>
      </w:pPr>
      <w:r>
        <w:rPr>
          <w:rFonts w:ascii="Arial" w:cs="Arial" w:eastAsia="Arial" w:hAnsi="Arial"/>
          <w:sz w:val="32"/>
          <w:szCs w:val="32"/>
          <w:color w:val="auto"/>
        </w:rPr>
        <w:t>Eli Lilly and Company</w:t>
      </w:r>
    </w:p>
    <w:p>
      <w:pPr>
        <w:spacing w:after="0" w:line="56" w:lineRule="exact"/>
        <w:rPr>
          <w:sz w:val="20"/>
          <w:szCs w:val="20"/>
          <w:color w:val="auto"/>
        </w:rPr>
      </w:pPr>
    </w:p>
    <w:p>
      <w:pPr>
        <w:jc w:val="center"/>
        <w:ind w:left="340" w:right="2360"/>
        <w:spacing w:after="0" w:line="260" w:lineRule="auto"/>
        <w:rPr>
          <w:sz w:val="20"/>
          <w:szCs w:val="20"/>
          <w:color w:val="auto"/>
        </w:rPr>
      </w:pPr>
      <w:r>
        <w:rPr>
          <w:rFonts w:ascii="Arial" w:cs="Arial" w:eastAsia="Arial" w:hAnsi="Arial"/>
          <w:sz w:val="32"/>
          <w:szCs w:val="32"/>
          <w:color w:val="auto"/>
        </w:rPr>
        <w:t>Amended and Restated 2002 Lilly Stock Plan Restricted Stock Unit Award Agreement (for Executive Officers and Executives)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This Appendix includes special terms and conditions applicable to the Grantee’s country. These terms and conditions supplement or replace (as indicated) the terms and conditions set forth in the Award Agreement to which it is attached. If the Grantee is a citizen or resident of a country other than the one in which the Grantee is currently working and/or residing (or is considered as such for local law purposes), or if the Grantee transfers employment or residency to a different country after the Award is granted, Lilly will, in its discretion, determine the extent to which the terms and conditions herein will apply. This Appendix also includes other information relevant to the Award.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Unless otherwise defined herein, the terms defined in the Plan or the Award Agreement, as applicable, shall have the same meanings in this Appendix. Notwithstanding the foregoing, for purposes of this Appendix, “Share” shall mean a share of Common Stock and shall include any Fractional Share.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There are no special terms and conditions or information for the following countries: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Belgium</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India</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Japan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United State</w:t>
      </w:r>
    </w:p>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However, the Grantee should be aware that he or she may be required to take certain steps to comply with Applicable Laws in the Grantee’s country in connection with the Award. For example, exchange control, foreign asset and/or account and/or other tax reporting obligations may apply to the Grantee upon receipt of the Award or the Shares subject to the Award or upon the sale of Shares. </w:t>
      </w:r>
      <w:r>
        <w:rPr>
          <w:rFonts w:ascii="Arial" w:cs="Arial" w:eastAsia="Arial" w:hAnsi="Arial"/>
          <w:sz w:val="22"/>
          <w:szCs w:val="22"/>
          <w:i w:val="1"/>
          <w:iCs w:val="1"/>
          <w:color w:val="auto"/>
        </w:rPr>
        <w:t>For more information regarding such obligations, the Grantee should</w:t>
      </w:r>
      <w:r>
        <w:rPr>
          <w:rFonts w:ascii="Arial" w:cs="Arial" w:eastAsia="Arial" w:hAnsi="Arial"/>
          <w:sz w:val="22"/>
          <w:szCs w:val="22"/>
          <w:color w:val="auto"/>
        </w:rPr>
        <w:t xml:space="preserve"> </w:t>
      </w:r>
      <w:r>
        <w:rPr>
          <w:rFonts w:ascii="Arial" w:cs="Arial" w:eastAsia="Arial" w:hAnsi="Arial"/>
          <w:sz w:val="22"/>
          <w:szCs w:val="22"/>
          <w:i w:val="1"/>
          <w:iCs w:val="1"/>
          <w:color w:val="auto"/>
        </w:rPr>
        <w:t>refer to the Country-Specific Tax Supplement for the Grantee’s country, if any</w:t>
      </w:r>
      <w:r>
        <w:rPr>
          <w:rFonts w:ascii="Arial" w:cs="Arial" w:eastAsia="Arial" w:hAnsi="Arial"/>
          <w:sz w:val="22"/>
          <w:szCs w:val="22"/>
          <w:color w:val="auto"/>
        </w:rPr>
        <w:t>.</w:t>
      </w:r>
      <w:r>
        <w:rPr>
          <w:rFonts w:ascii="Arial" w:cs="Arial" w:eastAsia="Arial" w:hAnsi="Arial"/>
          <w:sz w:val="22"/>
          <w:szCs w:val="22"/>
          <w:i w:val="1"/>
          <w:iCs w:val="1"/>
          <w:color w:val="auto"/>
        </w:rPr>
        <w:t xml:space="preserve"> The Grantee should also consult with his or her own personal tax and legal advisors to determine what, if any, obligations exist with respect to the Award and/or the acquisition or sale of Shares. Neither the Company nor the Employer is responsible for any failure on the part of the Grantee to be aware of or comply with Applicable Laws.</w:t>
      </w:r>
    </w:p>
    <w:p>
      <w:pPr>
        <w:sectPr>
          <w:pgSz w:w="11900" w:h="16838" w:orient="portrait"/>
          <w:cols w:equalWidth="0" w:num="1">
            <w:col w:w="11240"/>
          </w:cols>
          <w:pgMar w:left="320" w:top="1407"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color w:val="auto"/>
        </w:rPr>
        <w:t>Global Policy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February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19 — Eli Lilly Insider Trading Policy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Policy Applies To:</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Directors, officers or employees of Eli Lilly and Company or its subsidiaries (“Lilly”).</w:t>
      </w:r>
    </w:p>
    <w:p>
      <w:pPr>
        <w:spacing w:after="0" w:line="125" w:lineRule="exact"/>
        <w:rPr>
          <w:sz w:val="20"/>
          <w:szCs w:val="20"/>
          <w:color w:val="auto"/>
        </w:rPr>
      </w:pPr>
    </w:p>
    <w:p>
      <w:pPr>
        <w:jc w:val="both"/>
        <w:ind w:left="660" w:firstLine="203"/>
        <w:spacing w:after="0" w:line="257" w:lineRule="auto"/>
        <w:rPr>
          <w:sz w:val="20"/>
          <w:szCs w:val="20"/>
          <w:color w:val="auto"/>
        </w:rPr>
      </w:pPr>
      <w:r>
        <w:rPr>
          <w:rFonts w:ascii="Arial" w:cs="Arial" w:eastAsia="Arial" w:hAnsi="Arial"/>
          <w:sz w:val="22"/>
          <w:szCs w:val="22"/>
          <w:color w:val="auto"/>
        </w:rPr>
        <w:t>Any family members who live in the same home with you (including a spouse, child, stepchildren, grandchildren, parents, stepparents, grandparents, siblings, and in-laws) and/or is financially dependent on you or whose transactions in Lilly Securities are directed by you or subject to your influence or control.</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Any entities that you influence or control, including any corporations, partnerships or trusts.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It is your responsibility to make sure that your family members and controlled entities comply with this policy. Lilly may also determine, in its sole discretion, that other persons should be subject to this policy, such as contractors or consultants who have access to material nonpublic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Requirements</w:t>
      </w:r>
    </w:p>
    <w:p>
      <w:pPr>
        <w:spacing w:after="0" w:line="222"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You must not use—or help others use—confidential information that you learn through your work to trade in the stock market or make other investment decisions. Doing so is prohibited by law and this Insider Trading Policy”). This includes profiting or avoiding losses when trading Eli Lilly and Company stock or other securities issued by Eli Lilly and Company like bonds or options (“Lilly Securities”). This policy goes beyond legal requirements, and Lilly may determine that specific conduct violates this Policy even if it does not violate the law. It is important to Lilly and you to avoid even the appearance of impropriety.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Prohibitions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actions violate this policy:</w:t>
      </w:r>
    </w:p>
    <w:p>
      <w:pPr>
        <w:spacing w:after="0" w:line="233" w:lineRule="exact"/>
        <w:rPr>
          <w:sz w:val="20"/>
          <w:szCs w:val="20"/>
          <w:color w:val="auto"/>
        </w:rPr>
      </w:pPr>
    </w:p>
    <w:p>
      <w:pPr>
        <w:jc w:val="both"/>
        <w:ind w:left="340" w:hanging="2"/>
        <w:spacing w:after="0" w:line="257" w:lineRule="auto"/>
        <w:rPr>
          <w:sz w:val="20"/>
          <w:szCs w:val="20"/>
          <w:color w:val="auto"/>
        </w:rPr>
      </w:pPr>
      <w:r>
        <w:rPr>
          <w:rFonts w:ascii="Arial" w:cs="Arial" w:eastAsia="Arial" w:hAnsi="Arial"/>
          <w:sz w:val="22"/>
          <w:szCs w:val="22"/>
          <w:u w:val="single" w:color="auto"/>
          <w:color w:val="auto"/>
        </w:rPr>
        <w:t>Lilly Securities</w:t>
      </w:r>
      <w:r>
        <w:rPr>
          <w:rFonts w:ascii="Arial" w:cs="Arial" w:eastAsia="Arial" w:hAnsi="Arial"/>
          <w:sz w:val="22"/>
          <w:szCs w:val="22"/>
          <w:color w:val="auto"/>
        </w:rPr>
        <w:t>. Except as expressly allowed by this policy, directly or indirectly purchase, sell, gift, or otherwise engage in any transactions involving any Lilly Securities (i) during any applicable blackout period, as described below, or (ii) while in possession of material non-public information.</w:t>
      </w:r>
    </w:p>
    <w:p>
      <w:pPr>
        <w:spacing w:after="0" w:line="173" w:lineRule="exact"/>
        <w:rPr>
          <w:sz w:val="20"/>
          <w:szCs w:val="20"/>
          <w:color w:val="auto"/>
        </w:rPr>
      </w:pPr>
    </w:p>
    <w:p>
      <w:pPr>
        <w:jc w:val="both"/>
        <w:ind w:left="340" w:firstLine="65"/>
        <w:spacing w:after="0" w:line="253" w:lineRule="auto"/>
        <w:rPr>
          <w:sz w:val="20"/>
          <w:szCs w:val="20"/>
          <w:color w:val="auto"/>
        </w:rPr>
      </w:pPr>
      <w:r>
        <w:rPr>
          <w:rFonts w:ascii="Arial" w:cs="Arial" w:eastAsia="Arial" w:hAnsi="Arial"/>
          <w:sz w:val="22"/>
          <w:szCs w:val="22"/>
          <w:u w:val="single" w:color="auto"/>
          <w:color w:val="auto"/>
        </w:rPr>
        <w:t>Other Company Securities</w:t>
      </w:r>
      <w:r>
        <w:rPr>
          <w:rFonts w:ascii="Arial" w:cs="Arial" w:eastAsia="Arial" w:hAnsi="Arial"/>
          <w:sz w:val="22"/>
          <w:szCs w:val="22"/>
          <w:color w:val="auto"/>
        </w:rPr>
        <w:t>. Directly or indirectly purchase, sell, gift, or otherwise engage in any transactions involving the securities of another company with which Lilly has a relationship, either existing or proposed (such as a research, collaboration, or alliance partner, a supplier, a customer, or a company with which Lilly may be considering a transaction (collectively referred to as a business partner)), while in possession of material, non-public information about such business partner obtained in the course of your work for Lilly.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193" w:name="page194"/>
    <w:bookmarkEnd w:id="193"/>
    <w:p>
      <w:pPr>
        <w:jc w:val="both"/>
        <w:ind w:left="340" w:hanging="56"/>
        <w:spacing w:after="0" w:line="257" w:lineRule="auto"/>
        <w:rPr>
          <w:sz w:val="20"/>
          <w:szCs w:val="20"/>
          <w:color w:val="auto"/>
        </w:rPr>
      </w:pPr>
      <w:r>
        <w:rPr>
          <w:rFonts w:ascii="Arial" w:cs="Arial" w:eastAsia="Arial" w:hAnsi="Arial"/>
          <w:sz w:val="22"/>
          <w:szCs w:val="22"/>
          <w:u w:val="single" w:color="auto"/>
          <w:color w:val="auto"/>
        </w:rPr>
        <w:t>Tipping</w:t>
      </w:r>
      <w:r>
        <w:rPr>
          <w:rFonts w:ascii="Arial" w:cs="Arial" w:eastAsia="Arial" w:hAnsi="Arial"/>
          <w:sz w:val="22"/>
          <w:szCs w:val="22"/>
          <w:color w:val="auto"/>
        </w:rPr>
        <w:t>. Recommend to other persons or entities that they transact in Lilly Securities or securities of any business partner on the basis of material non-public information, or disclose material non-public information to anyone who may trade while aware of such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In addition, you are prohibited from assisting anyone engaged in the above activities.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Confidentiality of Material Non-Public Information</w:t>
      </w:r>
    </w:p>
    <w:p>
      <w:pPr>
        <w:spacing w:after="0" w:line="222" w:lineRule="exact"/>
        <w:rPr>
          <w:sz w:val="20"/>
          <w:szCs w:val="20"/>
          <w:color w:val="auto"/>
        </w:rPr>
      </w:pPr>
    </w:p>
    <w:p>
      <w:pPr>
        <w:ind w:right="160"/>
        <w:spacing w:after="0" w:line="275" w:lineRule="auto"/>
        <w:rPr>
          <w:sz w:val="20"/>
          <w:szCs w:val="20"/>
          <w:color w:val="auto"/>
        </w:rPr>
      </w:pPr>
      <w:r>
        <w:rPr>
          <w:rFonts w:ascii="Arial" w:cs="Arial" w:eastAsia="Arial" w:hAnsi="Arial"/>
          <w:sz w:val="21"/>
          <w:szCs w:val="21"/>
          <w:color w:val="auto"/>
        </w:rPr>
        <w:t>You have a duty to maintain the confidentiality of material non-public information, including keeping such information secure. You may only disclose material non-public information in accordance with Lilly policies to other employees and external parties who need to know it to perform their jobs and have an obligation to maintain its confidentiality.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Material Information?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Information is considered “material” if a reasonable investor would consider that information important in making a decision to buy, hold, or sell securities. Any information that could be expected to affect a company’s stock price, whether it is positive or negative, quantitative or qualitative, should be considered material. While it is not possible to define all categories of material information, some examples of information that ordinarily would be regarded as material are:</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Financial results, including financial guidance or adjustments to financial disclosures;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Significant mergers, acquisitions, tender offers, joint ventures, or investments;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Changes in senior management or board composition;</w:t>
      </w:r>
    </w:p>
    <w:p>
      <w:pPr>
        <w:spacing w:after="0" w:line="112" w:lineRule="exact"/>
        <w:rPr>
          <w:sz w:val="20"/>
          <w:szCs w:val="20"/>
          <w:color w:val="auto"/>
        </w:rPr>
      </w:pPr>
    </w:p>
    <w:p>
      <w:pPr>
        <w:ind w:left="580" w:right="2200"/>
        <w:spacing w:after="0" w:line="350" w:lineRule="auto"/>
        <w:rPr>
          <w:sz w:val="20"/>
          <w:szCs w:val="20"/>
          <w:color w:val="auto"/>
        </w:rPr>
      </w:pPr>
      <w:r>
        <w:rPr>
          <w:rFonts w:ascii="Arial" w:cs="Arial" w:eastAsia="Arial" w:hAnsi="Arial"/>
          <w:sz w:val="22"/>
          <w:szCs w:val="22"/>
          <w:color w:val="auto"/>
        </w:rPr>
        <w:t>Significant litigation or government investigations or intellectual property developments; Certain product development milestones such as major clinical or open-label trial results; FDA approvals or other major regulatory actions; and</w:t>
      </w:r>
    </w:p>
    <w:p>
      <w:pPr>
        <w:ind w:left="580"/>
        <w:spacing w:after="0"/>
        <w:rPr>
          <w:sz w:val="20"/>
          <w:szCs w:val="20"/>
          <w:color w:val="auto"/>
        </w:rPr>
      </w:pPr>
      <w:r>
        <w:rPr>
          <w:rFonts w:ascii="Arial" w:cs="Arial" w:eastAsia="Arial" w:hAnsi="Arial"/>
          <w:sz w:val="22"/>
          <w:szCs w:val="22"/>
          <w:color w:val="auto"/>
        </w:rPr>
        <w:t>Significant cybersecurity incidents.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When is Information Non-Public?</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Information is considered “non-public” if it has not been widely disseminated to the general public, such as through a press release or in documents filed with the Securities and Exchange Commission. The circulation of rumors, even if accurate or reported in the media, does not constitute public dissemination.</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Once information is widely disseminated, it is necessary to afford the investing public with sufficient time to absorb the information. As a general rule, information should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3" w:right="339" w:bottom="1440" w:gutter="0" w:footer="0" w:header="0"/>
        </w:sectPr>
      </w:pPr>
    </w:p>
    <w:bookmarkStart w:id="194" w:name="page195"/>
    <w:bookmarkEnd w:id="194"/>
    <w:p>
      <w:pPr>
        <w:jc w:val="both"/>
        <w:spacing w:after="0" w:line="257" w:lineRule="auto"/>
        <w:rPr>
          <w:sz w:val="20"/>
          <w:szCs w:val="20"/>
          <w:color w:val="auto"/>
        </w:rPr>
      </w:pPr>
      <w:r>
        <w:rPr>
          <w:rFonts w:ascii="Arial" w:cs="Arial" w:eastAsia="Arial" w:hAnsi="Arial"/>
          <w:sz w:val="22"/>
          <w:szCs w:val="22"/>
          <w:color w:val="auto"/>
        </w:rPr>
        <w:t>be considered fully absorbed by the marketplace until one full trading day has passed after the information is publicly released. For example, if Lilly announces its quarterly earnings before trading begins on a Wednesday, the first time you can buy or sell Lilly Securities is the opening of the market on Thursday (assuming you are not aware of other material non-public information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Other Transactions are Prohibited?</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Because there is a heightened legal risk and/or appearance of improper or inappropriate conduct, you may not engage in the following:</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“sell short” Lilly Securities;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trade in publicly traded options known as “puts” and “calls” involving Lilly Securities;</w:t>
      </w:r>
    </w:p>
    <w:p>
      <w:pPr>
        <w:spacing w:after="0" w:line="112" w:lineRule="exact"/>
        <w:rPr>
          <w:sz w:val="20"/>
          <w:szCs w:val="20"/>
          <w:color w:val="auto"/>
        </w:rPr>
      </w:pPr>
    </w:p>
    <w:p>
      <w:pPr>
        <w:ind w:left="660"/>
        <w:spacing w:after="0" w:line="272" w:lineRule="auto"/>
        <w:rPr>
          <w:sz w:val="20"/>
          <w:szCs w:val="20"/>
          <w:color w:val="auto"/>
        </w:rPr>
      </w:pPr>
      <w:r>
        <w:rPr>
          <w:rFonts w:ascii="Arial" w:cs="Arial" w:eastAsia="Arial" w:hAnsi="Arial"/>
          <w:sz w:val="22"/>
          <w:szCs w:val="22"/>
          <w:color w:val="auto"/>
        </w:rPr>
        <w:t>engage in hedging transactions in Lilly Securities (such as prepaid variable forward contracts, equity swaps, collars or exchange funds);</w:t>
      </w:r>
    </w:p>
    <w:p>
      <w:pPr>
        <w:spacing w:after="0" w:line="4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hold, or trade on, Lilly Securities in margin accounts;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pledge Lilly Securities as collateral for any loans;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engage in short sales or buy or sell puts or calls on the securities of a significant business partner; or</w:t>
      </w:r>
    </w:p>
    <w:p>
      <w:pPr>
        <w:spacing w:after="0" w:line="125" w:lineRule="exact"/>
        <w:rPr>
          <w:sz w:val="20"/>
          <w:szCs w:val="20"/>
          <w:color w:val="auto"/>
        </w:rPr>
      </w:pPr>
    </w:p>
    <w:p>
      <w:pPr>
        <w:ind w:left="660" w:firstLine="6"/>
        <w:spacing w:after="0" w:line="272" w:lineRule="auto"/>
        <w:rPr>
          <w:sz w:val="20"/>
          <w:szCs w:val="20"/>
          <w:color w:val="auto"/>
        </w:rPr>
      </w:pPr>
      <w:r>
        <w:rPr>
          <w:rFonts w:ascii="Arial" w:cs="Arial" w:eastAsia="Arial" w:hAnsi="Arial"/>
          <w:sz w:val="22"/>
          <w:szCs w:val="22"/>
          <w:color w:val="auto"/>
        </w:rPr>
        <w:t>place standing and limit orders with a broker to buy or sell Lilly Securities that have a duration in excess of three business days.</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Other Transactions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The prohibition on trading set forth above does not apply to the transactions listed below, except as specifically noted in the paragraphs below. Please note, however, that individuals required to comply with Lilly’s Pre-Clearance Policy must seek pre-clearance as applicable:</w:t>
      </w:r>
    </w:p>
    <w:p>
      <w:pPr>
        <w:spacing w:after="0" w:line="164" w:lineRule="exact"/>
        <w:rPr>
          <w:sz w:val="20"/>
          <w:szCs w:val="20"/>
          <w:color w:val="auto"/>
        </w:rPr>
      </w:pPr>
    </w:p>
    <w:p>
      <w:pPr>
        <w:ind w:left="340" w:hanging="56"/>
        <w:spacing w:after="0" w:line="272" w:lineRule="auto"/>
        <w:rPr>
          <w:sz w:val="20"/>
          <w:szCs w:val="20"/>
          <w:color w:val="auto"/>
        </w:rPr>
      </w:pPr>
      <w:r>
        <w:rPr>
          <w:rFonts w:ascii="Arial" w:cs="Arial" w:eastAsia="Arial" w:hAnsi="Arial"/>
          <w:sz w:val="22"/>
          <w:szCs w:val="22"/>
          <w:u w:val="single" w:color="auto"/>
          <w:color w:val="auto"/>
        </w:rPr>
        <w:t>Mutual Funds or Broad-Based Indices</w:t>
      </w:r>
      <w:r>
        <w:rPr>
          <w:rFonts w:ascii="Arial" w:cs="Arial" w:eastAsia="Arial" w:hAnsi="Arial"/>
          <w:sz w:val="22"/>
          <w:szCs w:val="22"/>
          <w:color w:val="auto"/>
        </w:rPr>
        <w:t>. Interests in mutual funds or similar broad-based indices, provided they are not concentrated in Lilly Securities or the securities of other pharmaceutical companies.</w:t>
      </w:r>
    </w:p>
    <w:p>
      <w:pPr>
        <w:spacing w:after="0" w:line="115" w:lineRule="exact"/>
        <w:rPr>
          <w:sz w:val="20"/>
          <w:szCs w:val="20"/>
          <w:color w:val="auto"/>
        </w:rPr>
      </w:pPr>
    </w:p>
    <w:p>
      <w:pPr>
        <w:jc w:val="both"/>
        <w:ind w:left="340" w:firstLine="11"/>
        <w:spacing w:after="0" w:line="253" w:lineRule="auto"/>
        <w:rPr>
          <w:sz w:val="20"/>
          <w:szCs w:val="20"/>
          <w:color w:val="auto"/>
        </w:rPr>
      </w:pPr>
      <w:r>
        <w:rPr>
          <w:rFonts w:ascii="Arial" w:cs="Arial" w:eastAsia="Arial" w:hAnsi="Arial"/>
          <w:sz w:val="22"/>
          <w:szCs w:val="22"/>
          <w:u w:val="single" w:color="auto"/>
          <w:color w:val="auto"/>
        </w:rPr>
        <w:t>Compensation-Related Vesting/Exercises</w:t>
      </w:r>
      <w:r>
        <w:rPr>
          <w:rFonts w:ascii="Arial" w:cs="Arial" w:eastAsia="Arial" w:hAnsi="Arial"/>
          <w:sz w:val="22"/>
          <w:szCs w:val="22"/>
          <w:color w:val="auto"/>
        </w:rPr>
        <w:t>. The (i) vesting of restricted stock or settlement of performance stock units, including the automatic deduction of shares by Lilly from your account for tax withholding or (ii) exercise of Lilly stock options when the exercise price and any related taxes are paid in cash or satisfied through share withholding; provided, however, that any open-market sale of shares (whether of vested shares or cashless option exercises) remains subject to this policy.</w:t>
      </w:r>
    </w:p>
    <w:p>
      <w:pPr>
        <w:spacing w:after="0" w:line="152" w:lineRule="exact"/>
        <w:rPr>
          <w:sz w:val="20"/>
          <w:szCs w:val="20"/>
          <w:color w:val="auto"/>
        </w:rPr>
      </w:pPr>
    </w:p>
    <w:p>
      <w:pPr>
        <w:ind w:left="340" w:hanging="83"/>
        <w:spacing w:after="0" w:line="272" w:lineRule="auto"/>
        <w:rPr>
          <w:sz w:val="20"/>
          <w:szCs w:val="20"/>
          <w:color w:val="auto"/>
        </w:rPr>
      </w:pPr>
      <w:r>
        <w:rPr>
          <w:rFonts w:ascii="Arial" w:cs="Arial" w:eastAsia="Arial" w:hAnsi="Arial"/>
          <w:sz w:val="22"/>
          <w:szCs w:val="22"/>
          <w:u w:val="single" w:color="auto"/>
          <w:color w:val="auto"/>
        </w:rPr>
        <w:t>Transfer without Ownership Change</w:t>
      </w:r>
      <w:r>
        <w:rPr>
          <w:rFonts w:ascii="Arial" w:cs="Arial" w:eastAsia="Arial" w:hAnsi="Arial"/>
          <w:sz w:val="22"/>
          <w:szCs w:val="22"/>
          <w:color w:val="auto"/>
        </w:rPr>
        <w:t>. Transfers of securities that do not change beneficial ownership, such as to an inter vivos trust where you remain the sole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3" w:right="339" w:bottom="1440" w:gutter="0" w:footer="0" w:header="0"/>
        </w:sectPr>
      </w:pPr>
    </w:p>
    <w:bookmarkStart w:id="195" w:name="page196"/>
    <w:bookmarkEnd w:id="195"/>
    <w:p>
      <w:pPr>
        <w:jc w:val="both"/>
        <w:ind w:left="340" w:hanging="29"/>
        <w:spacing w:after="0" w:line="257" w:lineRule="auto"/>
        <w:rPr>
          <w:sz w:val="20"/>
          <w:szCs w:val="20"/>
          <w:color w:val="auto"/>
        </w:rPr>
      </w:pPr>
      <w:r>
        <w:rPr>
          <w:rFonts w:ascii="Arial" w:cs="Arial" w:eastAsia="Arial" w:hAnsi="Arial"/>
          <w:sz w:val="22"/>
          <w:szCs w:val="22"/>
          <w:u w:val="single" w:color="auto"/>
          <w:color w:val="auto"/>
        </w:rPr>
        <w:t>Dividend Reinvestment Plan</w:t>
      </w:r>
      <w:r>
        <w:rPr>
          <w:rFonts w:ascii="Arial" w:cs="Arial" w:eastAsia="Arial" w:hAnsi="Arial"/>
          <w:sz w:val="22"/>
          <w:szCs w:val="22"/>
          <w:color w:val="auto"/>
        </w:rPr>
        <w:t>. Automatic reinvestment of dividends under a dividend reinvestment plan. However, the initial election to participate in the plan, changes to participation levels in the plan, as well as the sale of Lilly Securities purchased pursuant to the plan remain subject to this policy.</w:t>
      </w:r>
    </w:p>
    <w:p>
      <w:pPr>
        <w:spacing w:after="0" w:line="146" w:lineRule="exact"/>
        <w:rPr>
          <w:sz w:val="20"/>
          <w:szCs w:val="20"/>
          <w:color w:val="auto"/>
        </w:rPr>
      </w:pPr>
    </w:p>
    <w:p>
      <w:pPr>
        <w:jc w:val="both"/>
        <w:ind w:left="340" w:hanging="56"/>
        <w:spacing w:after="0" w:line="257" w:lineRule="auto"/>
        <w:rPr>
          <w:sz w:val="20"/>
          <w:szCs w:val="20"/>
          <w:color w:val="auto"/>
        </w:rPr>
      </w:pPr>
      <w:r>
        <w:rPr>
          <w:rFonts w:ascii="Arial" w:cs="Arial" w:eastAsia="Arial" w:hAnsi="Arial"/>
          <w:sz w:val="22"/>
          <w:szCs w:val="22"/>
          <w:u w:val="single" w:color="auto"/>
          <w:color w:val="auto"/>
        </w:rPr>
        <w:t>401(k) Plan</w:t>
      </w:r>
      <w:r>
        <w:rPr>
          <w:rFonts w:ascii="Arial" w:cs="Arial" w:eastAsia="Arial" w:hAnsi="Arial"/>
          <w:sz w:val="22"/>
          <w:szCs w:val="22"/>
          <w:color w:val="auto"/>
        </w:rPr>
        <w:t>. Purchases of Lilly Securities through regular payroll contributions to a Lilly 401(k) plan. However, this policy does apply to other transactions involving the Lilly stock fund within your 401(k) (e.g., changes in contribution allocations to the Lilly stock fund within your 401(k).</w:t>
      </w:r>
    </w:p>
    <w:p>
      <w:pPr>
        <w:spacing w:after="0" w:line="65"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In addition, you may utilize a 10b5-1 Plan to effect certain transactions. Rule 10b5-1 under the Exchange Act provides a defense from insider trading liability provided that you enter into a qualifying plan. If the plan meets the requirements of Rule 10b5-1, transactions in Lilly Securities may occur even when the person who has entered into the plan later becomes aware of material nonpublic information. If you enter into a 10b5-1 plan, your plan must comply with Lilly’s 10b5-1 Plan Transactions Policy.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Blackout Periods.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Lilly Directors, executive officers and any employees who have been identified by the Office of the Corporate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Secretary as designated insiders (including their family members or controlled entities, as described above)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Insiders</w:t>
      </w:r>
      <w:r>
        <w:rPr>
          <w:rFonts w:ascii="Arial" w:cs="Arial" w:eastAsia="Arial" w:hAnsi="Arial"/>
          <w:sz w:val="21"/>
          <w:szCs w:val="21"/>
          <w:color w:val="auto"/>
        </w:rPr>
        <w:t>”) may not conduct any transactions involving Lilly Securities during Lilly’s regularly scheduled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quarterly blackout periods. Designated Insiders generally include Lilly Directors, executive officers, employees with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access to SAP/COR, M4/P6+ Finance employees, and certain key employees involved in the quarterly earnings</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process identified by the Office of the Corporate Secretary.</w:t>
      </w:r>
    </w:p>
    <w:p>
      <w:pPr>
        <w:spacing w:after="0" w:line="233" w:lineRule="exact"/>
        <w:rPr>
          <w:sz w:val="20"/>
          <w:szCs w:val="20"/>
          <w:color w:val="auto"/>
        </w:rPr>
      </w:pPr>
    </w:p>
    <w:p>
      <w:pPr>
        <w:ind w:right="320"/>
        <w:spacing w:after="0" w:line="275" w:lineRule="auto"/>
        <w:rPr>
          <w:sz w:val="20"/>
          <w:szCs w:val="20"/>
          <w:color w:val="auto"/>
        </w:rPr>
      </w:pPr>
      <w:r>
        <w:rPr>
          <w:rFonts w:ascii="Arial" w:cs="Arial" w:eastAsia="Arial" w:hAnsi="Arial"/>
          <w:sz w:val="21"/>
          <w:szCs w:val="21"/>
          <w:color w:val="auto"/>
        </w:rPr>
        <w:t>Lilly’s quarterly blackout periods generally start on the 15th of the last month of the first, second, and third quarters and on December 1st of the fourth quarter, and end one full trading day following Lilly’s issuance of its quarterly earnings release. The exact dates will vary each year, but for illustrative purposes, they will be approximately: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March 15 to April 28</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June 15 to August 4</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September 15 to October 28</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December 1 to January 30</w:t>
      </w:r>
    </w:p>
    <w:p>
      <w:pPr>
        <w:spacing w:after="0" w:line="227" w:lineRule="exact"/>
        <w:rPr>
          <w:sz w:val="20"/>
          <w:szCs w:val="20"/>
          <w:color w:val="auto"/>
        </w:rPr>
      </w:pPr>
    </w:p>
    <w:p>
      <w:pPr>
        <w:jc w:val="both"/>
        <w:ind w:right="160"/>
        <w:spacing w:after="0" w:line="257" w:lineRule="auto"/>
        <w:rPr>
          <w:sz w:val="20"/>
          <w:szCs w:val="20"/>
          <w:color w:val="auto"/>
        </w:rPr>
      </w:pPr>
      <w:r>
        <w:rPr>
          <w:rFonts w:ascii="Arial" w:cs="Arial" w:eastAsia="Arial" w:hAnsi="Arial"/>
          <w:sz w:val="22"/>
          <w:szCs w:val="22"/>
          <w:color w:val="auto"/>
        </w:rPr>
        <w:t>In addition, Lilly may from time to time impose additional, event-specific blackout periods related to matters that may be considered material. The existence of an event-specific blackout period will not be announced to the company as a whole and should not be communicated to any other individuals.</w:t>
      </w:r>
    </w:p>
    <w:p>
      <w:pPr>
        <w:spacing w:after="0" w:line="213" w:lineRule="exact"/>
        <w:rPr>
          <w:sz w:val="20"/>
          <w:szCs w:val="20"/>
          <w:color w:val="auto"/>
        </w:rPr>
      </w:pPr>
    </w:p>
    <w:p>
      <w:pPr>
        <w:ind w:right="240"/>
        <w:spacing w:after="0" w:line="272" w:lineRule="auto"/>
        <w:rPr>
          <w:sz w:val="20"/>
          <w:szCs w:val="20"/>
          <w:color w:val="auto"/>
        </w:rPr>
      </w:pPr>
      <w:r>
        <w:rPr>
          <w:rFonts w:ascii="Arial" w:cs="Arial" w:eastAsia="Arial" w:hAnsi="Arial"/>
          <w:sz w:val="22"/>
          <w:szCs w:val="22"/>
          <w:color w:val="auto"/>
        </w:rPr>
        <w:t>Even if you have not been notified that you are a Designated Insider or subject to an event-specific blackout period, you are still prohibited from trading if you are aware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3" w:right="339" w:bottom="1440" w:gutter="0" w:footer="0" w:header="0"/>
        </w:sectPr>
      </w:pPr>
    </w:p>
    <w:bookmarkStart w:id="196" w:name="page197"/>
    <w:bookmarkEnd w:id="196"/>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Consequences of Violating this Policy?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Insider trading violations are pursued vigorously by authorities around the world. The penalties for unlawful insider trading or tipping are severe and can include repayment of profits gained or losses avoided, significant fines, and imprisonment. In addition, failure to comply with this policy may result in company-imposed sanctions, up to and including dismissal for cause. Lilly may alert appropriate authorities as it deems appropriate.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Post-Lilly Employment Transactions:</w:t>
      </w:r>
    </w:p>
    <w:p>
      <w:pPr>
        <w:spacing w:after="0" w:line="208" w:lineRule="exact"/>
        <w:rPr>
          <w:sz w:val="20"/>
          <w:szCs w:val="20"/>
          <w:color w:val="auto"/>
        </w:rPr>
      </w:pPr>
    </w:p>
    <w:p>
      <w:pPr>
        <w:ind w:right="220"/>
        <w:spacing w:after="0" w:line="272" w:lineRule="auto"/>
        <w:rPr>
          <w:sz w:val="20"/>
          <w:szCs w:val="20"/>
          <w:color w:val="auto"/>
        </w:rPr>
      </w:pPr>
      <w:r>
        <w:rPr>
          <w:rFonts w:ascii="Arial" w:cs="Arial" w:eastAsia="Arial" w:hAnsi="Arial"/>
          <w:sz w:val="22"/>
          <w:szCs w:val="22"/>
          <w:color w:val="auto"/>
        </w:rPr>
        <w:t>If you are in possession of material non-public information when you leave Lilly, you may not trade in Lilly Securities until that information has become public or is no longer material.</w:t>
      </w:r>
    </w:p>
    <w:p>
      <w:pPr>
        <w:spacing w:after="0" w:line="142"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In addition, if you are subject to a quarterly or event-specific trading restriction under this policy at the time you cease to be affiliated with Lilly, you are expected to abide by the applicable trading restrictions until at least the end of the applicable trading restriction.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Pre-Clearance Policy and Rule 10b5-1 Plan Transactions Policy:</w:t>
      </w:r>
    </w:p>
    <w:p>
      <w:pPr>
        <w:spacing w:after="0" w:line="208" w:lineRule="exact"/>
        <w:rPr>
          <w:sz w:val="20"/>
          <w:szCs w:val="20"/>
          <w:color w:val="auto"/>
        </w:rPr>
      </w:pPr>
    </w:p>
    <w:p>
      <w:pPr>
        <w:ind w:right="260"/>
        <w:spacing w:after="0" w:line="257" w:lineRule="auto"/>
        <w:rPr>
          <w:sz w:val="20"/>
          <w:szCs w:val="20"/>
          <w:color w:val="auto"/>
        </w:rPr>
      </w:pPr>
      <w:r>
        <w:rPr>
          <w:rFonts w:ascii="Arial" w:cs="Arial" w:eastAsia="Arial" w:hAnsi="Arial"/>
          <w:sz w:val="22"/>
          <w:szCs w:val="22"/>
          <w:color w:val="auto"/>
        </w:rPr>
        <w:t xml:space="preserve">Certain Lilly employees are also subject to the </w:t>
      </w:r>
      <w:r>
        <w:rPr>
          <w:rFonts w:ascii="Arial" w:cs="Arial" w:eastAsia="Arial" w:hAnsi="Arial"/>
          <w:sz w:val="22"/>
          <w:szCs w:val="22"/>
          <w:i w:val="1"/>
          <w:iCs w:val="1"/>
          <w:color w:val="auto"/>
        </w:rPr>
        <w:t>Pre-Clearance Policy</w:t>
      </w:r>
      <w:r>
        <w:rPr>
          <w:rFonts w:ascii="Arial" w:cs="Arial" w:eastAsia="Arial" w:hAnsi="Arial"/>
          <w:sz w:val="22"/>
          <w:szCs w:val="22"/>
          <w:color w:val="auto"/>
        </w:rPr>
        <w:t xml:space="preserve"> and the </w:t>
      </w:r>
      <w:r>
        <w:rPr>
          <w:rFonts w:ascii="Arial" w:cs="Arial" w:eastAsia="Arial" w:hAnsi="Arial"/>
          <w:sz w:val="22"/>
          <w:szCs w:val="22"/>
          <w:i w:val="1"/>
          <w:iCs w:val="1"/>
          <w:color w:val="auto"/>
        </w:rPr>
        <w:t>Rule 10b5-1 Plan Transactions Policy</w:t>
      </w:r>
      <w:r>
        <w:rPr>
          <w:rFonts w:ascii="Arial" w:cs="Arial" w:eastAsia="Arial" w:hAnsi="Arial"/>
          <w:sz w:val="22"/>
          <w:szCs w:val="22"/>
          <w:color w:val="auto"/>
        </w:rPr>
        <w:t>. Lilly’s directors, executive officers and Chief Accounting Officer remain subject to the Pre-Clearance Policy for six months following the termination of their service to Lilly.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Individual Responsibility</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are responsible for making sure that you comply with this policy and for making sure that any family members or controlled entities also comply with this policy. In all cases, the responsibility for determining whether you are possession of material non-public information rests with you, and any action on the part of Lilly or Lilly’s legal counsel does not in any way constitute legal advice or insulate you from liability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128270</wp:posOffset>
            </wp:positionV>
            <wp:extent cx="6583680" cy="548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6583680" cy="548640"/>
                    </a:xfrm>
                    <a:prstGeom prst="rect">
                      <a:avLst/>
                    </a:prstGeom>
                    <a:noFill/>
                  </pic:spPr>
                </pic:pic>
              </a:graphicData>
            </a:graphic>
          </wp:anchor>
        </w:drawing>
      </w:r>
    </w:p>
    <w:p>
      <w:pPr>
        <w:spacing w:after="0" w:line="209" w:lineRule="exact"/>
        <w:rPr>
          <w:sz w:val="20"/>
          <w:szCs w:val="20"/>
          <w:color w:val="auto"/>
        </w:rPr>
      </w:pPr>
    </w:p>
    <w:p>
      <w:pPr>
        <w:jc w:val="both"/>
        <w:ind w:left="320" w:right="780" w:firstLine="80"/>
        <w:spacing w:after="0" w:line="257" w:lineRule="auto"/>
        <w:rPr>
          <w:sz w:val="20"/>
          <w:szCs w:val="20"/>
          <w:color w:val="auto"/>
        </w:rPr>
      </w:pPr>
      <w:r>
        <w:rPr>
          <w:rFonts w:ascii="Arial" w:cs="Arial" w:eastAsia="Arial" w:hAnsi="Arial"/>
          <w:sz w:val="22"/>
          <w:szCs w:val="22"/>
          <w:color w:val="auto"/>
        </w:rPr>
        <w:t>If you have any questions about this Trading Procedure, its application to any proposed transaction, or whether information constitutes material non-public information, you may obtain additional guidance from the Office of the Corporate Secretary, reachable at CSO_Trading_Procedure@lists.lilly.com.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Owner:</w:t>
            </w:r>
          </w:p>
        </w:tc>
        <w:tc>
          <w:tcPr>
            <w:tcW w:w="89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Executive Vice President, General Counsel and Secretary</w:t>
            </w:r>
          </w:p>
        </w:tc>
      </w:tr>
      <w:tr>
        <w:trPr>
          <w:trHeight w:val="304"/>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Approver:</w:t>
            </w:r>
          </w:p>
        </w:tc>
        <w:tc>
          <w:tcPr>
            <w:tcW w:w="8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Policy Subcommittee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98" w:name="page199"/>
    <w:bookmarkEnd w:id="198"/>
    <w:p>
      <w:pPr>
        <w:ind w:left="370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The following are subsidiaries and affiliated companies of Eli Lilly and Company at December 31, 2025.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Adverum Biotechnologies,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Adverum NC,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Akouos,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Annapurna Therapeutics,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Aparito Espanya S.L.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Aparito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Aparito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ARMO Biosciences,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Avalanche Australia Pty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Compania Farmaceutica Eli Lilly de Centro America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CPD 4,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Dermira,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DICE Alpha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DICE Molecules SV,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DICE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Disarm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Dista Ilac Ticaret Limited Sirketi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 EHS,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Dominicana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ELCO for Trading and Marketing, S.A.E.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Management,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(Suisse)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New Zealand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bl>
    <w:p>
      <w:pPr>
        <w:sectPr>
          <w:pgSz w:w="11900" w:h="16838" w:orient="portrait"/>
          <w:cols w:equalWidth="0" w:num="1">
            <w:col w:w="11180"/>
          </w:cols>
          <w:pgMar w:left="360" w:top="890" w:right="359"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Eli Lilly Benelux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B-H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Bosnia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Canada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Clinical Diagnostics Laboratory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CR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Czech Republic</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Danmark A/S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de Costa Rica,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Costa Rica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Drug Store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Arab Emirates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Egypt for Trading Company S.A.E.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Export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180" w:type="dxa"/>
            <w:vAlign w:val="bottom"/>
          </w:tcPr>
          <w:p>
            <w:pPr>
              <w:jc w:val="center"/>
              <w:spacing w:after="0"/>
              <w:rPr>
                <w:sz w:val="20"/>
                <w:szCs w:val="20"/>
                <w:color w:val="auto"/>
              </w:rPr>
            </w:pPr>
            <w:r>
              <w:rPr>
                <w:rFonts w:ascii="Arial" w:cs="Arial" w:eastAsia="Arial" w:hAnsi="Arial"/>
                <w:sz w:val="18"/>
                <w:szCs w:val="18"/>
                <w:color w:val="auto"/>
              </w:rPr>
              <w:t>Slovenia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Finance,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Ges.m.b.H.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Croatia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Chile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Israel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Italia S.p.A.</w:t>
            </w:r>
          </w:p>
        </w:tc>
        <w:tc>
          <w:tcPr>
            <w:tcW w:w="518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Japan K.K.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Norge A.S.</w:t>
            </w:r>
          </w:p>
        </w:tc>
        <w:tc>
          <w:tcPr>
            <w:tcW w:w="5180" w:type="dxa"/>
            <w:vAlign w:val="bottom"/>
          </w:tcPr>
          <w:p>
            <w:pPr>
              <w:jc w:val="center"/>
              <w:spacing w:after="0"/>
              <w:rPr>
                <w:sz w:val="20"/>
                <w:szCs w:val="20"/>
                <w:color w:val="auto"/>
              </w:rPr>
            </w:pPr>
            <w:r>
              <w:rPr>
                <w:rFonts w:ascii="Arial" w:cs="Arial" w:eastAsia="Arial" w:hAnsi="Arial"/>
                <w:sz w:val="18"/>
                <w:szCs w:val="18"/>
                <w:color w:val="auto"/>
              </w:rPr>
              <w:t>Norway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180" w:type="dxa"/>
            <w:vAlign w:val="bottom"/>
          </w:tcPr>
          <w:p>
            <w:pPr>
              <w:jc w:val="center"/>
              <w:spacing w:after="0"/>
              <w:rPr>
                <w:sz w:val="20"/>
                <w:szCs w:val="20"/>
                <w:color w:val="auto"/>
              </w:rPr>
            </w:pPr>
            <w:r>
              <w:rPr>
                <w:rFonts w:ascii="Arial" w:cs="Arial" w:eastAsia="Arial" w:hAnsi="Arial"/>
                <w:sz w:val="18"/>
                <w:szCs w:val="18"/>
                <w:color w:val="auto"/>
              </w:rPr>
              <w:t>Pakistan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Polska Sp. z.o.o.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Romania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Saudi Arabia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Services Peru S.A.C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Peru</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Sweden AB</w:t>
            </w:r>
          </w:p>
        </w:tc>
        <w:tc>
          <w:tcPr>
            <w:tcW w:w="5180" w:type="dxa"/>
            <w:vAlign w:val="bottom"/>
          </w:tcPr>
          <w:p>
            <w:pPr>
              <w:jc w:val="center"/>
              <w:spacing w:after="0"/>
              <w:rPr>
                <w:sz w:val="20"/>
                <w:szCs w:val="20"/>
                <w:color w:val="auto"/>
              </w:rPr>
            </w:pPr>
            <w:r>
              <w:rPr>
                <w:rFonts w:ascii="Arial" w:cs="Arial" w:eastAsia="Arial" w:hAnsi="Arial"/>
                <w:sz w:val="18"/>
                <w:szCs w:val="18"/>
                <w:color w:val="auto"/>
              </w:rPr>
              <w:t>Sweden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Vostok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Emergence Therapeutics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Glycostasis,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180"/>
          </w:cols>
          <w:pgMar w:left="360" w:top="928" w:right="359" w:bottom="1440" w:gutter="0" w:footer="0" w:header="0"/>
        </w:sectPr>
      </w:pPr>
    </w:p>
    <w:bookmarkStart w:id="200" w:name="page201"/>
    <w:bookmarkEnd w:id="2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ICOS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Washington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ImClone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Systems Holdings,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Irisfarma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Isopro Holdings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IV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V 2023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VI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VII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VIII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(Beijing) Medical Tech Innovation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Cayman Holdings</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Centre for Clinical Pharmacology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del Caribe, Inc.</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Holding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Hungaria KFT</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Ilac Ticaret Limited Sirketi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Japan Financing G.K.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Korea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Lebanon Advanced Therapies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Pharma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Trading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USA,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LillyDirect Pharmacy,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Loxo Oncology,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Mablink Bioscience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bl>
    <w:p>
      <w:pPr>
        <w:sectPr>
          <w:pgSz w:w="11900" w:h="16838" w:orient="portrait"/>
          <w:cols w:equalWidth="0" w:num="1">
            <w:col w:w="11180"/>
          </w:cols>
          <w:pgMar w:left="360" w:top="928" w:right="359"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Manet Holdings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Morphic Holding,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Morphic Therapeutic UK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Morphic Therapeutic,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NexPharm Parent Holdco,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Pandinus MSC,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Petra Pharma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Pharmaserve-Lilly S.A.C.I.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Point Biopharma Corp.</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Point Biopharma Global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Point Biopharma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Point Biopharma USA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Prevail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Protomer Technologies,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Scorpion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Sigilon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SiteOne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Spaly Bioquimica,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UAB Eli Lilly Lietuva</w:t>
            </w:r>
          </w:p>
        </w:tc>
        <w:tc>
          <w:tcPr>
            <w:tcW w:w="518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Valquifarma,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Versanis Bio Australia PTY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Versanis Bio,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Verve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Victoria Holdco Corp.</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Vitalfarma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180"/>
          </w:cols>
          <w:pgMar w:left="360" w:top="928" w:right="359" w:bottom="1440" w:gutter="0" w:footer="0" w:header="0"/>
        </w:sectPr>
      </w:pPr>
    </w:p>
    <w:bookmarkStart w:id="202" w:name="page203"/>
    <w:bookmarkEnd w:id="202"/>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 (Form S-3 ASR No. 333-285052; and Form S-8 Nos. 333-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104057, 333-172422, 333-258801, and 333-258803) of Eli Lilly and Company and in the related Prospectus of our reports dated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February 12, 2026, with respect to the consolidated financial statements of Eli Lilly and Company and subsidiaries, and the effectiveness 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of Eli Lilly and Company and subsidiaries, included in this Annual Report (Form 10-K) for the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2026</w:t>
      </w:r>
    </w:p>
    <w:p>
      <w:pPr>
        <w:sectPr>
          <w:pgSz w:w="11900" w:h="16838" w:orient="portrait"/>
          <w:cols w:equalWidth="0" w:num="1">
            <w:col w:w="11060"/>
          </w:cols>
          <w:pgMar w:left="320" w:top="1440" w:right="519" w:bottom="1440" w:gutter="0" w:footer="0" w:header="0"/>
        </w:sectPr>
      </w:pPr>
    </w:p>
    <w:bookmarkStart w:id="203" w:name="page204"/>
    <w:bookmarkEnd w:id="203"/>
    <w:p>
      <w:pPr>
        <w:spacing w:after="0" w:line="14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KNOW ALL PERSONS BY THESE PRESENTS, that each person whose signature appears below constitutes and appoints Anat Hakim, Lucas Montarce, and Donald Zakrowski, and each of them, his or her true and lawful attorneys-in-fact and agents, each acting alone, with full power of substitution and resubstitution, to sign, execute and file with the Securities and Exchange Commission (or any other governmental or regulatory authority), for us and in our names in the capacities indicated below, an Annual Report on Form 10-K for the year ended December 31, 2025 for Eli Lilly and Company, and any and all amendments thereto, with all exhibits and any and all documents required to be filed with respect thereto, granting unto said attorneys-in-fact and agents and each of them, full power and authority to do and to perform each and every act and thing necessary or desirable to be done in and about the premises in order to effectuate the same as fully to all intents and purposes as he or she might or could do if personally present,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312" w:lineRule="exact"/>
        <w:rPr>
          <w:sz w:val="20"/>
          <w:szCs w:val="20"/>
          <w:color w:val="auto"/>
        </w:rPr>
      </w:pPr>
    </w:p>
    <w:p>
      <w:pPr>
        <w:jc w:val="both"/>
        <w:spacing w:after="0" w:line="297" w:lineRule="auto"/>
        <w:rPr>
          <w:sz w:val="20"/>
          <w:szCs w:val="20"/>
          <w:color w:val="auto"/>
        </w:rPr>
      </w:pPr>
      <w:r>
        <w:rPr>
          <w:rFonts w:ascii="Arial" w:cs="Arial" w:eastAsia="Arial" w:hAnsi="Arial"/>
          <w:sz w:val="22"/>
          <w:szCs w:val="22"/>
          <w:color w:val="auto"/>
        </w:rPr>
        <w:t>IN WITNESS WHEREOF, the undersigned have executed this Power of Attorney to be effective as of February 10, 2026.</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324" w:lineRule="exact"/>
        <w:rPr>
          <w:sz w:val="20"/>
          <w:szCs w:val="20"/>
          <w:color w:val="auto"/>
        </w:rPr>
      </w:pPr>
    </w:p>
    <w:p>
      <w:pPr>
        <w:ind w:left="2580"/>
        <w:spacing w:after="0"/>
        <w:tabs>
          <w:tab w:leader="none" w:pos="84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8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/s/</w:t>
            </w:r>
          </w:p>
        </w:tc>
        <w:tc>
          <w:tcPr>
            <w:tcW w:w="3360" w:type="dxa"/>
            <w:vAlign w:val="bottom"/>
          </w:tcPr>
          <w:p>
            <w:pPr>
              <w:jc w:val="center"/>
              <w:ind w:right="1950"/>
              <w:spacing w:after="0"/>
              <w:rPr>
                <w:sz w:val="20"/>
                <w:szCs w:val="20"/>
                <w:color w:val="auto"/>
              </w:rPr>
            </w:pPr>
            <w:r>
              <w:rPr>
                <w:rFonts w:ascii="Arial" w:cs="Arial" w:eastAsia="Arial" w:hAnsi="Arial"/>
                <w:sz w:val="18"/>
                <w:szCs w:val="18"/>
                <w:color w:val="auto"/>
                <w:w w:val="99"/>
              </w:rPr>
              <w:t>Ralph Alvarez</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3"/>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3140" w:type="dxa"/>
            <w:vAlign w:val="bottom"/>
          </w:tcPr>
          <w:p>
            <w:pPr>
              <w:spacing w:after="0"/>
              <w:rPr>
                <w:sz w:val="5"/>
                <w:szCs w:val="5"/>
                <w:color w:val="auto"/>
              </w:rPr>
            </w:pPr>
          </w:p>
        </w:tc>
      </w:tr>
      <w:tr>
        <w:trPr>
          <w:trHeight w:val="294"/>
        </w:trPr>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2090"/>
              <w:spacing w:after="0"/>
              <w:rPr>
                <w:sz w:val="20"/>
                <w:szCs w:val="20"/>
                <w:color w:val="auto"/>
              </w:rPr>
            </w:pPr>
            <w:r>
              <w:rPr>
                <w:rFonts w:ascii="Arial" w:cs="Arial" w:eastAsia="Arial" w:hAnsi="Arial"/>
                <w:sz w:val="18"/>
                <w:szCs w:val="18"/>
                <w:color w:val="auto"/>
                <w:w w:val="97"/>
              </w:rPr>
              <w:t>RALPH ALVAREZ</w:t>
            </w:r>
          </w:p>
        </w:tc>
        <w:tc>
          <w:tcPr>
            <w:tcW w:w="3140" w:type="dxa"/>
            <w:vAlign w:val="bottom"/>
          </w:tcPr>
          <w:p>
            <w:pPr>
              <w:spacing w:after="0"/>
              <w:rPr>
                <w:sz w:val="24"/>
                <w:szCs w:val="24"/>
                <w:color w:val="auto"/>
              </w:rPr>
            </w:pPr>
          </w:p>
        </w:tc>
      </w:tr>
      <w:tr>
        <w:trPr>
          <w:trHeight w:val="797"/>
        </w:trPr>
        <w:tc>
          <w:tcPr>
            <w:tcW w:w="1980" w:type="dxa"/>
            <w:vAlign w:val="bottom"/>
          </w:tcPr>
          <w:p>
            <w:pPr>
              <w:ind w:left="1720"/>
              <w:spacing w:after="0"/>
              <w:rPr>
                <w:sz w:val="20"/>
                <w:szCs w:val="20"/>
                <w:color w:val="auto"/>
              </w:rPr>
            </w:pPr>
            <w:r>
              <w:rPr>
                <w:rFonts w:ascii="Arial" w:cs="Arial" w:eastAsia="Arial" w:hAnsi="Arial"/>
                <w:sz w:val="18"/>
                <w:szCs w:val="18"/>
                <w:color w:val="auto"/>
              </w:rPr>
              <w:t>/s/</w:t>
            </w:r>
          </w:p>
        </w:tc>
        <w:tc>
          <w:tcPr>
            <w:tcW w:w="3820" w:type="dxa"/>
            <w:vAlign w:val="bottom"/>
            <w:gridSpan w:val="3"/>
          </w:tcPr>
          <w:p>
            <w:pPr>
              <w:jc w:val="center"/>
              <w:ind w:right="1490"/>
              <w:spacing w:after="0"/>
              <w:rPr>
                <w:sz w:val="20"/>
                <w:szCs w:val="20"/>
                <w:color w:val="auto"/>
              </w:rPr>
            </w:pPr>
            <w:r>
              <w:rPr>
                <w:rFonts w:ascii="Arial" w:cs="Arial" w:eastAsia="Arial" w:hAnsi="Arial"/>
                <w:sz w:val="18"/>
                <w:szCs w:val="18"/>
                <w:color w:val="auto"/>
                <w:w w:val="99"/>
              </w:rPr>
              <w:t>Katherine Baicker, Ph.D.</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3"/>
        </w:trPr>
        <w:tc>
          <w:tcPr>
            <w:tcW w:w="5800" w:type="dxa"/>
            <w:vAlign w:val="bottom"/>
            <w:tcBorders>
              <w:bottom w:val="single" w:sz="8" w:color="auto"/>
            </w:tcBorders>
            <w:gridSpan w:val="4"/>
          </w:tcPr>
          <w:p>
            <w:pPr>
              <w:spacing w:after="0"/>
              <w:rPr>
                <w:sz w:val="5"/>
                <w:szCs w:val="5"/>
                <w:color w:val="auto"/>
              </w:rPr>
            </w:pPr>
          </w:p>
        </w:tc>
        <w:tc>
          <w:tcPr>
            <w:tcW w:w="3140" w:type="dxa"/>
            <w:vAlign w:val="bottom"/>
          </w:tcPr>
          <w:p>
            <w:pPr>
              <w:spacing w:after="0"/>
              <w:rPr>
                <w:sz w:val="5"/>
                <w:szCs w:val="5"/>
                <w:color w:val="auto"/>
              </w:rPr>
            </w:pPr>
          </w:p>
        </w:tc>
      </w:tr>
      <w:tr>
        <w:trPr>
          <w:trHeight w:val="295"/>
        </w:trPr>
        <w:tc>
          <w:tcPr>
            <w:tcW w:w="5800" w:type="dxa"/>
            <w:vAlign w:val="bottom"/>
            <w:gridSpan w:val="4"/>
          </w:tcPr>
          <w:p>
            <w:pPr>
              <w:jc w:val="center"/>
              <w:spacing w:after="0"/>
              <w:rPr>
                <w:sz w:val="20"/>
                <w:szCs w:val="20"/>
                <w:color w:val="auto"/>
              </w:rPr>
            </w:pPr>
            <w:r>
              <w:rPr>
                <w:rFonts w:ascii="Arial" w:cs="Arial" w:eastAsia="Arial" w:hAnsi="Arial"/>
                <w:sz w:val="18"/>
                <w:szCs w:val="18"/>
                <w:color w:val="auto"/>
                <w:w w:val="99"/>
              </w:rPr>
              <w:t>KATHERINE BAICKER, Ph.D.</w:t>
            </w:r>
          </w:p>
        </w:tc>
        <w:tc>
          <w:tcPr>
            <w:tcW w:w="3140" w:type="dxa"/>
            <w:vAlign w:val="bottom"/>
          </w:tcPr>
          <w:p>
            <w:pPr>
              <w:spacing w:after="0"/>
              <w:rPr>
                <w:sz w:val="24"/>
                <w:szCs w:val="24"/>
                <w:color w:val="auto"/>
              </w:rPr>
            </w:pPr>
          </w:p>
        </w:tc>
      </w:tr>
      <w:tr>
        <w:trPr>
          <w:trHeight w:val="796"/>
        </w:trPr>
        <w:tc>
          <w:tcPr>
            <w:tcW w:w="1980" w:type="dxa"/>
            <w:vAlign w:val="bottom"/>
          </w:tcPr>
          <w:p>
            <w:pPr>
              <w:ind w:left="1780"/>
              <w:spacing w:after="0"/>
              <w:rPr>
                <w:sz w:val="20"/>
                <w:szCs w:val="20"/>
                <w:color w:val="auto"/>
              </w:rPr>
            </w:pPr>
            <w:r>
              <w:rPr>
                <w:rFonts w:ascii="Arial" w:cs="Arial" w:eastAsia="Arial" w:hAnsi="Arial"/>
                <w:sz w:val="18"/>
                <w:szCs w:val="18"/>
                <w:color w:val="auto"/>
                <w:w w:val="94"/>
              </w:rPr>
              <w:t>/s/</w:t>
            </w:r>
          </w:p>
        </w:tc>
        <w:tc>
          <w:tcPr>
            <w:tcW w:w="3820" w:type="dxa"/>
            <w:vAlign w:val="bottom"/>
            <w:gridSpan w:val="3"/>
          </w:tcPr>
          <w:p>
            <w:pPr>
              <w:jc w:val="center"/>
              <w:ind w:right="1490"/>
              <w:spacing w:after="0"/>
              <w:rPr>
                <w:sz w:val="20"/>
                <w:szCs w:val="20"/>
                <w:color w:val="auto"/>
              </w:rPr>
            </w:pPr>
            <w:r>
              <w:rPr>
                <w:rFonts w:ascii="Arial" w:cs="Arial" w:eastAsia="Arial" w:hAnsi="Arial"/>
                <w:sz w:val="18"/>
                <w:szCs w:val="18"/>
                <w:color w:val="auto"/>
              </w:rPr>
              <w:t>Carolyn Bertozzi, Ph.D.</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3"/>
        </w:trPr>
        <w:tc>
          <w:tcPr>
            <w:tcW w:w="5800" w:type="dxa"/>
            <w:vAlign w:val="bottom"/>
            <w:tcBorders>
              <w:bottom w:val="single" w:sz="8" w:color="auto"/>
            </w:tcBorders>
            <w:gridSpan w:val="4"/>
          </w:tcPr>
          <w:p>
            <w:pPr>
              <w:spacing w:after="0"/>
              <w:rPr>
                <w:sz w:val="5"/>
                <w:szCs w:val="5"/>
                <w:color w:val="auto"/>
              </w:rPr>
            </w:pPr>
          </w:p>
        </w:tc>
        <w:tc>
          <w:tcPr>
            <w:tcW w:w="3140" w:type="dxa"/>
            <w:vAlign w:val="bottom"/>
          </w:tcPr>
          <w:p>
            <w:pPr>
              <w:spacing w:after="0"/>
              <w:rPr>
                <w:sz w:val="5"/>
                <w:szCs w:val="5"/>
                <w:color w:val="auto"/>
              </w:rPr>
            </w:pPr>
          </w:p>
        </w:tc>
      </w:tr>
      <w:tr>
        <w:trPr>
          <w:trHeight w:val="295"/>
        </w:trPr>
        <w:tc>
          <w:tcPr>
            <w:tcW w:w="5800" w:type="dxa"/>
            <w:vAlign w:val="bottom"/>
            <w:gridSpan w:val="4"/>
          </w:tcPr>
          <w:p>
            <w:pPr>
              <w:jc w:val="center"/>
              <w:spacing w:after="0"/>
              <w:rPr>
                <w:sz w:val="20"/>
                <w:szCs w:val="20"/>
                <w:color w:val="auto"/>
              </w:rPr>
            </w:pPr>
            <w:r>
              <w:rPr>
                <w:rFonts w:ascii="Arial" w:cs="Arial" w:eastAsia="Arial" w:hAnsi="Arial"/>
                <w:sz w:val="18"/>
                <w:szCs w:val="18"/>
                <w:color w:val="auto"/>
                <w:w w:val="99"/>
              </w:rPr>
              <w:t>CAROLYN BERTOZZI, Ph.D.</w:t>
            </w:r>
          </w:p>
        </w:tc>
        <w:tc>
          <w:tcPr>
            <w:tcW w:w="3140" w:type="dxa"/>
            <w:vAlign w:val="bottom"/>
          </w:tcPr>
          <w:p>
            <w:pPr>
              <w:spacing w:after="0"/>
              <w:rPr>
                <w:sz w:val="24"/>
                <w:szCs w:val="24"/>
                <w:color w:val="auto"/>
              </w:rPr>
            </w:pPr>
          </w:p>
        </w:tc>
      </w:tr>
      <w:tr>
        <w:trPr>
          <w:trHeight w:val="796"/>
        </w:trPr>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360" w:type="dxa"/>
            <w:vAlign w:val="bottom"/>
          </w:tcPr>
          <w:p>
            <w:pPr>
              <w:jc w:val="center"/>
              <w:ind w:right="1950"/>
              <w:spacing w:after="0"/>
              <w:rPr>
                <w:sz w:val="20"/>
                <w:szCs w:val="20"/>
                <w:color w:val="auto"/>
              </w:rPr>
            </w:pPr>
            <w:r>
              <w:rPr>
                <w:rFonts w:ascii="Arial" w:cs="Arial" w:eastAsia="Arial" w:hAnsi="Arial"/>
                <w:sz w:val="18"/>
                <w:szCs w:val="18"/>
                <w:color w:val="auto"/>
              </w:rPr>
              <w:t>Erik Fyrwald</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3"/>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3140" w:type="dxa"/>
            <w:vAlign w:val="bottom"/>
          </w:tcPr>
          <w:p>
            <w:pPr>
              <w:spacing w:after="0"/>
              <w:rPr>
                <w:sz w:val="5"/>
                <w:szCs w:val="5"/>
                <w:color w:val="auto"/>
              </w:rPr>
            </w:pPr>
          </w:p>
        </w:tc>
      </w:tr>
      <w:tr>
        <w:trPr>
          <w:trHeight w:val="295"/>
        </w:trPr>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2070"/>
              <w:spacing w:after="0"/>
              <w:rPr>
                <w:sz w:val="20"/>
                <w:szCs w:val="20"/>
                <w:color w:val="auto"/>
              </w:rPr>
            </w:pPr>
            <w:r>
              <w:rPr>
                <w:rFonts w:ascii="Arial" w:cs="Arial" w:eastAsia="Arial" w:hAnsi="Arial"/>
                <w:sz w:val="18"/>
                <w:szCs w:val="18"/>
                <w:color w:val="auto"/>
                <w:w w:val="99"/>
              </w:rPr>
              <w:t>ERIK FYRWALD</w:t>
            </w:r>
          </w:p>
        </w:tc>
        <w:tc>
          <w:tcPr>
            <w:tcW w:w="3140" w:type="dxa"/>
            <w:vAlign w:val="bottom"/>
          </w:tcPr>
          <w:p>
            <w:pPr>
              <w:spacing w:after="0"/>
              <w:rPr>
                <w:sz w:val="24"/>
                <w:szCs w:val="24"/>
                <w:color w:val="auto"/>
              </w:rPr>
            </w:pPr>
          </w:p>
        </w:tc>
      </w:tr>
      <w:tr>
        <w:trPr>
          <w:trHeight w:val="796"/>
        </w:trPr>
        <w:tc>
          <w:tcPr>
            <w:tcW w:w="1980" w:type="dxa"/>
            <w:vAlign w:val="bottom"/>
          </w:tcPr>
          <w:p>
            <w:pPr>
              <w:ind w:left="1660"/>
              <w:spacing w:after="0"/>
              <w:rPr>
                <w:sz w:val="20"/>
                <w:szCs w:val="20"/>
                <w:color w:val="auto"/>
              </w:rPr>
            </w:pPr>
            <w:r>
              <w:rPr>
                <w:rFonts w:ascii="Arial" w:cs="Arial" w:eastAsia="Arial" w:hAnsi="Arial"/>
                <w:sz w:val="18"/>
                <w:szCs w:val="18"/>
                <w:color w:val="auto"/>
              </w:rPr>
              <w:t>/s/</w:t>
            </w:r>
          </w:p>
        </w:tc>
        <w:tc>
          <w:tcPr>
            <w:tcW w:w="3820" w:type="dxa"/>
            <w:vAlign w:val="bottom"/>
            <w:gridSpan w:val="3"/>
          </w:tcPr>
          <w:p>
            <w:pPr>
              <w:jc w:val="center"/>
              <w:ind w:right="1490"/>
              <w:spacing w:after="0"/>
              <w:rPr>
                <w:sz w:val="20"/>
                <w:szCs w:val="20"/>
                <w:color w:val="auto"/>
              </w:rPr>
            </w:pPr>
            <w:r>
              <w:rPr>
                <w:rFonts w:ascii="Arial" w:cs="Arial" w:eastAsia="Arial" w:hAnsi="Arial"/>
                <w:sz w:val="18"/>
                <w:szCs w:val="18"/>
                <w:color w:val="auto"/>
                <w:w w:val="98"/>
              </w:rPr>
              <w:t>Mary Lynne Hedley, Ph.D.</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4"/>
        </w:trPr>
        <w:tc>
          <w:tcPr>
            <w:tcW w:w="5800" w:type="dxa"/>
            <w:vAlign w:val="bottom"/>
            <w:tcBorders>
              <w:bottom w:val="single" w:sz="8" w:color="auto"/>
            </w:tcBorders>
            <w:gridSpan w:val="4"/>
          </w:tcPr>
          <w:p>
            <w:pPr>
              <w:spacing w:after="0"/>
              <w:rPr>
                <w:sz w:val="5"/>
                <w:szCs w:val="5"/>
                <w:color w:val="auto"/>
              </w:rPr>
            </w:pPr>
          </w:p>
        </w:tc>
        <w:tc>
          <w:tcPr>
            <w:tcW w:w="3140" w:type="dxa"/>
            <w:vAlign w:val="bottom"/>
          </w:tcPr>
          <w:p>
            <w:pPr>
              <w:spacing w:after="0"/>
              <w:rPr>
                <w:sz w:val="5"/>
                <w:szCs w:val="5"/>
                <w:color w:val="auto"/>
              </w:rPr>
            </w:pPr>
          </w:p>
        </w:tc>
      </w:tr>
      <w:tr>
        <w:trPr>
          <w:trHeight w:val="294"/>
        </w:trPr>
        <w:tc>
          <w:tcPr>
            <w:tcW w:w="5800" w:type="dxa"/>
            <w:vAlign w:val="bottom"/>
            <w:gridSpan w:val="4"/>
          </w:tcPr>
          <w:p>
            <w:pPr>
              <w:jc w:val="center"/>
              <w:spacing w:after="0"/>
              <w:rPr>
                <w:sz w:val="20"/>
                <w:szCs w:val="20"/>
                <w:color w:val="auto"/>
              </w:rPr>
            </w:pPr>
            <w:r>
              <w:rPr>
                <w:rFonts w:ascii="Arial" w:cs="Arial" w:eastAsia="Arial" w:hAnsi="Arial"/>
                <w:sz w:val="18"/>
                <w:szCs w:val="18"/>
                <w:color w:val="auto"/>
                <w:w w:val="97"/>
              </w:rPr>
              <w:t>MARY LYNNE HEDLEY, Ph.D.</w:t>
            </w:r>
          </w:p>
        </w:tc>
        <w:tc>
          <w:tcPr>
            <w:tcW w:w="3140" w:type="dxa"/>
            <w:vAlign w:val="bottom"/>
          </w:tcPr>
          <w:p>
            <w:pPr>
              <w:spacing w:after="0"/>
              <w:rPr>
                <w:sz w:val="24"/>
                <w:szCs w:val="24"/>
                <w:color w:val="auto"/>
              </w:rPr>
            </w:pPr>
          </w:p>
        </w:tc>
      </w:tr>
      <w:tr>
        <w:trPr>
          <w:trHeight w:val="797"/>
        </w:trPr>
        <w:tc>
          <w:tcPr>
            <w:tcW w:w="198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/s/</w:t>
            </w:r>
          </w:p>
        </w:tc>
        <w:tc>
          <w:tcPr>
            <w:tcW w:w="3360" w:type="dxa"/>
            <w:vAlign w:val="bottom"/>
          </w:tcPr>
          <w:p>
            <w:pPr>
              <w:jc w:val="center"/>
              <w:ind w:right="1950"/>
              <w:spacing w:after="0"/>
              <w:rPr>
                <w:sz w:val="20"/>
                <w:szCs w:val="20"/>
                <w:color w:val="auto"/>
              </w:rPr>
            </w:pPr>
            <w:r>
              <w:rPr>
                <w:rFonts w:ascii="Arial" w:cs="Arial" w:eastAsia="Arial" w:hAnsi="Arial"/>
                <w:sz w:val="18"/>
                <w:szCs w:val="18"/>
                <w:color w:val="auto"/>
              </w:rPr>
              <w:t>Jamere Jackson</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3"/>
        </w:trPr>
        <w:tc>
          <w:tcPr>
            <w:tcW w:w="198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gridSpan w:val="3"/>
          </w:tcPr>
          <w:p>
            <w:pPr>
              <w:spacing w:after="0"/>
              <w:rPr>
                <w:sz w:val="5"/>
                <w:szCs w:val="5"/>
                <w:color w:val="auto"/>
              </w:rPr>
            </w:pPr>
          </w:p>
        </w:tc>
        <w:tc>
          <w:tcPr>
            <w:tcW w:w="3140" w:type="dxa"/>
            <w:vAlign w:val="bottom"/>
          </w:tcPr>
          <w:p>
            <w:pPr>
              <w:spacing w:after="0"/>
              <w:rPr>
                <w:sz w:val="5"/>
                <w:szCs w:val="5"/>
                <w:color w:val="auto"/>
              </w:rPr>
            </w:pPr>
          </w:p>
        </w:tc>
      </w:tr>
      <w:tr>
        <w:trPr>
          <w:trHeight w:val="295"/>
        </w:trPr>
        <w:tc>
          <w:tcPr>
            <w:tcW w:w="1980" w:type="dxa"/>
            <w:vAlign w:val="bottom"/>
          </w:tcPr>
          <w:p>
            <w:pPr>
              <w:spacing w:after="0"/>
              <w:rPr>
                <w:sz w:val="24"/>
                <w:szCs w:val="24"/>
                <w:color w:val="auto"/>
              </w:rPr>
            </w:pPr>
          </w:p>
        </w:tc>
        <w:tc>
          <w:tcPr>
            <w:tcW w:w="3820" w:type="dxa"/>
            <w:vAlign w:val="bottom"/>
            <w:gridSpan w:val="3"/>
          </w:tcPr>
          <w:p>
            <w:pPr>
              <w:jc w:val="center"/>
              <w:ind w:right="1890"/>
              <w:spacing w:after="0"/>
              <w:rPr>
                <w:sz w:val="20"/>
                <w:szCs w:val="20"/>
                <w:color w:val="auto"/>
              </w:rPr>
            </w:pPr>
            <w:r>
              <w:rPr>
                <w:rFonts w:ascii="Arial" w:cs="Arial" w:eastAsia="Arial" w:hAnsi="Arial"/>
                <w:sz w:val="18"/>
                <w:szCs w:val="18"/>
                <w:color w:val="auto"/>
              </w:rPr>
              <w:t>JAMERE JACKSON</w:t>
            </w:r>
          </w:p>
        </w:tc>
        <w:tc>
          <w:tcPr>
            <w:tcW w:w="3140" w:type="dxa"/>
            <w:vAlign w:val="bottom"/>
          </w:tcPr>
          <w:p>
            <w:pPr>
              <w:spacing w:after="0"/>
              <w:rPr>
                <w:sz w:val="24"/>
                <w:szCs w:val="24"/>
                <w:color w:val="auto"/>
              </w:rPr>
            </w:pPr>
          </w:p>
        </w:tc>
      </w:tr>
      <w:tr>
        <w:trPr>
          <w:trHeight w:val="796"/>
        </w:trPr>
        <w:tc>
          <w:tcPr>
            <w:tcW w:w="19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3620" w:type="dxa"/>
            <w:vAlign w:val="bottom"/>
            <w:gridSpan w:val="2"/>
          </w:tcPr>
          <w:p>
            <w:pPr>
              <w:jc w:val="center"/>
              <w:ind w:right="1690"/>
              <w:spacing w:after="0"/>
              <w:rPr>
                <w:sz w:val="20"/>
                <w:szCs w:val="20"/>
                <w:color w:val="auto"/>
              </w:rPr>
            </w:pPr>
            <w:r>
              <w:rPr>
                <w:rFonts w:ascii="Arial" w:cs="Arial" w:eastAsia="Arial" w:hAnsi="Arial"/>
                <w:sz w:val="18"/>
                <w:szCs w:val="18"/>
                <w:color w:val="auto"/>
              </w:rPr>
              <w:t>Kimberly Johnson</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4"/>
        </w:trPr>
        <w:tc>
          <w:tcPr>
            <w:tcW w:w="198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gridSpan w:val="3"/>
          </w:tcPr>
          <w:p>
            <w:pPr>
              <w:spacing w:after="0"/>
              <w:rPr>
                <w:sz w:val="5"/>
                <w:szCs w:val="5"/>
                <w:color w:val="auto"/>
              </w:rPr>
            </w:pPr>
          </w:p>
        </w:tc>
        <w:tc>
          <w:tcPr>
            <w:tcW w:w="3140" w:type="dxa"/>
            <w:vAlign w:val="bottom"/>
          </w:tcPr>
          <w:p>
            <w:pPr>
              <w:spacing w:after="0"/>
              <w:rPr>
                <w:sz w:val="5"/>
                <w:szCs w:val="5"/>
                <w:color w:val="auto"/>
              </w:rPr>
            </w:pPr>
          </w:p>
        </w:tc>
      </w:tr>
      <w:tr>
        <w:trPr>
          <w:trHeight w:val="294"/>
        </w:trPr>
        <w:tc>
          <w:tcPr>
            <w:tcW w:w="1980" w:type="dxa"/>
            <w:vAlign w:val="bottom"/>
          </w:tcPr>
          <w:p>
            <w:pPr>
              <w:spacing w:after="0"/>
              <w:rPr>
                <w:sz w:val="24"/>
                <w:szCs w:val="24"/>
                <w:color w:val="auto"/>
              </w:rPr>
            </w:pPr>
          </w:p>
        </w:tc>
        <w:tc>
          <w:tcPr>
            <w:tcW w:w="3820" w:type="dxa"/>
            <w:vAlign w:val="bottom"/>
            <w:gridSpan w:val="3"/>
          </w:tcPr>
          <w:p>
            <w:pPr>
              <w:jc w:val="center"/>
              <w:ind w:right="1870"/>
              <w:spacing w:after="0"/>
              <w:rPr>
                <w:sz w:val="20"/>
                <w:szCs w:val="20"/>
                <w:color w:val="auto"/>
              </w:rPr>
            </w:pPr>
            <w:r>
              <w:rPr>
                <w:rFonts w:ascii="Arial" w:cs="Arial" w:eastAsia="Arial" w:hAnsi="Arial"/>
                <w:sz w:val="18"/>
                <w:szCs w:val="18"/>
                <w:color w:val="auto"/>
                <w:w w:val="98"/>
              </w:rPr>
              <w:t>KIMBERLY JOHNSON</w:t>
            </w:r>
          </w:p>
        </w:tc>
        <w:tc>
          <w:tcPr>
            <w:tcW w:w="3140" w:type="dxa"/>
            <w:vAlign w:val="bottom"/>
          </w:tcPr>
          <w:p>
            <w:pPr>
              <w:spacing w:after="0"/>
              <w:rPr>
                <w:sz w:val="24"/>
                <w:szCs w:val="24"/>
                <w:color w:val="auto"/>
              </w:rPr>
            </w:pPr>
          </w:p>
        </w:tc>
      </w:tr>
      <w:tr>
        <w:trPr>
          <w:trHeight w:val="797"/>
        </w:trPr>
        <w:tc>
          <w:tcPr>
            <w:tcW w:w="1980" w:type="dxa"/>
            <w:vAlign w:val="bottom"/>
          </w:tcPr>
          <w:p>
            <w:pPr>
              <w:ind w:left="1760"/>
              <w:spacing w:after="0"/>
              <w:rPr>
                <w:sz w:val="20"/>
                <w:szCs w:val="20"/>
                <w:color w:val="auto"/>
              </w:rPr>
            </w:pPr>
            <w:r>
              <w:rPr>
                <w:rFonts w:ascii="Arial" w:cs="Arial" w:eastAsia="Arial" w:hAnsi="Arial"/>
                <w:sz w:val="18"/>
                <w:szCs w:val="18"/>
                <w:color w:val="auto"/>
              </w:rPr>
              <w:t>/s/</w:t>
            </w:r>
          </w:p>
        </w:tc>
        <w:tc>
          <w:tcPr>
            <w:tcW w:w="3820" w:type="dxa"/>
            <w:vAlign w:val="bottom"/>
            <w:gridSpan w:val="3"/>
          </w:tcPr>
          <w:p>
            <w:pPr>
              <w:jc w:val="center"/>
              <w:ind w:right="1510"/>
              <w:spacing w:after="0"/>
              <w:rPr>
                <w:sz w:val="20"/>
                <w:szCs w:val="20"/>
                <w:color w:val="auto"/>
              </w:rPr>
            </w:pPr>
            <w:r>
              <w:rPr>
                <w:rFonts w:ascii="Arial" w:cs="Arial" w:eastAsia="Arial" w:hAnsi="Arial"/>
                <w:sz w:val="18"/>
                <w:szCs w:val="18"/>
                <w:color w:val="auto"/>
                <w:w w:val="99"/>
              </w:rPr>
              <w:t>William Kaelin, Jr., M.D.</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3"/>
        </w:trPr>
        <w:tc>
          <w:tcPr>
            <w:tcW w:w="5800" w:type="dxa"/>
            <w:vAlign w:val="bottom"/>
            <w:tcBorders>
              <w:bottom w:val="single" w:sz="8" w:color="auto"/>
            </w:tcBorders>
            <w:gridSpan w:val="4"/>
          </w:tcPr>
          <w:p>
            <w:pPr>
              <w:spacing w:after="0"/>
              <w:rPr>
                <w:sz w:val="5"/>
                <w:szCs w:val="5"/>
                <w:color w:val="auto"/>
              </w:rPr>
            </w:pPr>
          </w:p>
        </w:tc>
        <w:tc>
          <w:tcPr>
            <w:tcW w:w="3140" w:type="dxa"/>
            <w:vAlign w:val="bottom"/>
          </w:tcPr>
          <w:p>
            <w:pPr>
              <w:spacing w:after="0"/>
              <w:rPr>
                <w:sz w:val="5"/>
                <w:szCs w:val="5"/>
                <w:color w:val="auto"/>
              </w:rPr>
            </w:pPr>
          </w:p>
        </w:tc>
      </w:tr>
      <w:tr>
        <w:trPr>
          <w:trHeight w:val="295"/>
        </w:trPr>
        <w:tc>
          <w:tcPr>
            <w:tcW w:w="5800" w:type="dxa"/>
            <w:vAlign w:val="bottom"/>
            <w:gridSpan w:val="4"/>
          </w:tcPr>
          <w:p>
            <w:pPr>
              <w:jc w:val="center"/>
              <w:spacing w:after="0"/>
              <w:rPr>
                <w:sz w:val="20"/>
                <w:szCs w:val="20"/>
                <w:color w:val="auto"/>
              </w:rPr>
            </w:pPr>
            <w:r>
              <w:rPr>
                <w:rFonts w:ascii="Arial" w:cs="Arial" w:eastAsia="Arial" w:hAnsi="Arial"/>
                <w:sz w:val="18"/>
                <w:szCs w:val="18"/>
                <w:color w:val="auto"/>
                <w:w w:val="99"/>
              </w:rPr>
              <w:t>WILLIAM KAELIN, JR., M.D.</w:t>
            </w:r>
          </w:p>
        </w:tc>
        <w:tc>
          <w:tcPr>
            <w:tcW w:w="3140" w:type="dxa"/>
            <w:vAlign w:val="bottom"/>
          </w:tcPr>
          <w:p>
            <w:pPr>
              <w:spacing w:after="0"/>
              <w:rPr>
                <w:sz w:val="24"/>
                <w:szCs w:val="24"/>
                <w:color w:val="auto"/>
              </w:rPr>
            </w:pPr>
          </w:p>
        </w:tc>
      </w:tr>
      <w:tr>
        <w:trPr>
          <w:trHeight w:val="796"/>
        </w:trPr>
        <w:tc>
          <w:tcPr>
            <w:tcW w:w="198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/s/</w:t>
            </w:r>
          </w:p>
        </w:tc>
        <w:tc>
          <w:tcPr>
            <w:tcW w:w="3360" w:type="dxa"/>
            <w:vAlign w:val="bottom"/>
          </w:tcPr>
          <w:p>
            <w:pPr>
              <w:jc w:val="center"/>
              <w:ind w:right="1950"/>
              <w:spacing w:after="0"/>
              <w:rPr>
                <w:sz w:val="20"/>
                <w:szCs w:val="20"/>
                <w:color w:val="auto"/>
              </w:rPr>
            </w:pPr>
            <w:r>
              <w:rPr>
                <w:rFonts w:ascii="Arial" w:cs="Arial" w:eastAsia="Arial" w:hAnsi="Arial"/>
                <w:sz w:val="18"/>
                <w:szCs w:val="18"/>
                <w:color w:val="auto"/>
              </w:rPr>
              <w:t>Juan Luciano</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4"/>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3140" w:type="dxa"/>
            <w:vAlign w:val="bottom"/>
          </w:tcPr>
          <w:p>
            <w:pPr>
              <w:spacing w:after="0"/>
              <w:rPr>
                <w:sz w:val="5"/>
                <w:szCs w:val="5"/>
                <w:color w:val="auto"/>
              </w:rPr>
            </w:pPr>
          </w:p>
        </w:tc>
      </w:tr>
      <w:tr>
        <w:trPr>
          <w:trHeight w:val="294"/>
        </w:trPr>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2090"/>
              <w:spacing w:after="0"/>
              <w:rPr>
                <w:sz w:val="20"/>
                <w:szCs w:val="20"/>
                <w:color w:val="auto"/>
              </w:rPr>
            </w:pPr>
            <w:r>
              <w:rPr>
                <w:rFonts w:ascii="Arial" w:cs="Arial" w:eastAsia="Arial" w:hAnsi="Arial"/>
                <w:sz w:val="18"/>
                <w:szCs w:val="18"/>
                <w:color w:val="auto"/>
                <w:w w:val="99"/>
              </w:rPr>
              <w:t>JUAN LUCIANO</w:t>
            </w:r>
          </w:p>
        </w:tc>
        <w:tc>
          <w:tcPr>
            <w:tcW w:w="3140" w:type="dxa"/>
            <w:vAlign w:val="bottom"/>
          </w:tcPr>
          <w:p>
            <w:pPr>
              <w:spacing w:after="0"/>
              <w:rPr>
                <w:sz w:val="24"/>
                <w:szCs w:val="24"/>
                <w:color w:val="auto"/>
              </w:rPr>
            </w:pPr>
          </w:p>
        </w:tc>
      </w:tr>
      <w:tr>
        <w:trPr>
          <w:trHeight w:val="796"/>
        </w:trPr>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4"/>
              </w:rPr>
              <w:t>/s/</w:t>
            </w:r>
          </w:p>
        </w:tc>
        <w:tc>
          <w:tcPr>
            <w:tcW w:w="3360" w:type="dxa"/>
            <w:vAlign w:val="bottom"/>
          </w:tcPr>
          <w:p>
            <w:pPr>
              <w:jc w:val="center"/>
              <w:ind w:right="1950"/>
              <w:spacing w:after="0"/>
              <w:rPr>
                <w:sz w:val="20"/>
                <w:szCs w:val="20"/>
                <w:color w:val="auto"/>
              </w:rPr>
            </w:pPr>
            <w:r>
              <w:rPr>
                <w:rFonts w:ascii="Arial" w:cs="Arial" w:eastAsia="Arial" w:hAnsi="Arial"/>
                <w:sz w:val="18"/>
                <w:szCs w:val="18"/>
                <w:color w:val="auto"/>
                <w:w w:val="98"/>
              </w:rPr>
              <w:t>Jon Moeller</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4"/>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gridSpan w:val="2"/>
          </w:tcPr>
          <w:p>
            <w:pPr>
              <w:spacing w:after="0"/>
              <w:rPr>
                <w:sz w:val="5"/>
                <w:szCs w:val="5"/>
                <w:color w:val="auto"/>
              </w:rPr>
            </w:pPr>
          </w:p>
        </w:tc>
        <w:tc>
          <w:tcPr>
            <w:tcW w:w="3140" w:type="dxa"/>
            <w:vAlign w:val="bottom"/>
          </w:tcPr>
          <w:p>
            <w:pPr>
              <w:spacing w:after="0"/>
              <w:rPr>
                <w:sz w:val="5"/>
                <w:szCs w:val="5"/>
                <w:color w:val="auto"/>
              </w:rPr>
            </w:pPr>
          </w:p>
        </w:tc>
      </w:tr>
      <w:tr>
        <w:trPr>
          <w:trHeight w:val="294"/>
        </w:trPr>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2"/>
          </w:tcPr>
          <w:p>
            <w:pPr>
              <w:jc w:val="center"/>
              <w:ind w:right="2090"/>
              <w:spacing w:after="0"/>
              <w:rPr>
                <w:sz w:val="20"/>
                <w:szCs w:val="20"/>
                <w:color w:val="auto"/>
              </w:rPr>
            </w:pPr>
            <w:r>
              <w:rPr>
                <w:rFonts w:ascii="Arial" w:cs="Arial" w:eastAsia="Arial" w:hAnsi="Arial"/>
                <w:sz w:val="18"/>
                <w:szCs w:val="18"/>
                <w:color w:val="auto"/>
              </w:rPr>
              <w:t>JON MOELLER</w:t>
            </w:r>
          </w:p>
        </w:tc>
        <w:tc>
          <w:tcPr>
            <w:tcW w:w="3140" w:type="dxa"/>
            <w:vAlign w:val="bottom"/>
          </w:tcPr>
          <w:p>
            <w:pPr>
              <w:spacing w:after="0"/>
              <w:rPr>
                <w:sz w:val="24"/>
                <w:szCs w:val="24"/>
                <w:color w:val="auto"/>
              </w:rPr>
            </w:pPr>
          </w:p>
        </w:tc>
      </w:tr>
      <w:tr>
        <w:trPr>
          <w:trHeight w:val="797"/>
        </w:trPr>
        <w:tc>
          <w:tcPr>
            <w:tcW w:w="2180" w:type="dxa"/>
            <w:vAlign w:val="bottom"/>
            <w:gridSpan w:val="2"/>
          </w:tcPr>
          <w:p>
            <w:pPr>
              <w:ind w:left="1880"/>
              <w:spacing w:after="0"/>
              <w:rPr>
                <w:sz w:val="20"/>
                <w:szCs w:val="20"/>
                <w:color w:val="auto"/>
              </w:rPr>
            </w:pPr>
            <w:r>
              <w:rPr>
                <w:rFonts w:ascii="Arial" w:cs="Arial" w:eastAsia="Arial" w:hAnsi="Arial"/>
                <w:sz w:val="18"/>
                <w:szCs w:val="18"/>
                <w:color w:val="auto"/>
              </w:rPr>
              <w:t>/s/</w:t>
            </w:r>
          </w:p>
        </w:tc>
        <w:tc>
          <w:tcPr>
            <w:tcW w:w="3620" w:type="dxa"/>
            <w:vAlign w:val="bottom"/>
            <w:gridSpan w:val="2"/>
          </w:tcPr>
          <w:p>
            <w:pPr>
              <w:jc w:val="center"/>
              <w:ind w:right="1690"/>
              <w:spacing w:after="0"/>
              <w:rPr>
                <w:sz w:val="20"/>
                <w:szCs w:val="20"/>
                <w:color w:val="auto"/>
              </w:rPr>
            </w:pPr>
            <w:r>
              <w:rPr>
                <w:rFonts w:ascii="Arial" w:cs="Arial" w:eastAsia="Arial" w:hAnsi="Arial"/>
                <w:sz w:val="18"/>
                <w:szCs w:val="18"/>
                <w:color w:val="auto"/>
                <w:w w:val="99"/>
              </w:rPr>
              <w:t>Gabrielle Sulzberger</w:t>
            </w:r>
          </w:p>
        </w:tc>
        <w:tc>
          <w:tcPr>
            <w:tcW w:w="3140" w:type="dxa"/>
            <w:vAlign w:val="bottom"/>
          </w:tcPr>
          <w:p>
            <w:pPr>
              <w:ind w:left="2520"/>
              <w:spacing w:after="0"/>
              <w:rPr>
                <w:sz w:val="20"/>
                <w:szCs w:val="20"/>
                <w:color w:val="auto"/>
              </w:rPr>
            </w:pPr>
            <w:r>
              <w:rPr>
                <w:rFonts w:ascii="Arial" w:cs="Arial" w:eastAsia="Arial" w:hAnsi="Arial"/>
                <w:sz w:val="18"/>
                <w:szCs w:val="18"/>
                <w:color w:val="auto"/>
                <w:w w:val="95"/>
              </w:rPr>
              <w:t>Director</w:t>
            </w:r>
          </w:p>
        </w:tc>
      </w:tr>
      <w:tr>
        <w:trPr>
          <w:trHeight w:val="63"/>
        </w:trPr>
        <w:tc>
          <w:tcPr>
            <w:tcW w:w="5800" w:type="dxa"/>
            <w:vAlign w:val="bottom"/>
            <w:tcBorders>
              <w:bottom w:val="single" w:sz="8" w:color="auto"/>
            </w:tcBorders>
            <w:gridSpan w:val="4"/>
          </w:tcPr>
          <w:p>
            <w:pPr>
              <w:spacing w:after="0"/>
              <w:rPr>
                <w:sz w:val="5"/>
                <w:szCs w:val="5"/>
                <w:color w:val="auto"/>
              </w:rPr>
            </w:pPr>
          </w:p>
        </w:tc>
        <w:tc>
          <w:tcPr>
            <w:tcW w:w="3140" w:type="dxa"/>
            <w:vAlign w:val="bottom"/>
          </w:tcPr>
          <w:p>
            <w:pPr>
              <w:spacing w:after="0"/>
              <w:rPr>
                <w:sz w:val="5"/>
                <w:szCs w:val="5"/>
                <w:color w:val="auto"/>
              </w:rPr>
            </w:pPr>
          </w:p>
        </w:tc>
      </w:tr>
      <w:tr>
        <w:trPr>
          <w:trHeight w:val="295"/>
        </w:trPr>
        <w:tc>
          <w:tcPr>
            <w:tcW w:w="5800" w:type="dxa"/>
            <w:vAlign w:val="bottom"/>
            <w:gridSpan w:val="4"/>
          </w:tcPr>
          <w:p>
            <w:pPr>
              <w:jc w:val="center"/>
              <w:spacing w:after="0"/>
              <w:rPr>
                <w:sz w:val="20"/>
                <w:szCs w:val="20"/>
                <w:color w:val="auto"/>
              </w:rPr>
            </w:pPr>
            <w:r>
              <w:rPr>
                <w:rFonts w:ascii="Arial" w:cs="Arial" w:eastAsia="Arial" w:hAnsi="Arial"/>
                <w:sz w:val="18"/>
                <w:szCs w:val="18"/>
                <w:color w:val="auto"/>
              </w:rPr>
              <w:t>GABRIELLE SULZBERGER</w:t>
            </w:r>
          </w:p>
        </w:tc>
        <w:tc>
          <w:tcPr>
            <w:tcW w:w="3140" w:type="dxa"/>
            <w:vAlign w:val="bottom"/>
          </w:tcPr>
          <w:p>
            <w:pPr>
              <w:spacing w:after="0"/>
              <w:rPr>
                <w:sz w:val="24"/>
                <w:szCs w:val="24"/>
                <w:color w:val="auto"/>
              </w:rPr>
            </w:pPr>
          </w:p>
        </w:tc>
      </w:tr>
    </w:tbl>
    <w:p>
      <w:pPr>
        <w:sectPr>
          <w:pgSz w:w="11900" w:h="16838" w:orient="portrait"/>
          <w:cols w:equalWidth="0" w:num="1">
            <w:col w:w="10139"/>
          </w:cols>
          <w:pgMar w:left="320" w:top="1440" w:right="1440" w:bottom="1023" w:gutter="0" w:footer="0" w:header="0"/>
        </w:sectPr>
      </w:pPr>
    </w:p>
    <w:bookmarkStart w:id="205" w:name="page206"/>
    <w:bookmarkEnd w:id="20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90" w:lineRule="exact"/>
        <w:rPr>
          <w:sz w:val="20"/>
          <w:szCs w:val="20"/>
          <w:color w:val="auto"/>
        </w:rPr>
      </w:pPr>
    </w:p>
    <w:p>
      <w:pPr>
        <w:ind w:left="640" w:hanging="308"/>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68" w:lineRule="auto"/>
        <w:tabs>
          <w:tab w:leader="none" w:pos="6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hanging="328"/>
        <w:spacing w:after="0" w:line="268" w:lineRule="auto"/>
        <w:tabs>
          <w:tab w:leader="none" w:pos="6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hanging="320"/>
        <w:spacing w:after="0" w:line="268" w:lineRule="auto"/>
        <w:tabs>
          <w:tab w:leader="none" w:pos="128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520" w:hanging="320"/>
        <w:spacing w:after="0" w:line="291" w:lineRule="auto"/>
        <w:tabs>
          <w:tab w:leader="none" w:pos="1288"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280" w:hanging="320"/>
        <w:spacing w:after="0" w:line="268" w:lineRule="auto"/>
        <w:tabs>
          <w:tab w:leader="none" w:pos="129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40" w:hanging="320"/>
        <w:spacing w:after="0" w:line="268" w:lineRule="auto"/>
        <w:tabs>
          <w:tab w:leader="none" w:pos="128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60" w:hanging="320"/>
        <w:spacing w:after="0" w:line="287" w:lineRule="auto"/>
        <w:tabs>
          <w:tab w:leader="none" w:pos="128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2026</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Ricks</w:t>
            </w:r>
          </w:p>
        </w:tc>
      </w:tr>
      <w:tr>
        <w:trPr>
          <w:trHeight w:val="218"/>
        </w:trPr>
        <w:tc>
          <w:tcPr>
            <w:tcW w:w="60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David Ricks</w:t>
            </w:r>
          </w:p>
        </w:tc>
      </w:tr>
      <w:tr>
        <w:trPr>
          <w:trHeight w:val="239"/>
        </w:trPr>
        <w:tc>
          <w:tcPr>
            <w:tcW w:w="6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890" w:right="3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EXHIBIT 31.2 Rule 13a-14(a) Certification of Lucas Montarce,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Lucas Montarce, Executive Vice President and Chief Financial Officer, certify that:</w:t>
      </w:r>
    </w:p>
    <w:p>
      <w:pPr>
        <w:spacing w:after="0" w:line="90" w:lineRule="exact"/>
        <w:rPr>
          <w:sz w:val="20"/>
          <w:szCs w:val="20"/>
          <w:color w:val="auto"/>
        </w:rPr>
      </w:pPr>
    </w:p>
    <w:p>
      <w:pPr>
        <w:ind w:left="640" w:hanging="308"/>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68" w:lineRule="auto"/>
        <w:tabs>
          <w:tab w:leader="none" w:pos="6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hanging="328"/>
        <w:spacing w:after="0" w:line="268" w:lineRule="auto"/>
        <w:tabs>
          <w:tab w:leader="none" w:pos="6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hanging="320"/>
        <w:spacing w:after="0" w:line="268" w:lineRule="auto"/>
        <w:tabs>
          <w:tab w:leader="none" w:pos="12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520" w:hanging="320"/>
        <w:spacing w:after="0" w:line="291" w:lineRule="auto"/>
        <w:tabs>
          <w:tab w:leader="none" w:pos="1288"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280" w:hanging="320"/>
        <w:spacing w:after="0" w:line="268" w:lineRule="auto"/>
        <w:tabs>
          <w:tab w:leader="none" w:pos="129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40" w:hanging="320"/>
        <w:spacing w:after="0" w:line="268" w:lineRule="auto"/>
        <w:tabs>
          <w:tab w:leader="none" w:pos="12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60" w:hanging="320"/>
        <w:spacing w:after="0" w:line="287" w:lineRule="auto"/>
        <w:tabs>
          <w:tab w:leader="none" w:pos="12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2026</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Lucas Montarce</w:t>
            </w:r>
          </w:p>
        </w:tc>
      </w:tr>
      <w:tr>
        <w:trPr>
          <w:trHeight w:val="218"/>
        </w:trPr>
        <w:tc>
          <w:tcPr>
            <w:tcW w:w="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Lucas Montarce</w:t>
            </w:r>
          </w:p>
        </w:tc>
      </w:tr>
      <w:tr>
        <w:trPr>
          <w:trHeight w:val="239"/>
        </w:trPr>
        <w:tc>
          <w:tcPr>
            <w:tcW w:w="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890" w:right="3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Annual Report on Form 10-K for the year ended December 31, 2025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Date: February 12, 2026</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David Ricks</w:t>
            </w:r>
          </w:p>
        </w:tc>
      </w:tr>
      <w:tr>
        <w:trPr>
          <w:trHeight w:val="218"/>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David Ricks</w:t>
            </w:r>
          </w:p>
        </w:tc>
      </w:tr>
      <w:tr>
        <w:trPr>
          <w:trHeight w:val="239"/>
        </w:trPr>
        <w:tc>
          <w:tcPr>
            <w:tcW w:w="508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Chair, President, and Chief Executive Officer</w:t>
            </w:r>
          </w:p>
        </w:tc>
      </w:tr>
      <w:tr>
        <w:trPr>
          <w:trHeight w:val="630"/>
        </w:trPr>
        <w:tc>
          <w:tcPr>
            <w:tcW w:w="5080" w:type="dxa"/>
            <w:vAlign w:val="bottom"/>
          </w:tcPr>
          <w:p>
            <w:pPr>
              <w:spacing w:after="0"/>
              <w:rPr>
                <w:sz w:val="20"/>
                <w:szCs w:val="20"/>
                <w:color w:val="auto"/>
              </w:rPr>
            </w:pPr>
            <w:r>
              <w:rPr>
                <w:rFonts w:ascii="Arial" w:cs="Arial" w:eastAsia="Arial" w:hAnsi="Arial"/>
                <w:sz w:val="18"/>
                <w:szCs w:val="18"/>
                <w:color w:val="auto"/>
              </w:rPr>
              <w:t>Date: February 12, 2026</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Lucas Montarce</w:t>
            </w:r>
          </w:p>
        </w:tc>
      </w:tr>
      <w:tr>
        <w:trPr>
          <w:trHeight w:val="218"/>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Lucas Montarce</w:t>
            </w:r>
          </w:p>
        </w:tc>
      </w:tr>
      <w:tr>
        <w:trPr>
          <w:trHeight w:val="181"/>
        </w:trPr>
        <w:tc>
          <w:tcPr>
            <w:tcW w:w="5080" w:type="dxa"/>
            <w:vAlign w:val="bottom"/>
          </w:tcPr>
          <w:p>
            <w:pPr>
              <w:spacing w:after="0"/>
              <w:rPr>
                <w:sz w:val="15"/>
                <w:szCs w:val="15"/>
                <w:color w:val="auto"/>
              </w:rPr>
            </w:pPr>
          </w:p>
        </w:tc>
        <w:tc>
          <w:tcPr>
            <w:tcW w:w="5900" w:type="dxa"/>
            <w:vAlign w:val="bottom"/>
          </w:tcPr>
          <w:p>
            <w:pPr>
              <w:ind w:left="160"/>
              <w:spacing w:after="0" w:line="181" w:lineRule="exact"/>
              <w:rPr>
                <w:sz w:val="20"/>
                <w:szCs w:val="20"/>
                <w:color w:val="auto"/>
              </w:rPr>
            </w:pPr>
            <w:r>
              <w:rPr>
                <w:rFonts w:ascii="Arial" w:cs="Arial" w:eastAsia="Arial" w:hAnsi="Arial"/>
                <w:sz w:val="18"/>
                <w:szCs w:val="18"/>
                <w:color w:val="auto"/>
              </w:rPr>
              <w:t>Executive Vice President and</w:t>
            </w:r>
          </w:p>
        </w:tc>
      </w:tr>
      <w:tr>
        <w:trPr>
          <w:trHeight w:val="239"/>
        </w:trPr>
        <w:tc>
          <w:tcPr>
            <w:tcW w:w="508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lvl w:ilvl="1">
      <w:lvlJc w:val="left"/>
      <w:lvlText w:val="•"/>
      <w:numFmt w:val="bullet"/>
      <w:start w:val="1"/>
    </w:lvl>
  </w:abstractNum>
  <w:abstractNum w:abstractNumId="7">
    <w:nsid w:val="2DF6D648"/>
    <w:multiLevelType w:val="hybridMultilevel"/>
    <w:lvl w:ilvl="0">
      <w:lvlJc w:val="left"/>
      <w:lvlText w:val="(%1)"/>
      <w:numFmt w:val="lowerRoman"/>
      <w:start w:val="5"/>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1)"/>
      <w:numFmt w:val="decimal"/>
      <w:start w:val="1"/>
    </w:lvl>
  </w:abstractNum>
  <w:abstractNum w:abstractNumId="10">
    <w:nsid w:val="39EE015C"/>
    <w:multiLevelType w:val="hybridMultilevel"/>
    <w:lvl w:ilvl="0">
      <w:lvlJc w:val="left"/>
      <w:lvlText w:val="(%1)"/>
      <w:numFmt w:val="decimal"/>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1)"/>
      <w:numFmt w:val="decimal"/>
      <w:start w:val="1"/>
    </w:lvl>
  </w:abstractNum>
  <w:abstractNum w:abstractNumId="16">
    <w:nsid w:val="7F01579B"/>
    <w:multiLevelType w:val="hybridMultilevel"/>
    <w:lvl w:ilvl="0">
      <w:lvlJc w:val="left"/>
      <w:lvlText w:val="(%1)"/>
      <w:numFmt w:val="decimal"/>
      <w:start w:val="1"/>
    </w:lvl>
  </w:abstractNum>
  <w:abstractNum w:abstractNumId="17">
    <w:nsid w:val="49DA307D"/>
    <w:multiLevelType w:val="hybridMultilevel"/>
    <w:lvl w:ilvl="0">
      <w:lvlJc w:val="left"/>
      <w:lvlText w:val="(%1)"/>
      <w:numFmt w:val="decimal"/>
      <w:start w:val="1"/>
    </w:lvl>
  </w:abstractNum>
  <w:abstractNum w:abstractNumId="18">
    <w:nsid w:val="7055A5F5"/>
    <w:multiLevelType w:val="hybridMultilevel"/>
    <w:lvl w:ilvl="0">
      <w:lvlJc w:val="left"/>
      <w:lvlText w:val="(%1)"/>
      <w:numFmt w:val="decimal"/>
      <w:start w:val="1"/>
    </w:lvl>
  </w:abstractNum>
  <w:abstractNum w:abstractNumId="19">
    <w:nsid w:val="5FB8370B"/>
    <w:multiLevelType w:val="hybridMultilevel"/>
    <w:lvl w:ilvl="0">
      <w:lvlJc w:val="left"/>
      <w:lvlText w:val="(%1)"/>
      <w:numFmt w:val="decimal"/>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1)"/>
      <w:numFmt w:val="decimal"/>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1)"/>
      <w:numFmt w:val="decimal"/>
      <w:start w:val="1"/>
    </w:lvl>
  </w:abstractNum>
  <w:abstractNum w:abstractNumId="25">
    <w:nsid w:val="6FC75AF8"/>
    <w:multiLevelType w:val="hybridMultilevel"/>
    <w:lvl w:ilvl="0">
      <w:lvlJc w:val="left"/>
      <w:lvlText w:val="(%1)"/>
      <w:numFmt w:val="decimal"/>
      <w:start w:val="1"/>
    </w:lvl>
  </w:abstractNum>
  <w:abstractNum w:abstractNumId="26">
    <w:nsid w:val="6A5F7029"/>
    <w:multiLevelType w:val="hybridMultilevel"/>
    <w:lvl w:ilvl="0">
      <w:lvlJc w:val="left"/>
      <w:lvlText w:val="(%1)"/>
      <w:numFmt w:val="decimal"/>
      <w:start w:val="1"/>
    </w:lvl>
  </w:abstractNum>
  <w:abstractNum w:abstractNumId="27">
    <w:nsid w:val="7D5E18F8"/>
    <w:multiLevelType w:val="hybridMultilevel"/>
    <w:lvl w:ilvl="0">
      <w:lvlJc w:val="left"/>
      <w:lvlText w:val="(%1)"/>
      <w:numFmt w:val="decimal"/>
      <w:start w:val="1"/>
    </w:lvl>
  </w:abstractNum>
  <w:abstractNum w:abstractNumId="28">
    <w:nsid w:val="5F3534A4"/>
    <w:multiLevelType w:val="hybridMultilevel"/>
    <w:lvl w:ilvl="0">
      <w:lvlJc w:val="left"/>
      <w:lvlText w:val="(%1)"/>
      <w:numFmt w:val="decimal"/>
      <w:start w:val="1"/>
    </w:lvl>
  </w:abstractNum>
  <w:abstractNum w:abstractNumId="29">
    <w:nsid w:val="73A1821B"/>
    <w:multiLevelType w:val="hybridMultilevel"/>
    <w:lvl w:ilvl="0">
      <w:lvlJc w:val="left"/>
      <w:lvlText w:val="(%1)"/>
      <w:numFmt w:val="decimal"/>
      <w:start w:val="1"/>
    </w:lvl>
  </w:abstractNum>
  <w:abstractNum w:abstractNumId="30">
    <w:nsid w:val="7DE67713"/>
    <w:multiLevelType w:val="hybridMultilevel"/>
    <w:lvl w:ilvl="0">
      <w:lvlJc w:val="left"/>
      <w:lvlText w:val="(%1)"/>
      <w:numFmt w:val="decimal"/>
      <w:start w:val="1"/>
    </w:lvl>
  </w:abstractNum>
  <w:abstractNum w:abstractNumId="31">
    <w:nsid w:val="555C55B5"/>
    <w:multiLevelType w:val="hybridMultilevel"/>
    <w:lvl w:ilvl="0">
      <w:lvlJc w:val="left"/>
      <w:lvlText w:val="(%1)"/>
      <w:numFmt w:val="decimal"/>
      <w:start w:val="1"/>
    </w:lvl>
  </w:abstractNum>
  <w:abstractNum w:abstractNumId="32">
    <w:nsid w:val="3FA62ACA"/>
    <w:multiLevelType w:val="hybridMultilevel"/>
    <w:lvl w:ilvl="0">
      <w:lvlJc w:val="left"/>
      <w:lvlText w:val="(%1)"/>
      <w:numFmt w:val="decimal"/>
      <w:start w:val="1"/>
    </w:lvl>
  </w:abstractNum>
  <w:abstractNum w:abstractNumId="33">
    <w:nsid w:val="14FCE74E"/>
    <w:multiLevelType w:val="hybridMultilevel"/>
    <w:lvl w:ilvl="0">
      <w:lvlJc w:val="left"/>
      <w:lvlText w:val="(%1)"/>
      <w:numFmt w:val="decimal"/>
      <w:start w:val="1"/>
    </w:lvl>
  </w:abstractNum>
  <w:abstractNum w:abstractNumId="34">
    <w:nsid w:val="6A3DD3E8"/>
    <w:multiLevelType w:val="hybridMultilevel"/>
    <w:lvl w:ilvl="0">
      <w:lvlJc w:val="left"/>
      <w:lvlText w:val="(%1)"/>
      <w:numFmt w:val="decimal"/>
      <w:start w:val="1"/>
    </w:lvl>
  </w:abstractNum>
  <w:abstractNum w:abstractNumId="35">
    <w:nsid w:val="71C91298"/>
    <w:multiLevelType w:val="hybridMultilevel"/>
    <w:lvl w:ilvl="0">
      <w:lvlJc w:val="left"/>
      <w:lvlText w:val="(%1)"/>
      <w:numFmt w:val="lowerLetter"/>
      <w:start w:val="3"/>
    </w:lvl>
  </w:abstractNum>
  <w:abstractNum w:abstractNumId="36">
    <w:nsid w:val="9DAF632"/>
    <w:multiLevelType w:val="hybridMultilevel"/>
    <w:lvl w:ilvl="0">
      <w:lvlJc w:val="left"/>
      <w:lvlText w:val="(%1)"/>
      <w:numFmt w:val="decimal"/>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1)"/>
      <w:numFmt w:val="decimal"/>
      <w:start w:val="1"/>
    </w:lvl>
  </w:abstractNum>
  <w:abstractNum w:abstractNumId="39">
    <w:nsid w:val="5092CA79"/>
    <w:multiLevelType w:val="hybridMultilevel"/>
    <w:lvl w:ilvl="0">
      <w:lvlJc w:val="left"/>
      <w:lvlText w:val="%1."/>
      <w:numFmt w:val="lowerLetter"/>
      <w:start w:val="1"/>
    </w:lvl>
  </w:abstractNum>
  <w:abstractNum w:abstractNumId="40">
    <w:nsid w:val="1D545C4D"/>
    <w:multiLevelType w:val="hybridMultilevel"/>
    <w:lvl w:ilvl="0">
      <w:lvlJc w:val="left"/>
      <w:lvlText w:val="%1."/>
      <w:numFmt w:val="lowerLetter"/>
      <w:start w:val="1"/>
    </w:lvl>
  </w:abstractNum>
  <w:abstractNum w:abstractNumId="41">
    <w:nsid w:val="59ADEA3D"/>
    <w:multiLevelType w:val="hybridMultilevel"/>
    <w:lvl w:ilvl="0">
      <w:lvlJc w:val="left"/>
      <w:lvlText w:val="(%1)"/>
      <w:numFmt w:val="upperLetter"/>
      <w:start w:val="5"/>
    </w:lvl>
  </w:abstractNum>
  <w:abstractNum w:abstractNumId="42">
    <w:nsid w:val="288F1A34"/>
    <w:multiLevelType w:val="hybridMultilevel"/>
    <w:lvl w:ilvl="0">
      <w:lvlJc w:val="left"/>
      <w:lvlText w:val="%1."/>
      <w:numFmt w:val="lowerLetter"/>
      <w:start w:val="2"/>
    </w:lvl>
    <w:lvl w:ilvl="1">
      <w:lvlJc w:val="left"/>
      <w:lvlText w:val="%2."/>
      <w:numFmt w:val="lowerRoman"/>
      <w:start w:val="1"/>
    </w:lvl>
  </w:abstractNum>
  <w:abstractNum w:abstractNumId="43">
    <w:nsid w:val="2A155DBC"/>
    <w:multiLevelType w:val="hybridMultilevel"/>
    <w:lvl w:ilvl="0">
      <w:lvlJc w:val="left"/>
      <w:lvlText w:val="%1."/>
      <w:numFmt w:val="lowerLetter"/>
      <w:start w:val="3"/>
    </w:lvl>
  </w:abstractNum>
  <w:abstractNum w:abstractNumId="44">
    <w:nsid w:val="1D9F6E5F"/>
    <w:multiLevelType w:val="hybridMultilevel"/>
    <w:lvl w:ilvl="0">
      <w:lvlJc w:val="left"/>
      <w:lvlText w:val="%1."/>
      <w:numFmt w:val="lowerLetter"/>
      <w:start w:val="1"/>
    </w:lvl>
  </w:abstractNum>
  <w:abstractNum w:abstractNumId="45">
    <w:nsid w:val="97E1B4E"/>
    <w:multiLevelType w:val="hybridMultilevel"/>
    <w:lvl w:ilvl="0">
      <w:lvlJc w:val="left"/>
      <w:lvlText w:val="%1."/>
      <w:numFmt w:val="lowerRoman"/>
      <w:start w:val="1"/>
    </w:lvl>
  </w:abstractNum>
  <w:abstractNum w:abstractNumId="46">
    <w:nsid w:val="51088277"/>
    <w:multiLevelType w:val="hybridMultilevel"/>
    <w:lvl w:ilvl="0">
      <w:lvlJc w:val="left"/>
      <w:lvlText w:val="%1."/>
      <w:numFmt w:val="lowerLetter"/>
      <w:start w:val="4"/>
    </w:lvl>
  </w:abstractNum>
  <w:abstractNum w:abstractNumId="47">
    <w:nsid w:val="1CA0C5FA"/>
    <w:multiLevelType w:val="hybridMultilevel"/>
    <w:lvl w:ilvl="0">
      <w:lvlJc w:val="left"/>
      <w:lvlText w:val="%1."/>
      <w:numFmt w:val="lowerLetter"/>
      <w:start w:val="1"/>
    </w:lvl>
  </w:abstractNum>
  <w:abstractNum w:abstractNumId="48">
    <w:nsid w:val="53584BCB"/>
    <w:multiLevelType w:val="hybridMultilevel"/>
    <w:lvl w:ilvl="0">
      <w:lvlJc w:val="left"/>
      <w:lvlText w:val="%1."/>
      <w:numFmt w:val="lowerLetter"/>
      <w:start w:val="4"/>
    </w:lvl>
  </w:abstractNum>
  <w:abstractNum w:abstractNumId="49">
    <w:nsid w:val="415E286C"/>
    <w:multiLevelType w:val="hybridMultilevel"/>
    <w:lvl w:ilvl="0">
      <w:lvlJc w:val="left"/>
      <w:lvlText w:val="%1."/>
      <w:numFmt w:val="lowerLetter"/>
      <w:start w:val="1"/>
    </w:lvl>
  </w:abstractNum>
  <w:abstractNum w:abstractNumId="50">
    <w:nsid w:val="7C58FD05"/>
    <w:multiLevelType w:val="hybridMultilevel"/>
    <w:lvl w:ilvl="0">
      <w:lvlJc w:val="left"/>
      <w:lvlText w:val="%1."/>
      <w:numFmt w:val="lowerLetter"/>
      <w:start w:val="1"/>
    </w:lvl>
  </w:abstractNum>
  <w:abstractNum w:abstractNumId="51">
    <w:nsid w:val="23D86AA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52">
    <w:nsid w:val="45E6D486"/>
    <w:multiLevelType w:val="hybridMultilevel"/>
    <w:lvl w:ilvl="0">
      <w:lvlJc w:val="left"/>
      <w:lvlText w:val="%1"/>
      <w:numFmt w:val="lowerLetter"/>
      <w:start w:val="1"/>
    </w:lvl>
    <w:lvl w:ilvl="1">
      <w:lvlJc w:val="left"/>
      <w:lvlText w:val="%2."/>
      <w:numFmt w:val="lowerRoman"/>
      <w:start w:val="2"/>
    </w:lvl>
  </w:abstractNum>
  <w:abstractNum w:abstractNumId="53">
    <w:nsid w:val="5C10FE21"/>
    <w:multiLevelType w:val="hybridMultilevel"/>
    <w:lvl w:ilvl="0">
      <w:lvlJc w:val="left"/>
      <w:lvlText w:val="%1."/>
      <w:numFmt w:val="lowerLetter"/>
      <w:start w:val="3"/>
    </w:lvl>
    <w:lvl w:ilvl="1">
      <w:lvlJc w:val="left"/>
      <w:lvlText w:val="%2"/>
      <w:numFmt w:val="lowerRoman"/>
      <w:start w:val="1"/>
    </w:lvl>
  </w:abstractNum>
  <w:abstractNum w:abstractNumId="54">
    <w:nsid w:val="E7FFA2B"/>
    <w:multiLevelType w:val="hybridMultilevel"/>
    <w:lvl w:ilvl="0">
      <w:lvlJc w:val="left"/>
      <w:lvlText w:val="%1."/>
      <w:numFmt w:val="lowerLetter"/>
      <w:start w:val="5"/>
    </w:lvl>
  </w:abstractNum>
  <w:abstractNum w:abstractNumId="55">
    <w:nsid w:val="3C5991AA"/>
    <w:multiLevelType w:val="hybridMultilevel"/>
    <w:lvl w:ilvl="0">
      <w:lvlJc w:val="left"/>
      <w:lvlText w:val="%1."/>
      <w:numFmt w:val="lowerLetter"/>
      <w:start w:val="1"/>
    </w:lvl>
  </w:abstractNum>
  <w:abstractNum w:abstractNumId="56">
    <w:nsid w:val="4BD8591A"/>
    <w:multiLevelType w:val="hybridMultilevel"/>
    <w:lvl w:ilvl="0">
      <w:lvlJc w:val="left"/>
      <w:lvlText w:val="%1."/>
      <w:numFmt w:val="lowerLetter"/>
      <w:start w:val="10"/>
    </w:lvl>
  </w:abstractNum>
  <w:abstractNum w:abstractNumId="57">
    <w:nsid w:val="78DF6A55"/>
    <w:multiLevelType w:val="hybridMultilevel"/>
    <w:lvl w:ilvl="0">
      <w:lvlJc w:val="left"/>
      <w:lvlText w:val="%1."/>
      <w:numFmt w:val="lowerLetter"/>
      <w:start w:val="1"/>
    </w:lvl>
  </w:abstractNum>
  <w:abstractNum w:abstractNumId="58">
    <w:nsid w:val="39B7AAA2"/>
    <w:multiLevelType w:val="hybridMultilevel"/>
    <w:lvl w:ilvl="0">
      <w:lvlJc w:val="left"/>
      <w:lvlText w:val="%1."/>
      <w:numFmt w:val="lowerLetter"/>
      <w:start w:val="6"/>
    </w:lvl>
  </w:abstractNum>
  <w:abstractNum w:abstractNumId="59">
    <w:nsid w:val="2B0D8DBE"/>
    <w:multiLevelType w:val="hybridMultilevel"/>
    <w:lvl w:ilvl="0">
      <w:lvlJc w:val="left"/>
      <w:lvlText w:val="1"/>
      <w:numFmt w:val="bullet"/>
      <w:start w:val="1"/>
    </w:lvl>
  </w:abstractNum>
  <w:abstractNum w:abstractNumId="60">
    <w:nsid w:val="6C80EC70"/>
    <w:multiLevelType w:val="hybridMultilevel"/>
    <w:lvl w:ilvl="0">
      <w:lvlJc w:val="left"/>
      <w:lvlText w:val="%1."/>
      <w:numFmt w:val="lowerLetter"/>
      <w:start w:val="1"/>
    </w:lvl>
    <w:lvl w:ilvl="1">
      <w:lvlJc w:val="left"/>
      <w:lvlText w:val="(%2)"/>
      <w:numFmt w:val="lowerRoman"/>
      <w:start w:val="1"/>
    </w:lvl>
  </w:abstractNum>
  <w:abstractNum w:abstractNumId="61">
    <w:nsid w:val="379E21B5"/>
    <w:multiLevelType w:val="hybridMultilevel"/>
    <w:lvl w:ilvl="0">
      <w:lvlJc w:val="left"/>
      <w:lvlText w:val="%1"/>
      <w:numFmt w:val="lowerLetter"/>
      <w:start w:val="1"/>
    </w:lvl>
    <w:lvl w:ilvl="1">
      <w:lvlJc w:val="left"/>
      <w:lvlText w:val="(%2)"/>
      <w:numFmt w:val="lowerRoman"/>
      <w:start w:val="3"/>
    </w:lvl>
  </w:abstractNum>
  <w:abstractNum w:abstractNumId="62">
    <w:nsid w:val="69E373"/>
    <w:multiLevelType w:val="hybridMultilevel"/>
    <w:lvl w:ilvl="0">
      <w:lvlJc w:val="left"/>
      <w:lvlText w:val="%1."/>
      <w:numFmt w:val="lowerLetter"/>
      <w:start w:val="2"/>
    </w:lvl>
    <w:lvl w:ilvl="1">
      <w:lvlJc w:val="left"/>
      <w:lvlText w:val="%2"/>
      <w:numFmt w:val="lowerRoman"/>
      <w:start w:val="1"/>
    </w:lvl>
  </w:abstractNum>
  <w:abstractNum w:abstractNumId="63">
    <w:nsid w:val="2C27173B"/>
    <w:multiLevelType w:val="hybridMultilevel"/>
    <w:lvl w:ilvl="0">
      <w:lvlJc w:val="left"/>
      <w:lvlText w:val="(%1)"/>
      <w:numFmt w:val="lowerRoman"/>
      <w:start w:val="2"/>
    </w:lvl>
  </w:abstractNum>
  <w:abstractNum w:abstractNumId="64">
    <w:nsid w:val="4C9B0904"/>
    <w:multiLevelType w:val="hybridMultilevel"/>
    <w:lvl w:ilvl="0">
      <w:lvlJc w:val="left"/>
      <w:lvlText w:val="%1."/>
      <w:numFmt w:val="lowerLetter"/>
      <w:start w:val="3"/>
    </w:lvl>
  </w:abstractNum>
  <w:abstractNum w:abstractNumId="65">
    <w:nsid w:val="6AA7B75C"/>
    <w:multiLevelType w:val="hybridMultilevel"/>
    <w:lvl w:ilvl="0">
      <w:lvlJc w:val="left"/>
      <w:lvlText w:val="%1."/>
      <w:numFmt w:val="lowerLetter"/>
      <w:start w:val="4"/>
    </w:lvl>
  </w:abstractNum>
  <w:abstractNum w:abstractNumId="66">
    <w:nsid w:val="1DF029D3"/>
    <w:multiLevelType w:val="hybridMultilevel"/>
    <w:lvl w:ilvl="0">
      <w:lvlJc w:val="left"/>
      <w:lvlText w:val="%1."/>
      <w:numFmt w:val="lowerLetter"/>
      <w:start w:val="5"/>
    </w:lvl>
  </w:abstractNum>
  <w:abstractNum w:abstractNumId="67">
    <w:nsid w:val="5675FF36"/>
    <w:multiLevelType w:val="hybridMultilevel"/>
    <w:lvl w:ilvl="0">
      <w:lvlJc w:val="left"/>
      <w:lvlText w:val="%1."/>
      <w:numFmt w:val="lowerLetter"/>
      <w:start w:val="7"/>
    </w:lvl>
  </w:abstractNum>
  <w:abstractNum w:abstractNumId="68">
    <w:nsid w:val="3DD1509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69">
    <w:nsid w:val="3DB012B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0">
    <w:nsid w:val="2708C9AF"/>
    <w:multiLevelType w:val="hybridMultilevel"/>
    <w:lvl w:ilvl="0">
      <w:lvlJc w:val="left"/>
      <w:lvlText w:val="%1."/>
      <w:numFmt w:val="upperLetter"/>
      <w:start w:val="4"/>
    </w:lvl>
    <w:lvl w:ilvl="1">
      <w:lvlJc w:val="left"/>
      <w:lvlText w:val="%2."/>
      <w:numFmt w:val="decimal"/>
      <w:start w:val="1"/>
    </w:lvl>
  </w:abstractNum>
  <w:abstractNum w:abstractNumId="71">
    <w:nsid w:val="5B25ACE2"/>
    <w:multiLevelType w:val="hybridMultilevel"/>
    <w:lvl w:ilvl="0">
      <w:lvlJc w:val="left"/>
      <w:lvlText w:val="%1."/>
      <w:numFmt w:val="lowerLetter"/>
      <w:start w:val="10"/>
    </w:lvl>
    <w:lvl w:ilvl="1">
      <w:lvlJc w:val="left"/>
      <w:lvlText w:val="(%2)"/>
      <w:numFmt w:val="lowerRoman"/>
      <w:start w:val="1"/>
    </w:lvl>
  </w:abstractNum>
  <w:abstractNum w:abstractNumId="72">
    <w:nsid w:val="175DFCF0"/>
    <w:multiLevelType w:val="hybridMultilevel"/>
    <w:lvl w:ilvl="0">
      <w:lvlJc w:val="left"/>
      <w:lvlText w:val="(%1)"/>
      <w:numFmt w:val="lowerRoman"/>
      <w:start w:val="4"/>
    </w:lvl>
  </w:abstractNum>
  <w:abstractNum w:abstractNumId="73">
    <w:nsid w:val="4F97E3E4"/>
    <w:multiLevelType w:val="hybridMultilevel"/>
    <w:lvl w:ilvl="0">
      <w:lvlJc w:val="left"/>
      <w:lvlText w:val="%1."/>
      <w:numFmt w:val="lowerLetter"/>
      <w:start w:val="1"/>
    </w:lvl>
  </w:abstractNum>
  <w:abstractNum w:abstractNumId="74">
    <w:nsid w:val="53B0A9E"/>
    <w:multiLevelType w:val="hybridMultilevel"/>
    <w:lvl w:ilvl="0">
      <w:lvlJc w:val="left"/>
      <w:lvlText w:val="%1."/>
      <w:numFmt w:val="lowerLetter"/>
      <w:start w:val="1"/>
    </w:lvl>
  </w:abstractNum>
  <w:abstractNum w:abstractNumId="75">
    <w:nsid w:val="34FD6B4F"/>
    <w:multiLevelType w:val="hybridMultilevel"/>
    <w:lvl w:ilvl="0">
      <w:lvlJc w:val="left"/>
      <w:lvlText w:val="%1."/>
      <w:numFmt w:val="lowerLetter"/>
      <w:start w:val="5"/>
    </w:lvl>
  </w:abstractNum>
  <w:abstractNum w:abstractNumId="76">
    <w:nsid w:val="5915FF32"/>
    <w:multiLevelType w:val="hybridMultilevel"/>
    <w:lvl w:ilvl="0">
      <w:lvlJc w:val="left"/>
      <w:lvlText w:val="%1."/>
      <w:numFmt w:val="lowerLetter"/>
      <w:start w:val="1"/>
    </w:lvl>
    <w:lvl w:ilvl="1">
      <w:lvlJc w:val="left"/>
      <w:lvlText w:val="%2."/>
      <w:numFmt w:val="lowerRoman"/>
      <w:start w:val="1"/>
    </w:lvl>
  </w:abstractNum>
  <w:abstractNum w:abstractNumId="77">
    <w:nsid w:val="56438D15"/>
    <w:multiLevelType w:val="hybridMultilevel"/>
    <w:lvl w:ilvl="0">
      <w:lvlJc w:val="left"/>
      <w:lvlText w:val="%1."/>
      <w:numFmt w:val="lowerLetter"/>
      <w:start w:val="3"/>
    </w:lvl>
  </w:abstractNum>
  <w:abstractNum w:abstractNumId="78">
    <w:nsid w:val="519E3149"/>
    <w:multiLevelType w:val="hybridMultilevel"/>
    <w:lvl w:ilvl="0">
      <w:lvlJc w:val="left"/>
      <w:lvlText w:val="%1."/>
      <w:numFmt w:val="lowerLetter"/>
      <w:start w:val="1"/>
    </w:lvl>
  </w:abstractNum>
  <w:abstractNum w:abstractNumId="79">
    <w:nsid w:val="2C6E4AFD"/>
    <w:multiLevelType w:val="hybridMultilevel"/>
    <w:lvl w:ilvl="0">
      <w:lvlJc w:val="left"/>
      <w:lvlText w:val="%1."/>
      <w:numFmt w:val="lowerLetter"/>
      <w:start w:val="4"/>
    </w:lvl>
  </w:abstractNum>
  <w:abstractNum w:abstractNumId="80">
    <w:nsid w:val="17A1B582"/>
    <w:multiLevelType w:val="hybridMultilevel"/>
    <w:lvl w:ilvl="0">
      <w:lvlJc w:val="left"/>
      <w:lvlText w:val="%1."/>
      <w:numFmt w:val="lowerLetter"/>
      <w:start w:val="6"/>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upperLetter"/>
      <w:start w:val="5"/>
    </w:lvl>
  </w:abstractNum>
  <w:abstractNum w:abstractNumId="83">
    <w:nsid w:val="5D888A08"/>
    <w:multiLevelType w:val="hybridMultilevel"/>
    <w:lvl w:ilvl="0">
      <w:lvlJc w:val="left"/>
      <w:lvlText w:val="%1."/>
      <w:numFmt w:val="lowerLetter"/>
      <w:start w:val="2"/>
    </w:lvl>
    <w:lvl w:ilvl="1">
      <w:lvlJc w:val="left"/>
      <w:lvlText w:val="%2."/>
      <w:numFmt w:val="lowerRoman"/>
      <w:start w:val="1"/>
    </w:lvl>
  </w:abstractNum>
  <w:abstractNum w:abstractNumId="84">
    <w:nsid w:val="2A082C70"/>
    <w:multiLevelType w:val="hybridMultilevel"/>
    <w:lvl w:ilvl="0">
      <w:lvlJc w:val="left"/>
      <w:lvlText w:val="%1."/>
      <w:numFmt w:val="lowerLetter"/>
      <w:start w:val="3"/>
    </w:lvl>
  </w:abstractNum>
  <w:abstractNum w:abstractNumId="85">
    <w:nsid w:val="5EC6AFD4"/>
    <w:multiLevelType w:val="hybridMultilevel"/>
    <w:lvl w:ilvl="0">
      <w:lvlJc w:val="left"/>
      <w:lvlText w:val="%1."/>
      <w:numFmt w:val="lowerLetter"/>
      <w:start w:val="1"/>
    </w:lvl>
  </w:abstractNum>
  <w:abstractNum w:abstractNumId="86">
    <w:nsid w:val="19E21BB2"/>
    <w:multiLevelType w:val="hybridMultilevel"/>
    <w:lvl w:ilvl="0">
      <w:lvlJc w:val="left"/>
      <w:lvlText w:val="%1."/>
      <w:numFmt w:val="lowerLetter"/>
      <w:start w:val="2"/>
    </w:lvl>
    <w:lvl w:ilvl="1">
      <w:lvlJc w:val="left"/>
      <w:lvlText w:val="%2."/>
      <w:numFmt w:val="lowerRoman"/>
      <w:start w:val="1"/>
    </w:lvl>
  </w:abstractNum>
  <w:abstractNum w:abstractNumId="87">
    <w:nsid w:val="75E0858A"/>
    <w:multiLevelType w:val="hybridMultilevel"/>
    <w:lvl w:ilvl="0">
      <w:lvlJc w:val="left"/>
      <w:lvlText w:val="%1."/>
      <w:numFmt w:val="lowerLetter"/>
      <w:start w:val="4"/>
    </w:lvl>
  </w:abstractNum>
  <w:abstractNum w:abstractNumId="88">
    <w:nsid w:val="57A61A29"/>
    <w:multiLevelType w:val="hybridMultilevel"/>
    <w:lvl w:ilvl="0">
      <w:lvlJc w:val="left"/>
      <w:lvlText w:val="%1."/>
      <w:numFmt w:val="lowerLetter"/>
      <w:start w:val="1"/>
    </w:lvl>
  </w:abstractNum>
  <w:abstractNum w:abstractNumId="89">
    <w:nsid w:val="5399C654"/>
    <w:multiLevelType w:val="hybridMultilevel"/>
    <w:lvl w:ilvl="0">
      <w:lvlJc w:val="left"/>
      <w:lvlText w:val="%1."/>
      <w:numFmt w:val="lowerLetter"/>
      <w:start w:val="6"/>
    </w:lvl>
  </w:abstractNum>
  <w:abstractNum w:abstractNumId="90">
    <w:nsid w:val="20EE1348"/>
    <w:multiLevelType w:val="hybridMultilevel"/>
    <w:lvl w:ilvl="0">
      <w:lvlJc w:val="left"/>
      <w:lvlText w:val="%1."/>
      <w:numFmt w:val="lowerLetter"/>
      <w:start w:val="1"/>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3">
    <w:nsid w:val="2157F6BC"/>
    <w:multiLevelType w:val="hybridMultilevel"/>
    <w:lvl w:ilvl="0">
      <w:lvlJc w:val="left"/>
      <w:lvlText w:val="%1"/>
      <w:numFmt w:val="lowerLetter"/>
      <w:start w:val="1"/>
    </w:lvl>
    <w:lvl w:ilvl="1">
      <w:lvlJc w:val="left"/>
      <w:lvlText w:val="%2."/>
      <w:numFmt w:val="lowerLetter"/>
      <w:start w:val="61"/>
    </w:lvl>
  </w:abstractNum>
  <w:abstractNum w:abstractNumId="94">
    <w:nsid w:val="704E1DD5"/>
    <w:multiLevelType w:val="hybridMultilevel"/>
    <w:lvl w:ilvl="0">
      <w:lvlJc w:val="left"/>
      <w:lvlText w:val="%1."/>
      <w:numFmt w:val="lowerLetter"/>
      <w:start w:val="3"/>
    </w:lvl>
    <w:lvl w:ilvl="1">
      <w:lvlJc w:val="left"/>
      <w:lvlText w:val="%2"/>
      <w:numFmt w:val="lowerLetter"/>
      <w:start w:val="1"/>
    </w:lvl>
  </w:abstractNum>
  <w:abstractNum w:abstractNumId="95">
    <w:nsid w:val="57D2F10E"/>
    <w:multiLevelType w:val="hybridMultilevel"/>
    <w:lvl w:ilvl="0">
      <w:lvlJc w:val="left"/>
      <w:lvlText w:val="%1."/>
      <w:numFmt w:val="lowerLetter"/>
      <w:start w:val="1"/>
    </w:lvl>
  </w:abstractNum>
  <w:abstractNum w:abstractNumId="96">
    <w:nsid w:val="BFFAE18"/>
    <w:multiLevelType w:val="hybridMultilevel"/>
    <w:lvl w:ilvl="0">
      <w:lvlJc w:val="left"/>
      <w:lvlText w:val="%1."/>
      <w:numFmt w:val="lowerLetter"/>
      <w:start w:val="12"/>
    </w:lvl>
  </w:abstractNum>
  <w:abstractNum w:abstractNumId="97">
    <w:nsid w:val="E3E47A8"/>
    <w:multiLevelType w:val="hybridMultilevel"/>
    <w:lvl w:ilvl="0">
      <w:lvlJc w:val="left"/>
      <w:lvlText w:val="%1."/>
      <w:numFmt w:val="lowerLetter"/>
      <w:start w:val="1"/>
    </w:lvl>
  </w:abstractNum>
  <w:abstractNum w:abstractNumId="98">
    <w:nsid w:val="2E48F044"/>
    <w:multiLevelType w:val="hybridMultilevel"/>
    <w:lvl w:ilvl="0">
      <w:lvlJc w:val="left"/>
      <w:lvlText w:val="%1."/>
      <w:numFmt w:val="lowerLetter"/>
      <w:start w:val="2"/>
    </w:lvl>
  </w:abstractNum>
  <w:abstractNum w:abstractNumId="99">
    <w:nsid w:val="49D0FEAC"/>
    <w:multiLevelType w:val="hybridMultilevel"/>
    <w:lvl w:ilvl="0">
      <w:lvlJc w:val="left"/>
      <w:lvlText w:val="%1."/>
      <w:numFmt w:val="lowerLetter"/>
      <w:start w:val="7"/>
    </w:lvl>
  </w:abstractNum>
  <w:abstractNum w:abstractNumId="100">
    <w:nsid w:val="4BEE5A5B"/>
    <w:multiLevelType w:val="hybridMultilevel"/>
    <w:lvl w:ilvl="0">
      <w:lvlJc w:val="left"/>
      <w:lvlText w:val="%1."/>
      <w:numFmt w:val="lowerLetter"/>
      <w:start w:val="1"/>
    </w:lvl>
    <w:lvl w:ilvl="1">
      <w:lvlJc w:val="left"/>
      <w:lvlText w:val="%2."/>
      <w:numFmt w:val="lowerLetter"/>
      <w:start w:val="9"/>
    </w:lvl>
  </w:abstractNum>
  <w:abstractNum w:abstractNumId="101">
    <w:nsid w:val="5551B9F3"/>
    <w:multiLevelType w:val="hybridMultilevel"/>
    <w:lvl w:ilvl="0">
      <w:lvlJc w:val="left"/>
      <w:lvlText w:val="1"/>
      <w:numFmt w:val="bullet"/>
      <w:start w:val="1"/>
    </w:lvl>
  </w:abstractNum>
  <w:abstractNum w:abstractNumId="102">
    <w:nsid w:val="24F6AB8E"/>
    <w:multiLevelType w:val="hybridMultilevel"/>
    <w:lvl w:ilvl="0">
      <w:lvlJc w:val="left"/>
      <w:lvlText w:val="%1."/>
      <w:numFmt w:val="lowerRoman"/>
      <w:start w:val="2"/>
    </w:lvl>
  </w:abstractNum>
  <w:abstractNum w:abstractNumId="103">
    <w:nsid w:val="634C574C"/>
    <w:multiLevelType w:val="hybridMultilevel"/>
    <w:lvl w:ilvl="0">
      <w:lvlJc w:val="left"/>
      <w:lvlText w:val="%1."/>
      <w:numFmt w:val="lowerLetter"/>
      <w:start w:val="2"/>
    </w:lvl>
  </w:abstractNum>
  <w:abstractNum w:abstractNumId="104">
    <w:nsid w:val="24E99DD7"/>
    <w:multiLevelType w:val="hybridMultilevel"/>
    <w:lvl w:ilvl="0">
      <w:lvlJc w:val="left"/>
      <w:lvlText w:val="%1."/>
      <w:numFmt w:val="lowerLetter"/>
      <w:start w:val="3"/>
    </w:lvl>
  </w:abstractNum>
  <w:abstractNum w:abstractNumId="105">
    <w:nsid w:val="2A31B62D"/>
    <w:multiLevelType w:val="hybridMultilevel"/>
    <w:lvl w:ilvl="0">
      <w:lvlJc w:val="left"/>
      <w:lvlText w:val="%1."/>
      <w:numFmt w:val="lowerLetter"/>
      <w:start w:val="4"/>
    </w:lvl>
  </w:abstractNum>
  <w:abstractNum w:abstractNumId="106">
    <w:nsid w:val="1849C29B"/>
    <w:multiLevelType w:val="hybridMultilevel"/>
    <w:lvl w:ilvl="0">
      <w:lvlJc w:val="left"/>
      <w:lvlText w:val="%1."/>
      <w:numFmt w:val="lowerLetter"/>
      <w:start w:val="5"/>
    </w:lvl>
  </w:abstractNum>
  <w:abstractNum w:abstractNumId="107">
    <w:nsid w:val="7DFF9D09"/>
    <w:multiLevelType w:val="hybridMultilevel"/>
    <w:lvl w:ilvl="0">
      <w:lvlJc w:val="left"/>
      <w:lvlText w:val="%1."/>
      <w:numFmt w:val="lowerLetter"/>
      <w:start w:val="6"/>
    </w:lvl>
  </w:abstractNum>
  <w:abstractNum w:abstractNumId="108">
    <w:nsid w:val="754342"/>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09">
    <w:nsid w:val="69E7F3E5"/>
    <w:multiLevelType w:val="hybridMultilevel"/>
    <w:lvl w:ilvl="0">
      <w:lvlJc w:val="left"/>
      <w:lvlText w:val="%1"/>
      <w:numFmt w:val="lowerRoman"/>
      <w:start w:val="1"/>
    </w:lvl>
    <w:lvl w:ilvl="1">
      <w:lvlJc w:val="left"/>
      <w:lvlText w:val="%2."/>
      <w:numFmt w:val="upperLetter"/>
      <w:start w:val="2"/>
    </w:lvl>
  </w:abstractNum>
  <w:abstractNum w:abstractNumId="110">
    <w:nsid w:val="2A6DE806"/>
    <w:multiLevelType w:val="hybridMultilevel"/>
    <w:lvl w:ilvl="0">
      <w:lvlJc w:val="left"/>
      <w:lvlText w:val="%1."/>
      <w:numFmt w:val="lowerRoman"/>
      <w:start w:val="2"/>
    </w:lvl>
    <w:lvl w:ilvl="1">
      <w:lvlJc w:val="left"/>
      <w:lvlText w:val="%2."/>
      <w:numFmt w:val="upperLetter"/>
      <w:start w:val="1"/>
    </w:lvl>
  </w:abstractNum>
  <w:abstractNum w:abstractNumId="111">
    <w:nsid w:val="1816F8C4"/>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112">
    <w:nsid w:val="37DF2233"/>
    <w:multiLevelType w:val="hybridMultilevel"/>
    <w:lvl w:ilvl="0">
      <w:lvlJc w:val="left"/>
      <w:lvlText w:val="%1."/>
      <w:numFmt w:val="upperLetter"/>
      <w:start w:val="4"/>
    </w:lvl>
    <w:lvl w:ilvl="1">
      <w:lvlJc w:val="left"/>
      <w:lvlText w:val="%2"/>
      <w:numFmt w:val="upperLetter"/>
      <w:start w:val="1"/>
    </w:lvl>
    <w:lvl w:ilvl="2">
      <w:lvlJc w:val="left"/>
      <w:lvlText w:val="%3."/>
      <w:numFmt w:val="decimal"/>
      <w:start w:val="1"/>
    </w:lvl>
  </w:abstractNum>
  <w:abstractNum w:abstractNumId="113">
    <w:nsid w:val="7AB49D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lvl w:ilvl="3">
      <w:lvlJc w:val="left"/>
      <w:lvlText w:val="%4."/>
      <w:numFmt w:val="decimal"/>
      <w:start w:val="1"/>
    </w:lvl>
  </w:abstractNum>
  <w:abstractNum w:abstractNumId="114">
    <w:nsid w:val="759F82CD"/>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15">
    <w:nsid w:val="61E74EA3"/>
    <w:multiLevelType w:val="hybridMultilevel"/>
    <w:lvl w:ilvl="0">
      <w:lvlJc w:val="left"/>
      <w:lvlText w:val="%1."/>
      <w:numFmt w:val="lowerRoman"/>
      <w:start w:val="3"/>
    </w:lvl>
  </w:abstractNum>
  <w:abstractNum w:abstractNumId="116">
    <w:nsid w:val="597B4D84"/>
    <w:multiLevelType w:val="hybridMultilevel"/>
    <w:lvl w:ilvl="0">
      <w:lvlJc w:val="left"/>
      <w:lvlText w:val="%1."/>
      <w:numFmt w:val="lowerRoman"/>
      <w:start w:val="7"/>
    </w:lvl>
  </w:abstractNum>
  <w:abstractNum w:abstractNumId="117">
    <w:nsid w:val="F819E7F"/>
    <w:multiLevelType w:val="hybridMultilevel"/>
    <w:lvl w:ilvl="0">
      <w:lvlJc w:val="left"/>
      <w:lvlText w:val="%1."/>
      <w:numFmt w:val="lowerLetter"/>
      <w:start w:val="1"/>
    </w:lvl>
  </w:abstractNum>
  <w:abstractNum w:abstractNumId="118">
    <w:nsid w:val="57C7D42D"/>
    <w:multiLevelType w:val="hybridMultilevel"/>
    <w:lvl w:ilvl="0">
      <w:lvlJc w:val="left"/>
      <w:lvlText w:val="%1."/>
      <w:numFmt w:val="lowerLetter"/>
      <w:start w:val="1"/>
    </w:lvl>
  </w:abstractNum>
  <w:abstractNum w:abstractNumId="119">
    <w:nsid w:val="312167AD"/>
    <w:multiLevelType w:val="hybridMultilevel"/>
    <w:lvl w:ilvl="0">
      <w:lvlJc w:val="left"/>
      <w:lvlText w:val="%1."/>
      <w:numFmt w:val="lowerLetter"/>
      <w:start w:val="3"/>
    </w:lvl>
  </w:abstractNum>
  <w:abstractNum w:abstractNumId="120">
    <w:nsid w:val="631B64D4"/>
    <w:multiLevelType w:val="hybridMultilevel"/>
    <w:lvl w:ilvl="0">
      <w:lvlJc w:val="left"/>
      <w:lvlText w:val="%1."/>
      <w:numFmt w:val="lowerLetter"/>
      <w:start w:val="5"/>
    </w:lvl>
  </w:abstractNum>
  <w:abstractNum w:abstractNumId="121">
    <w:nsid w:val="78B5E776"/>
    <w:multiLevelType w:val="hybridMultilevel"/>
    <w:lvl w:ilvl="0">
      <w:lvlJc w:val="left"/>
      <w:lvlText w:val="%1."/>
      <w:numFmt w:val="lowerLetter"/>
      <w:start w:val="1"/>
    </w:lvl>
    <w:lvl w:ilvl="1">
      <w:lvlJc w:val="left"/>
      <w:lvlText w:val="%2."/>
      <w:numFmt w:val="lowerLetter"/>
      <w:start w:val="9"/>
    </w:lvl>
  </w:abstractNum>
  <w:abstractNum w:abstractNumId="122">
    <w:nsid w:val="75486E47"/>
    <w:multiLevelType w:val="hybridMultilevel"/>
    <w:lvl w:ilvl="0">
      <w:lvlJc w:val="left"/>
      <w:lvlText w:val="%1."/>
      <w:numFmt w:val="lowerRoman"/>
      <w:start w:val="2"/>
    </w:lvl>
  </w:abstractNum>
  <w:abstractNum w:abstractNumId="123">
    <w:nsid w:val="6E534CDE"/>
    <w:multiLevelType w:val="hybridMultilevel"/>
    <w:lvl w:ilvl="0">
      <w:lvlJc w:val="left"/>
      <w:lvlText w:val="%1."/>
      <w:numFmt w:val="lowerLetter"/>
      <w:start w:val="3"/>
    </w:lvl>
  </w:abstractNum>
  <w:abstractNum w:abstractNumId="124">
    <w:nsid w:val="1A0DD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5">
    <w:nsid w:val="65968C1C"/>
    <w:multiLevelType w:val="hybridMultilevel"/>
    <w:lvl w:ilvl="0">
      <w:lvlJc w:val="left"/>
      <w:lvlText w:val="%1."/>
      <w:numFmt w:val="lowerLetter"/>
      <w:start w:val="2"/>
    </w:lvl>
  </w:abstractNum>
  <w:abstractNum w:abstractNumId="126">
    <w:nsid w:val="46263DEC"/>
    <w:multiLevelType w:val="hybridMultilevel"/>
    <w:lvl w:ilvl="0">
      <w:lvlJc w:val="left"/>
      <w:lvlText w:val="%1."/>
      <w:numFmt w:val="lowerRoman"/>
      <w:start w:val="1"/>
    </w:lvl>
  </w:abstractNum>
  <w:abstractNum w:abstractNumId="127">
    <w:nsid w:val="260D8C4A"/>
    <w:multiLevelType w:val="hybridMultilevel"/>
    <w:lvl w:ilvl="0">
      <w:lvlJc w:val="left"/>
      <w:lvlText w:val="%1."/>
      <w:numFmt w:val="lowerLetter"/>
      <w:start w:val="3"/>
    </w:lvl>
  </w:abstractNum>
  <w:abstractNum w:abstractNumId="128">
    <w:nsid w:val="73D4D3C4"/>
    <w:multiLevelType w:val="hybridMultilevel"/>
    <w:lvl w:ilvl="0">
      <w:lvlJc w:val="left"/>
      <w:lvlText w:val="%1."/>
      <w:numFmt w:val="lowerLetter"/>
      <w:start w:val="1"/>
    </w:lvl>
  </w:abstractNum>
  <w:abstractNum w:abstractNumId="129">
    <w:nsid w:val="746F2E30"/>
    <w:multiLevelType w:val="hybridMultilevel"/>
    <w:lvl w:ilvl="0">
      <w:lvlJc w:val="left"/>
      <w:lvlText w:val="%1."/>
      <w:numFmt w:val="lowerLetter"/>
      <w:start w:val="2"/>
    </w:lvl>
  </w:abstractNum>
  <w:abstractNum w:abstractNumId="130">
    <w:nsid w:val="6FDE8AF6"/>
    <w:multiLevelType w:val="hybridMultilevel"/>
    <w:lvl w:ilvl="0">
      <w:lvlJc w:val="left"/>
      <w:lvlText w:val="%1."/>
      <w:numFmt w:val="lowerLetter"/>
      <w:start w:val="5"/>
    </w:lvl>
  </w:abstractNum>
  <w:abstractNum w:abstractNumId="131">
    <w:nsid w:val="3FC32E20"/>
    <w:multiLevelType w:val="hybridMultilevel"/>
    <w:lvl w:ilvl="0">
      <w:lvlJc w:val="left"/>
      <w:lvlText w:val="%1."/>
      <w:numFmt w:val="lowerLetter"/>
      <w:start w:val="1"/>
    </w:lvl>
  </w:abstractNum>
  <w:abstractNum w:abstractNumId="132">
    <w:nsid w:val="49C0E823"/>
    <w:multiLevelType w:val="hybridMultilevel"/>
    <w:lvl w:ilvl="0">
      <w:lvlJc w:val="left"/>
      <w:lvlText w:val="%1."/>
      <w:numFmt w:val="lowerLetter"/>
      <w:start w:val="3"/>
    </w:lvl>
  </w:abstractNum>
  <w:abstractNum w:abstractNumId="133">
    <w:nsid w:val="14D53685"/>
    <w:multiLevelType w:val="hybridMultilevel"/>
    <w:lvl w:ilvl="0">
      <w:lvlJc w:val="left"/>
      <w:lvlText w:val="%1."/>
      <w:numFmt w:val="lowerLetter"/>
      <w:start w:val="1"/>
    </w:lvl>
  </w:abstractNum>
  <w:abstractNum w:abstractNumId="134">
    <w:nsid w:val="230F856C"/>
    <w:multiLevelType w:val="hybridMultilevel"/>
    <w:lvl w:ilvl="0">
      <w:lvlJc w:val="left"/>
      <w:lvlText w:val="%1."/>
      <w:numFmt w:val="lowerLetter"/>
      <w:start w:val="1"/>
    </w:lvl>
  </w:abstractNum>
  <w:abstractNum w:abstractNumId="135">
    <w:nsid w:val="6EAA85FB"/>
    <w:multiLevelType w:val="hybridMultilevel"/>
    <w:lvl w:ilvl="0">
      <w:lvlJc w:val="left"/>
      <w:lvlText w:val="%1."/>
      <w:numFmt w:val="lowerLetter"/>
      <w:start w:val="2"/>
    </w:lvl>
  </w:abstractNum>
  <w:abstractNum w:abstractNumId="136">
    <w:nsid w:val="3F06ECB2"/>
    <w:multiLevelType w:val="hybridMultilevel"/>
    <w:lvl w:ilvl="0">
      <w:lvlJc w:val="left"/>
      <w:lvlText w:val="%1."/>
      <w:numFmt w:val="lowerLetter"/>
      <w:start w:val="1"/>
    </w:lvl>
    <w:lvl w:ilvl="1">
      <w:lvlJc w:val="left"/>
      <w:lvlText w:val="%2."/>
      <w:numFmt w:val="lowerLetter"/>
      <w:start w:val="9"/>
    </w:lvl>
  </w:abstractNum>
  <w:abstractNum w:abstractNumId="137">
    <w:nsid w:val="3B594807"/>
    <w:multiLevelType w:val="hybridMultilevel"/>
    <w:lvl w:ilvl="0">
      <w:lvlJc w:val="left"/>
      <w:lvlText w:val="%1"/>
      <w:numFmt w:val="lowerLetter"/>
      <w:start w:val="1"/>
    </w:lvl>
    <w:lvl w:ilvl="1">
      <w:lvlJc w:val="left"/>
      <w:lvlText w:val="%2."/>
      <w:numFmt w:val="lowerRoman"/>
      <w:start w:val="2"/>
    </w:lvl>
  </w:abstractNum>
  <w:abstractNum w:abstractNumId="138">
    <w:nsid w:val="6CAA2304"/>
    <w:multiLevelType w:val="hybridMultilevel"/>
    <w:lvl w:ilvl="0">
      <w:lvlJc w:val="left"/>
      <w:lvlText w:val="%1."/>
      <w:numFmt w:val="lowerLetter"/>
      <w:start w:val="3"/>
    </w:lvl>
    <w:lvl w:ilvl="1">
      <w:lvlJc w:val="left"/>
      <w:lvlText w:val="%2"/>
      <w:numFmt w:val="lowerRoman"/>
      <w:start w:val="1"/>
    </w:lvl>
  </w:abstractNum>
  <w:abstractNum w:abstractNumId="139">
    <w:nsid w:val="3F7C2FF4"/>
    <w:multiLevelType w:val="hybridMultilevel"/>
    <w:lvl w:ilvl="0">
      <w:lvlJc w:val="left"/>
      <w:lvlText w:val="%1."/>
      <w:numFmt w:val="lowerLetter"/>
      <w:start w:val="5"/>
    </w:lvl>
  </w:abstractNum>
  <w:abstractNum w:abstractNumId="140">
    <w:nsid w:val="25413BEC"/>
    <w:multiLevelType w:val="hybridMultilevel"/>
    <w:lvl w:ilvl="0">
      <w:lvlJc w:val="left"/>
      <w:lvlText w:val="%1."/>
      <w:numFmt w:val="lowerLetter"/>
      <w:start w:val="1"/>
    </w:lvl>
  </w:abstractNum>
  <w:abstractNum w:abstractNumId="141">
    <w:nsid w:val="17180B0B"/>
    <w:multiLevelType w:val="hybridMultilevel"/>
    <w:lvl w:ilvl="0">
      <w:lvlJc w:val="left"/>
      <w:lvlText w:val="%1."/>
      <w:numFmt w:val="lowerLetter"/>
      <w:start w:val="8"/>
    </w:lvl>
  </w:abstractNum>
  <w:abstractNum w:abstractNumId="142">
    <w:nsid w:val="579328B9"/>
    <w:multiLevelType w:val="hybridMultilevel"/>
    <w:lvl w:ilvl="0">
      <w:lvlJc w:val="left"/>
      <w:lvlText w:val="%1."/>
      <w:numFmt w:val="lowerLetter"/>
      <w:start w:val="13"/>
    </w:lvl>
  </w:abstractNum>
  <w:abstractNum w:abstractNumId="143">
    <w:nsid w:val="5D205E20"/>
    <w:multiLevelType w:val="hybridMultilevel"/>
    <w:lvl w:ilvl="0">
      <w:lvlJc w:val="left"/>
      <w:lvlText w:val="%1."/>
      <w:numFmt w:val="lowerLetter"/>
      <w:start w:val="1"/>
    </w:lvl>
  </w:abstractNum>
  <w:abstractNum w:abstractNumId="144">
    <w:nsid w:val="11CCA8BA"/>
    <w:multiLevelType w:val="hybridMultilevel"/>
    <w:lvl w:ilvl="0">
      <w:lvlJc w:val="left"/>
      <w:lvlText w:val="%1."/>
      <w:numFmt w:val="lowerLetter"/>
      <w:start w:val="3"/>
    </w:lvl>
  </w:abstractNum>
  <w:abstractNum w:abstractNumId="145">
    <w:nsid w:val="4D32AB86"/>
    <w:multiLevelType w:val="hybridMultilevel"/>
    <w:lvl w:ilvl="0">
      <w:lvlJc w:val="left"/>
      <w:lvlText w:val="%1."/>
      <w:numFmt w:val="lowerLetter"/>
      <w:start w:val="7"/>
    </w:lvl>
  </w:abstractNum>
  <w:abstractNum w:abstractNumId="146">
    <w:nsid w:val="3F07ACC3"/>
    <w:multiLevelType w:val="hybridMultilevel"/>
    <w:lvl w:ilvl="0">
      <w:lvlJc w:val="left"/>
      <w:lvlText w:val="%1."/>
      <w:numFmt w:val="lowerLetter"/>
      <w:start w:val="1"/>
    </w:lvl>
    <w:lvl w:ilvl="1">
      <w:lvlJc w:val="left"/>
      <w:lvlText w:val="%2"/>
      <w:numFmt w:val="lowerLetter"/>
      <w:start w:val="1"/>
    </w:lvl>
  </w:abstractNum>
  <w:abstractNum w:abstractNumId="147">
    <w:nsid w:val="6B47F63E"/>
    <w:multiLevelType w:val="hybridMultilevel"/>
    <w:lvl w:ilvl="0">
      <w:lvlJc w:val="left"/>
      <w:lvlText w:val="1"/>
      <w:numFmt w:val="bullet"/>
      <w:start w:val="1"/>
    </w:lvl>
  </w:abstractNum>
  <w:abstractNum w:abstractNumId="148">
    <w:nsid w:val="5CB44A05"/>
    <w:multiLevelType w:val="hybridMultilevel"/>
    <w:lvl w:ilvl="0">
      <w:lvlJc w:val="left"/>
      <w:lvlText w:val="%1."/>
      <w:numFmt w:val="lowerRoman"/>
      <w:start w:val="2"/>
    </w:lvl>
  </w:abstractNum>
  <w:abstractNum w:abstractNumId="149">
    <w:nsid w:val="16CF80F1"/>
    <w:multiLevelType w:val="hybridMultilevel"/>
    <w:lvl w:ilvl="0">
      <w:lvlJc w:val="left"/>
      <w:lvlText w:val="%1"/>
      <w:numFmt w:val="lowerLetter"/>
      <w:start w:val="1"/>
    </w:lvl>
    <w:lvl w:ilvl="1">
      <w:lvlJc w:val="left"/>
      <w:lvlText w:val="%2."/>
      <w:numFmt w:val="lowerLetter"/>
      <w:start w:val="61"/>
    </w:lvl>
  </w:abstractNum>
  <w:abstractNum w:abstractNumId="150">
    <w:nsid w:val="1C695DEC"/>
    <w:multiLevelType w:val="hybridMultilevel"/>
    <w:lvl w:ilvl="0">
      <w:lvlJc w:val="left"/>
      <w:lvlText w:val="%1."/>
      <w:numFmt w:val="lowerLetter"/>
      <w:start w:val="2"/>
    </w:lvl>
    <w:lvl w:ilvl="1">
      <w:lvlJc w:val="left"/>
      <w:lvlText w:val="%2"/>
      <w:numFmt w:val="lowerLetter"/>
      <w:start w:val="1"/>
    </w:lvl>
  </w:abstractNum>
  <w:abstractNum w:abstractNumId="151">
    <w:nsid w:val="3FCFAED9"/>
    <w:multiLevelType w:val="hybridMultilevel"/>
    <w:lvl w:ilvl="0">
      <w:lvlJc w:val="left"/>
      <w:lvlText w:val="%1."/>
      <w:numFmt w:val="lowerLetter"/>
      <w:start w:val="3"/>
    </w:lvl>
  </w:abstractNum>
  <w:abstractNum w:abstractNumId="152">
    <w:nsid w:val="F856867"/>
    <w:multiLevelType w:val="hybridMultilevel"/>
    <w:lvl w:ilvl="0">
      <w:lvlJc w:val="left"/>
      <w:lvlText w:val="%1."/>
      <w:numFmt w:val="lowerLetter"/>
      <w:start w:val="4"/>
    </w:lvl>
  </w:abstractNum>
  <w:abstractNum w:abstractNumId="153">
    <w:nsid w:val="11B1CC33"/>
    <w:multiLevelType w:val="hybridMultilevel"/>
    <w:lvl w:ilvl="0">
      <w:lvlJc w:val="left"/>
      <w:lvlText w:val="%1."/>
      <w:numFmt w:val="lowerLetter"/>
      <w:start w:val="5"/>
    </w:lvl>
  </w:abstractNum>
  <w:abstractNum w:abstractNumId="154">
    <w:nsid w:val="2E22FBB7"/>
    <w:multiLevelType w:val="hybridMultilevel"/>
    <w:lvl w:ilvl="0">
      <w:lvlJc w:val="left"/>
      <w:lvlText w:val="%1."/>
      <w:numFmt w:val="lowerLetter"/>
      <w:start w:val="7"/>
    </w:lvl>
  </w:abstractNum>
  <w:abstractNum w:abstractNumId="155">
    <w:nsid w:val="29934699"/>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56">
    <w:nsid w:val="77485850"/>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157">
    <w:nsid w:val="744939A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58">
    <w:nsid w:val="4FA0D2E3"/>
    <w:multiLevelType w:val="hybridMultilevel"/>
    <w:lvl w:ilvl="0">
      <w:lvlJc w:val="left"/>
      <w:lvlText w:val="%1"/>
      <w:numFmt w:val="upperLetter"/>
      <w:start w:val="1"/>
    </w:lvl>
    <w:lvl w:ilvl="1">
      <w:lvlJc w:val="left"/>
      <w:lvlText w:val="%2."/>
      <w:numFmt w:val="decimal"/>
      <w:start w:val="2"/>
    </w:lvl>
  </w:abstractNum>
  <w:abstractNum w:abstractNumId="159">
    <w:nsid w:val="6B1D2C14"/>
    <w:multiLevelType w:val="hybridMultilevel"/>
    <w:lvl w:ilvl="0">
      <w:lvlJc w:val="left"/>
      <w:lvlText w:val="%1."/>
      <w:numFmt w:val="upperLetter"/>
      <w:start w:val="4"/>
    </w:lvl>
    <w:lvl w:ilvl="1">
      <w:lvlJc w:val="left"/>
      <w:lvlText w:val="%2."/>
      <w:numFmt w:val="decimal"/>
      <w:start w:val="1"/>
    </w:lvl>
  </w:abstractNum>
  <w:abstractNum w:abstractNumId="160">
    <w:nsid w:val="68B867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lvl w:ilvl="3">
      <w:lvlJc w:val="left"/>
      <w:lvlText w:val="%4."/>
      <w:numFmt w:val="decimal"/>
      <w:start w:val="1"/>
    </w:lvl>
  </w:abstractNum>
  <w:abstractNum w:abstractNumId="161">
    <w:nsid w:val="3F7F5DD9"/>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62">
    <w:nsid w:val="2AE05A34"/>
    <w:multiLevelType w:val="hybridMultilevel"/>
    <w:lvl w:ilvl="0">
      <w:lvlJc w:val="left"/>
      <w:lvlText w:val="(%1)"/>
      <w:numFmt w:val="lowerRoman"/>
      <w:start w:val="3"/>
    </w:lvl>
  </w:abstractNum>
  <w:abstractNum w:abstractNumId="163">
    <w:nsid w:val="32794FF7"/>
    <w:multiLevelType w:val="hybridMultilevel"/>
    <w:lvl w:ilvl="0">
      <w:lvlJc w:val="left"/>
      <w:lvlText w:val="(%1)"/>
      <w:numFmt w:val="lowerRoman"/>
      <w:start w:val="6"/>
    </w:lvl>
  </w:abstractNum>
  <w:abstractNum w:abstractNumId="164">
    <w:nsid w:val="5454945E"/>
    <w:multiLevelType w:val="hybridMultilevel"/>
    <w:lvl w:ilvl="0">
      <w:lvlJc w:val="left"/>
      <w:lvlText w:val="%1."/>
      <w:numFmt w:val="lowerLetter"/>
      <w:start w:val="1"/>
    </w:lvl>
  </w:abstractNum>
  <w:abstractNum w:abstractNumId="165">
    <w:nsid w:val="4DEFDFA0"/>
    <w:multiLevelType w:val="hybridMultilevel"/>
    <w:lvl w:ilvl="0">
      <w:lvlJc w:val="left"/>
      <w:lvlText w:val="%1."/>
      <w:numFmt w:val="lowerLetter"/>
      <w:start w:val="3"/>
    </w:lvl>
  </w:abstractNum>
  <w:abstractNum w:abstractNumId="166">
    <w:nsid w:val="2123D5F2"/>
    <w:multiLevelType w:val="hybridMultilevel"/>
    <w:lvl w:ilvl="0">
      <w:lvlJc w:val="left"/>
      <w:lvlText w:val="%1."/>
      <w:numFmt w:val="lowerLetter"/>
      <w:start w:val="1"/>
    </w:lvl>
  </w:abstractNum>
  <w:abstractNum w:abstractNumId="167">
    <w:nsid w:val="135B8110"/>
    <w:multiLevelType w:val="hybridMultilevel"/>
    <w:lvl w:ilvl="0">
      <w:lvlJc w:val="left"/>
      <w:lvlText w:val="%1."/>
      <w:numFmt w:val="lowerLetter"/>
      <w:start w:val="2"/>
    </w:lvl>
  </w:abstractNum>
  <w:abstractNum w:abstractNumId="168">
    <w:nsid w:val="94927A8"/>
    <w:multiLevelType w:val="hybridMultilevel"/>
    <w:lvl w:ilvl="0">
      <w:lvlJc w:val="left"/>
      <w:lvlText w:val="%1."/>
      <w:numFmt w:val="lowerLetter"/>
      <w:start w:val="5"/>
    </w:lvl>
  </w:abstractNum>
  <w:abstractNum w:abstractNumId="169">
    <w:nsid w:val="DCDF8F6"/>
    <w:multiLevelType w:val="hybridMultilevel"/>
    <w:lvl w:ilvl="0">
      <w:lvlJc w:val="left"/>
      <w:lvlText w:val="%1."/>
      <w:numFmt w:val="lowerLetter"/>
      <w:start w:val="1"/>
    </w:lvl>
    <w:lvl w:ilvl="1">
      <w:lvlJc w:val="left"/>
      <w:lvlText w:val="%2."/>
      <w:numFmt w:val="lowerRoman"/>
      <w:start w:val="1"/>
    </w:lvl>
  </w:abstractNum>
  <w:abstractNum w:abstractNumId="170">
    <w:nsid w:val="52D7B105"/>
    <w:multiLevelType w:val="hybridMultilevel"/>
    <w:lvl w:ilvl="0">
      <w:lvlJc w:val="left"/>
      <w:lvlText w:val="%1."/>
      <w:numFmt w:val="lowerLetter"/>
      <w:start w:val="3"/>
    </w:lvl>
  </w:abstractNum>
  <w:abstractNum w:abstractNumId="171">
    <w:nsid w:val="2E8A6394"/>
    <w:multiLevelType w:val="hybridMultilevel"/>
    <w:lvl w:ilvl="0">
      <w:lvlJc w:val="left"/>
      <w:lvlText w:val="%1."/>
      <w:numFmt w:val="decimal"/>
      <w:start w:val="1"/>
    </w:lvl>
    <w:lvl w:ilvl="1">
      <w:lvlJc w:val="left"/>
      <w:lvlText w:val="%2."/>
      <w:numFmt w:val="lowerLetter"/>
      <w:start w:val="1"/>
    </w:lvl>
  </w:abstractNum>
  <w:abstractNum w:abstractNumId="172">
    <w:nsid w:val="24E604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64" Type="http://schemas.openxmlformats.org/officeDocument/2006/relationships/hyperlink" Target="https://www.sec.gov/Archives/edgar/data/59478/000005947825000067/lly-20241231.htm" TargetMode="External"/><Relationship Id="rId118" Type="http://schemas.openxmlformats.org/officeDocument/2006/relationships/hyperlink" Target="https://www.sec.gov/Archives/edgar/data/59478/000005947822000138/articlesofincorporationlly.htm" TargetMode="External"/><Relationship Id="rId119" Type="http://schemas.openxmlformats.org/officeDocument/2006/relationships/hyperlink" Target="https://www.sec.gov/Archives/edgar/data/59478/000005947822000138/bylaws.htm" TargetMode="External"/><Relationship Id="rId120" Type="http://schemas.openxmlformats.org/officeDocument/2006/relationships/hyperlink" Target="https://www.sec.gov/Archives/edgar/data/59478/000005947813000010/exhibit41-indenturedatedfe.htm" TargetMode="External"/><Relationship Id="rId121" Type="http://schemas.openxmlformats.org/officeDocument/2006/relationships/hyperlink" Target="https://www.sec.gov/Archives/edgar/data/59478/000095015209001897/c49534exv4w2.htm" TargetMode="External"/><Relationship Id="rId122" Type="http://schemas.openxmlformats.org/officeDocument/2006/relationships/hyperlink" Target="https://www.sec.gov/Archives/edgar/data/59478/000005947824000065/lly-20231231x10kexhibit43.htm" TargetMode="External"/><Relationship Id="rId123" Type="http://schemas.openxmlformats.org/officeDocument/2006/relationships/hyperlink" Target="https://www.sec.gov/Archives/edgar/data/59478/000005947820000057/lly-20191231x10kexhibit44.htm" TargetMode="External"/><Relationship Id="rId124" Type="http://schemas.openxmlformats.org/officeDocument/2006/relationships/hyperlink" Target="https://www.sec.gov/Archives/edgar/data/59478/000005947820000057/lly-20191231x10kexhibit45.htm" TargetMode="External"/><Relationship Id="rId125" Type="http://schemas.openxmlformats.org/officeDocument/2006/relationships/hyperlink" Target="https://www.sec.gov/Archives/edgar/data/59478/000005947820000057/lly-20191231x10kexhibit47.htm" TargetMode="External"/><Relationship Id="rId126" Type="http://schemas.openxmlformats.org/officeDocument/2006/relationships/hyperlink" Target="https://www.sec.gov/Archives/edgar/data/59478/000005947822000068/lly-20211231x10kexhibit48.htm" TargetMode="External"/><Relationship Id="rId127" Type="http://schemas.openxmlformats.org/officeDocument/2006/relationships/hyperlink" Target="https://www.sec.gov/Archives/edgar/data/59478/000005947822000068/lly-20211231x10kexhibit49.htm" TargetMode="External"/><Relationship Id="rId130" Type="http://schemas.openxmlformats.org/officeDocument/2006/relationships/hyperlink" Target="https://www.sec.gov/Archives/edgar/data/59478/000005947824000187/lly-06302024x10qxexhibit101.htm" TargetMode="External"/><Relationship Id="rId131" Type="http://schemas.openxmlformats.org/officeDocument/2006/relationships/hyperlink" Target="https://www.sec.gov/Archives/edgar/data/59478/000005947823000082/lly-20221231x10kexhibit102.htm" TargetMode="External"/><Relationship Id="rId132" Type="http://schemas.openxmlformats.org/officeDocument/2006/relationships/hyperlink" Target="https://www.sec.gov/Archives/edgar/data/59478/000005947823000082/lly-20221231x10kexhibit105.htm" TargetMode="External"/><Relationship Id="rId133" Type="http://schemas.openxmlformats.org/officeDocument/2006/relationships/hyperlink" Target="https://www.sec.gov/Archives/edgar/data/59478/000005947825000067/lly-20241231x10kexhibit107.htm" TargetMode="External"/><Relationship Id="rId134" Type="http://schemas.openxmlformats.org/officeDocument/2006/relationships/hyperlink" Target="https://www.sec.gov/Archives/edgar/data/59478/000005947825000067/lly-20241231x10kexhibit108.htm" TargetMode="External"/><Relationship Id="rId135" Type="http://schemas.openxmlformats.org/officeDocument/2006/relationships/hyperlink" Target="https://www.sec.gov/Archives/edgar/data/0000059478/000005947821000083/lly-20201231x10kexhibit1014.htm" TargetMode="External"/><Relationship Id="rId136" Type="http://schemas.openxmlformats.org/officeDocument/2006/relationships/hyperlink" Target="https://www.sec.gov/Archives/edgar/data/59478/000005947824000065/lly-20231231x10kexhibit1010.htm" TargetMode="External"/><Relationship Id="rId137" Type="http://schemas.openxmlformats.org/officeDocument/2006/relationships/hyperlink" Target="https://www.sec.gov/Archives/edgar/data/59478/000005947824000065/lly-20231231x10k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2026-02-12T13:05:35Z</dcterms:created>
  <dcterms:modified xsi:type="dcterms:W3CDTF">2026-02-12T13:05:35Z</dcterms:modified>
</cp:coreProperties>
</file>