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SEC Form 4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jc w:val="both"/>
        <w:ind w:left="280" w:right="2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-148590</wp:posOffset>
            </wp:positionV>
            <wp:extent cx="101600" cy="1016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640" w:type="dxa"/>
            <w:vAlign w:val="bottom"/>
          </w:tcPr>
          <w:p>
            <w:pPr>
              <w:jc w:val="center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7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4889500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3573780</wp:posOffset>
            </wp:positionH>
            <wp:positionV relativeFrom="paragraph">
              <wp:posOffset>-488950</wp:posOffset>
            </wp:positionV>
            <wp:extent cx="50800" cy="502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-2056765</wp:posOffset>
            </wp:positionH>
            <wp:positionV relativeFrom="paragraph">
              <wp:posOffset>10160</wp:posOffset>
            </wp:positionV>
            <wp:extent cx="7023100" cy="3825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382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500" w:space="720"/>
            <w:col w:w="7800"/>
          </w:cols>
          <w:pgMar w:left="440" w:top="203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6"/>
                <w:szCs w:val="16"/>
                <w:color w:val="0000EE"/>
                <w:w w:val="87"/>
              </w:rPr>
            </w:pPr>
            <w:hyperlink r:id="rId12">
              <w:r>
                <w:rPr>
                  <w:rFonts w:ascii="Arial" w:cs="Arial" w:eastAsia="Arial" w:hAnsi="Arial"/>
                  <w:sz w:val="16"/>
                  <w:szCs w:val="16"/>
                  <w:color w:val="0000EE"/>
                  <w:w w:val="87"/>
                </w:rPr>
                <w:t>Norton Johna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ELI LILLY &amp;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LLY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LILLY CORPORATE CENTER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02/01/2022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-7" w:right="1160" w:firstLine="7"/>
        <w:spacing w:after="0" w:line="241" w:lineRule="auto"/>
        <w:tabs>
          <w:tab w:leader="none" w:pos="104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513"/>
        <w:spacing w:after="0"/>
        <w:tabs>
          <w:tab w:leader="none" w:pos="209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10% Owner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13"/>
        <w:spacing w:after="0"/>
        <w:tabs>
          <w:tab w:leader="none" w:pos="492" w:val="left"/>
          <w:tab w:leader="none" w:pos="209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Other (specify below)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jc w:val="center"/>
        <w:ind w:right="4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Senior VP, Global Quality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47"/>
            <w:col w:w="3273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5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6. Individual or Joint/Group Filing (Check Applicable 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INDIANAPOLIS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46285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02/01/2022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2,676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28,140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02/01/2022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1,194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245.39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26,946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128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5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8"/>
                <w:szCs w:val="8"/>
                <w:color w:val="008000"/>
                <w:w w:val="95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partner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lef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2,675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5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8"/>
                <w:szCs w:val="8"/>
                <w:color w:val="008000"/>
                <w:w w:val="95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401(k) -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partner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514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360" w:type="dxa"/>
            <w:vAlign w:val="bottom"/>
            <w:gridSpan w:val="5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 (Instr.  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6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6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9"/>
              </w:rPr>
              <w:t>(A)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02/01/2022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2,676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02/01/2022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99"/>
              </w:rPr>
              <w:t>02/01/2022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2,676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40" w:hanging="110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Reporting person disclaims beneficial ownership of these shares.</w:t>
      </w:r>
    </w:p>
    <w:p>
      <w:pPr>
        <w:spacing w:after="0" w:line="35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10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Each restricted stock unit represents a contingent right to receive one share of Eli Lilly and Company common stock.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00FF"/>
        </w:rPr>
        <w:t>/s/ Jonathan Groff for Johna Norton,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4201160</wp:posOffset>
            </wp:positionH>
            <wp:positionV relativeFrom="paragraph">
              <wp:posOffset>5715</wp:posOffset>
            </wp:positionV>
            <wp:extent cx="120078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pursuant to attached authorization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4201160</wp:posOffset>
            </wp:positionH>
            <wp:positionV relativeFrom="paragraph">
              <wp:posOffset>-3175</wp:posOffset>
            </wp:positionV>
            <wp:extent cx="112204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both"/>
        <w:ind w:left="40" w:right="2700" w:hanging="10"/>
        <w:spacing w:after="0" w:line="345" w:lineRule="auto"/>
        <w:tabs>
          <w:tab w:leader="none" w:pos="14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00FF"/>
        </w:rPr>
        <w:t>02/03/2022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376555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5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500" w:space="320"/>
            <w:col w:w="220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Johna L. Norton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Lilly Corporate Center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Indianapolis, Indiana 46285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Securities and Exchange Commission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Washington, D.C.</w:t>
        <w:tab/>
        <w:t>20549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Authorization Regarding Reporting Forms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320" w:hanging="311"/>
        <w:spacing w:after="0" w:line="48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 hereby authorize and designate the following persons to sign and file with the Commission on my behalf Forms 3, 4, and 5 (including any amen Anat Hakim, Lilly Corporate Center, Indianapolis, Indiana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Erin Conway, Lilly Corporate Center, Indianapolis, Indiana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Jonathan Groff, Lilly Corporate Center, Indianapolis, Indiana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This authorization and designation shall remain in effect until a written revocation is signed by me and provided to the Commission.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Date: August 11, 2021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/s/ Johna L. Norton</w:t>
      </w:r>
    </w:p>
    <w:sectPr>
      <w:pgSz w:w="11900" w:h="16838" w:orient="portrait"/>
      <w:cols w:equalWidth="0" w:num="1">
        <w:col w:w="11080"/>
      </w:cols>
      <w:pgMar w:left="440" w:top="14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02471" TargetMode="External"/><Relationship Id="rId13" Type="http://schemas.openxmlformats.org/officeDocument/2006/relationships/hyperlink" Target="http://www.sec.gov/cgi-bin/browse-edgar?action=getcompany&amp;CIK=00000594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2022-02-03T16:03:05Z</dcterms:created>
  <dcterms:modified xsi:type="dcterms:W3CDTF">2022-02-03T16:03:05Z</dcterms:modified>
</cp:coreProperties>
</file>