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5"/>
          <w:szCs w:val="25"/>
          <w:b w:val="1"/>
          <w:bCs w:val="1"/>
          <w:color w:val="auto"/>
        </w:rPr>
        <w:t>UNITED STATES</w:t>
      </w:r>
    </w:p>
    <w:p>
      <w:pPr>
        <w:spacing w:after="0" w:line="118"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41"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39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24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25"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Securities Exchange Act of 1934</w:t>
      </w:r>
    </w:p>
    <w:p>
      <w:pPr>
        <w:spacing w:after="0" w:line="112" w:lineRule="exact"/>
        <w:rPr>
          <w:sz w:val="24"/>
          <w:szCs w:val="24"/>
          <w:color w:val="auto"/>
        </w:rPr>
      </w:pPr>
    </w:p>
    <w:p>
      <w:pPr>
        <w:jc w:val="center"/>
        <w:ind w:right="-1120"/>
        <w:spacing w:after="0"/>
        <w:tabs>
          <w:tab w:leader="none" w:pos="28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4039870</wp:posOffset>
            </wp:positionH>
            <wp:positionV relativeFrom="paragraph">
              <wp:posOffset>-13335</wp:posOffset>
            </wp:positionV>
            <wp:extent cx="152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240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9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4"/>
          <w:szCs w:val="14"/>
          <w:color w:val="auto"/>
        </w:rPr>
        <w:t>☐</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357" w:lineRule="exact"/>
        <w:rPr>
          <w:sz w:val="24"/>
          <w:szCs w:val="24"/>
          <w:color w:val="auto"/>
        </w:rPr>
      </w:pPr>
    </w:p>
    <w:p>
      <w:pPr>
        <w:ind w:left="580" w:hanging="554"/>
        <w:spacing w:after="0"/>
        <w:tabs>
          <w:tab w:leader="none" w:pos="580" w:val="left"/>
        </w:tabs>
        <w:numPr>
          <w:ilvl w:val="0"/>
          <w:numId w:val="1"/>
        </w:numPr>
        <w:rPr>
          <w:rFonts w:ascii="Wingdings" w:cs="Wingdings" w:eastAsia="Wingdings" w:hAnsi="Wingdings"/>
          <w:sz w:val="25"/>
          <w:szCs w:val="25"/>
          <w:b w:val="1"/>
          <w:bCs w:val="1"/>
          <w:color w:val="auto"/>
          <w:vertAlign w:val="superscript"/>
        </w:rPr>
      </w:pPr>
      <w:r>
        <w:rPr>
          <w:rFonts w:ascii="Arial" w:cs="Arial" w:eastAsia="Arial" w:hAnsi="Arial"/>
          <w:sz w:val="13"/>
          <w:szCs w:val="13"/>
          <w:color w:val="auto"/>
        </w:rPr>
        <w:t>Preliminary Proxy Statement</w:t>
      </w:r>
    </w:p>
    <w:p>
      <w:pPr>
        <w:spacing w:after="0" w:line="74" w:lineRule="exact"/>
        <w:rPr>
          <w:rFonts w:ascii="Wingdings" w:cs="Wingdings" w:eastAsia="Wingdings" w:hAnsi="Wingdings"/>
          <w:sz w:val="25"/>
          <w:szCs w:val="25"/>
          <w:b w:val="1"/>
          <w:bCs w:val="1"/>
          <w:color w:val="auto"/>
          <w:vertAlign w:val="superscript"/>
        </w:rPr>
      </w:pPr>
    </w:p>
    <w:p>
      <w:pPr>
        <w:ind w:left="580" w:hanging="554"/>
        <w:spacing w:after="0" w:line="187" w:lineRule="auto"/>
        <w:tabs>
          <w:tab w:leader="none" w:pos="580" w:val="left"/>
        </w:tabs>
        <w:numPr>
          <w:ilvl w:val="0"/>
          <w:numId w:val="1"/>
        </w:numPr>
        <w:rPr>
          <w:rFonts w:ascii="Wingdings" w:cs="Wingdings" w:eastAsia="Wingdings" w:hAnsi="Wingdings"/>
          <w:sz w:val="21"/>
          <w:szCs w:val="21"/>
          <w:b w:val="1"/>
          <w:bCs w:val="1"/>
          <w:color w:val="auto"/>
          <w:vertAlign w:val="superscript"/>
        </w:rPr>
      </w:pPr>
      <w:r>
        <w:rPr>
          <w:rFonts w:ascii="Arial" w:cs="Arial" w:eastAsia="Arial" w:hAnsi="Arial"/>
          <w:sz w:val="11"/>
          <w:szCs w:val="11"/>
          <w:color w:val="auto"/>
        </w:rPr>
        <w:t>Confidential, for Use of the Commission Only (as permitted by Rule 14a-6(e)(2))</w:t>
      </w:r>
    </w:p>
    <w:p>
      <w:pPr>
        <w:ind w:left="580" w:hanging="554"/>
        <w:spacing w:after="0" w:line="233" w:lineRule="auto"/>
        <w:tabs>
          <w:tab w:leader="none" w:pos="580" w:val="left"/>
        </w:tabs>
        <w:numPr>
          <w:ilvl w:val="0"/>
          <w:numId w:val="2"/>
        </w:numPr>
        <w:rPr>
          <w:rFonts w:ascii="Wingdings" w:cs="Wingdings" w:eastAsia="Wingdings" w:hAnsi="Wingdings"/>
          <w:sz w:val="25"/>
          <w:szCs w:val="25"/>
          <w:b w:val="1"/>
          <w:bCs w:val="1"/>
          <w:color w:val="auto"/>
          <w:vertAlign w:val="superscript"/>
        </w:rPr>
      </w:pPr>
      <w:r>
        <w:rPr>
          <w:rFonts w:ascii="Arial" w:cs="Arial" w:eastAsia="Arial" w:hAnsi="Arial"/>
          <w:sz w:val="13"/>
          <w:szCs w:val="13"/>
          <w:color w:val="auto"/>
        </w:rPr>
        <w:t>Definitive Proxy Statement</w:t>
      </w:r>
    </w:p>
    <w:p>
      <w:pPr>
        <w:ind w:left="580" w:hanging="554"/>
        <w:spacing w:after="0" w:line="234" w:lineRule="auto"/>
        <w:tabs>
          <w:tab w:leader="none" w:pos="580" w:val="left"/>
        </w:tabs>
        <w:numPr>
          <w:ilvl w:val="0"/>
          <w:numId w:val="3"/>
        </w:numPr>
        <w:rPr>
          <w:rFonts w:ascii="Wingdings" w:cs="Wingdings" w:eastAsia="Wingdings" w:hAnsi="Wingdings"/>
          <w:sz w:val="25"/>
          <w:szCs w:val="25"/>
          <w:b w:val="1"/>
          <w:bCs w:val="1"/>
          <w:color w:val="auto"/>
          <w:vertAlign w:val="superscript"/>
        </w:rPr>
      </w:pPr>
      <w:r>
        <w:rPr>
          <w:rFonts w:ascii="Arial" w:cs="Arial" w:eastAsia="Arial" w:hAnsi="Arial"/>
          <w:sz w:val="13"/>
          <w:szCs w:val="13"/>
          <w:color w:val="auto"/>
        </w:rPr>
        <w:t>Definitive Additional Materials</w:t>
      </w:r>
    </w:p>
    <w:p>
      <w:pPr>
        <w:spacing w:after="0" w:line="115" w:lineRule="exact"/>
        <w:rPr>
          <w:rFonts w:ascii="Wingdings" w:cs="Wingdings" w:eastAsia="Wingdings" w:hAnsi="Wingdings"/>
          <w:sz w:val="25"/>
          <w:szCs w:val="25"/>
          <w:b w:val="1"/>
          <w:bCs w:val="1"/>
          <w:color w:val="auto"/>
          <w:vertAlign w:val="superscript"/>
        </w:rPr>
      </w:pPr>
    </w:p>
    <w:p>
      <w:pPr>
        <w:ind w:left="580" w:hanging="554"/>
        <w:spacing w:after="0" w:line="185" w:lineRule="auto"/>
        <w:tabs>
          <w:tab w:leader="none" w:pos="580" w:val="left"/>
        </w:tabs>
        <w:numPr>
          <w:ilvl w:val="0"/>
          <w:numId w:val="3"/>
        </w:numPr>
        <w:rPr>
          <w:rFonts w:ascii="Wingdings" w:cs="Wingdings" w:eastAsia="Wingdings" w:hAnsi="Wingdings"/>
          <w:sz w:val="18"/>
          <w:szCs w:val="18"/>
          <w:b w:val="1"/>
          <w:bCs w:val="1"/>
          <w:color w:val="auto"/>
          <w:vertAlign w:val="superscript"/>
        </w:rPr>
      </w:pPr>
      <w:r>
        <w:rPr>
          <w:rFonts w:ascii="Arial" w:cs="Arial" w:eastAsia="Arial" w:hAnsi="Arial"/>
          <w:sz w:val="10"/>
          <w:szCs w:val="10"/>
          <w:color w:val="auto"/>
        </w:rPr>
        <w:t>Soliciting Material Pursuant to §240.14a-12</w:t>
      </w:r>
    </w:p>
    <w:p>
      <w:pPr>
        <w:spacing w:after="0" w:line="39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ELI LILLY AND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 w:lineRule="exact"/>
        <w:rPr>
          <w:sz w:val="24"/>
          <w:szCs w:val="24"/>
          <w:color w:val="auto"/>
        </w:rPr>
      </w:pPr>
    </w:p>
    <w:p>
      <w:pPr>
        <w:ind w:left="402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5" w:lineRule="exact"/>
        <w:rPr>
          <w:sz w:val="24"/>
          <w:szCs w:val="24"/>
          <w:color w:val="auto"/>
        </w:rPr>
      </w:pPr>
    </w:p>
    <w:p>
      <w:pPr>
        <w:ind w:left="31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ind w:left="20"/>
        <w:spacing w:after="0"/>
        <w:rPr>
          <w:sz w:val="20"/>
          <w:szCs w:val="20"/>
          <w:color w:val="auto"/>
        </w:rPr>
      </w:pPr>
      <w:r>
        <w:rPr>
          <w:rFonts w:ascii="Arial" w:cs="Arial" w:eastAsia="Arial" w:hAnsi="Arial"/>
          <w:sz w:val="13"/>
          <w:szCs w:val="13"/>
          <w:color w:val="auto"/>
        </w:rPr>
        <w:t>Payment of Filing Fee (Check all boxes that apply):</w:t>
      </w:r>
    </w:p>
    <w:p>
      <w:pPr>
        <w:spacing w:after="0" w:line="188" w:lineRule="exact"/>
        <w:rPr>
          <w:sz w:val="24"/>
          <w:szCs w:val="24"/>
          <w:color w:val="auto"/>
        </w:rPr>
      </w:pPr>
    </w:p>
    <w:p>
      <w:pPr>
        <w:ind w:left="540" w:hanging="514"/>
        <w:spacing w:after="0"/>
        <w:tabs>
          <w:tab w:leader="none" w:pos="540" w:val="left"/>
        </w:tabs>
        <w:numPr>
          <w:ilvl w:val="0"/>
          <w:numId w:val="4"/>
        </w:numPr>
        <w:rPr>
          <w:rFonts w:ascii="Wingdings" w:cs="Wingdings" w:eastAsia="Wingdings" w:hAnsi="Wingdings"/>
          <w:sz w:val="13"/>
          <w:szCs w:val="13"/>
          <w:b w:val="1"/>
          <w:bCs w:val="1"/>
          <w:color w:val="auto"/>
        </w:rPr>
      </w:pPr>
      <w:r>
        <w:rPr>
          <w:rFonts w:ascii="Arial" w:cs="Arial" w:eastAsia="Arial" w:hAnsi="Arial"/>
          <w:sz w:val="13"/>
          <w:szCs w:val="13"/>
          <w:color w:val="auto"/>
        </w:rPr>
        <w:t>No fee required</w:t>
      </w:r>
    </w:p>
    <w:p>
      <w:pPr>
        <w:spacing w:after="0" w:line="188" w:lineRule="exact"/>
        <w:rPr>
          <w:sz w:val="24"/>
          <w:szCs w:val="24"/>
          <w:color w:val="auto"/>
        </w:rPr>
      </w:pPr>
    </w:p>
    <w:p>
      <w:pPr>
        <w:ind w:left="540" w:hanging="514"/>
        <w:spacing w:after="0"/>
        <w:tabs>
          <w:tab w:leader="none" w:pos="540" w:val="left"/>
        </w:tabs>
        <w:numPr>
          <w:ilvl w:val="0"/>
          <w:numId w:val="5"/>
        </w:numPr>
        <w:rPr>
          <w:rFonts w:ascii="Wingdings" w:cs="Wingdings" w:eastAsia="Wingdings" w:hAnsi="Wingdings"/>
          <w:sz w:val="13"/>
          <w:szCs w:val="13"/>
          <w:b w:val="1"/>
          <w:bCs w:val="1"/>
          <w:color w:val="auto"/>
        </w:rPr>
      </w:pPr>
      <w:r>
        <w:rPr>
          <w:rFonts w:ascii="Arial" w:cs="Arial" w:eastAsia="Arial" w:hAnsi="Arial"/>
          <w:sz w:val="13"/>
          <w:szCs w:val="13"/>
          <w:color w:val="auto"/>
        </w:rPr>
        <w:t>Fee paid previously with preliminary materials</w:t>
      </w:r>
    </w:p>
    <w:p>
      <w:pPr>
        <w:spacing w:after="0" w:line="188" w:lineRule="exact"/>
        <w:rPr>
          <w:rFonts w:ascii="Wingdings" w:cs="Wingdings" w:eastAsia="Wingdings" w:hAnsi="Wingdings"/>
          <w:sz w:val="13"/>
          <w:szCs w:val="13"/>
          <w:b w:val="1"/>
          <w:bCs w:val="1"/>
          <w:color w:val="auto"/>
        </w:rPr>
      </w:pPr>
    </w:p>
    <w:p>
      <w:pPr>
        <w:ind w:left="540" w:hanging="514"/>
        <w:spacing w:after="0"/>
        <w:tabs>
          <w:tab w:leader="none" w:pos="540" w:val="left"/>
        </w:tabs>
        <w:numPr>
          <w:ilvl w:val="0"/>
          <w:numId w:val="5"/>
        </w:numPr>
        <w:rPr>
          <w:rFonts w:ascii="Wingdings" w:cs="Wingdings" w:eastAsia="Wingdings" w:hAnsi="Wingdings"/>
          <w:sz w:val="13"/>
          <w:szCs w:val="13"/>
          <w:b w:val="1"/>
          <w:bCs w:val="1"/>
          <w:color w:val="auto"/>
        </w:rPr>
      </w:pPr>
      <w:r>
        <w:rPr>
          <w:rFonts w:ascii="Arial" w:cs="Arial" w:eastAsia="Arial" w:hAnsi="Arial"/>
          <w:sz w:val="13"/>
          <w:szCs w:val="13"/>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1035050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79" w:right="1440" w:bottom="1440" w:gutter="0" w:footer="0" w:header="0"/>
        </w:sectPr>
      </w:pPr>
    </w:p>
    <w:bookmarkStart w:id="1" w:name="page2"/>
    <w:bookmarkEnd w:id="1"/>
    <w:p>
      <w:pPr>
        <w:spacing w:after="0"/>
        <w:rPr>
          <w:sz w:val="20"/>
          <w:szCs w:val="20"/>
          <w:color w:val="auto"/>
        </w:rPr>
      </w:pPr>
      <w:r>
        <w:rPr>
          <w:rFonts w:ascii="Arial" w:cs="Arial" w:eastAsia="Arial" w:hAnsi="Arial"/>
          <w:sz w:val="52"/>
          <w:szCs w:val="52"/>
          <w:b w:val="1"/>
          <w:bCs w:val="1"/>
          <w:color w:val="auto"/>
        </w:rPr>
        <w:t>Notice of 2023</w:t>
      </w:r>
    </w:p>
    <w:p>
      <w:pPr>
        <w:spacing w:after="0" w:line="185" w:lineRule="exact"/>
        <w:rPr>
          <w:sz w:val="20"/>
          <w:szCs w:val="20"/>
          <w:color w:val="auto"/>
        </w:rPr>
      </w:pPr>
    </w:p>
    <w:p>
      <w:pPr>
        <w:spacing w:after="0"/>
        <w:rPr>
          <w:sz w:val="20"/>
          <w:szCs w:val="20"/>
          <w:color w:val="auto"/>
        </w:rPr>
      </w:pPr>
      <w:r>
        <w:rPr>
          <w:rFonts w:ascii="Arial" w:cs="Arial" w:eastAsia="Arial" w:hAnsi="Arial"/>
          <w:sz w:val="52"/>
          <w:szCs w:val="52"/>
          <w:b w:val="1"/>
          <w:bCs w:val="1"/>
          <w:color w:val="auto"/>
        </w:rPr>
        <w:t>Annual Meeting of Shareholders</w:t>
      </w:r>
    </w:p>
    <w:p>
      <w:pPr>
        <w:spacing w:after="0" w:line="131" w:lineRule="exact"/>
        <w:rPr>
          <w:sz w:val="20"/>
          <w:szCs w:val="20"/>
          <w:color w:val="auto"/>
        </w:rPr>
      </w:pPr>
    </w:p>
    <w:p>
      <w:pPr>
        <w:spacing w:after="0"/>
        <w:rPr>
          <w:sz w:val="20"/>
          <w:szCs w:val="20"/>
          <w:color w:val="auto"/>
        </w:rPr>
      </w:pPr>
      <w:r>
        <w:rPr>
          <w:rFonts w:ascii="Arial" w:cs="Arial" w:eastAsia="Arial" w:hAnsi="Arial"/>
          <w:sz w:val="52"/>
          <w:szCs w:val="52"/>
          <w:b w:val="1"/>
          <w:bCs w:val="1"/>
          <w:color w:val="auto"/>
        </w:rPr>
        <w:t>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211455</wp:posOffset>
            </wp:positionV>
            <wp:extent cx="7213600" cy="67849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3600" cy="6784975"/>
                    </a:xfrm>
                    <a:prstGeom prst="rect">
                      <a:avLst/>
                    </a:prstGeom>
                    <a:noFill/>
                  </pic:spPr>
                </pic:pic>
              </a:graphicData>
            </a:graphic>
          </wp:anchor>
        </w:drawing>
      </w:r>
    </w:p>
    <w:p>
      <w:pPr>
        <w:sectPr>
          <w:pgSz w:w="11900" w:h="16838" w:orient="portrait"/>
          <w:cols w:equalWidth="0" w:num="1">
            <w:col w:w="10139"/>
          </w:cols>
          <w:pgMar w:left="320" w:top="1071" w:right="1440"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D52B1E"/>
        </w:rPr>
        <w:t>Dear Fellow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-136525</wp:posOffset>
            </wp:positionV>
            <wp:extent cx="2057400" cy="4414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57400" cy="4414520"/>
                    </a:xfrm>
                    <a:prstGeom prst="rect">
                      <a:avLst/>
                    </a:prstGeom>
                    <a:noFill/>
                  </pic:spPr>
                </pic:pic>
              </a:graphicData>
            </a:graphic>
          </wp:anchor>
        </w:drawing>
      </w:r>
    </w:p>
    <w:p>
      <w:pPr>
        <w:spacing w:after="0" w:line="82" w:lineRule="exact"/>
        <w:rPr>
          <w:sz w:val="20"/>
          <w:szCs w:val="20"/>
          <w:color w:val="auto"/>
        </w:rPr>
      </w:pPr>
    </w:p>
    <w:p>
      <w:pPr>
        <w:ind w:left="20" w:right="4719"/>
        <w:spacing w:after="0" w:line="294" w:lineRule="auto"/>
        <w:rPr>
          <w:sz w:val="20"/>
          <w:szCs w:val="20"/>
          <w:color w:val="auto"/>
        </w:rPr>
      </w:pPr>
      <w:r>
        <w:rPr>
          <w:rFonts w:ascii="Arial" w:cs="Arial" w:eastAsia="Arial" w:hAnsi="Arial"/>
          <w:sz w:val="18"/>
          <w:szCs w:val="18"/>
          <w:color w:val="auto"/>
        </w:rPr>
        <w:t>Thank you for your continued support of, and investment in, Eli Lilly and Company. We are proud of Lilly’s achievements in 2022. We made several key regulatory and pipeline advancements with the potential to help people with diabetes, immune disorders, neurodegenerative conditions, and cancer. In particular, we introduced an important new type 2 diabetes treatment and added new indications to currently marketed products. And finally, we worked hard to deliver value to you, our shareholders. We delivered strong total shareholder returns through December 31, 2022, in terms of both total share price appreciation and dividends.</w:t>
      </w:r>
    </w:p>
    <w:p>
      <w:pPr>
        <w:spacing w:after="0" w:line="70" w:lineRule="exact"/>
        <w:rPr>
          <w:sz w:val="20"/>
          <w:szCs w:val="20"/>
          <w:color w:val="auto"/>
        </w:rPr>
      </w:pPr>
    </w:p>
    <w:p>
      <w:pPr>
        <w:ind w:left="20" w:right="4719"/>
        <w:spacing w:after="0" w:line="298" w:lineRule="auto"/>
        <w:rPr>
          <w:sz w:val="20"/>
          <w:szCs w:val="20"/>
          <w:color w:val="auto"/>
        </w:rPr>
      </w:pPr>
      <w:r>
        <w:rPr>
          <w:rFonts w:ascii="Arial" w:cs="Arial" w:eastAsia="Arial" w:hAnsi="Arial"/>
          <w:sz w:val="18"/>
          <w:szCs w:val="18"/>
          <w:color w:val="auto"/>
        </w:rPr>
        <w:t>We also strengthened our initiatives in support of patients and communities, including collaborating to enhance sustainable access to affordable insulin in Africa, expanding our use of solar energy at global facilities, and partnering with UNICEF to help improve health outcomes for 10 million children and adolescents.</w:t>
      </w:r>
    </w:p>
    <w:p>
      <w:pPr>
        <w:spacing w:after="0" w:line="78" w:lineRule="exact"/>
        <w:rPr>
          <w:sz w:val="20"/>
          <w:szCs w:val="20"/>
          <w:color w:val="auto"/>
        </w:rPr>
      </w:pPr>
    </w:p>
    <w:p>
      <w:pPr>
        <w:ind w:left="20" w:right="4759"/>
        <w:spacing w:after="0" w:line="295" w:lineRule="auto"/>
        <w:rPr>
          <w:sz w:val="20"/>
          <w:szCs w:val="20"/>
          <w:color w:val="auto"/>
        </w:rPr>
      </w:pPr>
      <w:r>
        <w:rPr>
          <w:rFonts w:ascii="Arial" w:cs="Arial" w:eastAsia="Arial" w:hAnsi="Arial"/>
          <w:sz w:val="18"/>
          <w:szCs w:val="18"/>
          <w:color w:val="auto"/>
        </w:rPr>
        <w:t>Our board continues to prioritize meaningful engagement with our shareholders and other key stakeholders. Since our 2022 annual meeting, we have spoken with a number of investors on an array of subjects, including: drug pricing transparency and global access to our products; product quality and safety; key enterprise risks and environmental, social and governance topics.</w:t>
      </w:r>
    </w:p>
    <w:p>
      <w:pPr>
        <w:spacing w:after="0" w:line="80" w:lineRule="exact"/>
        <w:rPr>
          <w:sz w:val="20"/>
          <w:szCs w:val="20"/>
          <w:color w:val="auto"/>
        </w:rPr>
      </w:pPr>
    </w:p>
    <w:p>
      <w:pPr>
        <w:ind w:left="20" w:right="4599"/>
        <w:spacing w:after="0" w:line="298" w:lineRule="auto"/>
        <w:rPr>
          <w:sz w:val="20"/>
          <w:szCs w:val="20"/>
          <w:color w:val="auto"/>
        </w:rPr>
      </w:pPr>
      <w:r>
        <w:rPr>
          <w:rFonts w:ascii="Arial" w:cs="Arial" w:eastAsia="Arial" w:hAnsi="Arial"/>
          <w:sz w:val="18"/>
          <w:szCs w:val="18"/>
          <w:color w:val="auto"/>
        </w:rPr>
        <w:t>We appreciate the thoughtful and constructive feedback that we receive from our stakeholders. As a result of this input, and as in past years, the board is putting forward management proposals at the 2023 annual meeting of shareholders (the Annual Meeting) to eliminate the classified board structure and supermajority voting requirements in our articles of incorporation.</w:t>
      </w:r>
    </w:p>
    <w:p>
      <w:pPr>
        <w:spacing w:after="0" w:line="334" w:lineRule="exact"/>
        <w:rPr>
          <w:sz w:val="20"/>
          <w:szCs w:val="20"/>
          <w:color w:val="auto"/>
        </w:rPr>
      </w:pPr>
    </w:p>
    <w:p>
      <w:pPr>
        <w:ind w:left="20" w:right="1579"/>
        <w:spacing w:after="0" w:line="334" w:lineRule="auto"/>
        <w:rPr>
          <w:sz w:val="20"/>
          <w:szCs w:val="20"/>
          <w:color w:val="auto"/>
        </w:rPr>
      </w:pPr>
      <w:r>
        <w:rPr>
          <w:rFonts w:ascii="Arial" w:cs="Arial" w:eastAsia="Arial" w:hAnsi="Arial"/>
          <w:sz w:val="18"/>
          <w:szCs w:val="18"/>
          <w:color w:val="auto"/>
        </w:rPr>
        <w:t>We remain committed to serving you and making life better for millions of people around the world. We look forward to welcoming you to the Annual Meeting.</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137795</wp:posOffset>
            </wp:positionV>
            <wp:extent cx="5494655" cy="9683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94655"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David A. Ricks</w:t>
      </w:r>
    </w:p>
    <w:p>
      <w:pPr>
        <w:ind w:left="1680"/>
        <w:spacing w:after="0" w:line="180" w:lineRule="auto"/>
        <w:tabs>
          <w:tab w:leader="none" w:pos="6320" w:val="left"/>
        </w:tabs>
        <w:rPr>
          <w:sz w:val="20"/>
          <w:szCs w:val="20"/>
          <w:color w:val="auto"/>
        </w:rPr>
      </w:pPr>
      <w:r>
        <w:rPr>
          <w:rFonts w:ascii="Arial" w:cs="Arial" w:eastAsia="Arial" w:hAnsi="Arial"/>
          <w:sz w:val="18"/>
          <w:szCs w:val="18"/>
          <w:color w:val="auto"/>
        </w:rPr>
        <w:t>Chair, President and CEO</w:t>
      </w:r>
      <w:r>
        <w:rPr>
          <w:sz w:val="20"/>
          <w:szCs w:val="20"/>
          <w:color w:val="auto"/>
        </w:rPr>
        <w:tab/>
      </w:r>
      <w:r>
        <w:rPr>
          <w:rFonts w:ascii="Arial" w:cs="Arial" w:eastAsia="Arial" w:hAnsi="Arial"/>
          <w:sz w:val="25"/>
          <w:szCs w:val="25"/>
          <w:color w:val="auto"/>
          <w:vertAlign w:val="superscript"/>
        </w:rPr>
        <w:t>Juan Luciano</w:t>
      </w:r>
    </w:p>
    <w:p>
      <w:pPr>
        <w:ind w:left="6340"/>
        <w:spacing w:after="0"/>
        <w:rPr>
          <w:sz w:val="20"/>
          <w:szCs w:val="20"/>
          <w:color w:val="auto"/>
        </w:rPr>
      </w:pPr>
      <w:r>
        <w:rPr>
          <w:rFonts w:ascii="Arial" w:cs="Arial" w:eastAsia="Arial" w:hAnsi="Arial"/>
          <w:sz w:val="18"/>
          <w:szCs w:val="18"/>
          <w:color w:val="auto"/>
        </w:rPr>
        <w:t>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842010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 w:name="page4"/>
    <w:bookmarkEnd w:id="3"/>
    <w:p>
      <w:pPr>
        <w:spacing w:after="0"/>
        <w:rPr>
          <w:sz w:val="20"/>
          <w:szCs w:val="20"/>
          <w:color w:val="auto"/>
        </w:rPr>
      </w:pPr>
      <w:r>
        <w:rPr>
          <w:rFonts w:ascii="Arial" w:cs="Arial" w:eastAsia="Arial" w:hAnsi="Arial"/>
          <w:sz w:val="51"/>
          <w:szCs w:val="51"/>
          <w:b w:val="1"/>
          <w:bCs w:val="1"/>
          <w:color w:val="auto"/>
        </w:rPr>
        <w:t>Table of Contents</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3640" w:type="dxa"/>
            <w:vAlign w:val="bottom"/>
          </w:tcPr>
          <w:p>
            <w:pPr>
              <w:spacing w:after="0"/>
              <w:rPr>
                <w:sz w:val="20"/>
                <w:szCs w:val="20"/>
                <w:color w:val="auto"/>
              </w:rPr>
            </w:pPr>
            <w:r>
              <w:rPr>
                <w:rFonts w:ascii="Arial" w:cs="Arial" w:eastAsia="Arial" w:hAnsi="Arial"/>
                <w:sz w:val="19"/>
                <w:szCs w:val="19"/>
                <w:b w:val="1"/>
                <w:bCs w:val="1"/>
                <w:color w:val="auto"/>
              </w:rPr>
              <w:t>Notice of 2023 Annual Meeting of</w:t>
            </w:r>
          </w:p>
        </w:tc>
        <w:tc>
          <w:tcPr>
            <w:tcW w:w="100" w:type="dxa"/>
            <w:vAlign w:val="bottom"/>
            <w:vMerge w:val="restart"/>
          </w:tcPr>
          <w:p>
            <w:pPr>
              <w:spacing w:after="0"/>
              <w:rPr>
                <w:sz w:val="20"/>
                <w:szCs w:val="20"/>
                <w:color w:val="auto"/>
              </w:rPr>
            </w:pPr>
            <w:r>
              <w:rPr>
                <w:rFonts w:ascii="Arial" w:cs="Arial" w:eastAsia="Arial" w:hAnsi="Arial"/>
                <w:sz w:val="18"/>
                <w:szCs w:val="18"/>
                <w:color w:val="0000FF"/>
                <w:w w:val="79"/>
              </w:rPr>
              <w:t>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3640" w:type="dxa"/>
            <w:vAlign w:val="bottom"/>
            <w:vMerge w:val="restart"/>
          </w:tcPr>
          <w:p>
            <w:pPr>
              <w:spacing w:after="0"/>
              <w:rPr>
                <w:sz w:val="20"/>
                <w:szCs w:val="20"/>
                <w:color w:val="auto"/>
              </w:rPr>
            </w:pPr>
            <w:r>
              <w:rPr>
                <w:rFonts w:ascii="Arial" w:cs="Arial" w:eastAsia="Arial" w:hAnsi="Arial"/>
                <w:sz w:val="19"/>
                <w:szCs w:val="19"/>
                <w:b w:val="1"/>
                <w:bCs w:val="1"/>
                <w:color w:val="auto"/>
              </w:rPr>
              <w:t>Shareholders</w:t>
            </w:r>
          </w:p>
        </w:tc>
        <w:tc>
          <w:tcPr>
            <w:tcW w:w="100" w:type="dxa"/>
            <w:vAlign w:val="bottom"/>
            <w:tcBorders>
              <w:bottom w:val="single" w:sz="8" w:color="0000FF"/>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640" w:type="dxa"/>
            <w:vAlign w:val="bottom"/>
            <w:vMerge w:val="continue"/>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0000FF"/>
                <w:w w:val="79"/>
              </w:rPr>
              <w:t>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640" w:type="dxa"/>
            <w:vAlign w:val="bottom"/>
            <w:vMerge w:val="restart"/>
          </w:tcPr>
          <w:p>
            <w:pPr>
              <w:spacing w:after="0"/>
              <w:rPr>
                <w:sz w:val="20"/>
                <w:szCs w:val="20"/>
                <w:color w:val="auto"/>
              </w:rPr>
            </w:pPr>
            <w:r>
              <w:rPr>
                <w:rFonts w:ascii="Arial" w:cs="Arial" w:eastAsia="Arial" w:hAnsi="Arial"/>
                <w:sz w:val="19"/>
                <w:szCs w:val="19"/>
                <w:b w:val="1"/>
                <w:bCs w:val="1"/>
                <w:color w:val="auto"/>
              </w:rPr>
              <w:t>Proxy Statement Summary</w:t>
            </w:r>
          </w:p>
        </w:tc>
        <w:tc>
          <w:tcPr>
            <w:tcW w:w="100" w:type="dxa"/>
            <w:vAlign w:val="bottom"/>
            <w:tcBorders>
              <w:bottom w:val="single" w:sz="8" w:color="0000FF"/>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3640" w:type="dxa"/>
            <w:vAlign w:val="bottom"/>
            <w:vMerge w:val="continue"/>
          </w:tcPr>
          <w:p>
            <w:pPr>
              <w:spacing w:after="0"/>
              <w:rPr>
                <w:sz w:val="10"/>
                <w:szCs w:val="10"/>
                <w:color w:val="auto"/>
              </w:rPr>
            </w:pPr>
          </w:p>
        </w:tc>
        <w:tc>
          <w:tcPr>
            <w:tcW w:w="200" w:type="dxa"/>
            <w:vAlign w:val="bottom"/>
            <w:gridSpan w:val="3"/>
            <w:vMerge w:val="restart"/>
          </w:tcPr>
          <w:p>
            <w:pPr>
              <w:spacing w:after="0"/>
              <w:rPr>
                <w:sz w:val="20"/>
                <w:szCs w:val="20"/>
                <w:color w:val="auto"/>
              </w:rPr>
            </w:pPr>
            <w:r>
              <w:rPr>
                <w:rFonts w:ascii="Arial" w:cs="Arial" w:eastAsia="Arial" w:hAnsi="Arial"/>
                <w:sz w:val="18"/>
                <w:szCs w:val="18"/>
                <w:color w:val="0000FF"/>
                <w:w w:val="89"/>
              </w:rPr>
              <w:t>11</w:t>
            </w:r>
          </w:p>
        </w:tc>
        <w:tc>
          <w:tcPr>
            <w:tcW w:w="0" w:type="dxa"/>
            <w:vAlign w:val="bottom"/>
          </w:tcPr>
          <w:p>
            <w:pPr>
              <w:spacing w:after="0"/>
              <w:rPr>
                <w:sz w:val="1"/>
                <w:szCs w:val="1"/>
                <w:color w:val="auto"/>
              </w:rPr>
            </w:pPr>
          </w:p>
        </w:tc>
      </w:tr>
      <w:tr>
        <w:trPr>
          <w:trHeight w:val="308"/>
        </w:trPr>
        <w:tc>
          <w:tcPr>
            <w:tcW w:w="3640" w:type="dxa"/>
            <w:vAlign w:val="bottom"/>
            <w:vMerge w:val="restart"/>
          </w:tcPr>
          <w:p>
            <w:pPr>
              <w:spacing w:after="0"/>
              <w:rPr>
                <w:sz w:val="20"/>
                <w:szCs w:val="20"/>
                <w:color w:val="auto"/>
              </w:rPr>
            </w:pPr>
            <w:r>
              <w:rPr>
                <w:rFonts w:ascii="Arial" w:cs="Arial" w:eastAsia="Arial" w:hAnsi="Arial"/>
                <w:sz w:val="19"/>
                <w:szCs w:val="19"/>
                <w:b w:val="1"/>
                <w:bCs w:val="1"/>
                <w:color w:val="auto"/>
              </w:rPr>
              <w:t>Governance</w:t>
            </w:r>
          </w:p>
        </w:tc>
        <w:tc>
          <w:tcPr>
            <w:tcW w:w="20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40" w:type="dxa"/>
            <w:vAlign w:val="bottom"/>
            <w:vMerge w:val="continue"/>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640" w:type="dxa"/>
            <w:vAlign w:val="bottom"/>
            <w:vMerge w:val="continue"/>
          </w:tcPr>
          <w:p>
            <w:pPr>
              <w:spacing w:after="0"/>
              <w:rPr>
                <w:sz w:val="12"/>
                <w:szCs w:val="12"/>
                <w:color w:val="auto"/>
              </w:rPr>
            </w:pPr>
          </w:p>
        </w:tc>
        <w:tc>
          <w:tcPr>
            <w:tcW w:w="200" w:type="dxa"/>
            <w:vAlign w:val="bottom"/>
            <w:gridSpan w:val="3"/>
            <w:vMerge w:val="restart"/>
          </w:tcPr>
          <w:p>
            <w:pPr>
              <w:spacing w:after="0"/>
              <w:rPr>
                <w:sz w:val="20"/>
                <w:szCs w:val="20"/>
                <w:color w:val="auto"/>
              </w:rPr>
            </w:pPr>
            <w:r>
              <w:rPr>
                <w:rFonts w:ascii="Arial" w:cs="Arial" w:eastAsia="Arial" w:hAnsi="Arial"/>
                <w:sz w:val="18"/>
                <w:szCs w:val="18"/>
                <w:color w:val="0000FF"/>
                <w:w w:val="89"/>
              </w:rPr>
              <w:t>10</w:t>
            </w:r>
          </w:p>
        </w:tc>
        <w:tc>
          <w:tcPr>
            <w:tcW w:w="0" w:type="dxa"/>
            <w:vAlign w:val="bottom"/>
          </w:tcPr>
          <w:p>
            <w:pPr>
              <w:spacing w:after="0"/>
              <w:rPr>
                <w:sz w:val="1"/>
                <w:szCs w:val="1"/>
                <w:color w:val="auto"/>
              </w:rPr>
            </w:pPr>
          </w:p>
        </w:tc>
      </w:tr>
      <w:tr>
        <w:trPr>
          <w:trHeight w:val="273"/>
        </w:trPr>
        <w:tc>
          <w:tcPr>
            <w:tcW w:w="3640" w:type="dxa"/>
            <w:vAlign w:val="bottom"/>
            <w:vMerge w:val="restart"/>
          </w:tcPr>
          <w:p>
            <w:pPr>
              <w:ind w:left="420"/>
              <w:spacing w:after="0"/>
              <w:rPr>
                <w:sz w:val="20"/>
                <w:szCs w:val="20"/>
                <w:color w:val="auto"/>
              </w:rPr>
            </w:pPr>
            <w:r>
              <w:rPr>
                <w:rFonts w:ascii="Arial" w:cs="Arial" w:eastAsia="Arial" w:hAnsi="Arial"/>
                <w:sz w:val="16"/>
                <w:szCs w:val="16"/>
                <w:color w:val="auto"/>
              </w:rPr>
              <w:t>Director Qualifications</w:t>
            </w:r>
          </w:p>
        </w:tc>
        <w:tc>
          <w:tcPr>
            <w:tcW w:w="200" w:type="dxa"/>
            <w:vAlign w:val="bottom"/>
            <w:tcBorders>
              <w:bottom w:val="single" w:sz="8" w:color="0000FF"/>
            </w:tcBorders>
            <w:gridSpan w:val="3"/>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3640" w:type="dxa"/>
            <w:vAlign w:val="bottom"/>
            <w:vMerge w:val="continue"/>
          </w:tcPr>
          <w:p>
            <w:pPr>
              <w:spacing w:after="0"/>
              <w:rPr>
                <w:sz w:val="16"/>
                <w:szCs w:val="16"/>
                <w:color w:val="auto"/>
              </w:rPr>
            </w:pPr>
          </w:p>
        </w:tc>
        <w:tc>
          <w:tcPr>
            <w:tcW w:w="200" w:type="dxa"/>
            <w:vAlign w:val="bottom"/>
            <w:gridSpan w:val="3"/>
            <w:vMerge w:val="restart"/>
          </w:tcPr>
          <w:p>
            <w:pPr>
              <w:spacing w:after="0"/>
              <w:rPr>
                <w:sz w:val="20"/>
                <w:szCs w:val="20"/>
                <w:color w:val="auto"/>
              </w:rPr>
            </w:pPr>
            <w:r>
              <w:rPr>
                <w:rFonts w:ascii="Arial" w:cs="Arial" w:eastAsia="Arial" w:hAnsi="Arial"/>
                <w:sz w:val="18"/>
                <w:szCs w:val="18"/>
                <w:color w:val="0000FF"/>
                <w:w w:val="89"/>
              </w:rPr>
              <w:t>26</w:t>
            </w:r>
          </w:p>
        </w:tc>
        <w:tc>
          <w:tcPr>
            <w:tcW w:w="0" w:type="dxa"/>
            <w:vAlign w:val="bottom"/>
          </w:tcPr>
          <w:p>
            <w:pPr>
              <w:spacing w:after="0"/>
              <w:rPr>
                <w:sz w:val="1"/>
                <w:szCs w:val="1"/>
                <w:color w:val="auto"/>
              </w:rPr>
            </w:pPr>
          </w:p>
        </w:tc>
      </w:tr>
      <w:tr>
        <w:trPr>
          <w:trHeight w:val="223"/>
        </w:trPr>
        <w:tc>
          <w:tcPr>
            <w:tcW w:w="3640" w:type="dxa"/>
            <w:vAlign w:val="bottom"/>
            <w:vMerge w:val="restart"/>
          </w:tcPr>
          <w:p>
            <w:pPr>
              <w:ind w:left="420"/>
              <w:spacing w:after="0"/>
              <w:rPr>
                <w:sz w:val="20"/>
                <w:szCs w:val="20"/>
                <w:color w:val="auto"/>
              </w:rPr>
            </w:pPr>
            <w:r>
              <w:rPr>
                <w:rFonts w:ascii="Arial" w:cs="Arial" w:eastAsia="Arial" w:hAnsi="Arial"/>
                <w:sz w:val="16"/>
                <w:szCs w:val="16"/>
                <w:color w:val="auto"/>
              </w:rPr>
              <w:t>Director Nominations</w:t>
            </w:r>
          </w:p>
        </w:tc>
        <w:tc>
          <w:tcPr>
            <w:tcW w:w="200" w:type="dxa"/>
            <w:vAlign w:val="bottom"/>
            <w:tcBorders>
              <w:bottom w:val="single" w:sz="8" w:color="0000FF"/>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640" w:type="dxa"/>
            <w:vAlign w:val="bottom"/>
            <w:vMerge w:val="continue"/>
          </w:tcPr>
          <w:p>
            <w:pPr>
              <w:spacing w:after="0"/>
              <w:rPr>
                <w:sz w:val="16"/>
                <w:szCs w:val="16"/>
                <w:color w:val="auto"/>
              </w:rPr>
            </w:pPr>
          </w:p>
        </w:tc>
        <w:tc>
          <w:tcPr>
            <w:tcW w:w="200" w:type="dxa"/>
            <w:vAlign w:val="bottom"/>
            <w:gridSpan w:val="3"/>
            <w:vMerge w:val="restart"/>
          </w:tcPr>
          <w:p>
            <w:pPr>
              <w:spacing w:after="0"/>
              <w:rPr>
                <w:sz w:val="20"/>
                <w:szCs w:val="20"/>
                <w:color w:val="auto"/>
              </w:rPr>
            </w:pPr>
            <w:r>
              <w:rPr>
                <w:rFonts w:ascii="Arial" w:cs="Arial" w:eastAsia="Arial" w:hAnsi="Arial"/>
                <w:sz w:val="18"/>
                <w:szCs w:val="18"/>
                <w:color w:val="0000FF"/>
                <w:w w:val="89"/>
              </w:rPr>
              <w:t>29</w:t>
            </w:r>
          </w:p>
        </w:tc>
        <w:tc>
          <w:tcPr>
            <w:tcW w:w="0" w:type="dxa"/>
            <w:vAlign w:val="bottom"/>
          </w:tcPr>
          <w:p>
            <w:pPr>
              <w:spacing w:after="0"/>
              <w:rPr>
                <w:sz w:val="1"/>
                <w:szCs w:val="1"/>
                <w:color w:val="auto"/>
              </w:rPr>
            </w:pPr>
          </w:p>
        </w:tc>
      </w:tr>
      <w:tr>
        <w:trPr>
          <w:trHeight w:val="223"/>
        </w:trPr>
        <w:tc>
          <w:tcPr>
            <w:tcW w:w="3640" w:type="dxa"/>
            <w:vAlign w:val="bottom"/>
            <w:vMerge w:val="restart"/>
          </w:tcPr>
          <w:p>
            <w:pPr>
              <w:ind w:left="420"/>
              <w:spacing w:after="0"/>
              <w:rPr>
                <w:sz w:val="20"/>
                <w:szCs w:val="20"/>
                <w:color w:val="auto"/>
              </w:rPr>
            </w:pPr>
            <w:r>
              <w:rPr>
                <w:rFonts w:ascii="Arial" w:cs="Arial" w:eastAsia="Arial" w:hAnsi="Arial"/>
                <w:sz w:val="16"/>
                <w:szCs w:val="16"/>
                <w:color w:val="D52B1E"/>
              </w:rPr>
              <w:t>Item 1 - Election of Directors</w:t>
            </w:r>
          </w:p>
        </w:tc>
        <w:tc>
          <w:tcPr>
            <w:tcW w:w="200" w:type="dxa"/>
            <w:vAlign w:val="bottom"/>
            <w:tcBorders>
              <w:bottom w:val="single" w:sz="8" w:color="0000FF"/>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640" w:type="dxa"/>
            <w:vAlign w:val="bottom"/>
            <w:vMerge w:val="continue"/>
          </w:tcPr>
          <w:p>
            <w:pPr>
              <w:spacing w:after="0"/>
              <w:rPr>
                <w:sz w:val="16"/>
                <w:szCs w:val="16"/>
                <w:color w:val="auto"/>
              </w:rPr>
            </w:pPr>
          </w:p>
        </w:tc>
        <w:tc>
          <w:tcPr>
            <w:tcW w:w="200" w:type="dxa"/>
            <w:vAlign w:val="bottom"/>
            <w:gridSpan w:val="3"/>
            <w:vMerge w:val="restart"/>
          </w:tcPr>
          <w:p>
            <w:pPr>
              <w:spacing w:after="0"/>
              <w:rPr>
                <w:sz w:val="20"/>
                <w:szCs w:val="20"/>
                <w:color w:val="auto"/>
              </w:rPr>
            </w:pPr>
            <w:r>
              <w:rPr>
                <w:rFonts w:ascii="Arial" w:cs="Arial" w:eastAsia="Arial" w:hAnsi="Arial"/>
                <w:sz w:val="18"/>
                <w:szCs w:val="18"/>
                <w:color w:val="0000FF"/>
                <w:w w:val="89"/>
              </w:rPr>
              <w:t>28</w:t>
            </w:r>
          </w:p>
        </w:tc>
        <w:tc>
          <w:tcPr>
            <w:tcW w:w="0" w:type="dxa"/>
            <w:vAlign w:val="bottom"/>
          </w:tcPr>
          <w:p>
            <w:pPr>
              <w:spacing w:after="0"/>
              <w:rPr>
                <w:sz w:val="1"/>
                <w:szCs w:val="1"/>
                <w:color w:val="auto"/>
              </w:rPr>
            </w:pPr>
          </w:p>
        </w:tc>
      </w:tr>
      <w:tr>
        <w:trPr>
          <w:trHeight w:val="223"/>
        </w:trPr>
        <w:tc>
          <w:tcPr>
            <w:tcW w:w="3640" w:type="dxa"/>
            <w:vAlign w:val="bottom"/>
            <w:vMerge w:val="restart"/>
          </w:tcPr>
          <w:p>
            <w:pPr>
              <w:ind w:left="420"/>
              <w:spacing w:after="0"/>
              <w:rPr>
                <w:sz w:val="20"/>
                <w:szCs w:val="20"/>
                <w:color w:val="auto"/>
              </w:rPr>
            </w:pPr>
            <w:r>
              <w:rPr>
                <w:rFonts w:ascii="Arial" w:cs="Arial" w:eastAsia="Arial" w:hAnsi="Arial"/>
                <w:sz w:val="16"/>
                <w:szCs w:val="16"/>
                <w:color w:val="auto"/>
              </w:rPr>
              <w:t>Working Dynamics</w:t>
            </w:r>
          </w:p>
        </w:tc>
        <w:tc>
          <w:tcPr>
            <w:tcW w:w="200" w:type="dxa"/>
            <w:vAlign w:val="bottom"/>
            <w:tcBorders>
              <w:bottom w:val="single" w:sz="8" w:color="0000FF"/>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640" w:type="dxa"/>
            <w:vAlign w:val="bottom"/>
            <w:vMerge w:val="continue"/>
          </w:tcPr>
          <w:p>
            <w:pPr>
              <w:spacing w:after="0"/>
              <w:rPr>
                <w:sz w:val="16"/>
                <w:szCs w:val="16"/>
                <w:color w:val="auto"/>
              </w:rPr>
            </w:pPr>
          </w:p>
        </w:tc>
        <w:tc>
          <w:tcPr>
            <w:tcW w:w="200" w:type="dxa"/>
            <w:vAlign w:val="bottom"/>
            <w:gridSpan w:val="3"/>
            <w:vMerge w:val="restart"/>
          </w:tcPr>
          <w:p>
            <w:pPr>
              <w:spacing w:after="0"/>
              <w:rPr>
                <w:sz w:val="20"/>
                <w:szCs w:val="20"/>
                <w:color w:val="auto"/>
              </w:rPr>
            </w:pPr>
            <w:r>
              <w:rPr>
                <w:rFonts w:ascii="Arial" w:cs="Arial" w:eastAsia="Arial" w:hAnsi="Arial"/>
                <w:sz w:val="18"/>
                <w:szCs w:val="18"/>
                <w:color w:val="0000FF"/>
                <w:w w:val="89"/>
              </w:rPr>
              <w:t>30</w:t>
            </w:r>
          </w:p>
        </w:tc>
        <w:tc>
          <w:tcPr>
            <w:tcW w:w="0" w:type="dxa"/>
            <w:vAlign w:val="bottom"/>
          </w:tcPr>
          <w:p>
            <w:pPr>
              <w:spacing w:after="0"/>
              <w:rPr>
                <w:sz w:val="1"/>
                <w:szCs w:val="1"/>
                <w:color w:val="auto"/>
              </w:rPr>
            </w:pPr>
          </w:p>
        </w:tc>
      </w:tr>
      <w:tr>
        <w:trPr>
          <w:trHeight w:val="223"/>
        </w:trPr>
        <w:tc>
          <w:tcPr>
            <w:tcW w:w="3640" w:type="dxa"/>
            <w:vAlign w:val="bottom"/>
            <w:vMerge w:val="restart"/>
          </w:tcPr>
          <w:p>
            <w:pPr>
              <w:ind w:left="420"/>
              <w:spacing w:after="0"/>
              <w:rPr>
                <w:sz w:val="20"/>
                <w:szCs w:val="20"/>
                <w:color w:val="auto"/>
              </w:rPr>
            </w:pPr>
            <w:r>
              <w:rPr>
                <w:rFonts w:ascii="Arial" w:cs="Arial" w:eastAsia="Arial" w:hAnsi="Arial"/>
                <w:sz w:val="16"/>
                <w:szCs w:val="16"/>
                <w:color w:val="auto"/>
              </w:rPr>
              <w:t>Board Structure</w:t>
            </w:r>
          </w:p>
        </w:tc>
        <w:tc>
          <w:tcPr>
            <w:tcW w:w="200" w:type="dxa"/>
            <w:vAlign w:val="bottom"/>
            <w:tcBorders>
              <w:bottom w:val="single" w:sz="8" w:color="0000FF"/>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640" w:type="dxa"/>
            <w:vAlign w:val="bottom"/>
            <w:vMerge w:val="continue"/>
          </w:tcPr>
          <w:p>
            <w:pPr>
              <w:spacing w:after="0"/>
              <w:rPr>
                <w:sz w:val="16"/>
                <w:szCs w:val="16"/>
                <w:color w:val="auto"/>
              </w:rPr>
            </w:pPr>
          </w:p>
        </w:tc>
        <w:tc>
          <w:tcPr>
            <w:tcW w:w="200" w:type="dxa"/>
            <w:vAlign w:val="bottom"/>
            <w:gridSpan w:val="3"/>
            <w:vMerge w:val="restart"/>
          </w:tcPr>
          <w:p>
            <w:pPr>
              <w:spacing w:after="0"/>
              <w:rPr>
                <w:sz w:val="20"/>
                <w:szCs w:val="20"/>
                <w:color w:val="auto"/>
              </w:rPr>
            </w:pPr>
            <w:r>
              <w:rPr>
                <w:rFonts w:ascii="Arial" w:cs="Arial" w:eastAsia="Arial" w:hAnsi="Arial"/>
                <w:sz w:val="18"/>
                <w:szCs w:val="18"/>
                <w:color w:val="0000FF"/>
                <w:w w:val="89"/>
              </w:rPr>
              <w:t>33</w:t>
            </w:r>
          </w:p>
        </w:tc>
        <w:tc>
          <w:tcPr>
            <w:tcW w:w="0" w:type="dxa"/>
            <w:vAlign w:val="bottom"/>
          </w:tcPr>
          <w:p>
            <w:pPr>
              <w:spacing w:after="0"/>
              <w:rPr>
                <w:sz w:val="1"/>
                <w:szCs w:val="1"/>
                <w:color w:val="auto"/>
              </w:rPr>
            </w:pPr>
          </w:p>
        </w:tc>
      </w:tr>
      <w:tr>
        <w:trPr>
          <w:trHeight w:val="223"/>
        </w:trPr>
        <w:tc>
          <w:tcPr>
            <w:tcW w:w="3640" w:type="dxa"/>
            <w:vAlign w:val="bottom"/>
            <w:vMerge w:val="restart"/>
          </w:tcPr>
          <w:p>
            <w:pPr>
              <w:ind w:left="420"/>
              <w:spacing w:after="0"/>
              <w:rPr>
                <w:sz w:val="20"/>
                <w:szCs w:val="20"/>
                <w:color w:val="auto"/>
              </w:rPr>
            </w:pPr>
            <w:r>
              <w:rPr>
                <w:rFonts w:ascii="Arial" w:cs="Arial" w:eastAsia="Arial" w:hAnsi="Arial"/>
                <w:sz w:val="16"/>
                <w:szCs w:val="16"/>
                <w:color w:val="auto"/>
              </w:rPr>
              <w:t>Governance Practices</w:t>
            </w:r>
          </w:p>
        </w:tc>
        <w:tc>
          <w:tcPr>
            <w:tcW w:w="200" w:type="dxa"/>
            <w:vAlign w:val="bottom"/>
            <w:tcBorders>
              <w:bottom w:val="single" w:sz="8" w:color="0000FF"/>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640" w:type="dxa"/>
            <w:vAlign w:val="bottom"/>
            <w:vMerge w:val="continue"/>
          </w:tcPr>
          <w:p>
            <w:pPr>
              <w:spacing w:after="0"/>
              <w:rPr>
                <w:sz w:val="16"/>
                <w:szCs w:val="16"/>
                <w:color w:val="auto"/>
              </w:rPr>
            </w:pPr>
          </w:p>
        </w:tc>
        <w:tc>
          <w:tcPr>
            <w:tcW w:w="200" w:type="dxa"/>
            <w:vAlign w:val="bottom"/>
            <w:gridSpan w:val="3"/>
            <w:vMerge w:val="restart"/>
          </w:tcPr>
          <w:p>
            <w:pPr>
              <w:spacing w:after="0"/>
              <w:rPr>
                <w:sz w:val="20"/>
                <w:szCs w:val="20"/>
                <w:color w:val="auto"/>
              </w:rPr>
            </w:pPr>
            <w:r>
              <w:rPr>
                <w:rFonts w:ascii="Arial" w:cs="Arial" w:eastAsia="Arial" w:hAnsi="Arial"/>
                <w:sz w:val="18"/>
                <w:szCs w:val="18"/>
                <w:color w:val="0000FF"/>
                <w:w w:val="89"/>
              </w:rPr>
              <w:t>41</w:t>
            </w:r>
          </w:p>
        </w:tc>
        <w:tc>
          <w:tcPr>
            <w:tcW w:w="0" w:type="dxa"/>
            <w:vAlign w:val="bottom"/>
          </w:tcPr>
          <w:p>
            <w:pPr>
              <w:spacing w:after="0"/>
              <w:rPr>
                <w:sz w:val="1"/>
                <w:szCs w:val="1"/>
                <w:color w:val="auto"/>
              </w:rPr>
            </w:pPr>
          </w:p>
        </w:tc>
      </w:tr>
      <w:tr>
        <w:trPr>
          <w:trHeight w:val="223"/>
        </w:trPr>
        <w:tc>
          <w:tcPr>
            <w:tcW w:w="3640" w:type="dxa"/>
            <w:vAlign w:val="bottom"/>
            <w:vMerge w:val="restart"/>
          </w:tcPr>
          <w:p>
            <w:pPr>
              <w:ind w:left="420"/>
              <w:spacing w:after="0"/>
              <w:rPr>
                <w:sz w:val="20"/>
                <w:szCs w:val="20"/>
                <w:color w:val="auto"/>
              </w:rPr>
            </w:pPr>
            <w:r>
              <w:rPr>
                <w:rFonts w:ascii="Arial" w:cs="Arial" w:eastAsia="Arial" w:hAnsi="Arial"/>
                <w:sz w:val="16"/>
                <w:szCs w:val="16"/>
                <w:color w:val="auto"/>
              </w:rPr>
              <w:t>Board Alignment</w:t>
            </w:r>
          </w:p>
        </w:tc>
        <w:tc>
          <w:tcPr>
            <w:tcW w:w="200" w:type="dxa"/>
            <w:vAlign w:val="bottom"/>
            <w:tcBorders>
              <w:bottom w:val="single" w:sz="8" w:color="0000FF"/>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640" w:type="dxa"/>
            <w:vAlign w:val="bottom"/>
            <w:vMerge w:val="continue"/>
          </w:tcPr>
          <w:p>
            <w:pPr>
              <w:spacing w:after="0"/>
              <w:rPr>
                <w:sz w:val="16"/>
                <w:szCs w:val="16"/>
                <w:color w:val="auto"/>
              </w:rPr>
            </w:pPr>
          </w:p>
        </w:tc>
        <w:tc>
          <w:tcPr>
            <w:tcW w:w="200" w:type="dxa"/>
            <w:vAlign w:val="bottom"/>
            <w:gridSpan w:val="3"/>
            <w:vMerge w:val="restart"/>
          </w:tcPr>
          <w:p>
            <w:pPr>
              <w:spacing w:after="0"/>
              <w:rPr>
                <w:sz w:val="20"/>
                <w:szCs w:val="20"/>
                <w:color w:val="auto"/>
              </w:rPr>
            </w:pPr>
            <w:r>
              <w:rPr>
                <w:rFonts w:ascii="Arial" w:cs="Arial" w:eastAsia="Arial" w:hAnsi="Arial"/>
                <w:sz w:val="18"/>
                <w:szCs w:val="18"/>
                <w:color w:val="0000FF"/>
                <w:w w:val="89"/>
              </w:rPr>
              <w:t>46</w:t>
            </w:r>
          </w:p>
        </w:tc>
        <w:tc>
          <w:tcPr>
            <w:tcW w:w="0" w:type="dxa"/>
            <w:vAlign w:val="bottom"/>
          </w:tcPr>
          <w:p>
            <w:pPr>
              <w:spacing w:after="0"/>
              <w:rPr>
                <w:sz w:val="1"/>
                <w:szCs w:val="1"/>
                <w:color w:val="auto"/>
              </w:rPr>
            </w:pPr>
          </w:p>
        </w:tc>
      </w:tr>
      <w:tr>
        <w:trPr>
          <w:trHeight w:val="223"/>
        </w:trPr>
        <w:tc>
          <w:tcPr>
            <w:tcW w:w="3640" w:type="dxa"/>
            <w:vAlign w:val="bottom"/>
          </w:tcPr>
          <w:p>
            <w:pPr>
              <w:ind w:left="420"/>
              <w:spacing w:after="0"/>
              <w:rPr>
                <w:sz w:val="20"/>
                <w:szCs w:val="20"/>
                <w:color w:val="auto"/>
              </w:rPr>
            </w:pPr>
            <w:r>
              <w:rPr>
                <w:rFonts w:ascii="Arial" w:cs="Arial" w:eastAsia="Arial" w:hAnsi="Arial"/>
                <w:sz w:val="16"/>
                <w:szCs w:val="16"/>
                <w:color w:val="auto"/>
              </w:rPr>
              <w:t>Communication with the Board of Directors</w:t>
            </w:r>
          </w:p>
        </w:tc>
        <w:tc>
          <w:tcPr>
            <w:tcW w:w="200" w:type="dxa"/>
            <w:vAlign w:val="bottom"/>
            <w:tcBorders>
              <w:bottom w:val="single" w:sz="8" w:color="0000FF"/>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3640" w:type="dxa"/>
            <w:vAlign w:val="bottom"/>
          </w:tcPr>
          <w:p>
            <w:pPr>
              <w:ind w:left="420"/>
              <w:spacing w:after="0"/>
              <w:rPr>
                <w:sz w:val="20"/>
                <w:szCs w:val="20"/>
                <w:color w:val="auto"/>
              </w:rPr>
            </w:pPr>
            <w:r>
              <w:rPr>
                <w:rFonts w:ascii="Arial" w:cs="Arial" w:eastAsia="Arial" w:hAnsi="Arial"/>
                <w:sz w:val="16"/>
                <w:szCs w:val="16"/>
                <w:color w:val="auto"/>
              </w:rPr>
              <w:t>Shareholder Engagement on Governance</w:t>
            </w:r>
          </w:p>
        </w:tc>
        <w:tc>
          <w:tcPr>
            <w:tcW w:w="20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9"/>
              </w:rPr>
              <w:t>46</w:t>
            </w:r>
          </w:p>
        </w:tc>
        <w:tc>
          <w:tcPr>
            <w:tcW w:w="0" w:type="dxa"/>
            <w:vAlign w:val="bottom"/>
          </w:tcPr>
          <w:p>
            <w:pPr>
              <w:spacing w:after="0"/>
              <w:rPr>
                <w:sz w:val="1"/>
                <w:szCs w:val="1"/>
                <w:color w:val="auto"/>
              </w:rPr>
            </w:pPr>
          </w:p>
        </w:tc>
      </w:tr>
      <w:tr>
        <w:trPr>
          <w:trHeight w:val="195"/>
        </w:trPr>
        <w:tc>
          <w:tcPr>
            <w:tcW w:w="3640" w:type="dxa"/>
            <w:vAlign w:val="bottom"/>
          </w:tcPr>
          <w:p>
            <w:pPr>
              <w:ind w:left="420"/>
              <w:spacing w:after="0"/>
              <w:rPr>
                <w:sz w:val="20"/>
                <w:szCs w:val="20"/>
                <w:color w:val="auto"/>
              </w:rPr>
            </w:pPr>
            <w:r>
              <w:rPr>
                <w:rFonts w:ascii="Arial" w:cs="Arial" w:eastAsia="Arial" w:hAnsi="Arial"/>
                <w:sz w:val="16"/>
                <w:szCs w:val="16"/>
                <w:color w:val="auto"/>
              </w:rPr>
              <w:t>Issues</w:t>
            </w:r>
          </w:p>
        </w:tc>
        <w:tc>
          <w:tcPr>
            <w:tcW w:w="200" w:type="dxa"/>
            <w:vAlign w:val="bottom"/>
            <w:gridSpan w:val="3"/>
            <w:vMerge w:val="restart"/>
          </w:tcPr>
          <w:p>
            <w:pPr>
              <w:spacing w:after="0"/>
              <w:rPr>
                <w:sz w:val="20"/>
                <w:szCs w:val="20"/>
                <w:color w:val="auto"/>
              </w:rPr>
            </w:pPr>
            <w:r>
              <w:rPr>
                <w:rFonts w:ascii="Arial" w:cs="Arial" w:eastAsia="Arial" w:hAnsi="Arial"/>
                <w:sz w:val="18"/>
                <w:szCs w:val="18"/>
                <w:color w:val="0000FF"/>
                <w:w w:val="89"/>
              </w:rPr>
              <w:t>49</w:t>
            </w:r>
          </w:p>
        </w:tc>
        <w:tc>
          <w:tcPr>
            <w:tcW w:w="0" w:type="dxa"/>
            <w:vAlign w:val="bottom"/>
          </w:tcPr>
          <w:p>
            <w:pPr>
              <w:spacing w:after="0"/>
              <w:rPr>
                <w:sz w:val="1"/>
                <w:szCs w:val="1"/>
                <w:color w:val="auto"/>
              </w:rPr>
            </w:pPr>
          </w:p>
        </w:tc>
      </w:tr>
      <w:tr>
        <w:trPr>
          <w:trHeight w:val="236"/>
        </w:trPr>
        <w:tc>
          <w:tcPr>
            <w:tcW w:w="3640" w:type="dxa"/>
            <w:vAlign w:val="bottom"/>
            <w:vMerge w:val="restart"/>
          </w:tcPr>
          <w:p>
            <w:pPr>
              <w:spacing w:after="0"/>
              <w:rPr>
                <w:sz w:val="20"/>
                <w:szCs w:val="20"/>
                <w:color w:val="auto"/>
              </w:rPr>
            </w:pPr>
            <w:r>
              <w:rPr>
                <w:rFonts w:ascii="Arial" w:cs="Arial" w:eastAsia="Arial" w:hAnsi="Arial"/>
                <w:sz w:val="19"/>
                <w:szCs w:val="19"/>
                <w:b w:val="1"/>
                <w:bCs w:val="1"/>
                <w:color w:val="auto"/>
              </w:rPr>
              <w:t>Ownership of Company Stock</w:t>
            </w:r>
          </w:p>
        </w:tc>
        <w:tc>
          <w:tcPr>
            <w:tcW w:w="200" w:type="dxa"/>
            <w:vAlign w:val="bottom"/>
            <w:tcBorders>
              <w:bottom w:val="single" w:sz="8" w:color="0000FF"/>
            </w:tcBorders>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3640" w:type="dxa"/>
            <w:vAlign w:val="bottom"/>
            <w:vMerge w:val="continue"/>
          </w:tcPr>
          <w:p>
            <w:pPr>
              <w:spacing w:after="0"/>
              <w:rPr>
                <w:sz w:val="12"/>
                <w:szCs w:val="12"/>
                <w:color w:val="auto"/>
              </w:rPr>
            </w:pPr>
          </w:p>
        </w:tc>
        <w:tc>
          <w:tcPr>
            <w:tcW w:w="200" w:type="dxa"/>
            <w:vAlign w:val="bottom"/>
            <w:gridSpan w:val="3"/>
            <w:vMerge w:val="restart"/>
          </w:tcPr>
          <w:p>
            <w:pPr>
              <w:spacing w:after="0"/>
              <w:rPr>
                <w:sz w:val="20"/>
                <w:szCs w:val="20"/>
                <w:color w:val="auto"/>
              </w:rPr>
            </w:pPr>
            <w:r>
              <w:rPr>
                <w:rFonts w:ascii="Arial" w:cs="Arial" w:eastAsia="Arial" w:hAnsi="Arial"/>
                <w:sz w:val="18"/>
                <w:szCs w:val="18"/>
                <w:color w:val="0000FF"/>
                <w:w w:val="89"/>
              </w:rPr>
              <w:t>50</w:t>
            </w:r>
          </w:p>
        </w:tc>
        <w:tc>
          <w:tcPr>
            <w:tcW w:w="0" w:type="dxa"/>
            <w:vAlign w:val="bottom"/>
          </w:tcPr>
          <w:p>
            <w:pPr>
              <w:spacing w:after="0"/>
              <w:rPr>
                <w:sz w:val="1"/>
                <w:szCs w:val="1"/>
                <w:color w:val="auto"/>
              </w:rPr>
            </w:pPr>
          </w:p>
        </w:tc>
      </w:tr>
      <w:tr>
        <w:trPr>
          <w:trHeight w:val="286"/>
        </w:trPr>
        <w:tc>
          <w:tcPr>
            <w:tcW w:w="3640" w:type="dxa"/>
            <w:vAlign w:val="bottom"/>
            <w:vMerge w:val="restart"/>
          </w:tcPr>
          <w:p>
            <w:pPr>
              <w:spacing w:after="0"/>
              <w:rPr>
                <w:sz w:val="20"/>
                <w:szCs w:val="20"/>
                <w:color w:val="auto"/>
              </w:rPr>
            </w:pPr>
            <w:r>
              <w:rPr>
                <w:rFonts w:ascii="Arial" w:cs="Arial" w:eastAsia="Arial" w:hAnsi="Arial"/>
                <w:sz w:val="19"/>
                <w:szCs w:val="19"/>
                <w:b w:val="1"/>
                <w:bCs w:val="1"/>
                <w:color w:val="auto"/>
              </w:rPr>
              <w:t>Compensation</w:t>
            </w:r>
          </w:p>
        </w:tc>
        <w:tc>
          <w:tcPr>
            <w:tcW w:w="200" w:type="dxa"/>
            <w:vAlign w:val="bottom"/>
            <w:tcBorders>
              <w:bottom w:val="single" w:sz="8" w:color="0000FF"/>
            </w:tcBorders>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3640" w:type="dxa"/>
            <w:vAlign w:val="bottom"/>
          </w:tcPr>
          <w:p>
            <w:pPr>
              <w:ind w:left="420"/>
              <w:spacing w:after="0"/>
              <w:rPr>
                <w:sz w:val="20"/>
                <w:szCs w:val="20"/>
                <w:color w:val="auto"/>
              </w:rPr>
            </w:pPr>
            <w:r>
              <w:rPr>
                <w:rFonts w:ascii="Arial" w:cs="Arial" w:eastAsia="Arial" w:hAnsi="Arial"/>
                <w:sz w:val="16"/>
                <w:szCs w:val="16"/>
                <w:color w:val="D52B1E"/>
              </w:rPr>
              <w:t>Item 2 - Approval, on an Advisory Basis, of</w:t>
            </w:r>
          </w:p>
        </w:tc>
        <w:tc>
          <w:tcPr>
            <w:tcW w:w="200" w:type="dxa"/>
            <w:vAlign w:val="bottom"/>
            <w:gridSpan w:val="3"/>
            <w:vMerge w:val="restart"/>
          </w:tcPr>
          <w:p>
            <w:pPr>
              <w:spacing w:after="0"/>
              <w:rPr>
                <w:sz w:val="20"/>
                <w:szCs w:val="20"/>
                <w:color w:val="auto"/>
              </w:rPr>
            </w:pPr>
            <w:r>
              <w:rPr>
                <w:rFonts w:ascii="Arial" w:cs="Arial" w:eastAsia="Arial" w:hAnsi="Arial"/>
                <w:sz w:val="18"/>
                <w:szCs w:val="18"/>
                <w:color w:val="0000FF"/>
                <w:w w:val="89"/>
              </w:rPr>
              <w:t>49</w:t>
            </w:r>
          </w:p>
        </w:tc>
        <w:tc>
          <w:tcPr>
            <w:tcW w:w="0" w:type="dxa"/>
            <w:vAlign w:val="bottom"/>
          </w:tcPr>
          <w:p>
            <w:pPr>
              <w:spacing w:after="0"/>
              <w:rPr>
                <w:sz w:val="1"/>
                <w:szCs w:val="1"/>
                <w:color w:val="auto"/>
              </w:rPr>
            </w:pPr>
          </w:p>
        </w:tc>
      </w:tr>
      <w:tr>
        <w:trPr>
          <w:trHeight w:val="195"/>
        </w:trPr>
        <w:tc>
          <w:tcPr>
            <w:tcW w:w="3640" w:type="dxa"/>
            <w:vAlign w:val="bottom"/>
          </w:tcPr>
          <w:p>
            <w:pPr>
              <w:ind w:left="420"/>
              <w:spacing w:after="0"/>
              <w:rPr>
                <w:sz w:val="20"/>
                <w:szCs w:val="20"/>
                <w:color w:val="auto"/>
              </w:rPr>
            </w:pPr>
            <w:r>
              <w:rPr>
                <w:rFonts w:ascii="Arial" w:cs="Arial" w:eastAsia="Arial" w:hAnsi="Arial"/>
                <w:sz w:val="16"/>
                <w:szCs w:val="16"/>
                <w:color w:val="D52B1E"/>
              </w:rPr>
              <w:t>the Compensation Paid to the Company’s</w:t>
            </w:r>
          </w:p>
        </w:tc>
        <w:tc>
          <w:tcPr>
            <w:tcW w:w="200" w:type="dxa"/>
            <w:vAlign w:val="bottom"/>
            <w:tcBorders>
              <w:bottom w:val="single" w:sz="8" w:color="0000FF"/>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40" w:type="dxa"/>
            <w:vAlign w:val="bottom"/>
          </w:tcPr>
          <w:p>
            <w:pPr>
              <w:ind w:left="420"/>
              <w:spacing w:after="0"/>
              <w:rPr>
                <w:sz w:val="20"/>
                <w:szCs w:val="20"/>
                <w:color w:val="auto"/>
              </w:rPr>
            </w:pPr>
            <w:r>
              <w:rPr>
                <w:rFonts w:ascii="Arial" w:cs="Arial" w:eastAsia="Arial" w:hAnsi="Arial"/>
                <w:sz w:val="16"/>
                <w:szCs w:val="16"/>
                <w:color w:val="D52B1E"/>
              </w:rPr>
              <w:t>Named Executive Officers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640" w:type="dxa"/>
            <w:vAlign w:val="bottom"/>
          </w:tcPr>
          <w:p>
            <w:pPr>
              <w:ind w:left="420"/>
              <w:spacing w:after="0"/>
              <w:rPr>
                <w:sz w:val="20"/>
                <w:szCs w:val="20"/>
                <w:color w:val="auto"/>
              </w:rPr>
            </w:pPr>
            <w:r>
              <w:rPr>
                <w:rFonts w:ascii="Arial" w:cs="Arial" w:eastAsia="Arial" w:hAnsi="Arial"/>
                <w:sz w:val="16"/>
                <w:szCs w:val="16"/>
                <w:color w:val="auto"/>
              </w:rPr>
              <w:t>Talent and Compensation Committee</w:t>
            </w:r>
          </w:p>
        </w:tc>
        <w:tc>
          <w:tcPr>
            <w:tcW w:w="20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9"/>
              </w:rPr>
              <w:t>49</w:t>
            </w:r>
          </w:p>
        </w:tc>
        <w:tc>
          <w:tcPr>
            <w:tcW w:w="0" w:type="dxa"/>
            <w:vAlign w:val="bottom"/>
          </w:tcPr>
          <w:p>
            <w:pPr>
              <w:spacing w:after="0"/>
              <w:rPr>
                <w:sz w:val="1"/>
                <w:szCs w:val="1"/>
                <w:color w:val="auto"/>
              </w:rPr>
            </w:pPr>
          </w:p>
        </w:tc>
      </w:tr>
      <w:tr>
        <w:trPr>
          <w:trHeight w:val="195"/>
        </w:trPr>
        <w:tc>
          <w:tcPr>
            <w:tcW w:w="3640" w:type="dxa"/>
            <w:vAlign w:val="bottom"/>
          </w:tcPr>
          <w:p>
            <w:pPr>
              <w:ind w:left="420"/>
              <w:spacing w:after="0"/>
              <w:rPr>
                <w:sz w:val="20"/>
                <w:szCs w:val="20"/>
                <w:color w:val="auto"/>
              </w:rPr>
            </w:pPr>
            <w:r>
              <w:rPr>
                <w:rFonts w:ascii="Arial" w:cs="Arial" w:eastAsia="Arial" w:hAnsi="Arial"/>
                <w:sz w:val="16"/>
                <w:szCs w:val="16"/>
                <w:color w:val="auto"/>
              </w:rPr>
              <w:t>Matters</w:t>
            </w:r>
          </w:p>
        </w:tc>
        <w:tc>
          <w:tcPr>
            <w:tcW w:w="200" w:type="dxa"/>
            <w:vAlign w:val="bottom"/>
            <w:gridSpan w:val="3"/>
            <w:vMerge w:val="restart"/>
          </w:tcPr>
          <w:p>
            <w:pPr>
              <w:spacing w:after="0"/>
              <w:rPr>
                <w:sz w:val="20"/>
                <w:szCs w:val="20"/>
                <w:color w:val="auto"/>
              </w:rPr>
            </w:pPr>
            <w:r>
              <w:rPr>
                <w:rFonts w:ascii="Arial" w:cs="Arial" w:eastAsia="Arial" w:hAnsi="Arial"/>
                <w:sz w:val="18"/>
                <w:szCs w:val="18"/>
                <w:color w:val="0000FF"/>
                <w:w w:val="89"/>
              </w:rPr>
              <w:t>51</w:t>
            </w:r>
          </w:p>
        </w:tc>
        <w:tc>
          <w:tcPr>
            <w:tcW w:w="0" w:type="dxa"/>
            <w:vAlign w:val="bottom"/>
          </w:tcPr>
          <w:p>
            <w:pPr>
              <w:spacing w:after="0"/>
              <w:rPr>
                <w:sz w:val="1"/>
                <w:szCs w:val="1"/>
                <w:color w:val="auto"/>
              </w:rPr>
            </w:pPr>
          </w:p>
        </w:tc>
      </w:tr>
      <w:tr>
        <w:trPr>
          <w:trHeight w:val="222"/>
        </w:trPr>
        <w:tc>
          <w:tcPr>
            <w:tcW w:w="3640" w:type="dxa"/>
            <w:vAlign w:val="bottom"/>
            <w:vMerge w:val="restart"/>
          </w:tcPr>
          <w:p>
            <w:pPr>
              <w:ind w:left="420"/>
              <w:spacing w:after="0"/>
              <w:rPr>
                <w:sz w:val="20"/>
                <w:szCs w:val="20"/>
                <w:color w:val="auto"/>
              </w:rPr>
            </w:pPr>
            <w:r>
              <w:rPr>
                <w:rFonts w:ascii="Arial" w:cs="Arial" w:eastAsia="Arial" w:hAnsi="Arial"/>
                <w:sz w:val="16"/>
                <w:szCs w:val="16"/>
                <w:color w:val="auto"/>
              </w:rPr>
              <w:t>Compensation Discussion and Analysis</w:t>
            </w:r>
          </w:p>
        </w:tc>
        <w:tc>
          <w:tcPr>
            <w:tcW w:w="200" w:type="dxa"/>
            <w:vAlign w:val="bottom"/>
            <w:tcBorders>
              <w:bottom w:val="single" w:sz="8" w:color="0000FF"/>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640" w:type="dxa"/>
            <w:vAlign w:val="bottom"/>
            <w:vMerge w:val="continue"/>
          </w:tcPr>
          <w:p>
            <w:pPr>
              <w:spacing w:after="0"/>
              <w:rPr>
                <w:sz w:val="16"/>
                <w:szCs w:val="16"/>
                <w:color w:val="auto"/>
              </w:rPr>
            </w:pPr>
          </w:p>
        </w:tc>
        <w:tc>
          <w:tcPr>
            <w:tcW w:w="200" w:type="dxa"/>
            <w:vAlign w:val="bottom"/>
            <w:gridSpan w:val="3"/>
            <w:vMerge w:val="restart"/>
          </w:tcPr>
          <w:p>
            <w:pPr>
              <w:spacing w:after="0"/>
              <w:rPr>
                <w:sz w:val="20"/>
                <w:szCs w:val="20"/>
                <w:color w:val="auto"/>
              </w:rPr>
            </w:pPr>
            <w:r>
              <w:rPr>
                <w:rFonts w:ascii="Arial" w:cs="Arial" w:eastAsia="Arial" w:hAnsi="Arial"/>
                <w:sz w:val="18"/>
                <w:szCs w:val="18"/>
                <w:color w:val="0000FF"/>
                <w:w w:val="89"/>
              </w:rPr>
              <w:t>70</w:t>
            </w:r>
          </w:p>
        </w:tc>
        <w:tc>
          <w:tcPr>
            <w:tcW w:w="0" w:type="dxa"/>
            <w:vAlign w:val="bottom"/>
          </w:tcPr>
          <w:p>
            <w:pPr>
              <w:spacing w:after="0"/>
              <w:rPr>
                <w:sz w:val="1"/>
                <w:szCs w:val="1"/>
                <w:color w:val="auto"/>
              </w:rPr>
            </w:pPr>
          </w:p>
        </w:tc>
      </w:tr>
      <w:tr>
        <w:trPr>
          <w:trHeight w:val="223"/>
        </w:trPr>
        <w:tc>
          <w:tcPr>
            <w:tcW w:w="3640" w:type="dxa"/>
            <w:vAlign w:val="bottom"/>
            <w:vMerge w:val="restart"/>
          </w:tcPr>
          <w:p>
            <w:pPr>
              <w:ind w:left="420"/>
              <w:spacing w:after="0"/>
              <w:rPr>
                <w:sz w:val="20"/>
                <w:szCs w:val="20"/>
                <w:color w:val="auto"/>
              </w:rPr>
            </w:pPr>
            <w:r>
              <w:rPr>
                <w:rFonts w:ascii="Arial" w:cs="Arial" w:eastAsia="Arial" w:hAnsi="Arial"/>
                <w:sz w:val="16"/>
                <w:szCs w:val="16"/>
                <w:color w:val="auto"/>
              </w:rPr>
              <w:t>Executive Compensation</w:t>
            </w:r>
          </w:p>
        </w:tc>
        <w:tc>
          <w:tcPr>
            <w:tcW w:w="200" w:type="dxa"/>
            <w:vAlign w:val="bottom"/>
            <w:tcBorders>
              <w:bottom w:val="single" w:sz="8" w:color="0000FF"/>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640" w:type="dxa"/>
            <w:vAlign w:val="bottom"/>
            <w:vMerge w:val="continue"/>
          </w:tcPr>
          <w:p>
            <w:pPr>
              <w:spacing w:after="0"/>
              <w:rPr>
                <w:sz w:val="16"/>
                <w:szCs w:val="16"/>
                <w:color w:val="auto"/>
              </w:rPr>
            </w:pPr>
          </w:p>
        </w:tc>
        <w:tc>
          <w:tcPr>
            <w:tcW w:w="200" w:type="dxa"/>
            <w:vAlign w:val="bottom"/>
            <w:gridSpan w:val="3"/>
            <w:vMerge w:val="restart"/>
          </w:tcPr>
          <w:p>
            <w:pPr>
              <w:spacing w:after="0"/>
              <w:rPr>
                <w:sz w:val="20"/>
                <w:szCs w:val="20"/>
                <w:color w:val="auto"/>
              </w:rPr>
            </w:pPr>
            <w:r>
              <w:rPr>
                <w:rFonts w:ascii="Arial" w:cs="Arial" w:eastAsia="Arial" w:hAnsi="Arial"/>
                <w:sz w:val="18"/>
                <w:szCs w:val="18"/>
                <w:color w:val="0000FF"/>
                <w:w w:val="89"/>
              </w:rPr>
              <w:t>79</w:t>
            </w:r>
          </w:p>
        </w:tc>
        <w:tc>
          <w:tcPr>
            <w:tcW w:w="0" w:type="dxa"/>
            <w:vAlign w:val="bottom"/>
          </w:tcPr>
          <w:p>
            <w:pPr>
              <w:spacing w:after="0"/>
              <w:rPr>
                <w:sz w:val="1"/>
                <w:szCs w:val="1"/>
                <w:color w:val="auto"/>
              </w:rPr>
            </w:pPr>
          </w:p>
        </w:tc>
      </w:tr>
      <w:tr>
        <w:trPr>
          <w:trHeight w:val="223"/>
        </w:trPr>
        <w:tc>
          <w:tcPr>
            <w:tcW w:w="3640" w:type="dxa"/>
            <w:vAlign w:val="bottom"/>
            <w:vMerge w:val="restart"/>
          </w:tcPr>
          <w:p>
            <w:pPr>
              <w:ind w:left="420"/>
              <w:spacing w:after="0"/>
              <w:rPr>
                <w:sz w:val="20"/>
                <w:szCs w:val="20"/>
                <w:color w:val="auto"/>
              </w:rPr>
            </w:pPr>
            <w:r>
              <w:rPr>
                <w:rFonts w:ascii="Arial" w:cs="Arial" w:eastAsia="Arial" w:hAnsi="Arial"/>
                <w:sz w:val="16"/>
                <w:szCs w:val="16"/>
                <w:color w:val="auto"/>
              </w:rPr>
              <w:t>CEO Pay Ratio</w:t>
            </w:r>
          </w:p>
        </w:tc>
        <w:tc>
          <w:tcPr>
            <w:tcW w:w="200" w:type="dxa"/>
            <w:vAlign w:val="bottom"/>
            <w:tcBorders>
              <w:bottom w:val="single" w:sz="8" w:color="0000FF"/>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640" w:type="dxa"/>
            <w:vAlign w:val="bottom"/>
            <w:vMerge w:val="continue"/>
          </w:tcPr>
          <w:p>
            <w:pPr>
              <w:spacing w:after="0"/>
              <w:rPr>
                <w:sz w:val="16"/>
                <w:szCs w:val="16"/>
                <w:color w:val="auto"/>
              </w:rPr>
            </w:pPr>
          </w:p>
        </w:tc>
        <w:tc>
          <w:tcPr>
            <w:tcW w:w="200" w:type="dxa"/>
            <w:vAlign w:val="bottom"/>
            <w:gridSpan w:val="3"/>
            <w:vMerge w:val="restart"/>
          </w:tcPr>
          <w:p>
            <w:pPr>
              <w:spacing w:after="0"/>
              <w:rPr>
                <w:sz w:val="20"/>
                <w:szCs w:val="20"/>
                <w:color w:val="auto"/>
              </w:rPr>
            </w:pPr>
            <w:r>
              <w:rPr>
                <w:rFonts w:ascii="Arial" w:cs="Arial" w:eastAsia="Arial" w:hAnsi="Arial"/>
                <w:sz w:val="18"/>
                <w:szCs w:val="18"/>
                <w:color w:val="0000FF"/>
                <w:w w:val="89"/>
              </w:rPr>
              <w:t>80</w:t>
            </w:r>
          </w:p>
        </w:tc>
        <w:tc>
          <w:tcPr>
            <w:tcW w:w="0" w:type="dxa"/>
            <w:vAlign w:val="bottom"/>
          </w:tcPr>
          <w:p>
            <w:pPr>
              <w:spacing w:after="0"/>
              <w:rPr>
                <w:sz w:val="1"/>
                <w:szCs w:val="1"/>
                <w:color w:val="auto"/>
              </w:rPr>
            </w:pPr>
          </w:p>
        </w:tc>
      </w:tr>
      <w:tr>
        <w:trPr>
          <w:trHeight w:val="223"/>
        </w:trPr>
        <w:tc>
          <w:tcPr>
            <w:tcW w:w="3640" w:type="dxa"/>
            <w:vAlign w:val="bottom"/>
            <w:vMerge w:val="restart"/>
          </w:tcPr>
          <w:p>
            <w:pPr>
              <w:ind w:left="420"/>
              <w:spacing w:after="0"/>
              <w:rPr>
                <w:sz w:val="20"/>
                <w:szCs w:val="20"/>
                <w:color w:val="auto"/>
              </w:rPr>
            </w:pPr>
            <w:r>
              <w:rPr>
                <w:rFonts w:ascii="Arial" w:cs="Arial" w:eastAsia="Arial" w:hAnsi="Arial"/>
                <w:sz w:val="16"/>
                <w:szCs w:val="16"/>
                <w:color w:val="auto"/>
              </w:rPr>
              <w:t>Pay versus Performance</w:t>
            </w:r>
          </w:p>
        </w:tc>
        <w:tc>
          <w:tcPr>
            <w:tcW w:w="200" w:type="dxa"/>
            <w:vAlign w:val="bottom"/>
            <w:tcBorders>
              <w:bottom w:val="single" w:sz="8" w:color="0000FF"/>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640" w:type="dxa"/>
            <w:vAlign w:val="bottom"/>
          </w:tcPr>
          <w:p>
            <w:pPr>
              <w:ind w:left="420"/>
              <w:spacing w:after="0"/>
              <w:rPr>
                <w:sz w:val="20"/>
                <w:szCs w:val="20"/>
                <w:color w:val="auto"/>
              </w:rPr>
            </w:pPr>
            <w:r>
              <w:rPr>
                <w:rFonts w:ascii="Arial" w:cs="Arial" w:eastAsia="Arial" w:hAnsi="Arial"/>
                <w:sz w:val="16"/>
                <w:szCs w:val="16"/>
                <w:color w:val="D52B1E"/>
              </w:rPr>
              <w:t>Item 3 - Advisory Vote on Frequency of</w:t>
            </w:r>
          </w:p>
        </w:tc>
        <w:tc>
          <w:tcPr>
            <w:tcW w:w="200" w:type="dxa"/>
            <w:vAlign w:val="bottom"/>
            <w:gridSpan w:val="3"/>
            <w:vMerge w:val="restart"/>
          </w:tcPr>
          <w:p>
            <w:pPr>
              <w:spacing w:after="0"/>
              <w:rPr>
                <w:sz w:val="20"/>
                <w:szCs w:val="20"/>
                <w:color w:val="auto"/>
              </w:rPr>
            </w:pPr>
            <w:r>
              <w:rPr>
                <w:rFonts w:ascii="Arial" w:cs="Arial" w:eastAsia="Arial" w:hAnsi="Arial"/>
                <w:sz w:val="18"/>
                <w:szCs w:val="18"/>
                <w:color w:val="0000FF"/>
                <w:w w:val="89"/>
              </w:rPr>
              <w:t>84</w:t>
            </w:r>
          </w:p>
        </w:tc>
        <w:tc>
          <w:tcPr>
            <w:tcW w:w="0" w:type="dxa"/>
            <w:vAlign w:val="bottom"/>
          </w:tcPr>
          <w:p>
            <w:pPr>
              <w:spacing w:after="0"/>
              <w:rPr>
                <w:sz w:val="1"/>
                <w:szCs w:val="1"/>
                <w:color w:val="auto"/>
              </w:rPr>
            </w:pPr>
          </w:p>
        </w:tc>
      </w:tr>
      <w:tr>
        <w:trPr>
          <w:trHeight w:val="195"/>
        </w:trPr>
        <w:tc>
          <w:tcPr>
            <w:tcW w:w="3640" w:type="dxa"/>
            <w:vAlign w:val="bottom"/>
          </w:tcPr>
          <w:p>
            <w:pPr>
              <w:ind w:left="420"/>
              <w:spacing w:after="0"/>
              <w:rPr>
                <w:sz w:val="20"/>
                <w:szCs w:val="20"/>
                <w:color w:val="auto"/>
              </w:rPr>
            </w:pPr>
            <w:r>
              <w:rPr>
                <w:rFonts w:ascii="Arial" w:cs="Arial" w:eastAsia="Arial" w:hAnsi="Arial"/>
                <w:sz w:val="16"/>
                <w:szCs w:val="16"/>
                <w:color w:val="D52B1E"/>
              </w:rPr>
              <w:t>Future Advisory Votes on Named Executive</w:t>
            </w:r>
          </w:p>
        </w:tc>
        <w:tc>
          <w:tcPr>
            <w:tcW w:w="200" w:type="dxa"/>
            <w:vAlign w:val="bottom"/>
            <w:tcBorders>
              <w:bottom w:val="single" w:sz="8" w:color="0000FF"/>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40" w:type="dxa"/>
            <w:vAlign w:val="bottom"/>
          </w:tcPr>
          <w:p>
            <w:pPr>
              <w:ind w:left="420"/>
              <w:spacing w:after="0"/>
              <w:rPr>
                <w:sz w:val="20"/>
                <w:szCs w:val="20"/>
                <w:color w:val="auto"/>
              </w:rPr>
            </w:pPr>
            <w:r>
              <w:rPr>
                <w:rFonts w:ascii="Arial" w:cs="Arial" w:eastAsia="Arial" w:hAnsi="Arial"/>
                <w:sz w:val="16"/>
                <w:szCs w:val="16"/>
                <w:color w:val="D52B1E"/>
              </w:rPr>
              <w:t>Officer Compensation</w:t>
            </w:r>
          </w:p>
        </w:tc>
        <w:tc>
          <w:tcPr>
            <w:tcW w:w="200" w:type="dxa"/>
            <w:vAlign w:val="bottom"/>
            <w:gridSpan w:val="3"/>
            <w:vMerge w:val="restart"/>
          </w:tcPr>
          <w:p>
            <w:pPr>
              <w:spacing w:after="0"/>
              <w:rPr>
                <w:sz w:val="20"/>
                <w:szCs w:val="20"/>
                <w:color w:val="auto"/>
              </w:rPr>
            </w:pPr>
            <w:r>
              <w:rPr>
                <w:rFonts w:ascii="Arial" w:cs="Arial" w:eastAsia="Arial" w:hAnsi="Arial"/>
                <w:sz w:val="18"/>
                <w:szCs w:val="18"/>
                <w:color w:val="0000FF"/>
                <w:w w:val="89"/>
              </w:rPr>
              <w:t>86</w:t>
            </w:r>
          </w:p>
        </w:tc>
        <w:tc>
          <w:tcPr>
            <w:tcW w:w="0" w:type="dxa"/>
            <w:vAlign w:val="bottom"/>
          </w:tcPr>
          <w:p>
            <w:pPr>
              <w:spacing w:after="0"/>
              <w:rPr>
                <w:sz w:val="1"/>
                <w:szCs w:val="1"/>
                <w:color w:val="auto"/>
              </w:rPr>
            </w:pPr>
          </w:p>
        </w:tc>
      </w:tr>
      <w:tr>
        <w:trPr>
          <w:trHeight w:val="222"/>
        </w:trPr>
        <w:tc>
          <w:tcPr>
            <w:tcW w:w="3640" w:type="dxa"/>
            <w:vAlign w:val="bottom"/>
            <w:vMerge w:val="restart"/>
          </w:tcPr>
          <w:p>
            <w:pPr>
              <w:spacing w:after="0"/>
              <w:rPr>
                <w:sz w:val="20"/>
                <w:szCs w:val="20"/>
                <w:color w:val="auto"/>
              </w:rPr>
            </w:pPr>
            <w:r>
              <w:rPr>
                <w:rFonts w:ascii="Arial" w:cs="Arial" w:eastAsia="Arial" w:hAnsi="Arial"/>
                <w:sz w:val="19"/>
                <w:szCs w:val="19"/>
                <w:b w:val="1"/>
                <w:bCs w:val="1"/>
                <w:color w:val="auto"/>
              </w:rPr>
              <w:t>Audit Matters</w:t>
            </w:r>
          </w:p>
        </w:tc>
        <w:tc>
          <w:tcPr>
            <w:tcW w:w="200" w:type="dxa"/>
            <w:vAlign w:val="bottom"/>
            <w:tcBorders>
              <w:bottom w:val="single" w:sz="8" w:color="0000FF"/>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6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8"/>
        </w:trPr>
        <w:tc>
          <w:tcPr>
            <w:tcW w:w="3640" w:type="dxa"/>
            <w:vAlign w:val="bottom"/>
          </w:tcPr>
          <w:p>
            <w:pPr>
              <w:ind w:left="420"/>
              <w:spacing w:after="0"/>
              <w:rPr>
                <w:sz w:val="20"/>
                <w:szCs w:val="20"/>
                <w:color w:val="auto"/>
              </w:rPr>
            </w:pPr>
            <w:r>
              <w:rPr>
                <w:rFonts w:ascii="Arial" w:cs="Arial" w:eastAsia="Arial" w:hAnsi="Arial"/>
                <w:sz w:val="16"/>
                <w:szCs w:val="16"/>
                <w:color w:val="D52B1E"/>
              </w:rPr>
              <w:t>Item 4 - Ratification of the Appointment of</w:t>
            </w:r>
          </w:p>
        </w:tc>
        <w:tc>
          <w:tcPr>
            <w:tcW w:w="20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9"/>
              </w:rPr>
              <w:t>84</w:t>
            </w:r>
          </w:p>
        </w:tc>
        <w:tc>
          <w:tcPr>
            <w:tcW w:w="0" w:type="dxa"/>
            <w:vAlign w:val="bottom"/>
          </w:tcPr>
          <w:p>
            <w:pPr>
              <w:spacing w:after="0"/>
              <w:rPr>
                <w:sz w:val="1"/>
                <w:szCs w:val="1"/>
                <w:color w:val="auto"/>
              </w:rPr>
            </w:pPr>
          </w:p>
        </w:tc>
      </w:tr>
      <w:tr>
        <w:trPr>
          <w:trHeight w:val="195"/>
        </w:trPr>
        <w:tc>
          <w:tcPr>
            <w:tcW w:w="3640" w:type="dxa"/>
            <w:vAlign w:val="bottom"/>
          </w:tcPr>
          <w:p>
            <w:pPr>
              <w:ind w:left="420"/>
              <w:spacing w:after="0"/>
              <w:rPr>
                <w:sz w:val="20"/>
                <w:szCs w:val="20"/>
                <w:color w:val="auto"/>
              </w:rPr>
            </w:pPr>
            <w:r>
              <w:rPr>
                <w:rFonts w:ascii="Arial" w:cs="Arial" w:eastAsia="Arial" w:hAnsi="Arial"/>
                <w:sz w:val="16"/>
                <w:szCs w:val="16"/>
                <w:color w:val="D52B1E"/>
              </w:rPr>
              <w:t>the Independent Auditor</w:t>
            </w:r>
          </w:p>
        </w:tc>
        <w:tc>
          <w:tcPr>
            <w:tcW w:w="200" w:type="dxa"/>
            <w:vAlign w:val="bottom"/>
            <w:gridSpan w:val="3"/>
            <w:vMerge w:val="restart"/>
          </w:tcPr>
          <w:p>
            <w:pPr>
              <w:spacing w:after="0"/>
              <w:rPr>
                <w:sz w:val="20"/>
                <w:szCs w:val="20"/>
                <w:color w:val="auto"/>
              </w:rPr>
            </w:pPr>
            <w:r>
              <w:rPr>
                <w:rFonts w:ascii="Arial" w:cs="Arial" w:eastAsia="Arial" w:hAnsi="Arial"/>
                <w:sz w:val="18"/>
                <w:szCs w:val="18"/>
                <w:color w:val="0000FF"/>
                <w:w w:val="89"/>
              </w:rPr>
              <w:t>88</w:t>
            </w:r>
          </w:p>
        </w:tc>
        <w:tc>
          <w:tcPr>
            <w:tcW w:w="0" w:type="dxa"/>
            <w:vAlign w:val="bottom"/>
          </w:tcPr>
          <w:p>
            <w:pPr>
              <w:spacing w:after="0"/>
              <w:rPr>
                <w:sz w:val="1"/>
                <w:szCs w:val="1"/>
                <w:color w:val="auto"/>
              </w:rPr>
            </w:pPr>
          </w:p>
        </w:tc>
      </w:tr>
      <w:tr>
        <w:trPr>
          <w:trHeight w:val="222"/>
        </w:trPr>
        <w:tc>
          <w:tcPr>
            <w:tcW w:w="3640" w:type="dxa"/>
            <w:vAlign w:val="bottom"/>
            <w:vMerge w:val="restart"/>
          </w:tcPr>
          <w:p>
            <w:pPr>
              <w:spacing w:after="0"/>
              <w:rPr>
                <w:sz w:val="20"/>
                <w:szCs w:val="20"/>
                <w:color w:val="auto"/>
              </w:rPr>
            </w:pPr>
            <w:r>
              <w:rPr>
                <w:rFonts w:ascii="Arial" w:cs="Arial" w:eastAsia="Arial" w:hAnsi="Arial"/>
                <w:sz w:val="19"/>
                <w:szCs w:val="19"/>
                <w:b w:val="1"/>
                <w:bCs w:val="1"/>
                <w:color w:val="auto"/>
              </w:rPr>
              <w:t>Management Proposals</w:t>
            </w:r>
          </w:p>
        </w:tc>
        <w:tc>
          <w:tcPr>
            <w:tcW w:w="200" w:type="dxa"/>
            <w:vAlign w:val="bottom"/>
            <w:tcBorders>
              <w:bottom w:val="single" w:sz="8" w:color="0000FF"/>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6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1"/>
        </w:trPr>
        <w:tc>
          <w:tcPr>
            <w:tcW w:w="3640" w:type="dxa"/>
            <w:vAlign w:val="bottom"/>
          </w:tcPr>
          <w:p>
            <w:pPr>
              <w:ind w:left="420"/>
              <w:spacing w:after="0"/>
              <w:rPr>
                <w:sz w:val="20"/>
                <w:szCs w:val="20"/>
                <w:color w:val="auto"/>
              </w:rPr>
            </w:pPr>
            <w:r>
              <w:rPr>
                <w:rFonts w:ascii="Arial" w:cs="Arial" w:eastAsia="Arial" w:hAnsi="Arial"/>
                <w:sz w:val="16"/>
                <w:szCs w:val="16"/>
                <w:color w:val="D52B1E"/>
              </w:rPr>
              <w:t>Item 5 - Proposal to Amend the Company’s</w:t>
            </w:r>
          </w:p>
        </w:tc>
        <w:tc>
          <w:tcPr>
            <w:tcW w:w="200" w:type="dxa"/>
            <w:vAlign w:val="bottom"/>
            <w:gridSpan w:val="3"/>
            <w:vMerge w:val="restart"/>
          </w:tcPr>
          <w:p>
            <w:pPr>
              <w:spacing w:after="0"/>
              <w:rPr>
                <w:sz w:val="20"/>
                <w:szCs w:val="20"/>
                <w:color w:val="auto"/>
              </w:rPr>
            </w:pPr>
            <w:r>
              <w:rPr>
                <w:rFonts w:ascii="Arial" w:cs="Arial" w:eastAsia="Arial" w:hAnsi="Arial"/>
                <w:sz w:val="18"/>
                <w:szCs w:val="18"/>
                <w:color w:val="0000FF"/>
                <w:w w:val="89"/>
              </w:rPr>
              <w:t>87</w:t>
            </w:r>
          </w:p>
        </w:tc>
        <w:tc>
          <w:tcPr>
            <w:tcW w:w="0" w:type="dxa"/>
            <w:vAlign w:val="bottom"/>
          </w:tcPr>
          <w:p>
            <w:pPr>
              <w:spacing w:after="0"/>
              <w:rPr>
                <w:sz w:val="1"/>
                <w:szCs w:val="1"/>
                <w:color w:val="auto"/>
              </w:rPr>
            </w:pPr>
          </w:p>
        </w:tc>
      </w:tr>
      <w:tr>
        <w:trPr>
          <w:trHeight w:val="195"/>
        </w:trPr>
        <w:tc>
          <w:tcPr>
            <w:tcW w:w="3640" w:type="dxa"/>
            <w:vAlign w:val="bottom"/>
          </w:tcPr>
          <w:p>
            <w:pPr>
              <w:ind w:left="420"/>
              <w:spacing w:after="0"/>
              <w:rPr>
                <w:sz w:val="20"/>
                <w:szCs w:val="20"/>
                <w:color w:val="auto"/>
              </w:rPr>
            </w:pPr>
            <w:r>
              <w:rPr>
                <w:rFonts w:ascii="Arial" w:cs="Arial" w:eastAsia="Arial" w:hAnsi="Arial"/>
                <w:sz w:val="16"/>
                <w:szCs w:val="16"/>
                <w:color w:val="D52B1E"/>
              </w:rPr>
              <w:t>Articles of Incorporation to Eliminate the</w:t>
            </w:r>
          </w:p>
        </w:tc>
        <w:tc>
          <w:tcPr>
            <w:tcW w:w="200" w:type="dxa"/>
            <w:vAlign w:val="bottom"/>
            <w:tcBorders>
              <w:bottom w:val="single" w:sz="8" w:color="0000FF"/>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40" w:type="dxa"/>
            <w:vAlign w:val="bottom"/>
          </w:tcPr>
          <w:p>
            <w:pPr>
              <w:ind w:left="420"/>
              <w:spacing w:after="0"/>
              <w:rPr>
                <w:sz w:val="20"/>
                <w:szCs w:val="20"/>
                <w:color w:val="auto"/>
              </w:rPr>
            </w:pPr>
            <w:r>
              <w:rPr>
                <w:rFonts w:ascii="Arial" w:cs="Arial" w:eastAsia="Arial" w:hAnsi="Arial"/>
                <w:sz w:val="16"/>
                <w:szCs w:val="16"/>
                <w:color w:val="D52B1E"/>
              </w:rPr>
              <w:t>Classified Board Structure</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640" w:type="dxa"/>
            <w:vAlign w:val="bottom"/>
          </w:tcPr>
          <w:p>
            <w:pPr>
              <w:ind w:left="420"/>
              <w:spacing w:after="0"/>
              <w:rPr>
                <w:sz w:val="20"/>
                <w:szCs w:val="20"/>
                <w:color w:val="auto"/>
              </w:rPr>
            </w:pPr>
            <w:r>
              <w:rPr>
                <w:rFonts w:ascii="Arial" w:cs="Arial" w:eastAsia="Arial" w:hAnsi="Arial"/>
                <w:sz w:val="16"/>
                <w:szCs w:val="16"/>
                <w:color w:val="D52B1E"/>
              </w:rPr>
              <w:t>Item 6 - Proposal to Amend the Company’s</w:t>
            </w:r>
          </w:p>
        </w:tc>
        <w:tc>
          <w:tcPr>
            <w:tcW w:w="200" w:type="dxa"/>
            <w:vAlign w:val="bottom"/>
            <w:gridSpan w:val="3"/>
            <w:vMerge w:val="restart"/>
          </w:tcPr>
          <w:p>
            <w:pPr>
              <w:spacing w:after="0"/>
              <w:rPr>
                <w:sz w:val="20"/>
                <w:szCs w:val="20"/>
                <w:color w:val="auto"/>
              </w:rPr>
            </w:pPr>
            <w:r>
              <w:rPr>
                <w:rFonts w:ascii="Arial" w:cs="Arial" w:eastAsia="Arial" w:hAnsi="Arial"/>
                <w:sz w:val="18"/>
                <w:szCs w:val="18"/>
                <w:color w:val="0000FF"/>
                <w:w w:val="89"/>
              </w:rPr>
              <w:t>88</w:t>
            </w:r>
          </w:p>
        </w:tc>
        <w:tc>
          <w:tcPr>
            <w:tcW w:w="0" w:type="dxa"/>
            <w:vAlign w:val="bottom"/>
          </w:tcPr>
          <w:p>
            <w:pPr>
              <w:spacing w:after="0"/>
              <w:rPr>
                <w:sz w:val="1"/>
                <w:szCs w:val="1"/>
                <w:color w:val="auto"/>
              </w:rPr>
            </w:pPr>
          </w:p>
        </w:tc>
      </w:tr>
      <w:tr>
        <w:trPr>
          <w:trHeight w:val="195"/>
        </w:trPr>
        <w:tc>
          <w:tcPr>
            <w:tcW w:w="3640" w:type="dxa"/>
            <w:vAlign w:val="bottom"/>
          </w:tcPr>
          <w:p>
            <w:pPr>
              <w:ind w:left="420"/>
              <w:spacing w:after="0"/>
              <w:rPr>
                <w:sz w:val="20"/>
                <w:szCs w:val="20"/>
                <w:color w:val="auto"/>
              </w:rPr>
            </w:pPr>
            <w:r>
              <w:rPr>
                <w:rFonts w:ascii="Arial" w:cs="Arial" w:eastAsia="Arial" w:hAnsi="Arial"/>
                <w:sz w:val="16"/>
                <w:szCs w:val="16"/>
                <w:color w:val="D52B1E"/>
              </w:rPr>
              <w:t>Articles of Incorporation to Eliminate</w:t>
            </w:r>
          </w:p>
        </w:tc>
        <w:tc>
          <w:tcPr>
            <w:tcW w:w="200" w:type="dxa"/>
            <w:vAlign w:val="bottom"/>
            <w:tcBorders>
              <w:bottom w:val="single" w:sz="8" w:color="0000FF"/>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40" w:type="dxa"/>
            <w:vAlign w:val="bottom"/>
          </w:tcPr>
          <w:p>
            <w:pPr>
              <w:ind w:left="420"/>
              <w:spacing w:after="0"/>
              <w:rPr>
                <w:sz w:val="20"/>
                <w:szCs w:val="20"/>
                <w:color w:val="auto"/>
              </w:rPr>
            </w:pPr>
            <w:r>
              <w:rPr>
                <w:rFonts w:ascii="Arial" w:cs="Arial" w:eastAsia="Arial" w:hAnsi="Arial"/>
                <w:sz w:val="16"/>
                <w:szCs w:val="16"/>
                <w:color w:val="D52B1E"/>
              </w:rPr>
              <w:t>Supermajority Voting Provisions</w:t>
            </w:r>
          </w:p>
        </w:tc>
        <w:tc>
          <w:tcPr>
            <w:tcW w:w="200" w:type="dxa"/>
            <w:vAlign w:val="bottom"/>
            <w:gridSpan w:val="3"/>
            <w:vMerge w:val="restart"/>
          </w:tcPr>
          <w:p>
            <w:pPr>
              <w:spacing w:after="0"/>
              <w:rPr>
                <w:sz w:val="20"/>
                <w:szCs w:val="20"/>
                <w:color w:val="auto"/>
              </w:rPr>
            </w:pPr>
            <w:r>
              <w:rPr>
                <w:rFonts w:ascii="Arial" w:cs="Arial" w:eastAsia="Arial" w:hAnsi="Arial"/>
                <w:sz w:val="18"/>
                <w:szCs w:val="18"/>
                <w:color w:val="0000FF"/>
                <w:w w:val="89"/>
              </w:rPr>
              <w:t>91</w:t>
            </w:r>
          </w:p>
        </w:tc>
        <w:tc>
          <w:tcPr>
            <w:tcW w:w="0" w:type="dxa"/>
            <w:vAlign w:val="bottom"/>
          </w:tcPr>
          <w:p>
            <w:pPr>
              <w:spacing w:after="0"/>
              <w:rPr>
                <w:sz w:val="1"/>
                <w:szCs w:val="1"/>
                <w:color w:val="auto"/>
              </w:rPr>
            </w:pPr>
          </w:p>
        </w:tc>
      </w:tr>
      <w:tr>
        <w:trPr>
          <w:trHeight w:val="222"/>
        </w:trPr>
        <w:tc>
          <w:tcPr>
            <w:tcW w:w="3640" w:type="dxa"/>
            <w:vAlign w:val="bottom"/>
            <w:vMerge w:val="restart"/>
          </w:tcPr>
          <w:p>
            <w:pPr>
              <w:spacing w:after="0"/>
              <w:rPr>
                <w:sz w:val="20"/>
                <w:szCs w:val="20"/>
                <w:color w:val="auto"/>
              </w:rPr>
            </w:pPr>
            <w:r>
              <w:rPr>
                <w:rFonts w:ascii="Arial" w:cs="Arial" w:eastAsia="Arial" w:hAnsi="Arial"/>
                <w:sz w:val="19"/>
                <w:szCs w:val="19"/>
                <w:b w:val="1"/>
                <w:bCs w:val="1"/>
                <w:color w:val="auto"/>
              </w:rPr>
              <w:t>Shareholder Proposals</w:t>
            </w:r>
          </w:p>
        </w:tc>
        <w:tc>
          <w:tcPr>
            <w:tcW w:w="200" w:type="dxa"/>
            <w:vAlign w:val="bottom"/>
            <w:tcBorders>
              <w:bottom w:val="single" w:sz="8" w:color="0000FF"/>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6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3640" w:type="dxa"/>
            <w:vAlign w:val="bottom"/>
          </w:tcPr>
          <w:p>
            <w:pPr>
              <w:ind w:left="420"/>
              <w:spacing w:after="0"/>
              <w:rPr>
                <w:sz w:val="20"/>
                <w:szCs w:val="20"/>
                <w:color w:val="auto"/>
              </w:rPr>
            </w:pPr>
            <w:r>
              <w:rPr>
                <w:rFonts w:ascii="Arial" w:cs="Arial" w:eastAsia="Arial" w:hAnsi="Arial"/>
                <w:sz w:val="16"/>
                <w:szCs w:val="16"/>
                <w:color w:val="D52B1E"/>
              </w:rPr>
              <w:t>Item 7 - Proposal to Publish an Annual</w:t>
            </w:r>
          </w:p>
        </w:tc>
        <w:tc>
          <w:tcPr>
            <w:tcW w:w="200" w:type="dxa"/>
            <w:vAlign w:val="bottom"/>
            <w:gridSpan w:val="3"/>
            <w:vMerge w:val="restart"/>
          </w:tcPr>
          <w:p>
            <w:pPr>
              <w:spacing w:after="0"/>
              <w:rPr>
                <w:sz w:val="20"/>
                <w:szCs w:val="20"/>
                <w:color w:val="auto"/>
              </w:rPr>
            </w:pPr>
            <w:r>
              <w:rPr>
                <w:rFonts w:ascii="Arial" w:cs="Arial" w:eastAsia="Arial" w:hAnsi="Arial"/>
                <w:sz w:val="18"/>
                <w:szCs w:val="18"/>
                <w:color w:val="0000FF"/>
                <w:w w:val="89"/>
              </w:rPr>
              <w:t>91</w:t>
            </w:r>
          </w:p>
        </w:tc>
        <w:tc>
          <w:tcPr>
            <w:tcW w:w="0" w:type="dxa"/>
            <w:vAlign w:val="bottom"/>
          </w:tcPr>
          <w:p>
            <w:pPr>
              <w:spacing w:after="0"/>
              <w:rPr>
                <w:sz w:val="1"/>
                <w:szCs w:val="1"/>
                <w:color w:val="auto"/>
              </w:rPr>
            </w:pPr>
          </w:p>
        </w:tc>
      </w:tr>
      <w:tr>
        <w:trPr>
          <w:trHeight w:val="168"/>
        </w:trPr>
        <w:tc>
          <w:tcPr>
            <w:tcW w:w="3640" w:type="dxa"/>
            <w:vAlign w:val="bottom"/>
          </w:tcPr>
          <w:p>
            <w:pPr>
              <w:ind w:left="420"/>
              <w:spacing w:after="0" w:line="143" w:lineRule="exact"/>
              <w:rPr>
                <w:sz w:val="20"/>
                <w:szCs w:val="20"/>
                <w:color w:val="auto"/>
              </w:rPr>
            </w:pPr>
            <w:r>
              <w:rPr>
                <w:rFonts w:ascii="Arial" w:cs="Arial" w:eastAsia="Arial" w:hAnsi="Arial"/>
                <w:sz w:val="16"/>
                <w:szCs w:val="16"/>
                <w:color w:val="D52B1E"/>
              </w:rPr>
              <w:t>Report Disclosing Lobbying Activities</w:t>
            </w:r>
          </w:p>
        </w:tc>
        <w:tc>
          <w:tcPr>
            <w:tcW w:w="200" w:type="dxa"/>
            <w:vAlign w:val="bottom"/>
            <w:tcBorders>
              <w:bottom w:val="single" w:sz="8" w:color="0000FF"/>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ind w:left="400"/>
              <w:spacing w:after="0"/>
              <w:rPr>
                <w:sz w:val="20"/>
                <w:szCs w:val="20"/>
                <w:color w:val="auto"/>
              </w:rPr>
            </w:pPr>
            <w:r>
              <w:rPr>
                <w:rFonts w:ascii="Arial" w:cs="Arial" w:eastAsia="Arial" w:hAnsi="Arial"/>
                <w:sz w:val="16"/>
                <w:szCs w:val="16"/>
                <w:color w:val="D52B1E"/>
              </w:rPr>
              <w:t>Item 8 - Proposal to Eliminate Supermajority</w:t>
            </w:r>
          </w:p>
        </w:tc>
        <w:tc>
          <w:tcPr>
            <w:tcW w:w="280" w:type="dxa"/>
            <w:vAlign w:val="bottom"/>
            <w:gridSpan w:val="2"/>
            <w:vMerge w:val="restart"/>
          </w:tcPr>
          <w:p>
            <w:pPr>
              <w:spacing w:after="0"/>
              <w:rPr>
                <w:sz w:val="20"/>
                <w:szCs w:val="20"/>
                <w:color w:val="auto"/>
              </w:rPr>
            </w:pPr>
            <w:r>
              <w:rPr>
                <w:rFonts w:ascii="Arial" w:cs="Arial" w:eastAsia="Arial" w:hAnsi="Arial"/>
                <w:sz w:val="18"/>
                <w:szCs w:val="18"/>
                <w:color w:val="0000FF"/>
              </w:rPr>
              <w:t>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3660" w:type="dxa"/>
            <w:vAlign w:val="bottom"/>
          </w:tcPr>
          <w:p>
            <w:pPr>
              <w:ind w:left="400"/>
              <w:spacing w:after="0" w:line="143" w:lineRule="exact"/>
              <w:rPr>
                <w:sz w:val="20"/>
                <w:szCs w:val="20"/>
                <w:color w:val="auto"/>
              </w:rPr>
            </w:pPr>
            <w:r>
              <w:rPr>
                <w:rFonts w:ascii="Arial" w:cs="Arial" w:eastAsia="Arial" w:hAnsi="Arial"/>
                <w:sz w:val="16"/>
                <w:szCs w:val="16"/>
                <w:color w:val="D52B1E"/>
              </w:rPr>
              <w:t>Voting Requirements</w:t>
            </w:r>
          </w:p>
        </w:tc>
        <w:tc>
          <w:tcPr>
            <w:tcW w:w="2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3660" w:type="dxa"/>
            <w:vAlign w:val="bottom"/>
          </w:tcPr>
          <w:p>
            <w:pPr>
              <w:ind w:left="400"/>
              <w:spacing w:after="0"/>
              <w:rPr>
                <w:sz w:val="20"/>
                <w:szCs w:val="20"/>
                <w:color w:val="auto"/>
              </w:rPr>
            </w:pPr>
            <w:r>
              <w:rPr>
                <w:rFonts w:ascii="Arial" w:cs="Arial" w:eastAsia="Arial" w:hAnsi="Arial"/>
                <w:sz w:val="16"/>
                <w:szCs w:val="16"/>
                <w:color w:val="D52B1E"/>
              </w:rPr>
              <w:t>Item 9 - Proposal to Establish and Report on</w:t>
            </w:r>
          </w:p>
        </w:tc>
        <w:tc>
          <w:tcPr>
            <w:tcW w:w="2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660" w:type="dxa"/>
            <w:vAlign w:val="bottom"/>
          </w:tcPr>
          <w:p>
            <w:pPr>
              <w:ind w:left="400"/>
              <w:spacing w:after="0"/>
              <w:rPr>
                <w:sz w:val="20"/>
                <w:szCs w:val="20"/>
                <w:color w:val="auto"/>
              </w:rPr>
            </w:pPr>
            <w:r>
              <w:rPr>
                <w:rFonts w:ascii="Arial" w:cs="Arial" w:eastAsia="Arial" w:hAnsi="Arial"/>
                <w:sz w:val="16"/>
                <w:szCs w:val="16"/>
                <w:color w:val="D52B1E"/>
              </w:rPr>
              <w:t>a Process by which the Impact of Extended</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400"/>
              <w:spacing w:after="0"/>
              <w:rPr>
                <w:sz w:val="20"/>
                <w:szCs w:val="20"/>
                <w:color w:val="auto"/>
              </w:rPr>
            </w:pPr>
            <w:r>
              <w:rPr>
                <w:rFonts w:ascii="Arial" w:cs="Arial" w:eastAsia="Arial" w:hAnsi="Arial"/>
                <w:sz w:val="16"/>
                <w:szCs w:val="16"/>
                <w:color w:val="D52B1E"/>
              </w:rPr>
              <w:t>Patent Exclusivities on Product Access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60" w:type="dxa"/>
            <w:vAlign w:val="bottom"/>
          </w:tcPr>
          <w:p>
            <w:pPr>
              <w:ind w:left="400"/>
              <w:spacing w:after="0"/>
              <w:rPr>
                <w:sz w:val="20"/>
                <w:szCs w:val="20"/>
                <w:color w:val="auto"/>
              </w:rPr>
            </w:pPr>
            <w:r>
              <w:rPr>
                <w:rFonts w:ascii="Arial" w:cs="Arial" w:eastAsia="Arial" w:hAnsi="Arial"/>
                <w:sz w:val="16"/>
                <w:szCs w:val="16"/>
                <w:color w:val="D52B1E"/>
              </w:rPr>
              <w:t>Would be Considered in Deciding Whether</w:t>
            </w:r>
          </w:p>
        </w:tc>
        <w:tc>
          <w:tcPr>
            <w:tcW w:w="280" w:type="dxa"/>
            <w:vAlign w:val="bottom"/>
            <w:gridSpan w:val="2"/>
            <w:vMerge w:val="restart"/>
          </w:tcPr>
          <w:p>
            <w:pPr>
              <w:spacing w:after="0"/>
              <w:rPr>
                <w:sz w:val="20"/>
                <w:szCs w:val="20"/>
                <w:color w:val="auto"/>
              </w:rPr>
            </w:pPr>
            <w:r>
              <w:rPr>
                <w:rFonts w:ascii="Arial" w:cs="Arial" w:eastAsia="Arial" w:hAnsi="Arial"/>
                <w:sz w:val="18"/>
                <w:szCs w:val="18"/>
                <w:color w:val="0000FF"/>
              </w:rPr>
              <w:t>95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660" w:type="dxa"/>
            <w:vAlign w:val="bottom"/>
          </w:tcPr>
          <w:p>
            <w:pPr>
              <w:ind w:left="400"/>
              <w:spacing w:after="0" w:line="143" w:lineRule="exact"/>
              <w:rPr>
                <w:sz w:val="20"/>
                <w:szCs w:val="20"/>
                <w:color w:val="auto"/>
              </w:rPr>
            </w:pPr>
            <w:r>
              <w:rPr>
                <w:rFonts w:ascii="Arial" w:cs="Arial" w:eastAsia="Arial" w:hAnsi="Arial"/>
                <w:sz w:val="16"/>
                <w:szCs w:val="16"/>
                <w:color w:val="D52B1E"/>
              </w:rPr>
              <w:t>to Apply for Secondary and Tertiary Patents</w:t>
            </w:r>
          </w:p>
        </w:tc>
        <w:tc>
          <w:tcPr>
            <w:tcW w:w="2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ind w:left="400"/>
              <w:spacing w:after="0"/>
              <w:rPr>
                <w:sz w:val="20"/>
                <w:szCs w:val="20"/>
                <w:color w:val="auto"/>
              </w:rPr>
            </w:pPr>
            <w:r>
              <w:rPr>
                <w:rFonts w:ascii="Arial" w:cs="Arial" w:eastAsia="Arial" w:hAnsi="Arial"/>
                <w:sz w:val="16"/>
                <w:szCs w:val="16"/>
                <w:color w:val="D52B1E"/>
              </w:rPr>
              <w:t>Item 10 - Proposal to Report on Risks of</w:t>
            </w: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3660" w:type="dxa"/>
            <w:vAlign w:val="bottom"/>
            <w:vMerge w:val="continue"/>
          </w:tcPr>
          <w:p>
            <w:pPr>
              <w:spacing w:after="0"/>
              <w:rPr>
                <w:sz w:val="24"/>
                <w:szCs w:val="24"/>
                <w:color w:val="auto"/>
              </w:rPr>
            </w:pPr>
          </w:p>
        </w:tc>
        <w:tc>
          <w:tcPr>
            <w:tcW w:w="280" w:type="dxa"/>
            <w:vAlign w:val="bottom"/>
            <w:gridSpan w:val="2"/>
            <w:vMerge w:val="restart"/>
          </w:tcPr>
          <w:p>
            <w:pPr>
              <w:spacing w:after="0"/>
              <w:rPr>
                <w:sz w:val="20"/>
                <w:szCs w:val="20"/>
                <w:color w:val="auto"/>
              </w:rPr>
            </w:pPr>
            <w:r>
              <w:rPr>
                <w:rFonts w:ascii="Arial" w:cs="Arial" w:eastAsia="Arial" w:hAnsi="Arial"/>
                <w:sz w:val="18"/>
                <w:szCs w:val="18"/>
                <w:color w:val="0000FF"/>
              </w:rPr>
              <w:t>98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3660" w:type="dxa"/>
            <w:vAlign w:val="bottom"/>
          </w:tcPr>
          <w:p>
            <w:pPr>
              <w:ind w:left="400"/>
              <w:spacing w:after="0" w:line="143" w:lineRule="exact"/>
              <w:rPr>
                <w:sz w:val="20"/>
                <w:szCs w:val="20"/>
                <w:color w:val="auto"/>
              </w:rPr>
            </w:pPr>
            <w:r>
              <w:rPr>
                <w:rFonts w:ascii="Arial" w:cs="Arial" w:eastAsia="Arial" w:hAnsi="Arial"/>
                <w:sz w:val="16"/>
                <w:szCs w:val="16"/>
                <w:color w:val="D52B1E"/>
              </w:rPr>
              <w:t>Supporting Abortion</w:t>
            </w:r>
          </w:p>
        </w:tc>
        <w:tc>
          <w:tcPr>
            <w:tcW w:w="2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3660" w:type="dxa"/>
            <w:vAlign w:val="bottom"/>
          </w:tcPr>
          <w:p>
            <w:pPr>
              <w:ind w:left="400"/>
              <w:spacing w:after="0"/>
              <w:rPr>
                <w:sz w:val="20"/>
                <w:szCs w:val="20"/>
                <w:color w:val="auto"/>
              </w:rPr>
            </w:pPr>
            <w:r>
              <w:rPr>
                <w:rFonts w:ascii="Arial" w:cs="Arial" w:eastAsia="Arial" w:hAnsi="Arial"/>
                <w:sz w:val="16"/>
                <w:szCs w:val="16"/>
                <w:color w:val="D52B1E"/>
              </w:rPr>
              <w:t>Item 11 - Proposal to Disclose Lobbying</w:t>
            </w:r>
          </w:p>
        </w:tc>
        <w:tc>
          <w:tcPr>
            <w:tcW w:w="2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660" w:type="dxa"/>
            <w:vAlign w:val="bottom"/>
          </w:tcPr>
          <w:p>
            <w:pPr>
              <w:ind w:left="400"/>
              <w:spacing w:after="0"/>
              <w:rPr>
                <w:sz w:val="20"/>
                <w:szCs w:val="20"/>
                <w:color w:val="auto"/>
              </w:rPr>
            </w:pPr>
            <w:r>
              <w:rPr>
                <w:rFonts w:ascii="Arial" w:cs="Arial" w:eastAsia="Arial" w:hAnsi="Arial"/>
                <w:sz w:val="16"/>
                <w:szCs w:val="16"/>
                <w:color w:val="D52B1E"/>
              </w:rPr>
              <w:t>Activities and Alignment with Public Policy</w:t>
            </w:r>
          </w:p>
        </w:tc>
        <w:tc>
          <w:tcPr>
            <w:tcW w:w="280" w:type="dxa"/>
            <w:vAlign w:val="bottom"/>
            <w:gridSpan w:val="2"/>
            <w:vMerge w:val="restart"/>
          </w:tcPr>
          <w:p>
            <w:pPr>
              <w:spacing w:after="0"/>
              <w:rPr>
                <w:sz w:val="20"/>
                <w:szCs w:val="20"/>
                <w:color w:val="auto"/>
              </w:rPr>
            </w:pPr>
            <w:r>
              <w:rPr>
                <w:rFonts w:ascii="Arial" w:cs="Arial" w:eastAsia="Arial" w:hAnsi="Arial"/>
                <w:sz w:val="18"/>
                <w:szCs w:val="18"/>
                <w:color w:val="0000FF"/>
              </w:rPr>
              <w:t>99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660" w:type="dxa"/>
            <w:vAlign w:val="bottom"/>
          </w:tcPr>
          <w:p>
            <w:pPr>
              <w:ind w:left="400"/>
              <w:spacing w:after="0" w:line="143" w:lineRule="exact"/>
              <w:rPr>
                <w:sz w:val="20"/>
                <w:szCs w:val="20"/>
                <w:color w:val="auto"/>
              </w:rPr>
            </w:pPr>
            <w:r>
              <w:rPr>
                <w:rFonts w:ascii="Arial" w:cs="Arial" w:eastAsia="Arial" w:hAnsi="Arial"/>
                <w:sz w:val="16"/>
                <w:szCs w:val="16"/>
                <w:color w:val="D52B1E"/>
              </w:rPr>
              <w:t>Positions and Statements</w:t>
            </w:r>
          </w:p>
        </w:tc>
        <w:tc>
          <w:tcPr>
            <w:tcW w:w="2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3660" w:type="dxa"/>
            <w:vAlign w:val="bottom"/>
          </w:tcPr>
          <w:p>
            <w:pPr>
              <w:ind w:left="400"/>
              <w:spacing w:after="0"/>
              <w:rPr>
                <w:sz w:val="20"/>
                <w:szCs w:val="20"/>
                <w:color w:val="auto"/>
              </w:rPr>
            </w:pPr>
            <w:r>
              <w:rPr>
                <w:rFonts w:ascii="Arial" w:cs="Arial" w:eastAsia="Arial" w:hAnsi="Arial"/>
                <w:sz w:val="16"/>
                <w:szCs w:val="16"/>
                <w:color w:val="D52B1E"/>
              </w:rPr>
              <w:t>Item 12 - Proposal to Report on</w:t>
            </w:r>
          </w:p>
        </w:tc>
        <w:tc>
          <w:tcPr>
            <w:tcW w:w="2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660" w:type="dxa"/>
            <w:vAlign w:val="bottom"/>
          </w:tcPr>
          <w:p>
            <w:pPr>
              <w:ind w:left="400"/>
              <w:spacing w:after="0"/>
              <w:rPr>
                <w:sz w:val="20"/>
                <w:szCs w:val="20"/>
                <w:color w:val="auto"/>
              </w:rPr>
            </w:pPr>
            <w:r>
              <w:rPr>
                <w:rFonts w:ascii="Arial" w:cs="Arial" w:eastAsia="Arial" w:hAnsi="Arial"/>
                <w:sz w:val="16"/>
                <w:szCs w:val="16"/>
                <w:color w:val="D52B1E"/>
              </w:rPr>
              <w:t>Effectiveness of the Company’s Diversity,</w:t>
            </w:r>
          </w:p>
        </w:tc>
        <w:tc>
          <w:tcPr>
            <w:tcW w:w="300" w:type="dxa"/>
            <w:vAlign w:val="bottom"/>
            <w:gridSpan w:val="3"/>
            <w:vMerge w:val="restart"/>
          </w:tcPr>
          <w:p>
            <w:pPr>
              <w:spacing w:after="0"/>
              <w:rPr>
                <w:sz w:val="20"/>
                <w:szCs w:val="20"/>
                <w:color w:val="auto"/>
              </w:rPr>
            </w:pPr>
            <w:r>
              <w:rPr>
                <w:rFonts w:ascii="Arial" w:cs="Arial" w:eastAsia="Arial" w:hAnsi="Arial"/>
                <w:sz w:val="18"/>
                <w:szCs w:val="18"/>
                <w:color w:val="0000FF"/>
                <w:w w:val="93"/>
              </w:rPr>
              <w:t>103</w:t>
            </w:r>
          </w:p>
        </w:tc>
        <w:tc>
          <w:tcPr>
            <w:tcW w:w="0" w:type="dxa"/>
            <w:vAlign w:val="bottom"/>
          </w:tcPr>
          <w:p>
            <w:pPr>
              <w:spacing w:after="0"/>
              <w:rPr>
                <w:sz w:val="1"/>
                <w:szCs w:val="1"/>
                <w:color w:val="auto"/>
              </w:rPr>
            </w:pPr>
          </w:p>
        </w:tc>
      </w:tr>
      <w:tr>
        <w:trPr>
          <w:trHeight w:val="168"/>
        </w:trPr>
        <w:tc>
          <w:tcPr>
            <w:tcW w:w="3660" w:type="dxa"/>
            <w:vAlign w:val="bottom"/>
          </w:tcPr>
          <w:p>
            <w:pPr>
              <w:ind w:left="400"/>
              <w:spacing w:after="0" w:line="143" w:lineRule="exact"/>
              <w:rPr>
                <w:sz w:val="20"/>
                <w:szCs w:val="20"/>
                <w:color w:val="auto"/>
              </w:rPr>
            </w:pPr>
            <w:r>
              <w:rPr>
                <w:rFonts w:ascii="Arial" w:cs="Arial" w:eastAsia="Arial" w:hAnsi="Arial"/>
                <w:sz w:val="16"/>
                <w:szCs w:val="16"/>
                <w:color w:val="D52B1E"/>
              </w:rPr>
              <w:t>Equity, and Inclusion Efforts</w:t>
            </w:r>
          </w:p>
        </w:tc>
        <w:tc>
          <w:tcPr>
            <w:tcW w:w="300" w:type="dxa"/>
            <w:vAlign w:val="bottom"/>
            <w:tcBorders>
              <w:bottom w:val="single" w:sz="8" w:color="0000FF"/>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3660" w:type="dxa"/>
            <w:vAlign w:val="bottom"/>
          </w:tcPr>
          <w:p>
            <w:pPr>
              <w:ind w:left="400"/>
              <w:spacing w:after="0"/>
              <w:rPr>
                <w:sz w:val="20"/>
                <w:szCs w:val="20"/>
                <w:color w:val="auto"/>
              </w:rPr>
            </w:pPr>
            <w:r>
              <w:rPr>
                <w:rFonts w:ascii="Arial" w:cs="Arial" w:eastAsia="Arial" w:hAnsi="Arial"/>
                <w:sz w:val="16"/>
                <w:szCs w:val="16"/>
                <w:color w:val="D52B1E"/>
              </w:rPr>
              <w:t>Item 13 - Proposal to Adopt a Policy to</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660" w:type="dxa"/>
            <w:vAlign w:val="bottom"/>
          </w:tcPr>
          <w:p>
            <w:pPr>
              <w:ind w:left="400"/>
              <w:spacing w:after="0"/>
              <w:rPr>
                <w:sz w:val="20"/>
                <w:szCs w:val="20"/>
                <w:color w:val="auto"/>
              </w:rPr>
            </w:pPr>
            <w:r>
              <w:rPr>
                <w:rFonts w:ascii="Arial" w:cs="Arial" w:eastAsia="Arial" w:hAnsi="Arial"/>
                <w:sz w:val="16"/>
                <w:szCs w:val="16"/>
                <w:color w:val="D52B1E"/>
              </w:rPr>
              <w:t>Require Certain Third-Party Organizations to</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400"/>
              <w:spacing w:after="0"/>
              <w:rPr>
                <w:sz w:val="20"/>
                <w:szCs w:val="20"/>
                <w:color w:val="auto"/>
              </w:rPr>
            </w:pPr>
            <w:r>
              <w:rPr>
                <w:rFonts w:ascii="Arial" w:cs="Arial" w:eastAsia="Arial" w:hAnsi="Arial"/>
                <w:sz w:val="16"/>
                <w:szCs w:val="16"/>
                <w:color w:val="D52B1E"/>
              </w:rPr>
              <w:t>Annually Report Expenditures for Political</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60" w:type="dxa"/>
            <w:vAlign w:val="bottom"/>
          </w:tcPr>
          <w:p>
            <w:pPr>
              <w:ind w:left="400"/>
              <w:spacing w:after="0"/>
              <w:rPr>
                <w:sz w:val="20"/>
                <w:szCs w:val="20"/>
                <w:color w:val="auto"/>
              </w:rPr>
            </w:pPr>
            <w:r>
              <w:rPr>
                <w:rFonts w:ascii="Arial" w:cs="Arial" w:eastAsia="Arial" w:hAnsi="Arial"/>
                <w:sz w:val="16"/>
                <w:szCs w:val="16"/>
                <w:color w:val="D52B1E"/>
              </w:rPr>
              <w:t>Activities before Lilly Contributes to an</w:t>
            </w:r>
          </w:p>
        </w:tc>
        <w:tc>
          <w:tcPr>
            <w:tcW w:w="300" w:type="dxa"/>
            <w:vAlign w:val="bottom"/>
            <w:gridSpan w:val="3"/>
            <w:vMerge w:val="restart"/>
          </w:tcPr>
          <w:p>
            <w:pPr>
              <w:spacing w:after="0"/>
              <w:rPr>
                <w:sz w:val="20"/>
                <w:szCs w:val="20"/>
                <w:color w:val="auto"/>
              </w:rPr>
            </w:pPr>
            <w:r>
              <w:rPr>
                <w:rFonts w:ascii="Arial" w:cs="Arial" w:eastAsia="Arial" w:hAnsi="Arial"/>
                <w:sz w:val="18"/>
                <w:szCs w:val="18"/>
                <w:color w:val="0000FF"/>
                <w:w w:val="93"/>
              </w:rPr>
              <w:t>104</w:t>
            </w:r>
          </w:p>
        </w:tc>
        <w:tc>
          <w:tcPr>
            <w:tcW w:w="0" w:type="dxa"/>
            <w:vAlign w:val="bottom"/>
          </w:tcPr>
          <w:p>
            <w:pPr>
              <w:spacing w:after="0"/>
              <w:rPr>
                <w:sz w:val="1"/>
                <w:szCs w:val="1"/>
                <w:color w:val="auto"/>
              </w:rPr>
            </w:pPr>
          </w:p>
        </w:tc>
      </w:tr>
      <w:tr>
        <w:trPr>
          <w:trHeight w:val="168"/>
        </w:trPr>
        <w:tc>
          <w:tcPr>
            <w:tcW w:w="3660" w:type="dxa"/>
            <w:vAlign w:val="bottom"/>
          </w:tcPr>
          <w:p>
            <w:pPr>
              <w:ind w:left="400"/>
              <w:spacing w:after="0" w:line="143" w:lineRule="exact"/>
              <w:rPr>
                <w:sz w:val="20"/>
                <w:szCs w:val="20"/>
                <w:color w:val="auto"/>
              </w:rPr>
            </w:pPr>
            <w:r>
              <w:rPr>
                <w:rFonts w:ascii="Arial" w:cs="Arial" w:eastAsia="Arial" w:hAnsi="Arial"/>
                <w:sz w:val="16"/>
                <w:szCs w:val="16"/>
                <w:color w:val="D52B1E"/>
              </w:rPr>
              <w:t>Organization</w:t>
            </w:r>
          </w:p>
        </w:tc>
        <w:tc>
          <w:tcPr>
            <w:tcW w:w="300" w:type="dxa"/>
            <w:vAlign w:val="bottom"/>
            <w:tcBorders>
              <w:bottom w:val="single" w:sz="8" w:color="0000FF"/>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3660" w:type="dxa"/>
            <w:vAlign w:val="bottom"/>
            <w:vMerge w:val="restart"/>
          </w:tcPr>
          <w:p>
            <w:pPr>
              <w:spacing w:after="0"/>
              <w:rPr>
                <w:sz w:val="20"/>
                <w:szCs w:val="20"/>
                <w:color w:val="auto"/>
              </w:rPr>
            </w:pPr>
            <w:r>
              <w:rPr>
                <w:rFonts w:ascii="Arial" w:cs="Arial" w:eastAsia="Arial" w:hAnsi="Arial"/>
                <w:sz w:val="19"/>
                <w:szCs w:val="19"/>
                <w:b w:val="1"/>
                <w:bCs w:val="1"/>
                <w:color w:val="auto"/>
              </w:rPr>
              <w:t>Other Information</w:t>
            </w:r>
          </w:p>
        </w:tc>
        <w:tc>
          <w:tcPr>
            <w:tcW w:w="30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3"/>
              </w:rPr>
              <w:t>108</w:t>
            </w:r>
          </w:p>
        </w:tc>
        <w:tc>
          <w:tcPr>
            <w:tcW w:w="0" w:type="dxa"/>
            <w:vAlign w:val="bottom"/>
          </w:tcPr>
          <w:p>
            <w:pPr>
              <w:spacing w:after="0"/>
              <w:rPr>
                <w:sz w:val="1"/>
                <w:szCs w:val="1"/>
                <w:color w:val="auto"/>
              </w:rPr>
            </w:pPr>
          </w:p>
        </w:tc>
      </w:tr>
      <w:tr>
        <w:trPr>
          <w:trHeight w:val="118"/>
        </w:trPr>
        <w:tc>
          <w:tcPr>
            <w:tcW w:w="3660" w:type="dxa"/>
            <w:vAlign w:val="bottom"/>
            <w:vMerge w:val="continue"/>
          </w:tcPr>
          <w:p>
            <w:pPr>
              <w:spacing w:after="0"/>
              <w:rPr>
                <w:sz w:val="10"/>
                <w:szCs w:val="10"/>
                <w:color w:val="auto"/>
              </w:rPr>
            </w:pPr>
          </w:p>
        </w:tc>
        <w:tc>
          <w:tcPr>
            <w:tcW w:w="300" w:type="dxa"/>
            <w:vAlign w:val="bottom"/>
            <w:gridSpan w:val="3"/>
            <w:vMerge w:val="restart"/>
          </w:tcPr>
          <w:p>
            <w:pPr>
              <w:spacing w:after="0"/>
              <w:rPr>
                <w:sz w:val="20"/>
                <w:szCs w:val="20"/>
                <w:color w:val="auto"/>
              </w:rPr>
            </w:pPr>
            <w:r>
              <w:rPr>
                <w:rFonts w:ascii="Arial" w:cs="Arial" w:eastAsia="Arial" w:hAnsi="Arial"/>
                <w:sz w:val="18"/>
                <w:szCs w:val="18"/>
                <w:color w:val="0000FF"/>
                <w:w w:val="93"/>
              </w:rPr>
              <w:t>108</w:t>
            </w:r>
          </w:p>
        </w:tc>
        <w:tc>
          <w:tcPr>
            <w:tcW w:w="0" w:type="dxa"/>
            <w:vAlign w:val="bottom"/>
          </w:tcPr>
          <w:p>
            <w:pPr>
              <w:spacing w:after="0"/>
              <w:rPr>
                <w:sz w:val="1"/>
                <w:szCs w:val="1"/>
                <w:color w:val="auto"/>
              </w:rPr>
            </w:pPr>
          </w:p>
        </w:tc>
      </w:tr>
      <w:tr>
        <w:trPr>
          <w:trHeight w:val="299"/>
        </w:trPr>
        <w:tc>
          <w:tcPr>
            <w:tcW w:w="3660" w:type="dxa"/>
            <w:vAlign w:val="bottom"/>
            <w:vMerge w:val="restart"/>
          </w:tcPr>
          <w:p>
            <w:pPr>
              <w:ind w:left="400"/>
              <w:spacing w:after="0"/>
              <w:rPr>
                <w:sz w:val="20"/>
                <w:szCs w:val="20"/>
                <w:color w:val="auto"/>
              </w:rPr>
            </w:pPr>
            <w:r>
              <w:rPr>
                <w:rFonts w:ascii="Arial" w:cs="Arial" w:eastAsia="Arial" w:hAnsi="Arial"/>
                <w:sz w:val="16"/>
                <w:szCs w:val="16"/>
                <w:color w:val="auto"/>
              </w:rPr>
              <w:t>Meeting and Voting Logistics</w:t>
            </w:r>
          </w:p>
        </w:tc>
        <w:tc>
          <w:tcPr>
            <w:tcW w:w="300" w:type="dxa"/>
            <w:vAlign w:val="bottom"/>
            <w:tcBorders>
              <w:bottom w:val="single" w:sz="8" w:color="0000FF"/>
            </w:tcBorders>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660" w:type="dxa"/>
            <w:vAlign w:val="bottom"/>
            <w:vMerge w:val="continue"/>
          </w:tcPr>
          <w:p>
            <w:pPr>
              <w:spacing w:after="0"/>
              <w:rPr>
                <w:sz w:val="16"/>
                <w:szCs w:val="16"/>
                <w:color w:val="auto"/>
              </w:rPr>
            </w:pPr>
          </w:p>
        </w:tc>
        <w:tc>
          <w:tcPr>
            <w:tcW w:w="300" w:type="dxa"/>
            <w:vAlign w:val="bottom"/>
            <w:gridSpan w:val="3"/>
            <w:vMerge w:val="restart"/>
          </w:tcPr>
          <w:p>
            <w:pPr>
              <w:spacing w:after="0"/>
              <w:rPr>
                <w:sz w:val="20"/>
                <w:szCs w:val="20"/>
                <w:color w:val="auto"/>
              </w:rPr>
            </w:pPr>
            <w:r>
              <w:rPr>
                <w:rFonts w:ascii="Arial" w:cs="Arial" w:eastAsia="Arial" w:hAnsi="Arial"/>
                <w:sz w:val="18"/>
                <w:szCs w:val="18"/>
                <w:color w:val="0000FF"/>
                <w:w w:val="93"/>
              </w:rPr>
              <w:t>112</w:t>
            </w:r>
          </w:p>
        </w:tc>
        <w:tc>
          <w:tcPr>
            <w:tcW w:w="0" w:type="dxa"/>
            <w:vAlign w:val="bottom"/>
          </w:tcPr>
          <w:p>
            <w:pPr>
              <w:spacing w:after="0"/>
              <w:rPr>
                <w:sz w:val="1"/>
                <w:szCs w:val="1"/>
                <w:color w:val="auto"/>
              </w:rPr>
            </w:pPr>
          </w:p>
        </w:tc>
      </w:tr>
      <w:tr>
        <w:trPr>
          <w:trHeight w:val="223"/>
        </w:trPr>
        <w:tc>
          <w:tcPr>
            <w:tcW w:w="3660" w:type="dxa"/>
            <w:vAlign w:val="bottom"/>
            <w:vMerge w:val="restart"/>
          </w:tcPr>
          <w:p>
            <w:pPr>
              <w:ind w:left="400"/>
              <w:spacing w:after="0"/>
              <w:rPr>
                <w:sz w:val="20"/>
                <w:szCs w:val="20"/>
                <w:color w:val="auto"/>
              </w:rPr>
            </w:pPr>
            <w:r>
              <w:rPr>
                <w:rFonts w:ascii="Arial" w:cs="Arial" w:eastAsia="Arial" w:hAnsi="Arial"/>
                <w:sz w:val="16"/>
                <w:szCs w:val="16"/>
                <w:color w:val="auto"/>
              </w:rPr>
              <w:t>Other Matters</w:t>
            </w:r>
          </w:p>
        </w:tc>
        <w:tc>
          <w:tcPr>
            <w:tcW w:w="300" w:type="dxa"/>
            <w:vAlign w:val="bottom"/>
            <w:tcBorders>
              <w:bottom w:val="single" w:sz="8" w:color="0000FF"/>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3660" w:type="dxa"/>
            <w:vAlign w:val="bottom"/>
          </w:tcPr>
          <w:p>
            <w:pPr>
              <w:spacing w:after="0"/>
              <w:rPr>
                <w:sz w:val="20"/>
                <w:szCs w:val="20"/>
                <w:color w:val="auto"/>
              </w:rPr>
            </w:pPr>
            <w:r>
              <w:rPr>
                <w:rFonts w:ascii="Arial" w:cs="Arial" w:eastAsia="Arial" w:hAnsi="Arial"/>
                <w:sz w:val="19"/>
                <w:szCs w:val="19"/>
                <w:b w:val="1"/>
                <w:bCs w:val="1"/>
                <w:color w:val="auto"/>
              </w:rPr>
              <w:t>Appendix A - Summary of Adjustments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3660" w:type="dxa"/>
            <w:vAlign w:val="bottom"/>
          </w:tcPr>
          <w:p>
            <w:pPr>
              <w:spacing w:after="0"/>
              <w:rPr>
                <w:sz w:val="20"/>
                <w:szCs w:val="20"/>
                <w:color w:val="auto"/>
              </w:rPr>
            </w:pPr>
            <w:r>
              <w:rPr>
                <w:rFonts w:ascii="Arial" w:cs="Arial" w:eastAsia="Arial" w:hAnsi="Arial"/>
                <w:sz w:val="19"/>
                <w:szCs w:val="19"/>
                <w:b w:val="1"/>
                <w:bCs w:val="1"/>
                <w:color w:val="auto"/>
              </w:rPr>
              <w:t>Related to the Annual Cash Bonus and</w:t>
            </w:r>
          </w:p>
        </w:tc>
        <w:tc>
          <w:tcPr>
            <w:tcW w:w="300" w:type="dxa"/>
            <w:vAlign w:val="bottom"/>
            <w:gridSpan w:val="3"/>
          </w:tcPr>
          <w:p>
            <w:pPr>
              <w:spacing w:after="0"/>
              <w:rPr>
                <w:sz w:val="20"/>
                <w:szCs w:val="20"/>
                <w:color w:val="auto"/>
              </w:rPr>
            </w:pPr>
            <w:r>
              <w:rPr>
                <w:rFonts w:ascii="Arial" w:cs="Arial" w:eastAsia="Arial" w:hAnsi="Arial"/>
                <w:sz w:val="18"/>
                <w:szCs w:val="18"/>
                <w:color w:val="auto"/>
                <w:w w:val="99"/>
              </w:rPr>
              <w:t>A-</w:t>
            </w:r>
            <w:r>
              <w:rPr>
                <w:rFonts w:ascii="Arial" w:cs="Arial" w:eastAsia="Arial" w:hAnsi="Arial"/>
                <w:sz w:val="18"/>
                <w:szCs w:val="18"/>
                <w:color w:val="0000FF"/>
                <w:w w:val="99"/>
              </w:rPr>
              <w:t>1</w:t>
            </w:r>
          </w:p>
        </w:tc>
        <w:tc>
          <w:tcPr>
            <w:tcW w:w="0" w:type="dxa"/>
            <w:vAlign w:val="bottom"/>
          </w:tcPr>
          <w:p>
            <w:pPr>
              <w:spacing w:after="0"/>
              <w:rPr>
                <w:sz w:val="1"/>
                <w:szCs w:val="1"/>
                <w:color w:val="auto"/>
              </w:rPr>
            </w:pPr>
          </w:p>
        </w:tc>
      </w:tr>
      <w:tr>
        <w:trPr>
          <w:trHeight w:val="63"/>
        </w:trPr>
        <w:tc>
          <w:tcPr>
            <w:tcW w:w="3660" w:type="dxa"/>
            <w:vAlign w:val="bottom"/>
            <w:vMerge w:val="restart"/>
          </w:tcPr>
          <w:p>
            <w:pPr>
              <w:spacing w:after="0"/>
              <w:rPr>
                <w:sz w:val="20"/>
                <w:szCs w:val="20"/>
                <w:color w:val="auto"/>
              </w:rPr>
            </w:pPr>
            <w:r>
              <w:rPr>
                <w:rFonts w:ascii="Arial" w:cs="Arial" w:eastAsia="Arial" w:hAnsi="Arial"/>
                <w:sz w:val="19"/>
                <w:szCs w:val="19"/>
                <w:b w:val="1"/>
                <w:bCs w:val="1"/>
                <w:color w:val="auto"/>
              </w:rPr>
              <w:t>Performance Award</w:t>
            </w:r>
          </w:p>
        </w:tc>
        <w:tc>
          <w:tcPr>
            <w:tcW w:w="200" w:type="dxa"/>
            <w:vAlign w:val="bottom"/>
          </w:tcPr>
          <w:p>
            <w:pPr>
              <w:spacing w:after="0"/>
              <w:rPr>
                <w:sz w:val="5"/>
                <w:szCs w:val="5"/>
                <w:color w:val="auto"/>
              </w:rPr>
            </w:pPr>
          </w:p>
        </w:tc>
        <w:tc>
          <w:tcPr>
            <w:tcW w:w="80" w:type="dxa"/>
            <w:vAlign w:val="bottom"/>
            <w:tcBorders>
              <w:bottom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3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4"/>
        </w:trPr>
        <w:tc>
          <w:tcPr>
            <w:tcW w:w="3660" w:type="dxa"/>
            <w:vAlign w:val="bottom"/>
          </w:tcPr>
          <w:p>
            <w:pPr>
              <w:spacing w:after="0"/>
              <w:rPr>
                <w:sz w:val="20"/>
                <w:szCs w:val="20"/>
                <w:color w:val="auto"/>
              </w:rPr>
            </w:pPr>
            <w:r>
              <w:rPr>
                <w:rFonts w:ascii="Arial" w:cs="Arial" w:eastAsia="Arial" w:hAnsi="Arial"/>
                <w:sz w:val="19"/>
                <w:szCs w:val="19"/>
                <w:b w:val="1"/>
                <w:bCs w:val="1"/>
                <w:color w:val="auto"/>
              </w:rPr>
              <w:t>Appendix B - Proposed Amendments to</w:t>
            </w:r>
          </w:p>
        </w:tc>
        <w:tc>
          <w:tcPr>
            <w:tcW w:w="200" w:type="dxa"/>
            <w:vAlign w:val="bottom"/>
            <w:vMerge w:val="restart"/>
          </w:tcPr>
          <w:p>
            <w:pPr>
              <w:spacing w:after="0"/>
              <w:rPr>
                <w:sz w:val="20"/>
                <w:szCs w:val="20"/>
                <w:color w:val="auto"/>
              </w:rPr>
            </w:pPr>
            <w:r>
              <w:rPr>
                <w:rFonts w:ascii="Arial" w:cs="Arial" w:eastAsia="Arial" w:hAnsi="Arial"/>
                <w:sz w:val="18"/>
                <w:szCs w:val="18"/>
                <w:color w:val="auto"/>
                <w:w w:val="88"/>
              </w:rPr>
              <w:t>B-</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0000FF"/>
                <w:w w:val="71"/>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3660" w:type="dxa"/>
            <w:vAlign w:val="bottom"/>
            <w:vMerge w:val="restart"/>
          </w:tcPr>
          <w:p>
            <w:pPr>
              <w:spacing w:after="0"/>
              <w:rPr>
                <w:sz w:val="20"/>
                <w:szCs w:val="20"/>
                <w:color w:val="auto"/>
              </w:rPr>
            </w:pPr>
            <w:r>
              <w:rPr>
                <w:rFonts w:ascii="Arial" w:cs="Arial" w:eastAsia="Arial" w:hAnsi="Arial"/>
                <w:sz w:val="19"/>
                <w:szCs w:val="19"/>
                <w:b w:val="1"/>
                <w:bCs w:val="1"/>
                <w:color w:val="auto"/>
              </w:rPr>
              <w:t>the Company’s Articles of Incorporation</w:t>
            </w:r>
          </w:p>
        </w:tc>
        <w:tc>
          <w:tcPr>
            <w:tcW w:w="200" w:type="dxa"/>
            <w:vAlign w:val="bottom"/>
            <w:vMerge w:val="continue"/>
          </w:tcPr>
          <w:p>
            <w:pPr>
              <w:spacing w:after="0"/>
              <w:rPr>
                <w:sz w:val="8"/>
                <w:szCs w:val="8"/>
                <w:color w:val="auto"/>
              </w:rPr>
            </w:pPr>
          </w:p>
        </w:tc>
        <w:tc>
          <w:tcPr>
            <w:tcW w:w="80" w:type="dxa"/>
            <w:vAlign w:val="bottom"/>
            <w:tcBorders>
              <w:bottom w:val="single" w:sz="8" w:color="0000FF"/>
            </w:tcBorders>
            <w:vMerge w:val="continue"/>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366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D52B1E"/>
        </w:rPr>
        <w:t>Frequently Referenced Topics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-78105</wp:posOffset>
            </wp:positionV>
            <wp:extent cx="2682875" cy="3437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82875" cy="3437255"/>
                    </a:xfrm>
                    <a:prstGeom prst="rect">
                      <a:avLst/>
                    </a:prstGeom>
                    <a:noFill/>
                  </pic:spPr>
                </pic:pic>
              </a:graphicData>
            </a:graphic>
          </wp:anchor>
        </w:drawing>
      </w:r>
    </w:p>
    <w:p>
      <w:pPr>
        <w:spacing w:after="0" w:line="94" w:lineRule="exact"/>
        <w:rPr>
          <w:sz w:val="20"/>
          <w:szCs w:val="20"/>
          <w:color w:val="auto"/>
        </w:rPr>
      </w:pPr>
    </w:p>
    <w:p>
      <w:pPr>
        <w:ind w:left="3660"/>
        <w:spacing w:after="0"/>
        <w:rPr>
          <w:sz w:val="20"/>
          <w:szCs w:val="20"/>
          <w:color w:val="auto"/>
        </w:rPr>
      </w:pPr>
      <w:r>
        <w:rPr>
          <w:rFonts w:ascii="Arial" w:cs="Arial" w:eastAsia="Arial" w:hAnsi="Arial"/>
          <w:sz w:val="18"/>
          <w:szCs w:val="18"/>
          <w:u w:val="single" w:color="auto"/>
          <w:color w:val="0000FF"/>
        </w:rPr>
        <w:t>12</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Board Diversity</w:t>
      </w:r>
    </w:p>
    <w:p>
      <w:pPr>
        <w:spacing w:after="0" w:line="38" w:lineRule="exact"/>
        <w:rPr>
          <w:sz w:val="20"/>
          <w:szCs w:val="20"/>
          <w:color w:val="auto"/>
        </w:rPr>
      </w:pPr>
    </w:p>
    <w:p>
      <w:pPr>
        <w:ind w:left="3660"/>
        <w:spacing w:after="0"/>
        <w:rPr>
          <w:sz w:val="20"/>
          <w:szCs w:val="20"/>
          <w:color w:val="auto"/>
        </w:rPr>
      </w:pPr>
      <w:r>
        <w:rPr>
          <w:rFonts w:ascii="Arial" w:cs="Arial" w:eastAsia="Arial" w:hAnsi="Arial"/>
          <w:sz w:val="18"/>
          <w:szCs w:val="18"/>
          <w:u w:val="single" w:color="auto"/>
          <w:color w:val="0000FF"/>
        </w:rPr>
        <w:t>13</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Board Skills Matrix</w:t>
      </w:r>
    </w:p>
    <w:p>
      <w:pPr>
        <w:spacing w:after="0" w:line="7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Board and Committee Oversight of:</w:t>
      </w:r>
    </w:p>
    <w:p>
      <w:pPr>
        <w:spacing w:after="0" w:line="54" w:lineRule="exact"/>
        <w:rPr>
          <w:sz w:val="20"/>
          <w:szCs w:val="20"/>
          <w:color w:val="auto"/>
        </w:rPr>
      </w:pPr>
    </w:p>
    <w:p>
      <w:pPr>
        <w:ind w:left="3660"/>
        <w:spacing w:after="0"/>
        <w:rPr>
          <w:sz w:val="20"/>
          <w:szCs w:val="20"/>
          <w:color w:val="auto"/>
        </w:rPr>
      </w:pPr>
      <w:r>
        <w:rPr>
          <w:rFonts w:ascii="Arial" w:cs="Arial" w:eastAsia="Arial" w:hAnsi="Arial"/>
          <w:sz w:val="18"/>
          <w:szCs w:val="18"/>
          <w:u w:val="single" w:color="auto"/>
          <w:color w:val="0000FF"/>
        </w:rPr>
        <w:t>34</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ESG</w:t>
      </w:r>
    </w:p>
    <w:p>
      <w:pPr>
        <w:spacing w:after="0" w:line="38" w:lineRule="exact"/>
        <w:rPr>
          <w:sz w:val="20"/>
          <w:szCs w:val="20"/>
          <w:color w:val="auto"/>
        </w:rPr>
      </w:pPr>
    </w:p>
    <w:p>
      <w:pPr>
        <w:ind w:left="3660"/>
        <w:spacing w:after="0"/>
        <w:rPr>
          <w:sz w:val="20"/>
          <w:szCs w:val="20"/>
          <w:color w:val="auto"/>
        </w:rPr>
      </w:pPr>
      <w:r>
        <w:rPr>
          <w:rFonts w:ascii="Arial" w:cs="Arial" w:eastAsia="Arial" w:hAnsi="Arial"/>
          <w:sz w:val="18"/>
          <w:szCs w:val="18"/>
          <w:u w:val="single" w:color="auto"/>
          <w:color w:val="0000FF"/>
        </w:rPr>
        <w:t>37</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Cybersecurity</w:t>
      </w:r>
    </w:p>
    <w:p>
      <w:pPr>
        <w:spacing w:after="0" w:line="38" w:lineRule="exact"/>
        <w:rPr>
          <w:sz w:val="20"/>
          <w:szCs w:val="20"/>
          <w:color w:val="auto"/>
        </w:rPr>
      </w:pPr>
    </w:p>
    <w:p>
      <w:pPr>
        <w:ind w:left="3660"/>
        <w:spacing w:after="0"/>
        <w:rPr>
          <w:sz w:val="20"/>
          <w:szCs w:val="20"/>
          <w:color w:val="auto"/>
        </w:rPr>
      </w:pPr>
      <w:r>
        <w:rPr>
          <w:rFonts w:ascii="Arial" w:cs="Arial" w:eastAsia="Arial" w:hAnsi="Arial"/>
          <w:sz w:val="18"/>
          <w:szCs w:val="18"/>
          <w:u w:val="single" w:color="auto"/>
          <w:color w:val="0000FF"/>
        </w:rPr>
        <w:t>34</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Human Capital Management</w:t>
      </w:r>
    </w:p>
    <w:p>
      <w:pPr>
        <w:spacing w:after="0" w:line="38" w:lineRule="exact"/>
        <w:rPr>
          <w:sz w:val="20"/>
          <w:szCs w:val="20"/>
          <w:color w:val="auto"/>
        </w:rPr>
      </w:pPr>
    </w:p>
    <w:p>
      <w:pPr>
        <w:ind w:left="3660"/>
        <w:spacing w:after="0"/>
        <w:rPr>
          <w:sz w:val="20"/>
          <w:szCs w:val="20"/>
          <w:color w:val="auto"/>
        </w:rPr>
      </w:pPr>
      <w:r>
        <w:rPr>
          <w:rFonts w:ascii="Arial" w:cs="Arial" w:eastAsia="Arial" w:hAnsi="Arial"/>
          <w:sz w:val="18"/>
          <w:szCs w:val="18"/>
          <w:u w:val="single" w:color="auto"/>
          <w:color w:val="0000FF"/>
        </w:rPr>
        <w:t>37</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Political Activities</w:t>
      </w:r>
    </w:p>
    <w:p>
      <w:pPr>
        <w:spacing w:after="0" w:line="38" w:lineRule="exact"/>
        <w:rPr>
          <w:sz w:val="20"/>
          <w:szCs w:val="20"/>
          <w:color w:val="auto"/>
        </w:rPr>
      </w:pPr>
    </w:p>
    <w:p>
      <w:pPr>
        <w:ind w:left="3660"/>
        <w:spacing w:after="0"/>
        <w:rPr>
          <w:sz w:val="20"/>
          <w:szCs w:val="20"/>
          <w:color w:val="auto"/>
        </w:rPr>
      </w:pPr>
      <w:r>
        <w:rPr>
          <w:rFonts w:ascii="Arial" w:cs="Arial" w:eastAsia="Arial" w:hAnsi="Arial"/>
          <w:sz w:val="18"/>
          <w:szCs w:val="18"/>
          <w:u w:val="single" w:color="auto"/>
          <w:color w:val="0000FF"/>
        </w:rPr>
        <w:t>29</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Lead Independent Director Duties</w:t>
      </w:r>
    </w:p>
    <w:p>
      <w:pPr>
        <w:spacing w:after="0" w:line="38" w:lineRule="exact"/>
        <w:rPr>
          <w:sz w:val="20"/>
          <w:szCs w:val="20"/>
          <w:color w:val="auto"/>
        </w:rPr>
      </w:pPr>
    </w:p>
    <w:p>
      <w:pPr>
        <w:ind w:left="3660"/>
        <w:spacing w:after="0"/>
        <w:rPr>
          <w:sz w:val="20"/>
          <w:szCs w:val="20"/>
          <w:color w:val="auto"/>
        </w:rPr>
      </w:pPr>
      <w:r>
        <w:rPr>
          <w:rFonts w:ascii="Arial" w:cs="Arial" w:eastAsia="Arial" w:hAnsi="Arial"/>
          <w:sz w:val="18"/>
          <w:szCs w:val="18"/>
          <w:u w:val="single" w:color="auto"/>
          <w:color w:val="0000FF"/>
        </w:rPr>
        <w:t>69</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Share Ownership and Retention Guidelines</w:t>
      </w:r>
    </w:p>
    <w:p>
      <w:pPr>
        <w:spacing w:after="0" w:line="38" w:lineRule="exact"/>
        <w:rPr>
          <w:sz w:val="20"/>
          <w:szCs w:val="20"/>
          <w:color w:val="auto"/>
        </w:rPr>
      </w:pPr>
    </w:p>
    <w:p>
      <w:pPr>
        <w:ind w:left="3660"/>
        <w:spacing w:after="0"/>
        <w:rPr>
          <w:sz w:val="20"/>
          <w:szCs w:val="20"/>
          <w:color w:val="auto"/>
        </w:rPr>
      </w:pPr>
      <w:r>
        <w:rPr>
          <w:rFonts w:ascii="Arial" w:cs="Arial" w:eastAsia="Arial" w:hAnsi="Arial"/>
          <w:sz w:val="18"/>
          <w:szCs w:val="18"/>
          <w:u w:val="single" w:color="auto"/>
          <w:color w:val="0000FF"/>
        </w:rPr>
        <w:t>70</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Compensation Recovery Policy (Clawback)</w:t>
      </w:r>
    </w:p>
    <w:p>
      <w:pPr>
        <w:spacing w:after="0" w:line="38" w:lineRule="exact"/>
        <w:rPr>
          <w:sz w:val="20"/>
          <w:szCs w:val="20"/>
          <w:color w:val="auto"/>
        </w:rPr>
      </w:pPr>
    </w:p>
    <w:p>
      <w:pPr>
        <w:ind w:left="3660"/>
        <w:spacing w:after="0"/>
        <w:rPr>
          <w:sz w:val="20"/>
          <w:szCs w:val="20"/>
          <w:color w:val="auto"/>
        </w:rPr>
      </w:pPr>
      <w:r>
        <w:rPr>
          <w:rFonts w:ascii="Arial" w:cs="Arial" w:eastAsia="Arial" w:hAnsi="Arial"/>
          <w:sz w:val="18"/>
          <w:szCs w:val="18"/>
          <w:u w:val="single" w:color="auto"/>
          <w:color w:val="0000FF"/>
        </w:rPr>
        <w:t>70</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Hedging and Pledging Restrictions</w:t>
      </w:r>
    </w:p>
    <w:p>
      <w:pPr>
        <w:spacing w:after="0" w:line="38" w:lineRule="exact"/>
        <w:rPr>
          <w:sz w:val="20"/>
          <w:szCs w:val="20"/>
          <w:color w:val="auto"/>
        </w:rPr>
      </w:pPr>
    </w:p>
    <w:p>
      <w:pPr>
        <w:ind w:left="3660"/>
        <w:spacing w:after="0"/>
        <w:rPr>
          <w:sz w:val="20"/>
          <w:szCs w:val="20"/>
          <w:color w:val="auto"/>
        </w:rPr>
      </w:pPr>
      <w:r>
        <w:rPr>
          <w:rFonts w:ascii="Arial" w:cs="Arial" w:eastAsia="Arial" w:hAnsi="Arial"/>
          <w:sz w:val="18"/>
          <w:szCs w:val="18"/>
          <w:u w:val="single" w:color="auto"/>
          <w:color w:val="0000FF"/>
        </w:rPr>
        <w:t>42</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Transactions with Related Persons</w:t>
      </w:r>
    </w:p>
    <w:p>
      <w:pPr>
        <w:spacing w:after="0" w:line="200" w:lineRule="exact"/>
        <w:rPr>
          <w:sz w:val="20"/>
          <w:szCs w:val="20"/>
          <w:color w:val="auto"/>
        </w:rPr>
      </w:pPr>
    </w:p>
    <w:p>
      <w:pPr>
        <w:sectPr>
          <w:pgSz w:w="11900" w:h="16838" w:orient="portrait"/>
          <w:cols w:equalWidth="0" w:num="2">
            <w:col w:w="5220" w:space="720"/>
            <w:col w:w="5300"/>
          </w:cols>
          <w:pgMar w:left="320" w:top="747" w:right="339" w:bottom="0" w:gutter="0" w:footer="0" w:header="0"/>
        </w:sectPr>
      </w:pPr>
    </w:p>
    <w:p>
      <w:pPr>
        <w:spacing w:after="0" w:line="172"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This proxy statement contains forward-looking statements, including those regarding our emissions, diversity and inclusion and other sustainability commitments and goals; our strategies and financial performance; our development of new products and technologies, and other statements that are not historical fact, and actual results could differ materially. Risks that could cause actual results to differ are set forth in the “Risk Factors” section of, and elsewhere in, our 2022 Annual Report on Form 10-K and other filings with the Securities and Exchange Commission. All forward-looking statements are based on management estimates, projections, and assumptions as of the date hereof, and we undertake no obligation to update any such statements. Certain documents and information referenced in this proxy statement are available on our website. However, we are not including the information contained on our website, or any information that may be accessed by links on our website, as part of, or incorporating it by reference into, this proxy statement.</w:t>
      </w:r>
    </w:p>
    <w:p>
      <w:pPr>
        <w:sectPr>
          <w:pgSz w:w="11900" w:h="16838" w:orient="portrait"/>
          <w:cols w:equalWidth="0" w:num="1">
            <w:col w:w="11240"/>
          </w:cols>
          <w:pgMar w:left="320" w:top="747" w:right="339" w:bottom="0" w:gutter="0" w:footer="0" w:header="0"/>
          <w:type w:val="continuous"/>
        </w:sectPr>
      </w:pPr>
    </w:p>
    <w:bookmarkStart w:id="4" w:name="page5"/>
    <w:bookmarkEnd w:id="4"/>
    <w:p>
      <w:pPr>
        <w:spacing w:after="0" w:line="26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556260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rFonts w:ascii="Arial" w:cs="Arial" w:eastAsia="Arial" w:hAnsi="Arial"/>
          <w:sz w:val="32"/>
          <w:szCs w:val="32"/>
          <w:b w:val="1"/>
          <w:bCs w:val="1"/>
          <w:color w:val="D52B1E"/>
        </w:rPr>
        <w:t>Notice of 2023 Annual Meeting of Shareholders</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0A1DE"/>
        </w:rPr>
        <w:t>ITEMS OF BUSINESS</w:t>
      </w:r>
    </w:p>
    <w:p>
      <w:pPr>
        <w:spacing w:after="0" w:line="72"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D52B1E"/>
        </w:rPr>
        <w:t>Item 1</w:t>
      </w:r>
      <w:r>
        <w:rPr>
          <w:sz w:val="20"/>
          <w:szCs w:val="20"/>
          <w:color w:val="auto"/>
        </w:rPr>
        <w:tab/>
      </w:r>
      <w:r>
        <w:rPr>
          <w:rFonts w:ascii="Arial" w:cs="Arial" w:eastAsia="Arial" w:hAnsi="Arial"/>
          <w:sz w:val="16"/>
          <w:szCs w:val="16"/>
          <w:color w:val="auto"/>
        </w:rPr>
        <w:t>Election of each of the four director nominees to serve three-year terms</w:t>
      </w:r>
    </w:p>
    <w:p>
      <w:pPr>
        <w:spacing w:after="0" w:line="63"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D52B1E"/>
        </w:rPr>
        <w:t>Item 2</w:t>
      </w:r>
      <w:r>
        <w:rPr>
          <w:sz w:val="20"/>
          <w:szCs w:val="20"/>
          <w:color w:val="auto"/>
        </w:rPr>
        <w:tab/>
      </w:r>
      <w:r>
        <w:rPr>
          <w:rFonts w:ascii="Arial" w:cs="Arial" w:eastAsia="Arial" w:hAnsi="Arial"/>
          <w:sz w:val="16"/>
          <w:szCs w:val="16"/>
          <w:color w:val="auto"/>
        </w:rPr>
        <w:t>Approval, on an advisory basis, of the compensation paid to the company’s named executive officers</w:t>
      </w:r>
    </w:p>
    <w:p>
      <w:pPr>
        <w:spacing w:after="0" w:line="66"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D52B1E"/>
        </w:rPr>
        <w:t>Item 3</w:t>
      </w:r>
      <w:r>
        <w:rPr>
          <w:sz w:val="20"/>
          <w:szCs w:val="20"/>
          <w:color w:val="auto"/>
        </w:rPr>
        <w:tab/>
      </w:r>
      <w:r>
        <w:rPr>
          <w:rFonts w:ascii="Arial" w:cs="Arial" w:eastAsia="Arial" w:hAnsi="Arial"/>
          <w:sz w:val="16"/>
          <w:szCs w:val="16"/>
          <w:color w:val="auto"/>
        </w:rPr>
        <w:t>Advisory vote on frequency of future advisory votes on named executive officer compensation</w:t>
      </w:r>
    </w:p>
    <w:p>
      <w:pPr>
        <w:spacing w:after="0" w:line="63"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D52B1E"/>
        </w:rPr>
        <w:t>Item 4</w:t>
      </w:r>
      <w:r>
        <w:rPr>
          <w:sz w:val="20"/>
          <w:szCs w:val="20"/>
          <w:color w:val="auto"/>
        </w:rPr>
        <w:tab/>
      </w:r>
      <w:r>
        <w:rPr>
          <w:rFonts w:ascii="Arial" w:cs="Arial" w:eastAsia="Arial" w:hAnsi="Arial"/>
          <w:sz w:val="16"/>
          <w:szCs w:val="16"/>
          <w:color w:val="auto"/>
        </w:rPr>
        <w:t>Ratification of the appointment of Ernst &amp; Young LLP as the independent auditor for 2023</w:t>
      </w:r>
    </w:p>
    <w:p>
      <w:pPr>
        <w:spacing w:after="0" w:line="60"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D52B1E"/>
        </w:rPr>
        <w:t>Item 5</w:t>
      </w:r>
      <w:r>
        <w:rPr>
          <w:sz w:val="20"/>
          <w:szCs w:val="20"/>
          <w:color w:val="auto"/>
        </w:rPr>
        <w:tab/>
      </w:r>
      <w:r>
        <w:rPr>
          <w:rFonts w:ascii="Arial" w:cs="Arial" w:eastAsia="Arial" w:hAnsi="Arial"/>
          <w:sz w:val="16"/>
          <w:szCs w:val="16"/>
          <w:color w:val="auto"/>
        </w:rPr>
        <w:t>Approval of amendments to the company’s articles of incorporation to eliminate the classified board structure</w:t>
      </w:r>
    </w:p>
    <w:p>
      <w:pPr>
        <w:spacing w:after="0" w:line="66"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D52B1E"/>
        </w:rPr>
        <w:t>Item 6</w:t>
      </w:r>
      <w:r>
        <w:rPr>
          <w:sz w:val="20"/>
          <w:szCs w:val="20"/>
          <w:color w:val="auto"/>
        </w:rPr>
        <w:tab/>
      </w:r>
      <w:r>
        <w:rPr>
          <w:rFonts w:ascii="Arial" w:cs="Arial" w:eastAsia="Arial" w:hAnsi="Arial"/>
          <w:sz w:val="16"/>
          <w:szCs w:val="16"/>
          <w:color w:val="auto"/>
        </w:rPr>
        <w:t>Approval of amendments to the company’s articles of incorporation to eliminate supermajority voting provisions</w:t>
      </w:r>
    </w:p>
    <w:p>
      <w:pPr>
        <w:spacing w:after="0" w:line="63"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D52B1E"/>
        </w:rPr>
        <w:t>Item 7</w:t>
      </w:r>
      <w:r>
        <w:rPr>
          <w:sz w:val="20"/>
          <w:szCs w:val="20"/>
          <w:color w:val="auto"/>
        </w:rPr>
        <w:tab/>
      </w:r>
      <w:r>
        <w:rPr>
          <w:rFonts w:ascii="Arial" w:cs="Arial" w:eastAsia="Arial" w:hAnsi="Arial"/>
          <w:sz w:val="16"/>
          <w:szCs w:val="16"/>
          <w:color w:val="auto"/>
        </w:rPr>
        <w:t>Shareholder proposal to publish an annual report disclosing lobbying activities</w:t>
      </w:r>
    </w:p>
    <w:p>
      <w:pPr>
        <w:spacing w:after="0" w:line="60"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D52B1E"/>
        </w:rPr>
        <w:t>Item 8</w:t>
      </w:r>
      <w:r>
        <w:rPr>
          <w:sz w:val="20"/>
          <w:szCs w:val="20"/>
          <w:color w:val="auto"/>
        </w:rPr>
        <w:tab/>
      </w:r>
      <w:r>
        <w:rPr>
          <w:rFonts w:ascii="Arial" w:cs="Arial" w:eastAsia="Arial" w:hAnsi="Arial"/>
          <w:sz w:val="16"/>
          <w:szCs w:val="16"/>
          <w:color w:val="auto"/>
        </w:rPr>
        <w:t>Shareholder proposal to eliminate supermajority voting requirements</w:t>
      </w:r>
    </w:p>
    <w:p>
      <w:pPr>
        <w:spacing w:after="0" w:line="63" w:lineRule="exact"/>
        <w:rPr>
          <w:sz w:val="20"/>
          <w:szCs w:val="20"/>
          <w:color w:val="auto"/>
        </w:rPr>
      </w:pPr>
    </w:p>
    <w:p>
      <w:pPr>
        <w:ind w:left="900" w:right="1099" w:hanging="863"/>
        <w:spacing w:after="0" w:line="286" w:lineRule="auto"/>
        <w:tabs>
          <w:tab w:leader="none" w:pos="880" w:val="left"/>
        </w:tabs>
        <w:rPr>
          <w:sz w:val="20"/>
          <w:szCs w:val="20"/>
          <w:color w:val="auto"/>
        </w:rPr>
      </w:pPr>
      <w:r>
        <w:rPr>
          <w:rFonts w:ascii="Arial" w:cs="Arial" w:eastAsia="Arial" w:hAnsi="Arial"/>
          <w:sz w:val="18"/>
          <w:szCs w:val="18"/>
          <w:b w:val="1"/>
          <w:bCs w:val="1"/>
          <w:color w:val="D52B1E"/>
        </w:rPr>
        <w:t>Item 9</w:t>
      </w:r>
      <w:r>
        <w:rPr>
          <w:sz w:val="20"/>
          <w:szCs w:val="20"/>
          <w:color w:val="auto"/>
        </w:rPr>
        <w:tab/>
      </w:r>
      <w:r>
        <w:rPr>
          <w:rFonts w:ascii="Arial" w:cs="Arial" w:eastAsia="Arial" w:hAnsi="Arial"/>
          <w:sz w:val="16"/>
          <w:szCs w:val="16"/>
          <w:color w:val="auto"/>
        </w:rPr>
        <w:t>Shareholder proposal to establish and report on a process by which the impact of extended patent exclusivities on product access would be considered in deciding whether to apply for secondary and tertiary patents</w:t>
      </w:r>
    </w:p>
    <w:p>
      <w:pPr>
        <w:spacing w:after="0" w:line="7"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D52B1E"/>
        </w:rPr>
        <w:t>Item 10</w:t>
      </w:r>
      <w:r>
        <w:rPr>
          <w:sz w:val="20"/>
          <w:szCs w:val="20"/>
          <w:color w:val="auto"/>
        </w:rPr>
        <w:tab/>
      </w:r>
      <w:r>
        <w:rPr>
          <w:rFonts w:ascii="Arial" w:cs="Arial" w:eastAsia="Arial" w:hAnsi="Arial"/>
          <w:sz w:val="16"/>
          <w:szCs w:val="16"/>
          <w:color w:val="auto"/>
        </w:rPr>
        <w:t>Shareholder proposal to report on risks of supporting abortion</w:t>
      </w:r>
    </w:p>
    <w:p>
      <w:pPr>
        <w:spacing w:after="0" w:line="63" w:lineRule="exact"/>
        <w:rPr>
          <w:sz w:val="20"/>
          <w:szCs w:val="20"/>
          <w:color w:val="auto"/>
        </w:rPr>
      </w:pPr>
    </w:p>
    <w:p>
      <w:pPr>
        <w:ind w:left="20" w:right="1419"/>
        <w:spacing w:after="0" w:line="313" w:lineRule="auto"/>
        <w:rPr>
          <w:sz w:val="20"/>
          <w:szCs w:val="20"/>
          <w:color w:val="auto"/>
        </w:rPr>
      </w:pPr>
      <w:r>
        <w:rPr>
          <w:rFonts w:ascii="Arial" w:cs="Arial" w:eastAsia="Arial" w:hAnsi="Arial"/>
          <w:sz w:val="18"/>
          <w:szCs w:val="18"/>
          <w:b w:val="1"/>
          <w:bCs w:val="1"/>
          <w:color w:val="D52B1E"/>
        </w:rPr>
        <w:t xml:space="preserve">Item 11 </w:t>
      </w:r>
      <w:r>
        <w:rPr>
          <w:rFonts w:ascii="Arial" w:cs="Arial" w:eastAsia="Arial" w:hAnsi="Arial"/>
          <w:sz w:val="16"/>
          <w:szCs w:val="16"/>
          <w:color w:val="000000"/>
        </w:rPr>
        <w:t>Shareholder proposal to disclose lobbying activities and alignment with public policy positions and statements</w:t>
      </w:r>
      <w:r>
        <w:rPr>
          <w:rFonts w:ascii="Arial" w:cs="Arial" w:eastAsia="Arial" w:hAnsi="Arial"/>
          <w:sz w:val="18"/>
          <w:szCs w:val="18"/>
          <w:b w:val="1"/>
          <w:bCs w:val="1"/>
          <w:color w:val="D52B1E"/>
        </w:rPr>
        <w:t xml:space="preserve"> Item 12 </w:t>
      </w:r>
      <w:r>
        <w:rPr>
          <w:rFonts w:ascii="Arial" w:cs="Arial" w:eastAsia="Arial" w:hAnsi="Arial"/>
          <w:sz w:val="16"/>
          <w:szCs w:val="16"/>
          <w:color w:val="000000"/>
        </w:rPr>
        <w:t>Shareholder proposal to report on effectiveness of the company’s diversity, equity, and inclusion efforts</w:t>
      </w:r>
    </w:p>
    <w:p>
      <w:pPr>
        <w:ind w:left="900" w:right="1159" w:hanging="863"/>
        <w:spacing w:after="0" w:line="286" w:lineRule="auto"/>
        <w:tabs>
          <w:tab w:leader="none" w:pos="880" w:val="left"/>
        </w:tabs>
        <w:rPr>
          <w:sz w:val="20"/>
          <w:szCs w:val="20"/>
          <w:color w:val="auto"/>
        </w:rPr>
      </w:pPr>
      <w:r>
        <w:rPr>
          <w:rFonts w:ascii="Arial" w:cs="Arial" w:eastAsia="Arial" w:hAnsi="Arial"/>
          <w:sz w:val="18"/>
          <w:szCs w:val="18"/>
          <w:b w:val="1"/>
          <w:bCs w:val="1"/>
          <w:color w:val="D52B1E"/>
        </w:rPr>
        <w:t>Item 13</w:t>
      </w:r>
      <w:r>
        <w:rPr>
          <w:sz w:val="20"/>
          <w:szCs w:val="20"/>
          <w:color w:val="auto"/>
        </w:rPr>
        <w:tab/>
      </w:r>
      <w:r>
        <w:rPr>
          <w:rFonts w:ascii="Arial" w:cs="Arial" w:eastAsia="Arial" w:hAnsi="Arial"/>
          <w:sz w:val="16"/>
          <w:szCs w:val="16"/>
          <w:color w:val="auto"/>
        </w:rPr>
        <w:t>Shareholder proposal to adopt a policy to require certain third-party organizations to annually report expenditures for political activities before Lilly contributes to an organization</w:t>
      </w:r>
    </w:p>
    <w:p>
      <w:pPr>
        <w:sectPr>
          <w:pgSz w:w="11900" w:h="16838" w:orient="portrait"/>
          <w:cols w:equalWidth="0" w:num="1">
            <w:col w:w="10139"/>
          </w:cols>
          <w:pgMar w:left="320" w:top="1135" w:right="1440" w:bottom="1440" w:gutter="0" w:footer="0" w:header="0"/>
        </w:sectPr>
      </w:pPr>
    </w:p>
    <w:p>
      <w:pPr>
        <w:spacing w:after="0" w:line="17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00A1DE"/>
        </w:rPr>
        <w:t>ADMISSION</w:t>
      </w:r>
    </w:p>
    <w:p>
      <w:pPr>
        <w:spacing w:after="0" w:line="55" w:lineRule="exact"/>
        <w:rPr>
          <w:sz w:val="20"/>
          <w:szCs w:val="20"/>
          <w:color w:val="auto"/>
        </w:rPr>
      </w:pPr>
    </w:p>
    <w:p>
      <w:pPr>
        <w:ind w:left="20" w:right="20"/>
        <w:spacing w:after="0" w:line="287" w:lineRule="auto"/>
        <w:rPr>
          <w:sz w:val="20"/>
          <w:szCs w:val="20"/>
          <w:color w:val="auto"/>
        </w:rPr>
      </w:pPr>
      <w:r>
        <w:rPr>
          <w:rFonts w:ascii="Arial" w:cs="Arial" w:eastAsia="Arial" w:hAnsi="Arial"/>
          <w:sz w:val="18"/>
          <w:szCs w:val="18"/>
          <w:color w:val="auto"/>
        </w:rPr>
        <w:t>The 2023 annual meeting of shareholders (the Annual Meeting) of Eli Lilly and Company will be held virtually via live webcast.</w:t>
      </w:r>
    </w:p>
    <w:p>
      <w:pPr>
        <w:spacing w:after="0" w:line="99" w:lineRule="exact"/>
        <w:rPr>
          <w:sz w:val="20"/>
          <w:szCs w:val="20"/>
          <w:color w:val="auto"/>
        </w:rPr>
      </w:pPr>
    </w:p>
    <w:p>
      <w:pPr>
        <w:ind w:left="20"/>
        <w:spacing w:after="0" w:line="255" w:lineRule="auto"/>
        <w:rPr>
          <w:sz w:val="20"/>
          <w:szCs w:val="20"/>
          <w:color w:val="auto"/>
        </w:rPr>
      </w:pPr>
      <w:r>
        <w:rPr>
          <w:rFonts w:ascii="Arial" w:cs="Arial" w:eastAsia="Arial" w:hAnsi="Arial"/>
          <w:sz w:val="18"/>
          <w:szCs w:val="18"/>
          <w:color w:val="auto"/>
        </w:rPr>
        <w:t xml:space="preserve">The webcast is designed to provide shareholders the opportunity to participate virtually to facilitate shareholder attendance and to provide a consistent experience to all shareholders, regardless of location. You will be able to attend the Annual Meeting, vote, and submit questions virtually via live webcast by visiting </w:t>
      </w:r>
      <w:r>
        <w:rPr>
          <w:rFonts w:ascii="Arial" w:cs="Arial" w:eastAsia="Arial" w:hAnsi="Arial"/>
          <w:sz w:val="18"/>
          <w:szCs w:val="18"/>
          <w:color w:val="D52B1E"/>
        </w:rPr>
        <w:t>virtualshareholdersmeeting.com/LLY2023</w:t>
      </w:r>
      <w:r>
        <w:rPr>
          <w:rFonts w:ascii="Arial" w:cs="Arial" w:eastAsia="Arial" w:hAnsi="Arial"/>
          <w:sz w:val="18"/>
          <w:szCs w:val="18"/>
          <w:color w:val="auto"/>
        </w:rPr>
        <w:t>. To be admitted to the Annual Meeting webcast, you must enter the 16-digit control number found on the proxy card, voting instruction form, or notice you received. For further information on Annual Meeting logistics, see the section titled “</w:t>
      </w:r>
      <w:r>
        <w:rPr>
          <w:rFonts w:ascii="Arial" w:cs="Arial" w:eastAsia="Arial" w:hAnsi="Arial"/>
          <w:sz w:val="18"/>
          <w:szCs w:val="18"/>
          <w:u w:val="single" w:color="auto"/>
          <w:color w:val="0000FF"/>
        </w:rPr>
        <w:t>Other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Information—Meeting and Voting Logistics</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19"/>
        <w:spacing w:after="0"/>
        <w:rPr>
          <w:sz w:val="20"/>
          <w:szCs w:val="20"/>
          <w:color w:val="auto"/>
        </w:rPr>
      </w:pPr>
      <w:r>
        <w:rPr>
          <w:rFonts w:ascii="Arial" w:cs="Arial" w:eastAsia="Arial" w:hAnsi="Arial"/>
          <w:sz w:val="20"/>
          <w:szCs w:val="20"/>
          <w:b w:val="1"/>
          <w:bCs w:val="1"/>
          <w:color w:val="D52B1E"/>
        </w:rPr>
        <w:t>WHEN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-678815</wp:posOffset>
            </wp:positionV>
            <wp:extent cx="488950" cy="4883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88950" cy="488315"/>
                    </a:xfrm>
                    <a:prstGeom prst="rect">
                      <a:avLst/>
                    </a:prstGeom>
                    <a:noFill/>
                  </pic:spPr>
                </pic:pic>
              </a:graphicData>
            </a:graphic>
          </wp:anchor>
        </w:drawing>
      </w:r>
    </w:p>
    <w:p>
      <w:pPr>
        <w:spacing w:after="0" w:line="21" w:lineRule="exact"/>
        <w:rPr>
          <w:sz w:val="20"/>
          <w:szCs w:val="20"/>
          <w:color w:val="auto"/>
        </w:rPr>
      </w:pPr>
    </w:p>
    <w:p>
      <w:pPr>
        <w:jc w:val="center"/>
        <w:ind w:right="1119"/>
        <w:spacing w:after="0"/>
        <w:rPr>
          <w:sz w:val="20"/>
          <w:szCs w:val="20"/>
          <w:color w:val="auto"/>
        </w:rPr>
      </w:pPr>
      <w:r>
        <w:rPr>
          <w:rFonts w:ascii="Arial" w:cs="Arial" w:eastAsia="Arial" w:hAnsi="Arial"/>
          <w:sz w:val="14"/>
          <w:szCs w:val="14"/>
          <w:b w:val="1"/>
          <w:bCs w:val="1"/>
          <w:color w:val="auto"/>
        </w:rPr>
        <w:t>8:30 a.m. EDT</w:t>
      </w:r>
    </w:p>
    <w:p>
      <w:pPr>
        <w:spacing w:after="0" w:line="15" w:lineRule="exact"/>
        <w:rPr>
          <w:sz w:val="20"/>
          <w:szCs w:val="20"/>
          <w:color w:val="auto"/>
        </w:rPr>
      </w:pPr>
    </w:p>
    <w:p>
      <w:pPr>
        <w:jc w:val="center"/>
        <w:ind w:right="1119"/>
        <w:spacing w:after="0"/>
        <w:rPr>
          <w:sz w:val="20"/>
          <w:szCs w:val="20"/>
          <w:color w:val="auto"/>
        </w:rPr>
      </w:pPr>
      <w:r>
        <w:rPr>
          <w:rFonts w:ascii="Arial" w:cs="Arial" w:eastAsia="Arial" w:hAnsi="Arial"/>
          <w:sz w:val="14"/>
          <w:szCs w:val="14"/>
          <w:b w:val="1"/>
          <w:bCs w:val="1"/>
          <w:color w:val="auto"/>
        </w:rPr>
        <w:t>Monday, May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wp:posOffset>
            </wp:positionH>
            <wp:positionV relativeFrom="paragraph">
              <wp:posOffset>83185</wp:posOffset>
            </wp:positionV>
            <wp:extent cx="445770" cy="445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4577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19"/>
        <w:spacing w:after="0"/>
        <w:rPr>
          <w:sz w:val="20"/>
          <w:szCs w:val="20"/>
          <w:color w:val="auto"/>
        </w:rPr>
      </w:pPr>
      <w:r>
        <w:rPr>
          <w:rFonts w:ascii="Arial" w:cs="Arial" w:eastAsia="Arial" w:hAnsi="Arial"/>
          <w:sz w:val="20"/>
          <w:szCs w:val="20"/>
          <w:b w:val="1"/>
          <w:bCs w:val="1"/>
          <w:color w:val="D52B1E"/>
        </w:rPr>
        <w:t>WHERE</w:t>
      </w:r>
    </w:p>
    <w:p>
      <w:pPr>
        <w:spacing w:after="0" w:line="41" w:lineRule="exact"/>
        <w:rPr>
          <w:sz w:val="20"/>
          <w:szCs w:val="20"/>
          <w:color w:val="auto"/>
        </w:rPr>
      </w:pPr>
    </w:p>
    <w:p>
      <w:pPr>
        <w:jc w:val="center"/>
        <w:ind w:right="1119"/>
        <w:spacing w:after="0"/>
        <w:rPr>
          <w:sz w:val="20"/>
          <w:szCs w:val="20"/>
          <w:color w:val="auto"/>
        </w:rPr>
      </w:pPr>
      <w:r>
        <w:rPr>
          <w:rFonts w:ascii="Arial" w:cs="Arial" w:eastAsia="Arial" w:hAnsi="Arial"/>
          <w:sz w:val="14"/>
          <w:szCs w:val="14"/>
          <w:b w:val="1"/>
          <w:bCs w:val="1"/>
          <w:color w:val="auto"/>
        </w:rPr>
        <w:t>Virtually at www.virtualshareholder</w:t>
      </w:r>
    </w:p>
    <w:p>
      <w:pPr>
        <w:spacing w:after="0" w:line="15" w:lineRule="exact"/>
        <w:rPr>
          <w:sz w:val="20"/>
          <w:szCs w:val="20"/>
          <w:color w:val="auto"/>
        </w:rPr>
      </w:pPr>
    </w:p>
    <w:p>
      <w:pPr>
        <w:jc w:val="center"/>
        <w:ind w:right="1119"/>
        <w:spacing w:after="0"/>
        <w:rPr>
          <w:sz w:val="20"/>
          <w:szCs w:val="20"/>
          <w:color w:val="auto"/>
        </w:rPr>
      </w:pPr>
      <w:r>
        <w:rPr>
          <w:rFonts w:ascii="Arial" w:cs="Arial" w:eastAsia="Arial" w:hAnsi="Arial"/>
          <w:sz w:val="14"/>
          <w:szCs w:val="14"/>
          <w:b w:val="1"/>
          <w:bCs w:val="1"/>
          <w:color w:val="auto"/>
        </w:rPr>
        <w:t>meeting.com/LLY2023</w:t>
      </w:r>
    </w:p>
    <w:p>
      <w:pPr>
        <w:spacing w:after="0" w:line="21" w:lineRule="exact"/>
        <w:rPr>
          <w:sz w:val="20"/>
          <w:szCs w:val="20"/>
          <w:color w:val="auto"/>
        </w:rPr>
      </w:pPr>
    </w:p>
    <w:p>
      <w:pPr>
        <w:sectPr>
          <w:pgSz w:w="11900" w:h="16838" w:orient="portrait"/>
          <w:cols w:equalWidth="0" w:num="2">
            <w:col w:w="6260" w:space="360"/>
            <w:col w:w="3519"/>
          </w:cols>
          <w:pgMar w:left="320" w:top="1135" w:right="1440" w:bottom="1440" w:gutter="0" w:footer="0" w:header="0"/>
          <w:type w:val="continuous"/>
        </w:sectPr>
      </w:pPr>
    </w:p>
    <w:p>
      <w:pPr>
        <w:ind w:left="20" w:right="220"/>
        <w:spacing w:after="0" w:line="258" w:lineRule="auto"/>
        <w:rPr>
          <w:sz w:val="20"/>
          <w:szCs w:val="20"/>
          <w:color w:val="auto"/>
        </w:rPr>
      </w:pPr>
      <w:r>
        <w:rPr>
          <w:rFonts w:ascii="Arial" w:cs="Arial" w:eastAsia="Arial" w:hAnsi="Arial"/>
          <w:sz w:val="18"/>
          <w:szCs w:val="18"/>
          <w:color w:val="auto"/>
        </w:rPr>
        <w:t>This proxy statement is dated March 17, 2023. We mailed a notice of internet availability of proxy materials on or about that date to our shareholders of record as of February 21, 2023 (other than those who previously requested electronic or paper delivery of our proxy materials and certain participants in The Lilly Employee 401(k) plan (401(k) Plan)).</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00A1DE"/>
        </w:rPr>
        <w:t>YOUR VOTE IS IMPORTANT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599"/>
        <w:spacing w:after="0"/>
        <w:rPr>
          <w:sz w:val="20"/>
          <w:szCs w:val="20"/>
          <w:color w:val="auto"/>
        </w:rPr>
      </w:pPr>
      <w:r>
        <w:rPr>
          <w:rFonts w:ascii="Arial" w:cs="Arial" w:eastAsia="Arial" w:hAnsi="Arial"/>
          <w:sz w:val="19"/>
          <w:szCs w:val="19"/>
          <w:b w:val="1"/>
          <w:bCs w:val="1"/>
          <w:color w:val="D52B1E"/>
        </w:rPr>
        <w:t>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-654685</wp:posOffset>
            </wp:positionV>
            <wp:extent cx="471805" cy="4718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1805" cy="471805"/>
                    </a:xfrm>
                    <a:prstGeom prst="rect">
                      <a:avLst/>
                    </a:prstGeom>
                    <a:noFill/>
                  </pic:spPr>
                </pic:pic>
              </a:graphicData>
            </a:graphic>
          </wp:anchor>
        </w:drawing>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February 21, 2023</w:t>
      </w:r>
    </w:p>
    <w:p>
      <w:pPr>
        <w:spacing w:after="0" w:line="233" w:lineRule="exact"/>
        <w:rPr>
          <w:sz w:val="20"/>
          <w:szCs w:val="20"/>
          <w:color w:val="auto"/>
        </w:rPr>
      </w:pPr>
    </w:p>
    <w:p>
      <w:pPr>
        <w:sectPr>
          <w:pgSz w:w="11900" w:h="16838" w:orient="portrait"/>
          <w:cols w:equalWidth="0" w:num="2">
            <w:col w:w="6380" w:space="720"/>
            <w:col w:w="3039"/>
          </w:cols>
          <w:pgMar w:left="320" w:top="1135" w:right="1440" w:bottom="1440" w:gutter="0" w:footer="0" w:header="0"/>
          <w:type w:val="continuous"/>
        </w:sectPr>
      </w:pPr>
    </w:p>
    <w:p>
      <w:pPr>
        <w:ind w:left="20" w:right="1239"/>
        <w:spacing w:after="0" w:line="262" w:lineRule="auto"/>
        <w:rPr>
          <w:sz w:val="20"/>
          <w:szCs w:val="20"/>
          <w:color w:val="auto"/>
        </w:rPr>
      </w:pPr>
      <w:r>
        <w:rPr>
          <w:rFonts w:ascii="Arial" w:cs="Arial" w:eastAsia="Arial" w:hAnsi="Arial"/>
          <w:sz w:val="18"/>
          <w:szCs w:val="18"/>
          <w:color w:val="auto"/>
        </w:rPr>
        <w:t>Every shareholder vote is important. Even if you plan to attend the Annual Meeting, we encourage you to vote promptly online, by telephone, or, if you received or requested paper copies of your proxy materials, by signing, dating, and returning your proxy card or voting instruction form by mail, so that a quorum may be represented at the meeting.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00A1DE"/>
        </w:rPr>
        <w:t>Anat Hakim</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General Counsel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92075</wp:posOffset>
            </wp:positionV>
            <wp:extent cx="5760720" cy="5740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60720" cy="574040"/>
                    </a:xfrm>
                    <a:prstGeom prst="rect">
                      <a:avLst/>
                    </a:prstGeom>
                    <a:noFill/>
                  </pic:spPr>
                </pic:pic>
              </a:graphicData>
            </a:graphic>
          </wp:anchor>
        </w:drawing>
      </w:r>
    </w:p>
    <w:p>
      <w:pPr>
        <w:spacing w:after="0" w:line="219" w:lineRule="exact"/>
        <w:rPr>
          <w:sz w:val="20"/>
          <w:szCs w:val="20"/>
          <w:color w:val="auto"/>
        </w:rPr>
      </w:pPr>
    </w:p>
    <w:p>
      <w:pPr>
        <w:jc w:val="center"/>
        <w:ind w:left="540"/>
        <w:spacing w:after="0" w:line="230" w:lineRule="auto"/>
        <w:rPr>
          <w:sz w:val="20"/>
          <w:szCs w:val="20"/>
          <w:color w:val="auto"/>
        </w:rPr>
      </w:pPr>
      <w:r>
        <w:rPr>
          <w:rFonts w:ascii="Arial" w:cs="Arial" w:eastAsia="Arial" w:hAnsi="Arial"/>
          <w:sz w:val="16"/>
          <w:szCs w:val="16"/>
          <w:color w:val="FFFFFF"/>
        </w:rPr>
        <w:t>IMPORTANT NOTICE REGARDING THE AVAILABILITY OF PROXY MATERIALS FOR THE SHAREHOLDER MEETING TO BE HELD MAY 1, 2023:</w:t>
      </w:r>
    </w:p>
    <w:p>
      <w:pPr>
        <w:jc w:val="center"/>
        <w:ind w:right="959"/>
        <w:spacing w:after="0" w:line="212" w:lineRule="auto"/>
        <w:rPr>
          <w:sz w:val="20"/>
          <w:szCs w:val="20"/>
          <w:color w:val="auto"/>
        </w:rPr>
      </w:pPr>
      <w:r>
        <w:rPr>
          <w:rFonts w:ascii="Arial" w:cs="Arial" w:eastAsia="Arial" w:hAnsi="Arial"/>
          <w:sz w:val="16"/>
          <w:szCs w:val="16"/>
          <w:color w:val="FFFFFF"/>
        </w:rPr>
        <w:t>The annual report to shareholders and proxy statement are available at ProxyVote.com</w:t>
      </w:r>
    </w:p>
    <w:p>
      <w:pPr>
        <w:jc w:val="center"/>
        <w:ind w:right="959"/>
        <w:spacing w:after="0"/>
        <w:rPr>
          <w:sz w:val="20"/>
          <w:szCs w:val="20"/>
          <w:color w:val="auto"/>
        </w:rPr>
      </w:pPr>
      <w:r>
        <w:rPr>
          <w:rFonts w:ascii="Arial" w:cs="Arial" w:eastAsia="Arial" w:hAnsi="Arial"/>
          <w:sz w:val="16"/>
          <w:szCs w:val="16"/>
          <w:color w:val="FFFFFF"/>
        </w:rPr>
        <w:t>as well as on our website at lilly.com/policies-reports/annual-report.</w:t>
      </w:r>
    </w:p>
    <w:p>
      <w:pPr>
        <w:sectPr>
          <w:pgSz w:w="11900" w:h="16838" w:orient="portrait"/>
          <w:cols w:equalWidth="0" w:num="1">
            <w:col w:w="10139"/>
          </w:cols>
          <w:pgMar w:left="320" w:top="113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35" w:right="1440" w:bottom="1440" w:gutter="0" w:footer="0" w:header="0"/>
          <w:type w:val="continuous"/>
        </w:sectPr>
      </w:pPr>
    </w:p>
    <w:bookmarkStart w:id="6" w:name="page7"/>
    <w:bookmarkEnd w:id="6"/>
    <w:p>
      <w:pPr>
        <w:spacing w:after="0"/>
        <w:rPr>
          <w:sz w:val="20"/>
          <w:szCs w:val="20"/>
          <w:color w:val="auto"/>
        </w:rPr>
      </w:pPr>
      <w:r>
        <w:rPr>
          <w:rFonts w:ascii="Arial" w:cs="Arial" w:eastAsia="Arial" w:hAnsi="Arial"/>
          <w:sz w:val="52"/>
          <w:szCs w:val="52"/>
          <w:b w:val="1"/>
          <w:bCs w:val="1"/>
          <w:color w:val="auto"/>
        </w:rPr>
        <w:t>Proxy Statement Summary</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Powered by Purpose</w:t>
      </w:r>
    </w:p>
    <w:p>
      <w:pPr>
        <w:spacing w:after="0" w:line="8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Our purpose is to unite caring with discovery to create medicines that make life better for people around the world. This purpose fuels every aspect of our business, as we aspire to:</w:t>
      </w:r>
    </w:p>
    <w:p>
      <w:pPr>
        <w:spacing w:after="0" w:line="104" w:lineRule="exact"/>
        <w:rPr>
          <w:sz w:val="20"/>
          <w:szCs w:val="20"/>
          <w:color w:val="auto"/>
        </w:rPr>
      </w:pPr>
    </w:p>
    <w:p>
      <w:pPr>
        <w:ind w:left="420" w:right="380" w:hanging="404"/>
        <w:spacing w:after="0" w:line="268" w:lineRule="auto"/>
        <w:rPr>
          <w:sz w:val="20"/>
          <w:szCs w:val="20"/>
          <w:color w:val="auto"/>
        </w:rPr>
      </w:pPr>
      <w:r>
        <w:rPr>
          <w:rFonts w:ascii="Arial" w:cs="Arial" w:eastAsia="Arial" w:hAnsi="Arial"/>
          <w:sz w:val="19"/>
          <w:szCs w:val="19"/>
          <w:b w:val="1"/>
          <w:bCs w:val="1"/>
          <w:color w:val="00A1DE"/>
        </w:rPr>
        <w:t xml:space="preserve">Discover </w:t>
      </w:r>
      <w:r>
        <w:rPr>
          <w:rFonts w:ascii="Arial" w:cs="Arial" w:eastAsia="Arial" w:hAnsi="Arial"/>
          <w:sz w:val="17"/>
          <w:szCs w:val="17"/>
          <w:color w:val="000000"/>
        </w:rPr>
        <w:t>first or best-in-class molecules from internal and external sources that address significant unmet needs by integrating disease</w:t>
      </w:r>
      <w:r>
        <w:rPr>
          <w:rFonts w:ascii="Arial" w:cs="Arial" w:eastAsia="Arial" w:hAnsi="Arial"/>
          <w:sz w:val="19"/>
          <w:szCs w:val="19"/>
          <w:b w:val="1"/>
          <w:bCs w:val="1"/>
          <w:color w:val="00A1DE"/>
        </w:rPr>
        <w:t xml:space="preserve"> </w:t>
      </w:r>
      <w:r>
        <w:rPr>
          <w:rFonts w:ascii="Arial" w:cs="Arial" w:eastAsia="Arial" w:hAnsi="Arial"/>
          <w:sz w:val="17"/>
          <w:szCs w:val="17"/>
          <w:color w:val="000000"/>
        </w:rPr>
        <w:t>understanding with innovative scientific capabilities;</w:t>
      </w:r>
    </w:p>
    <w:p>
      <w:pPr>
        <w:spacing w:after="0" w:line="12" w:lineRule="exact"/>
        <w:rPr>
          <w:sz w:val="20"/>
          <w:szCs w:val="20"/>
          <w:color w:val="auto"/>
        </w:rPr>
      </w:pPr>
    </w:p>
    <w:p>
      <w:pPr>
        <w:ind w:left="420" w:right="240" w:hanging="404"/>
        <w:spacing w:after="0" w:line="268" w:lineRule="auto"/>
        <w:rPr>
          <w:sz w:val="20"/>
          <w:szCs w:val="20"/>
          <w:color w:val="auto"/>
        </w:rPr>
      </w:pPr>
      <w:r>
        <w:rPr>
          <w:rFonts w:ascii="Arial" w:cs="Arial" w:eastAsia="Arial" w:hAnsi="Arial"/>
          <w:sz w:val="19"/>
          <w:szCs w:val="19"/>
          <w:b w:val="1"/>
          <w:bCs w:val="1"/>
          <w:color w:val="00A1DE"/>
        </w:rPr>
        <w:t xml:space="preserve">Develop </w:t>
      </w:r>
      <w:r>
        <w:rPr>
          <w:rFonts w:ascii="Arial" w:cs="Arial" w:eastAsia="Arial" w:hAnsi="Arial"/>
          <w:sz w:val="17"/>
          <w:szCs w:val="17"/>
          <w:color w:val="000000"/>
        </w:rPr>
        <w:t>molecules faster than competitors by executing clinical plans that maximize the human and economic value of the medicines we</w:t>
      </w:r>
      <w:r>
        <w:rPr>
          <w:rFonts w:ascii="Arial" w:cs="Arial" w:eastAsia="Arial" w:hAnsi="Arial"/>
          <w:sz w:val="19"/>
          <w:szCs w:val="19"/>
          <w:b w:val="1"/>
          <w:bCs w:val="1"/>
          <w:color w:val="00A1DE"/>
        </w:rPr>
        <w:t xml:space="preserve"> </w:t>
      </w:r>
      <w:r>
        <w:rPr>
          <w:rFonts w:ascii="Arial" w:cs="Arial" w:eastAsia="Arial" w:hAnsi="Arial"/>
          <w:sz w:val="17"/>
          <w:szCs w:val="17"/>
          <w:color w:val="000000"/>
        </w:rPr>
        <w:t>launch;</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b w:val="1"/>
          <w:bCs w:val="1"/>
          <w:color w:val="00A1DE"/>
        </w:rPr>
        <w:t xml:space="preserve">Reach </w:t>
      </w:r>
      <w:r>
        <w:rPr>
          <w:rFonts w:ascii="Arial" w:cs="Arial" w:eastAsia="Arial" w:hAnsi="Arial"/>
          <w:sz w:val="17"/>
          <w:szCs w:val="17"/>
          <w:color w:val="000000"/>
        </w:rPr>
        <w:t>people around the world by creating volume-driven uptake and broad access to a safe and reliable supply of life-changing medicines;</w:t>
      </w:r>
    </w:p>
    <w:p>
      <w:pPr>
        <w:spacing w:after="0" w:line="79" w:lineRule="exact"/>
        <w:rPr>
          <w:sz w:val="20"/>
          <w:szCs w:val="20"/>
          <w:color w:val="auto"/>
        </w:rPr>
      </w:pPr>
    </w:p>
    <w:p>
      <w:pPr>
        <w:ind w:left="420" w:right="480" w:hanging="404"/>
        <w:spacing w:after="0" w:line="268" w:lineRule="auto"/>
        <w:rPr>
          <w:sz w:val="20"/>
          <w:szCs w:val="20"/>
          <w:color w:val="auto"/>
        </w:rPr>
      </w:pPr>
      <w:r>
        <w:rPr>
          <w:rFonts w:ascii="Arial" w:cs="Arial" w:eastAsia="Arial" w:hAnsi="Arial"/>
          <w:sz w:val="19"/>
          <w:szCs w:val="19"/>
          <w:b w:val="1"/>
          <w:bCs w:val="1"/>
          <w:color w:val="00A1DE"/>
        </w:rPr>
        <w:t xml:space="preserve">Scale </w:t>
      </w:r>
      <w:r>
        <w:rPr>
          <w:rFonts w:ascii="Arial" w:cs="Arial" w:eastAsia="Arial" w:hAnsi="Arial"/>
          <w:sz w:val="17"/>
          <w:szCs w:val="17"/>
          <w:color w:val="000000"/>
        </w:rPr>
        <w:t>our business by prioritizing investments into medicines that can deliver the greatest value for customers and can drive long-term</w:t>
      </w:r>
      <w:r>
        <w:rPr>
          <w:rFonts w:ascii="Arial" w:cs="Arial" w:eastAsia="Arial" w:hAnsi="Arial"/>
          <w:sz w:val="19"/>
          <w:szCs w:val="19"/>
          <w:b w:val="1"/>
          <w:bCs w:val="1"/>
          <w:color w:val="00A1DE"/>
        </w:rPr>
        <w:t xml:space="preserve"> </w:t>
      </w:r>
      <w:r>
        <w:rPr>
          <w:rFonts w:ascii="Arial" w:cs="Arial" w:eastAsia="Arial" w:hAnsi="Arial"/>
          <w:sz w:val="17"/>
          <w:szCs w:val="17"/>
          <w:color w:val="000000"/>
        </w:rPr>
        <w:t>sustainable growth; and</w:t>
      </w:r>
    </w:p>
    <w:p>
      <w:pPr>
        <w:spacing w:after="0" w:line="66" w:lineRule="exact"/>
        <w:rPr>
          <w:sz w:val="20"/>
          <w:szCs w:val="20"/>
          <w:color w:val="auto"/>
        </w:rPr>
      </w:pPr>
    </w:p>
    <w:p>
      <w:pPr>
        <w:spacing w:after="0"/>
        <w:rPr>
          <w:sz w:val="20"/>
          <w:szCs w:val="20"/>
          <w:color w:val="auto"/>
        </w:rPr>
      </w:pPr>
      <w:r>
        <w:rPr>
          <w:rFonts w:ascii="Arial" w:cs="Arial" w:eastAsia="Arial" w:hAnsi="Arial"/>
          <w:sz w:val="19"/>
          <w:szCs w:val="19"/>
          <w:b w:val="1"/>
          <w:bCs w:val="1"/>
          <w:color w:val="00A1DE"/>
        </w:rPr>
        <w:t xml:space="preserve">Reinvest </w:t>
      </w:r>
      <w:r>
        <w:rPr>
          <w:rFonts w:ascii="Arial" w:cs="Arial" w:eastAsia="Arial" w:hAnsi="Arial"/>
          <w:sz w:val="17"/>
          <w:szCs w:val="17"/>
          <w:color w:val="000000"/>
        </w:rPr>
        <w:t>profits into our next wave of innovation and generate value for our investors.</w:t>
      </w:r>
    </w:p>
    <w:p>
      <w:pPr>
        <w:spacing w:after="0" w:line="318"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Highlights of 2022 Performance</w:t>
      </w:r>
    </w:p>
    <w:p>
      <w:pPr>
        <w:spacing w:after="0" w:line="8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continued to progress our strategy in 2022, focusing on four dimensions: operating performance, environmental, social and governance matters, our innovation pipeline and other business development, and shareholder return (both absolute and relative). See our Annual Report on Form 10-K for the fiscal year ended December 31, 2022,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57607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ind w:left="80"/>
        <w:spacing w:after="0"/>
        <w:rPr>
          <w:sz w:val="20"/>
          <w:szCs w:val="20"/>
          <w:color w:val="auto"/>
        </w:rPr>
      </w:pPr>
      <w:r>
        <w:rPr>
          <w:sz w:val="1"/>
          <w:szCs w:val="1"/>
          <w:color w:val="auto"/>
        </w:rPr>
        <w:drawing>
          <wp:inline distT="0" distB="0" distL="0" distR="0">
            <wp:extent cx="360045" cy="36004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0045" cy="360045"/>
                    </a:xfrm>
                    <a:prstGeom prst="rect">
                      <a:avLst/>
                    </a:prstGeom>
                    <a:noFill/>
                    <a:ln>
                      <a:noFill/>
                    </a:ln>
                  </pic:spPr>
                </pic:pic>
              </a:graphicData>
            </a:graphic>
          </wp:inline>
        </w:drawing>
      </w:r>
      <w:r>
        <w:rPr>
          <w:rFonts w:ascii="Arial" w:cs="Arial" w:eastAsia="Arial" w:hAnsi="Arial"/>
          <w:sz w:val="25"/>
          <w:szCs w:val="25"/>
          <w:b w:val="1"/>
          <w:bCs w:val="1"/>
          <w:color w:val="auto"/>
        </w:rPr>
        <w:t xml:space="preserve"> Operating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57607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91" w:lineRule="exact"/>
        <w:rPr>
          <w:sz w:val="20"/>
          <w:szCs w:val="20"/>
          <w:color w:val="auto"/>
        </w:rPr>
      </w:pPr>
    </w:p>
    <w:tbl>
      <w:tblPr>
        <w:tblLayout w:type="fixed"/>
        <w:tblInd w:w="900" w:type="dxa"/>
        <w:tblCellMar>
          <w:top w:w="0" w:type="dxa"/>
          <w:left w:w="0" w:type="dxa"/>
          <w:bottom w:w="0" w:type="dxa"/>
          <w:right w:w="0" w:type="dxa"/>
        </w:tblCellMar>
      </w:tblPr>
      <w:tr>
        <w:trPr>
          <w:trHeight w:val="303"/>
        </w:trPr>
        <w:tc>
          <w:tcPr>
            <w:tcW w:w="1780" w:type="dxa"/>
            <w:vAlign w:val="bottom"/>
            <w:vMerge w:val="restart"/>
          </w:tcPr>
          <w:p>
            <w:pPr>
              <w:jc w:val="center"/>
              <w:ind w:right="480"/>
              <w:spacing w:after="0"/>
              <w:rPr>
                <w:sz w:val="20"/>
                <w:szCs w:val="20"/>
                <w:color w:val="auto"/>
              </w:rPr>
            </w:pPr>
            <w:r>
              <w:rPr>
                <w:rFonts w:ascii="Arial" w:cs="Arial" w:eastAsia="Arial" w:hAnsi="Arial"/>
                <w:sz w:val="25"/>
                <w:szCs w:val="25"/>
                <w:b w:val="1"/>
                <w:bCs w:val="1"/>
                <w:color w:val="EE2724"/>
              </w:rPr>
              <w:t>$28.5</w:t>
            </w:r>
          </w:p>
        </w:tc>
        <w:tc>
          <w:tcPr>
            <w:tcW w:w="3620" w:type="dxa"/>
            <w:vAlign w:val="bottom"/>
          </w:tcPr>
          <w:p>
            <w:pPr>
              <w:jc w:val="center"/>
              <w:ind w:left="121"/>
              <w:spacing w:after="0"/>
              <w:rPr>
                <w:sz w:val="20"/>
                <w:szCs w:val="20"/>
                <w:color w:val="auto"/>
              </w:rPr>
            </w:pPr>
            <w:r>
              <w:rPr>
                <w:rFonts w:ascii="Arial" w:cs="Arial" w:eastAsia="Arial" w:hAnsi="Arial"/>
                <w:sz w:val="25"/>
                <w:szCs w:val="25"/>
                <w:b w:val="1"/>
                <w:bCs w:val="1"/>
                <w:color w:val="D52B1E"/>
              </w:rPr>
              <w:t>$6.90</w:t>
            </w:r>
          </w:p>
        </w:tc>
        <w:tc>
          <w:tcPr>
            <w:tcW w:w="2320" w:type="dxa"/>
            <w:vAlign w:val="bottom"/>
          </w:tcPr>
          <w:p>
            <w:pPr>
              <w:jc w:val="center"/>
              <w:ind w:left="178"/>
              <w:spacing w:after="0"/>
              <w:rPr>
                <w:sz w:val="20"/>
                <w:szCs w:val="20"/>
                <w:color w:val="auto"/>
              </w:rPr>
            </w:pPr>
            <w:r>
              <w:rPr>
                <w:rFonts w:ascii="Arial" w:cs="Arial" w:eastAsia="Arial" w:hAnsi="Arial"/>
                <w:sz w:val="25"/>
                <w:szCs w:val="25"/>
                <w:b w:val="1"/>
                <w:bCs w:val="1"/>
                <w:color w:val="D52B1E"/>
              </w:rPr>
              <w:t>$7.94</w:t>
            </w:r>
          </w:p>
        </w:tc>
        <w:tc>
          <w:tcPr>
            <w:tcW w:w="0" w:type="dxa"/>
            <w:vAlign w:val="bottom"/>
          </w:tcPr>
          <w:p>
            <w:pPr>
              <w:spacing w:after="0"/>
              <w:rPr>
                <w:sz w:val="1"/>
                <w:szCs w:val="1"/>
                <w:color w:val="auto"/>
              </w:rPr>
            </w:pPr>
          </w:p>
        </w:tc>
      </w:tr>
      <w:tr>
        <w:trPr>
          <w:trHeight w:val="181"/>
        </w:trPr>
        <w:tc>
          <w:tcPr>
            <w:tcW w:w="1780" w:type="dxa"/>
            <w:vAlign w:val="bottom"/>
            <w:vMerge w:val="continue"/>
          </w:tcPr>
          <w:p>
            <w:pPr>
              <w:spacing w:after="0"/>
              <w:rPr>
                <w:sz w:val="15"/>
                <w:szCs w:val="15"/>
                <w:color w:val="auto"/>
              </w:rPr>
            </w:pPr>
          </w:p>
        </w:tc>
        <w:tc>
          <w:tcPr>
            <w:tcW w:w="3620" w:type="dxa"/>
            <w:vAlign w:val="bottom"/>
          </w:tcPr>
          <w:p>
            <w:pPr>
              <w:jc w:val="center"/>
              <w:ind w:left="101"/>
              <w:spacing w:after="0" w:line="181" w:lineRule="exact"/>
              <w:rPr>
                <w:sz w:val="20"/>
                <w:szCs w:val="20"/>
                <w:color w:val="auto"/>
              </w:rPr>
            </w:pPr>
            <w:r>
              <w:rPr>
                <w:rFonts w:ascii="Arial" w:cs="Arial" w:eastAsia="Arial" w:hAnsi="Arial"/>
                <w:sz w:val="18"/>
                <w:szCs w:val="18"/>
                <w:b w:val="1"/>
                <w:bCs w:val="1"/>
                <w:color w:val="auto"/>
                <w:w w:val="99"/>
              </w:rPr>
              <w:t xml:space="preserve">earnings per share </w:t>
            </w:r>
            <w:r>
              <w:rPr>
                <w:rFonts w:ascii="Arial" w:cs="Arial" w:eastAsia="Arial" w:hAnsi="Arial"/>
                <w:sz w:val="18"/>
                <w:szCs w:val="18"/>
                <w:color w:val="auto"/>
                <w:w w:val="99"/>
              </w:rPr>
              <w:t>(EPS)</w:t>
            </w:r>
          </w:p>
        </w:tc>
        <w:tc>
          <w:tcPr>
            <w:tcW w:w="2320" w:type="dxa"/>
            <w:vAlign w:val="bottom"/>
          </w:tcPr>
          <w:p>
            <w:pPr>
              <w:jc w:val="center"/>
              <w:ind w:left="118"/>
              <w:spacing w:after="0" w:line="181" w:lineRule="exact"/>
              <w:rPr>
                <w:sz w:val="20"/>
                <w:szCs w:val="20"/>
                <w:color w:val="auto"/>
              </w:rPr>
            </w:pPr>
            <w:r>
              <w:rPr>
                <w:rFonts w:ascii="Arial" w:cs="Arial" w:eastAsia="Arial" w:hAnsi="Arial"/>
                <w:sz w:val="18"/>
                <w:szCs w:val="18"/>
                <w:b w:val="1"/>
                <w:bCs w:val="1"/>
                <w:color w:val="auto"/>
                <w:w w:val="99"/>
              </w:rPr>
              <w:t>EPS on a</w:t>
            </w:r>
          </w:p>
        </w:tc>
        <w:tc>
          <w:tcPr>
            <w:tcW w:w="0" w:type="dxa"/>
            <w:vAlign w:val="bottom"/>
          </w:tcPr>
          <w:p>
            <w:pPr>
              <w:spacing w:after="0"/>
              <w:rPr>
                <w:sz w:val="1"/>
                <w:szCs w:val="1"/>
                <w:color w:val="auto"/>
              </w:rPr>
            </w:pPr>
          </w:p>
        </w:tc>
      </w:tr>
      <w:tr>
        <w:trPr>
          <w:trHeight w:val="149"/>
        </w:trPr>
        <w:tc>
          <w:tcPr>
            <w:tcW w:w="1780" w:type="dxa"/>
            <w:vAlign w:val="bottom"/>
          </w:tcPr>
          <w:p>
            <w:pPr>
              <w:jc w:val="center"/>
              <w:ind w:right="440"/>
              <w:spacing w:after="0" w:line="149" w:lineRule="exact"/>
              <w:rPr>
                <w:sz w:val="20"/>
                <w:szCs w:val="20"/>
                <w:color w:val="auto"/>
              </w:rPr>
            </w:pPr>
            <w:r>
              <w:rPr>
                <w:rFonts w:ascii="Arial" w:cs="Arial" w:eastAsia="Arial" w:hAnsi="Arial"/>
                <w:sz w:val="17"/>
                <w:szCs w:val="17"/>
                <w:b w:val="1"/>
                <w:bCs w:val="1"/>
                <w:color w:val="auto"/>
              </w:rPr>
              <w:t>billion</w:t>
            </w:r>
          </w:p>
        </w:tc>
        <w:tc>
          <w:tcPr>
            <w:tcW w:w="3620" w:type="dxa"/>
            <w:vAlign w:val="bottom"/>
            <w:vMerge w:val="restart"/>
          </w:tcPr>
          <w:p>
            <w:pPr>
              <w:jc w:val="center"/>
              <w:ind w:left="121"/>
              <w:spacing w:after="0"/>
              <w:rPr>
                <w:sz w:val="20"/>
                <w:szCs w:val="20"/>
                <w:color w:val="auto"/>
              </w:rPr>
            </w:pPr>
            <w:r>
              <w:rPr>
                <w:rFonts w:ascii="Arial" w:cs="Arial" w:eastAsia="Arial" w:hAnsi="Arial"/>
                <w:sz w:val="18"/>
                <w:szCs w:val="18"/>
                <w:color w:val="auto"/>
                <w:w w:val="99"/>
              </w:rPr>
              <w:t>in 2022 on a reported basis, up from</w:t>
            </w:r>
          </w:p>
        </w:tc>
        <w:tc>
          <w:tcPr>
            <w:tcW w:w="2320" w:type="dxa"/>
            <w:vAlign w:val="bottom"/>
            <w:vMerge w:val="restart"/>
          </w:tcPr>
          <w:p>
            <w:pPr>
              <w:jc w:val="center"/>
              <w:ind w:left="158"/>
              <w:spacing w:after="0"/>
              <w:rPr>
                <w:sz w:val="20"/>
                <w:szCs w:val="20"/>
                <w:color w:val="auto"/>
              </w:rPr>
            </w:pPr>
            <w:r>
              <w:rPr>
                <w:rFonts w:ascii="Arial" w:cs="Arial" w:eastAsia="Arial" w:hAnsi="Arial"/>
                <w:sz w:val="18"/>
                <w:szCs w:val="18"/>
                <w:b w:val="1"/>
                <w:bCs w:val="1"/>
                <w:color w:val="auto"/>
                <w:w w:val="99"/>
              </w:rPr>
              <w:t xml:space="preserve">non-GAAP basis </w:t>
            </w:r>
            <w:r>
              <w:rPr>
                <w:rFonts w:ascii="Arial" w:cs="Arial" w:eastAsia="Arial" w:hAnsi="Arial"/>
                <w:sz w:val="18"/>
                <w:szCs w:val="18"/>
                <w:color w:val="auto"/>
                <w:w w:val="99"/>
              </w:rPr>
              <w:t>in 2022</w:t>
            </w:r>
          </w:p>
        </w:tc>
        <w:tc>
          <w:tcPr>
            <w:tcW w:w="0" w:type="dxa"/>
            <w:vAlign w:val="bottom"/>
          </w:tcPr>
          <w:p>
            <w:pPr>
              <w:spacing w:after="0"/>
              <w:rPr>
                <w:sz w:val="1"/>
                <w:szCs w:val="1"/>
                <w:color w:val="auto"/>
              </w:rPr>
            </w:pPr>
          </w:p>
        </w:tc>
      </w:tr>
      <w:tr>
        <w:trPr>
          <w:trHeight w:val="103"/>
        </w:trPr>
        <w:tc>
          <w:tcPr>
            <w:tcW w:w="1780" w:type="dxa"/>
            <w:vAlign w:val="bottom"/>
            <w:vMerge w:val="restart"/>
          </w:tcPr>
          <w:p>
            <w:pPr>
              <w:jc w:val="center"/>
              <w:ind w:right="380"/>
              <w:spacing w:after="0"/>
              <w:rPr>
                <w:sz w:val="20"/>
                <w:szCs w:val="20"/>
                <w:color w:val="auto"/>
              </w:rPr>
            </w:pPr>
            <w:r>
              <w:rPr>
                <w:rFonts w:ascii="Arial" w:cs="Arial" w:eastAsia="Arial" w:hAnsi="Arial"/>
                <w:sz w:val="18"/>
                <w:szCs w:val="18"/>
                <w:color w:val="auto"/>
              </w:rPr>
              <w:t>in 2022 revenue</w:t>
            </w:r>
          </w:p>
        </w:tc>
        <w:tc>
          <w:tcPr>
            <w:tcW w:w="3620" w:type="dxa"/>
            <w:vAlign w:val="bottom"/>
            <w:vMerge w:val="continue"/>
          </w:tcPr>
          <w:p>
            <w:pPr>
              <w:spacing w:after="0"/>
              <w:rPr>
                <w:sz w:val="8"/>
                <w:szCs w:val="8"/>
                <w:color w:val="auto"/>
              </w:rPr>
            </w:pPr>
          </w:p>
        </w:tc>
        <w:tc>
          <w:tcPr>
            <w:tcW w:w="2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780" w:type="dxa"/>
            <w:vAlign w:val="bottom"/>
            <w:vMerge w:val="continue"/>
          </w:tcPr>
          <w:p>
            <w:pPr>
              <w:spacing w:after="0"/>
              <w:rPr>
                <w:sz w:val="11"/>
                <w:szCs w:val="11"/>
                <w:color w:val="auto"/>
              </w:rPr>
            </w:pPr>
          </w:p>
        </w:tc>
        <w:tc>
          <w:tcPr>
            <w:tcW w:w="3620" w:type="dxa"/>
            <w:vAlign w:val="bottom"/>
            <w:vMerge w:val="restart"/>
          </w:tcPr>
          <w:p>
            <w:pPr>
              <w:jc w:val="center"/>
              <w:ind w:left="121"/>
              <w:spacing w:after="0"/>
              <w:rPr>
                <w:sz w:val="20"/>
                <w:szCs w:val="20"/>
                <w:color w:val="auto"/>
              </w:rPr>
            </w:pPr>
            <w:r>
              <w:rPr>
                <w:rFonts w:ascii="Arial" w:cs="Arial" w:eastAsia="Arial" w:hAnsi="Arial"/>
                <w:sz w:val="18"/>
                <w:szCs w:val="18"/>
                <w:color w:val="auto"/>
                <w:w w:val="98"/>
              </w:rPr>
              <w:t>$6.12 in 2021</w:t>
            </w:r>
          </w:p>
        </w:tc>
        <w:tc>
          <w:tcPr>
            <w:tcW w:w="2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780" w:type="dxa"/>
            <w:vAlign w:val="bottom"/>
          </w:tcPr>
          <w:p>
            <w:pPr>
              <w:spacing w:after="0"/>
              <w:rPr>
                <w:sz w:val="8"/>
                <w:szCs w:val="8"/>
                <w:color w:val="auto"/>
              </w:rPr>
            </w:pPr>
          </w:p>
        </w:tc>
        <w:tc>
          <w:tcPr>
            <w:tcW w:w="3620" w:type="dxa"/>
            <w:vAlign w:val="bottom"/>
            <w:vMerge w:val="continue"/>
          </w:tcPr>
          <w:p>
            <w:pPr>
              <w:spacing w:after="0"/>
              <w:rPr>
                <w:sz w:val="8"/>
                <w:szCs w:val="8"/>
                <w:color w:val="auto"/>
              </w:rPr>
            </w:pPr>
          </w:p>
        </w:tc>
        <w:tc>
          <w:tcPr>
            <w:tcW w:w="2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jc w:val="both"/>
        <w:ind w:left="20" w:right="2360"/>
        <w:spacing w:after="0" w:line="268" w:lineRule="auto"/>
        <w:rPr>
          <w:sz w:val="20"/>
          <w:szCs w:val="20"/>
          <w:color w:val="auto"/>
        </w:rPr>
      </w:pPr>
      <w:r>
        <w:rPr>
          <w:rFonts w:ascii="Arial" w:cs="Arial" w:eastAsia="Arial" w:hAnsi="Arial"/>
          <w:sz w:val="18"/>
          <w:szCs w:val="18"/>
          <w:color w:val="auto"/>
        </w:rPr>
        <w:t xml:space="preserve">Reported results were prepared in accordance with U.S. generally accepted accounting principles (GAAP) and include all revenue and expenses recognized during the periods. A reconciliation of EPS on a reported basis to EPS on a non-GAAP basis is included in </w:t>
      </w:r>
      <w:r>
        <w:rPr>
          <w:rFonts w:ascii="Arial" w:cs="Arial" w:eastAsia="Arial" w:hAnsi="Arial"/>
          <w:sz w:val="18"/>
          <w:szCs w:val="18"/>
          <w:u w:val="single" w:color="auto"/>
          <w:color w:val="0000FF"/>
        </w:rPr>
        <w:t>Appendix 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57607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57607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24" w:lineRule="exact"/>
        <w:rPr>
          <w:sz w:val="20"/>
          <w:szCs w:val="20"/>
          <w:color w:val="auto"/>
        </w:rPr>
      </w:pPr>
    </w:p>
    <w:p>
      <w:pPr>
        <w:ind w:left="100"/>
        <w:spacing w:after="0"/>
        <w:rPr>
          <w:sz w:val="20"/>
          <w:szCs w:val="20"/>
          <w:color w:val="auto"/>
        </w:rPr>
      </w:pPr>
      <w:r>
        <w:rPr>
          <w:sz w:val="1"/>
          <w:szCs w:val="1"/>
          <w:color w:val="auto"/>
        </w:rPr>
        <w:drawing>
          <wp:inline distT="0" distB="0" distL="0" distR="0">
            <wp:extent cx="308610" cy="30861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8610" cy="308610"/>
                    </a:xfrm>
                    <a:prstGeom prst="rect">
                      <a:avLst/>
                    </a:prstGeom>
                    <a:noFill/>
                    <a:ln>
                      <a:noFill/>
                    </a:ln>
                  </pic:spPr>
                </pic:pic>
              </a:graphicData>
            </a:graphic>
          </wp:inline>
        </w:drawing>
      </w:r>
      <w:r>
        <w:rPr>
          <w:rFonts w:ascii="Arial" w:cs="Arial" w:eastAsia="Arial" w:hAnsi="Arial"/>
          <w:sz w:val="25"/>
          <w:szCs w:val="25"/>
          <w:b w:val="1"/>
          <w:bCs w:val="1"/>
          <w:color w:val="auto"/>
        </w:rPr>
        <w:t xml:space="preserve"> Environmental, Social,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57607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11200"/>
          </w:cols>
          <w:pgMar w:left="320" w:top="963" w:right="379" w:bottom="1440" w:gutter="0" w:footer="0" w:header="0"/>
        </w:sectPr>
      </w:pPr>
    </w:p>
    <w:p>
      <w:pPr>
        <w:spacing w:after="0" w:line="116" w:lineRule="exact"/>
        <w:rPr>
          <w:sz w:val="20"/>
          <w:szCs w:val="20"/>
          <w:color w:val="auto"/>
        </w:rPr>
      </w:pPr>
    </w:p>
    <w:p>
      <w:pPr>
        <w:ind w:left="20" w:right="860"/>
        <w:spacing w:after="0" w:line="265" w:lineRule="auto"/>
        <w:rPr>
          <w:sz w:val="20"/>
          <w:szCs w:val="20"/>
          <w:color w:val="auto"/>
        </w:rPr>
      </w:pPr>
      <w:r>
        <w:rPr>
          <w:rFonts w:ascii="Arial" w:cs="Arial" w:eastAsia="Arial" w:hAnsi="Arial"/>
          <w:sz w:val="18"/>
          <w:szCs w:val="18"/>
          <w:color w:val="auto"/>
        </w:rPr>
        <w:t xml:space="preserve">Innovative collaboration to deliver </w:t>
      </w:r>
      <w:r>
        <w:rPr>
          <w:rFonts w:ascii="Arial" w:cs="Arial" w:eastAsia="Arial" w:hAnsi="Arial"/>
          <w:sz w:val="18"/>
          <w:szCs w:val="18"/>
          <w:b w:val="1"/>
          <w:bCs w:val="1"/>
          <w:color w:val="auto"/>
        </w:rPr>
        <w:t>high-quality,</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affordable </w:t>
      </w:r>
      <w:r>
        <w:rPr>
          <w:rFonts w:ascii="Arial" w:cs="Arial" w:eastAsia="Arial" w:hAnsi="Arial"/>
          <w:sz w:val="18"/>
          <w:szCs w:val="18"/>
          <w:color w:val="auto"/>
        </w:rPr>
        <w:t>human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analogue </w:t>
      </w:r>
      <w:r>
        <w:rPr>
          <w:rFonts w:ascii="Arial" w:cs="Arial" w:eastAsia="Arial" w:hAnsi="Arial"/>
          <w:sz w:val="18"/>
          <w:szCs w:val="18"/>
          <w:b w:val="1"/>
          <w:bCs w:val="1"/>
          <w:color w:val="auto"/>
        </w:rPr>
        <w:t>insulin to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-499110</wp:posOffset>
            </wp:positionV>
            <wp:extent cx="240030" cy="3771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0030" cy="377190"/>
                    </a:xfrm>
                    <a:prstGeom prst="rect">
                      <a:avLst/>
                    </a:prstGeom>
                    <a:noFill/>
                  </pic:spPr>
                </pic:pic>
              </a:graphicData>
            </a:graphic>
          </wp:anchor>
        </w:drawing>
      </w:r>
    </w:p>
    <w:p>
      <w:pPr>
        <w:spacing w:after="0" w:line="38" w:lineRule="exact"/>
        <w:rPr>
          <w:sz w:val="20"/>
          <w:szCs w:val="20"/>
          <w:color w:val="auto"/>
        </w:rPr>
      </w:pPr>
    </w:p>
    <w:p>
      <w:pPr>
        <w:ind w:left="20"/>
        <w:spacing w:after="0" w:line="260" w:lineRule="auto"/>
        <w:rPr>
          <w:sz w:val="20"/>
          <w:szCs w:val="20"/>
          <w:color w:val="auto"/>
        </w:rPr>
      </w:pPr>
      <w:r>
        <w:rPr>
          <w:rFonts w:ascii="Arial" w:cs="Arial" w:eastAsia="Arial" w:hAnsi="Arial"/>
          <w:sz w:val="18"/>
          <w:szCs w:val="18"/>
          <w:b w:val="1"/>
          <w:bCs w:val="1"/>
          <w:color w:val="auto"/>
        </w:rPr>
        <w:t xml:space="preserve">least one million people </w:t>
      </w:r>
      <w:r>
        <w:rPr>
          <w:rFonts w:ascii="Arial" w:cs="Arial" w:eastAsia="Arial" w:hAnsi="Arial"/>
          <w:sz w:val="18"/>
          <w:szCs w:val="18"/>
          <w:color w:val="auto"/>
        </w:rPr>
        <w:t>living with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type 1 and type 2 diabetes </w:t>
      </w:r>
      <w:r>
        <w:rPr>
          <w:rFonts w:ascii="Arial" w:cs="Arial" w:eastAsia="Arial" w:hAnsi="Arial"/>
          <w:sz w:val="18"/>
          <w:szCs w:val="18"/>
          <w:b w:val="1"/>
          <w:bCs w:val="1"/>
          <w:color w:val="auto"/>
        </w:rPr>
        <w:t>in low- to</w:t>
      </w:r>
    </w:p>
    <w:p>
      <w:pPr>
        <w:spacing w:after="0" w:line="2" w:lineRule="exact"/>
        <w:rPr>
          <w:sz w:val="20"/>
          <w:szCs w:val="20"/>
          <w:color w:val="auto"/>
        </w:rPr>
      </w:pPr>
    </w:p>
    <w:p>
      <w:pPr>
        <w:ind w:left="20" w:right="140"/>
        <w:spacing w:after="0" w:line="266" w:lineRule="auto"/>
        <w:rPr>
          <w:sz w:val="20"/>
          <w:szCs w:val="20"/>
          <w:color w:val="auto"/>
        </w:rPr>
      </w:pPr>
      <w:r>
        <w:rPr>
          <w:rFonts w:ascii="Arial" w:cs="Arial" w:eastAsia="Arial" w:hAnsi="Arial"/>
          <w:sz w:val="18"/>
          <w:szCs w:val="18"/>
          <w:b w:val="1"/>
          <w:bCs w:val="1"/>
          <w:color w:val="auto"/>
        </w:rPr>
        <w:t>middle-income countries</w:t>
      </w:r>
      <w:r>
        <w:rPr>
          <w:rFonts w:ascii="Arial" w:cs="Arial" w:eastAsia="Arial" w:hAnsi="Arial"/>
          <w:sz w:val="18"/>
          <w:szCs w:val="18"/>
          <w:color w:val="auto"/>
        </w:rPr>
        <w:t>, most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in Africa</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left="180"/>
        <w:spacing w:after="0" w:line="268" w:lineRule="auto"/>
        <w:rPr>
          <w:sz w:val="20"/>
          <w:szCs w:val="20"/>
          <w:color w:val="auto"/>
        </w:rPr>
      </w:pPr>
      <w:r>
        <w:rPr>
          <w:rFonts w:ascii="Arial" w:cs="Arial" w:eastAsia="Arial" w:hAnsi="Arial"/>
          <w:sz w:val="18"/>
          <w:szCs w:val="18"/>
          <w:color w:val="auto"/>
        </w:rPr>
        <w:t>N</w:t>
      </w:r>
      <w:r>
        <w:rPr>
          <w:rFonts w:ascii="Arial" w:cs="Arial" w:eastAsia="Arial" w:hAnsi="Arial"/>
          <w:sz w:val="18"/>
          <w:szCs w:val="18"/>
          <w:b w:val="1"/>
          <w:bCs w:val="1"/>
          <w:color w:val="auto"/>
        </w:rPr>
        <w:t>ew solar parking canopy in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Fegersheim, France </w:t>
      </w:r>
      <w:r>
        <w:rPr>
          <w:rFonts w:ascii="Arial" w:cs="Arial" w:eastAsia="Arial" w:hAnsi="Arial"/>
          <w:sz w:val="18"/>
          <w:szCs w:val="18"/>
          <w:color w:val="auto"/>
        </w:rPr>
        <w:t>capable of</w:t>
      </w:r>
      <w:r>
        <w:rPr>
          <w:rFonts w:ascii="Arial" w:cs="Arial" w:eastAsia="Arial" w:hAnsi="Arial"/>
          <w:sz w:val="18"/>
          <w:szCs w:val="18"/>
          <w:b w:val="1"/>
          <w:bCs w:val="1"/>
          <w:color w:val="auto"/>
        </w:rPr>
        <w:t xml:space="preserve"> </w:t>
      </w:r>
      <w:r>
        <w:rPr>
          <w:rFonts w:ascii="Arial" w:cs="Arial" w:eastAsia="Arial" w:hAnsi="Arial"/>
          <w:sz w:val="18"/>
          <w:szCs w:val="18"/>
          <w:color w:val="auto"/>
        </w:rPr>
        <w:t>producing approximately</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D52B1E"/>
        </w:rPr>
        <w:t>4,200</w:t>
      </w:r>
    </w:p>
    <w:p>
      <w:pPr>
        <w:spacing w:after="0" w:line="60" w:lineRule="exact"/>
        <w:rPr>
          <w:sz w:val="20"/>
          <w:szCs w:val="20"/>
          <w:color w:val="auto"/>
        </w:rPr>
      </w:pPr>
    </w:p>
    <w:p>
      <w:pPr>
        <w:jc w:val="center"/>
        <w:spacing w:after="0" w:line="258" w:lineRule="auto"/>
        <w:rPr>
          <w:sz w:val="20"/>
          <w:szCs w:val="20"/>
          <w:color w:val="auto"/>
        </w:rPr>
      </w:pPr>
      <w:r>
        <w:rPr>
          <w:rFonts w:ascii="Arial" w:cs="Arial" w:eastAsia="Arial" w:hAnsi="Arial"/>
          <w:sz w:val="18"/>
          <w:szCs w:val="18"/>
          <w:color w:val="auto"/>
        </w:rPr>
        <w:t>megawatt-hours of electricity a year, progressing our 2030 goal to be carbon neutral in our own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73660</wp:posOffset>
            </wp:positionV>
            <wp:extent cx="5760720"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607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Achieved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-264795</wp:posOffset>
            </wp:positionV>
            <wp:extent cx="685800" cy="257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0" cy="257175"/>
                    </a:xfrm>
                    <a:prstGeom prst="rect">
                      <a:avLst/>
                    </a:prstGeom>
                    <a:noFill/>
                  </pic:spPr>
                </pic:pic>
              </a:graphicData>
            </a:graphic>
          </wp:anchor>
        </w:drawing>
      </w:r>
    </w:p>
    <w:p>
      <w:pPr>
        <w:spacing w:after="0" w:line="37" w:lineRule="exact"/>
        <w:rPr>
          <w:sz w:val="20"/>
          <w:szCs w:val="20"/>
          <w:color w:val="auto"/>
        </w:rPr>
      </w:pPr>
    </w:p>
    <w:p>
      <w:pPr>
        <w:ind w:left="460"/>
        <w:spacing w:after="0"/>
        <w:rPr>
          <w:sz w:val="20"/>
          <w:szCs w:val="20"/>
          <w:color w:val="auto"/>
        </w:rPr>
      </w:pPr>
      <w:r>
        <w:rPr>
          <w:rFonts w:ascii="Arial" w:cs="Arial" w:eastAsia="Arial" w:hAnsi="Arial"/>
          <w:sz w:val="25"/>
          <w:szCs w:val="25"/>
          <w:b w:val="1"/>
          <w:bCs w:val="1"/>
          <w:color w:val="D52B1E"/>
        </w:rPr>
        <w:t>A-</w:t>
      </w:r>
    </w:p>
    <w:p>
      <w:pPr>
        <w:spacing w:after="0" w:line="69" w:lineRule="exact"/>
        <w:rPr>
          <w:sz w:val="20"/>
          <w:szCs w:val="20"/>
          <w:color w:val="auto"/>
        </w:rPr>
      </w:pPr>
    </w:p>
    <w:p>
      <w:pPr>
        <w:ind w:right="2280"/>
        <w:spacing w:after="0" w:line="291" w:lineRule="auto"/>
        <w:rPr>
          <w:sz w:val="20"/>
          <w:szCs w:val="20"/>
          <w:color w:val="auto"/>
        </w:rPr>
      </w:pPr>
      <w:r>
        <w:rPr>
          <w:rFonts w:ascii="Arial" w:cs="Arial" w:eastAsia="Arial" w:hAnsi="Arial"/>
          <w:sz w:val="17"/>
          <w:szCs w:val="17"/>
          <w:color w:val="auto"/>
        </w:rPr>
        <w:t xml:space="preserve">score for each of our </w:t>
      </w:r>
      <w:r>
        <w:rPr>
          <w:rFonts w:ascii="Arial" w:cs="Arial" w:eastAsia="Arial" w:hAnsi="Arial"/>
          <w:sz w:val="17"/>
          <w:szCs w:val="17"/>
          <w:b w:val="1"/>
          <w:bCs w:val="1"/>
          <w:color w:val="auto"/>
        </w:rPr>
        <w:t>climate and</w:t>
      </w:r>
      <w:r>
        <w:rPr>
          <w:rFonts w:ascii="Arial" w:cs="Arial" w:eastAsia="Arial" w:hAnsi="Arial"/>
          <w:sz w:val="17"/>
          <w:szCs w:val="17"/>
          <w:color w:val="auto"/>
        </w:rPr>
        <w:t xml:space="preserve"> </w:t>
      </w:r>
      <w:r>
        <w:rPr>
          <w:rFonts w:ascii="Arial" w:cs="Arial" w:eastAsia="Arial" w:hAnsi="Arial"/>
          <w:sz w:val="17"/>
          <w:szCs w:val="17"/>
          <w:b w:val="1"/>
          <w:bCs w:val="1"/>
          <w:color w:val="auto"/>
        </w:rPr>
        <w:t>water 2022 CDP submissions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above the sector average</w:t>
      </w:r>
    </w:p>
    <w:p>
      <w:pPr>
        <w:spacing w:after="0" w:line="255" w:lineRule="exact"/>
        <w:rPr>
          <w:sz w:val="20"/>
          <w:szCs w:val="20"/>
          <w:color w:val="auto"/>
        </w:rPr>
      </w:pPr>
    </w:p>
    <w:p>
      <w:pPr>
        <w:sectPr>
          <w:pgSz w:w="11900" w:h="16838" w:orient="portrait"/>
          <w:cols w:equalWidth="0" w:num="3">
            <w:col w:w="2980" w:space="240"/>
            <w:col w:w="2940" w:space="80"/>
            <w:col w:w="4960"/>
          </w:cols>
          <w:pgMar w:left="320" w:top="963" w:right="379" w:bottom="1440" w:gutter="0" w:footer="0" w:header="0"/>
          <w:type w:val="continuous"/>
        </w:sectPr>
      </w:pPr>
    </w:p>
    <w:p>
      <w:pPr>
        <w:ind w:left="1860"/>
        <w:spacing w:after="0"/>
        <w:rPr>
          <w:sz w:val="20"/>
          <w:szCs w:val="20"/>
          <w:color w:val="auto"/>
        </w:rPr>
      </w:pPr>
      <w:r>
        <w:rPr>
          <w:rFonts w:ascii="Arial" w:cs="Arial" w:eastAsia="Arial" w:hAnsi="Arial"/>
          <w:sz w:val="20"/>
          <w:szCs w:val="20"/>
          <w:b w:val="1"/>
          <w:bCs w:val="1"/>
          <w:color w:val="929292"/>
        </w:rPr>
        <w:t>Racial Justice Pledge Progress From 2020 through 2022*</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100" w:type="dxa"/>
            <w:vAlign w:val="bottom"/>
          </w:tcPr>
          <w:p>
            <w:pPr>
              <w:jc w:val="right"/>
              <w:ind w:right="1003"/>
              <w:spacing w:after="0"/>
              <w:rPr>
                <w:sz w:val="20"/>
                <w:szCs w:val="20"/>
                <w:color w:val="auto"/>
              </w:rPr>
            </w:pPr>
            <w:r>
              <w:rPr>
                <w:rFonts w:ascii="Arial" w:cs="Arial" w:eastAsia="Arial" w:hAnsi="Arial"/>
                <w:sz w:val="25"/>
                <w:szCs w:val="25"/>
                <w:b w:val="1"/>
                <w:bCs w:val="1"/>
                <w:color w:val="EE2724"/>
              </w:rPr>
              <w:t>30,000+</w:t>
            </w:r>
          </w:p>
        </w:tc>
        <w:tc>
          <w:tcPr>
            <w:tcW w:w="2880" w:type="dxa"/>
            <w:vAlign w:val="bottom"/>
          </w:tcPr>
          <w:p>
            <w:pPr>
              <w:ind w:left="1060"/>
              <w:spacing w:after="0"/>
              <w:rPr>
                <w:sz w:val="20"/>
                <w:szCs w:val="20"/>
                <w:color w:val="auto"/>
              </w:rPr>
            </w:pPr>
            <w:r>
              <w:rPr>
                <w:rFonts w:ascii="Arial" w:cs="Arial" w:eastAsia="Arial" w:hAnsi="Arial"/>
                <w:sz w:val="25"/>
                <w:szCs w:val="25"/>
                <w:b w:val="1"/>
                <w:bCs w:val="1"/>
                <w:color w:val="EE2724"/>
              </w:rPr>
              <w:t>$214.7M</w:t>
            </w:r>
          </w:p>
        </w:tc>
        <w:tc>
          <w:tcPr>
            <w:tcW w:w="3100" w:type="dxa"/>
            <w:vAlign w:val="bottom"/>
          </w:tcPr>
          <w:p>
            <w:pPr>
              <w:jc w:val="right"/>
              <w:ind w:right="1163"/>
              <w:spacing w:after="0"/>
              <w:rPr>
                <w:sz w:val="20"/>
                <w:szCs w:val="20"/>
                <w:color w:val="auto"/>
              </w:rPr>
            </w:pPr>
            <w:r>
              <w:rPr>
                <w:rFonts w:ascii="Arial" w:cs="Arial" w:eastAsia="Arial" w:hAnsi="Arial"/>
                <w:sz w:val="25"/>
                <w:szCs w:val="25"/>
                <w:b w:val="1"/>
                <w:bCs w:val="1"/>
                <w:color w:val="EE2724"/>
              </w:rPr>
              <w:t>70+</w:t>
            </w:r>
          </w:p>
        </w:tc>
      </w:tr>
      <w:tr>
        <w:trPr>
          <w:trHeight w:val="202"/>
        </w:trPr>
        <w:tc>
          <w:tcPr>
            <w:tcW w:w="31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volunteer hours</w:t>
            </w:r>
          </w:p>
        </w:tc>
        <w:tc>
          <w:tcPr>
            <w:tcW w:w="2880" w:type="dxa"/>
            <w:vAlign w:val="bottom"/>
          </w:tcPr>
          <w:p>
            <w:pPr>
              <w:jc w:val="center"/>
              <w:ind w:left="203"/>
              <w:spacing w:after="0" w:line="202" w:lineRule="exact"/>
              <w:rPr>
                <w:sz w:val="20"/>
                <w:szCs w:val="20"/>
                <w:color w:val="auto"/>
              </w:rPr>
            </w:pPr>
            <w:r>
              <w:rPr>
                <w:rFonts w:ascii="Arial" w:cs="Arial" w:eastAsia="Arial" w:hAnsi="Arial"/>
                <w:sz w:val="18"/>
                <w:szCs w:val="18"/>
                <w:b w:val="1"/>
                <w:bCs w:val="1"/>
                <w:color w:val="auto"/>
              </w:rPr>
              <w:t>increase</w:t>
            </w:r>
          </w:p>
        </w:tc>
        <w:tc>
          <w:tcPr>
            <w:tcW w:w="3100" w:type="dxa"/>
            <w:vAlign w:val="bottom"/>
          </w:tcPr>
          <w:p>
            <w:pPr>
              <w:jc w:val="center"/>
              <w:ind w:left="143"/>
              <w:spacing w:after="0" w:line="202" w:lineRule="exact"/>
              <w:rPr>
                <w:sz w:val="20"/>
                <w:szCs w:val="20"/>
                <w:color w:val="auto"/>
              </w:rPr>
            </w:pPr>
            <w:r>
              <w:rPr>
                <w:rFonts w:ascii="Arial" w:cs="Arial" w:eastAsia="Arial" w:hAnsi="Arial"/>
                <w:sz w:val="18"/>
                <w:szCs w:val="18"/>
                <w:b w:val="1"/>
                <w:bCs w:val="1"/>
                <w:color w:val="auto"/>
              </w:rPr>
              <w:t>apprentices</w:t>
            </w:r>
          </w:p>
        </w:tc>
      </w:tr>
      <w:tr>
        <w:trPr>
          <w:trHeight w:val="216"/>
        </w:trPr>
        <w:tc>
          <w:tcPr>
            <w:tcW w:w="3100" w:type="dxa"/>
            <w:vAlign w:val="bottom"/>
          </w:tcPr>
          <w:p>
            <w:pPr>
              <w:jc w:val="center"/>
              <w:spacing w:after="0"/>
              <w:rPr>
                <w:sz w:val="20"/>
                <w:szCs w:val="20"/>
                <w:color w:val="auto"/>
              </w:rPr>
            </w:pPr>
            <w:r>
              <w:rPr>
                <w:rFonts w:ascii="Arial" w:cs="Arial" w:eastAsia="Arial" w:hAnsi="Arial"/>
                <w:sz w:val="18"/>
                <w:szCs w:val="18"/>
                <w:color w:val="auto"/>
                <w:w w:val="99"/>
              </w:rPr>
              <w:t>served by employees to</w:t>
            </w:r>
          </w:p>
        </w:tc>
        <w:tc>
          <w:tcPr>
            <w:tcW w:w="2880" w:type="dxa"/>
            <w:vAlign w:val="bottom"/>
          </w:tcPr>
          <w:p>
            <w:pPr>
              <w:jc w:val="center"/>
              <w:ind w:left="203"/>
              <w:spacing w:after="0"/>
              <w:rPr>
                <w:sz w:val="20"/>
                <w:szCs w:val="20"/>
                <w:color w:val="auto"/>
              </w:rPr>
            </w:pPr>
            <w:r>
              <w:rPr>
                <w:rFonts w:ascii="Arial" w:cs="Arial" w:eastAsia="Arial" w:hAnsi="Arial"/>
                <w:sz w:val="18"/>
                <w:szCs w:val="18"/>
                <w:color w:val="auto"/>
              </w:rPr>
              <w:t>in Black Business</w:t>
            </w:r>
          </w:p>
        </w:tc>
        <w:tc>
          <w:tcPr>
            <w:tcW w:w="3100" w:type="dxa"/>
            <w:vAlign w:val="bottom"/>
          </w:tcPr>
          <w:p>
            <w:pPr>
              <w:jc w:val="center"/>
              <w:ind w:left="143"/>
              <w:spacing w:after="0"/>
              <w:rPr>
                <w:sz w:val="20"/>
                <w:szCs w:val="20"/>
                <w:color w:val="auto"/>
              </w:rPr>
            </w:pPr>
            <w:r>
              <w:rPr>
                <w:rFonts w:ascii="Arial" w:cs="Arial" w:eastAsia="Arial" w:hAnsi="Arial"/>
                <w:sz w:val="18"/>
                <w:szCs w:val="18"/>
                <w:color w:val="auto"/>
                <w:w w:val="99"/>
              </w:rPr>
              <w:t>from underrepresented groups</w:t>
            </w:r>
          </w:p>
        </w:tc>
      </w:tr>
      <w:tr>
        <w:trPr>
          <w:trHeight w:val="216"/>
        </w:trPr>
        <w:tc>
          <w:tcPr>
            <w:tcW w:w="3100" w:type="dxa"/>
            <w:vAlign w:val="bottom"/>
          </w:tcPr>
          <w:p>
            <w:pPr>
              <w:jc w:val="center"/>
              <w:spacing w:after="0"/>
              <w:rPr>
                <w:sz w:val="20"/>
                <w:szCs w:val="20"/>
                <w:color w:val="auto"/>
              </w:rPr>
            </w:pPr>
            <w:r>
              <w:rPr>
                <w:rFonts w:ascii="Arial" w:cs="Arial" w:eastAsia="Arial" w:hAnsi="Arial"/>
                <w:sz w:val="18"/>
                <w:szCs w:val="18"/>
                <w:color w:val="auto"/>
                <w:w w:val="99"/>
              </w:rPr>
              <w:t>advance racial justice</w:t>
            </w:r>
          </w:p>
        </w:tc>
        <w:tc>
          <w:tcPr>
            <w:tcW w:w="2880" w:type="dxa"/>
            <w:vAlign w:val="bottom"/>
          </w:tcPr>
          <w:p>
            <w:pPr>
              <w:jc w:val="center"/>
              <w:ind w:left="203"/>
              <w:spacing w:after="0"/>
              <w:rPr>
                <w:sz w:val="20"/>
                <w:szCs w:val="20"/>
                <w:color w:val="auto"/>
              </w:rPr>
            </w:pPr>
            <w:r>
              <w:rPr>
                <w:rFonts w:ascii="Arial" w:cs="Arial" w:eastAsia="Arial" w:hAnsi="Arial"/>
                <w:sz w:val="18"/>
                <w:szCs w:val="18"/>
                <w:color w:val="auto"/>
              </w:rPr>
              <w:t>Enterprises spend; 150%</w:t>
            </w:r>
          </w:p>
        </w:tc>
        <w:tc>
          <w:tcPr>
            <w:tcW w:w="3100" w:type="dxa"/>
            <w:vAlign w:val="bottom"/>
          </w:tcPr>
          <w:p>
            <w:pPr>
              <w:jc w:val="center"/>
              <w:ind w:left="143"/>
              <w:spacing w:after="0"/>
              <w:rPr>
                <w:sz w:val="20"/>
                <w:szCs w:val="20"/>
                <w:color w:val="auto"/>
              </w:rPr>
            </w:pPr>
            <w:r>
              <w:rPr>
                <w:rFonts w:ascii="Arial" w:cs="Arial" w:eastAsia="Arial" w:hAnsi="Arial"/>
                <w:sz w:val="18"/>
                <w:szCs w:val="18"/>
                <w:color w:val="auto"/>
              </w:rPr>
              <w:t>trained for family sustaining jobs at</w:t>
            </w:r>
          </w:p>
        </w:tc>
      </w:tr>
      <w:tr>
        <w:trPr>
          <w:trHeight w:val="244"/>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initiatives since 2020</w:t>
            </w:r>
          </w:p>
        </w:tc>
        <w:tc>
          <w:tcPr>
            <w:tcW w:w="2880" w:type="dxa"/>
            <w:vAlign w:val="bottom"/>
            <w:tcBorders>
              <w:bottom w:val="single" w:sz="8" w:color="auto"/>
            </w:tcBorders>
          </w:tcPr>
          <w:p>
            <w:pPr>
              <w:jc w:val="center"/>
              <w:ind w:left="203"/>
              <w:spacing w:after="0"/>
              <w:rPr>
                <w:sz w:val="20"/>
                <w:szCs w:val="20"/>
                <w:color w:val="auto"/>
              </w:rPr>
            </w:pPr>
            <w:r>
              <w:rPr>
                <w:rFonts w:ascii="Arial" w:cs="Arial" w:eastAsia="Arial" w:hAnsi="Arial"/>
                <w:sz w:val="18"/>
                <w:szCs w:val="18"/>
                <w:color w:val="auto"/>
              </w:rPr>
              <w:t>increase over 2020</w:t>
            </w:r>
          </w:p>
        </w:tc>
        <w:tc>
          <w:tcPr>
            <w:tcW w:w="3100" w:type="dxa"/>
            <w:vAlign w:val="bottom"/>
            <w:tcBorders>
              <w:bottom w:val="single" w:sz="8" w:color="auto"/>
            </w:tcBorders>
          </w:tcPr>
          <w:p>
            <w:pPr>
              <w:jc w:val="center"/>
              <w:ind w:left="143"/>
              <w:spacing w:after="0"/>
              <w:rPr>
                <w:sz w:val="20"/>
                <w:szCs w:val="20"/>
                <w:color w:val="auto"/>
              </w:rPr>
            </w:pPr>
            <w:r>
              <w:rPr>
                <w:rFonts w:ascii="Arial" w:cs="Arial" w:eastAsia="Arial" w:hAnsi="Arial"/>
                <w:sz w:val="18"/>
                <w:szCs w:val="18"/>
                <w:color w:val="auto"/>
                <w:w w:val="99"/>
              </w:rPr>
              <w:t>Lilly without a four-year degree</w:t>
            </w:r>
          </w:p>
        </w:tc>
      </w:tr>
    </w:tbl>
    <w:p>
      <w:pPr>
        <w:spacing w:after="0" w:line="76" w:lineRule="exact"/>
        <w:rPr>
          <w:sz w:val="20"/>
          <w:szCs w:val="20"/>
          <w:color w:val="auto"/>
        </w:rPr>
      </w:pPr>
    </w:p>
    <w:p>
      <w:pPr>
        <w:ind w:right="400"/>
        <w:spacing w:after="0" w:line="328" w:lineRule="auto"/>
        <w:rPr>
          <w:sz w:val="20"/>
          <w:szCs w:val="20"/>
          <w:color w:val="auto"/>
        </w:rPr>
      </w:pPr>
      <w:r>
        <w:rPr>
          <w:rFonts w:ascii="Arial" w:cs="Arial" w:eastAsia="Arial" w:hAnsi="Arial"/>
          <w:sz w:val="14"/>
          <w:szCs w:val="14"/>
          <w:color w:val="auto"/>
        </w:rPr>
        <w:t>*For additional information on our Racial Justice Pledge and progress see “</w:t>
      </w:r>
      <w:r>
        <w:rPr>
          <w:rFonts w:ascii="Arial" w:cs="Arial" w:eastAsia="Arial" w:hAnsi="Arial"/>
          <w:sz w:val="14"/>
          <w:szCs w:val="14"/>
          <w:u w:val="single" w:color="auto"/>
          <w:color w:val="0000FF"/>
        </w:rPr>
        <w:t>Governance</w:t>
      </w:r>
      <w:r>
        <w:rPr>
          <w:rFonts w:ascii="Arial" w:cs="Arial" w:eastAsia="Arial" w:hAnsi="Arial"/>
          <w:sz w:val="17"/>
          <w:szCs w:val="17"/>
          <w:u w:val="single" w:color="auto"/>
          <w:color w:val="0000FF"/>
        </w:rPr>
        <w:t>—</w:t>
      </w:r>
      <w:r>
        <w:rPr>
          <w:rFonts w:ascii="Arial" w:cs="Arial" w:eastAsia="Arial" w:hAnsi="Arial"/>
          <w:sz w:val="14"/>
          <w:szCs w:val="14"/>
          <w:u w:val="single" w:color="auto"/>
          <w:color w:val="0000FF"/>
        </w:rPr>
        <w:t>How We Operate an Effective Board</w:t>
      </w:r>
      <w:r>
        <w:rPr>
          <w:rFonts w:ascii="Arial" w:cs="Arial" w:eastAsia="Arial" w:hAnsi="Arial"/>
          <w:sz w:val="17"/>
          <w:szCs w:val="17"/>
          <w:u w:val="single" w:color="auto"/>
          <w:color w:val="0000FF"/>
        </w:rPr>
        <w:t>—</w:t>
      </w:r>
      <w:r>
        <w:rPr>
          <w:rFonts w:ascii="Arial" w:cs="Arial" w:eastAsia="Arial" w:hAnsi="Arial"/>
          <w:sz w:val="14"/>
          <w:szCs w:val="14"/>
          <w:u w:val="single" w:color="auto"/>
          <w:color w:val="0000FF"/>
        </w:rPr>
        <w:t>Governance Practices</w:t>
      </w:r>
      <w:r>
        <w:rPr>
          <w:rFonts w:ascii="Arial" w:cs="Arial" w:eastAsia="Arial" w:hAnsi="Arial"/>
          <w:sz w:val="17"/>
          <w:szCs w:val="17"/>
          <w:u w:val="single" w:color="auto"/>
          <w:color w:val="0000FF"/>
        </w:rPr>
        <w:t>—</w:t>
      </w:r>
      <w:r>
        <w:rPr>
          <w:rFonts w:ascii="Arial" w:cs="Arial" w:eastAsia="Arial" w:hAnsi="Arial"/>
          <w:sz w:val="14"/>
          <w:szCs w:val="14"/>
          <w:u w:val="single" w:color="auto"/>
          <w:color w:val="0000FF"/>
        </w:rPr>
        <w:t>Human Capital</w:t>
      </w:r>
      <w:r>
        <w:rPr>
          <w:rFonts w:ascii="Arial" w:cs="Arial" w:eastAsia="Arial" w:hAnsi="Arial"/>
          <w:sz w:val="14"/>
          <w:szCs w:val="14"/>
          <w:color w:val="auto"/>
        </w:rPr>
        <w:t xml:space="preserve"> </w:t>
      </w:r>
      <w:r>
        <w:rPr>
          <w:rFonts w:ascii="Arial" w:cs="Arial" w:eastAsia="Arial" w:hAnsi="Arial"/>
          <w:sz w:val="14"/>
          <w:szCs w:val="14"/>
          <w:u w:val="single" w:color="auto"/>
          <w:color w:val="0000FF"/>
        </w:rPr>
        <w:t>Management</w:t>
      </w:r>
      <w:r>
        <w:rPr>
          <w:rFonts w:ascii="Arial" w:cs="Arial" w:eastAsia="Arial" w:hAnsi="Arial"/>
          <w:sz w:val="14"/>
          <w:szCs w:val="14"/>
          <w:color w:val="000000"/>
        </w:rPr>
        <w:t>”.</w:t>
      </w:r>
    </w:p>
    <w:p>
      <w:pPr>
        <w:sectPr>
          <w:pgSz w:w="11900" w:h="16838" w:orient="portrait"/>
          <w:cols w:equalWidth="0" w:num="1">
            <w:col w:w="11200"/>
          </w:cols>
          <w:pgMar w:left="320" w:top="963" w:right="379" w:bottom="1440" w:gutter="0" w:footer="0" w:header="0"/>
          <w:type w:val="continuous"/>
        </w:sect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63" w:right="379" w:bottom="1440" w:gutter="0" w:footer="0" w:header="0"/>
          <w:type w:val="continuous"/>
        </w:sectPr>
      </w:pPr>
    </w:p>
    <w:bookmarkStart w:id="7" w:name="page8"/>
    <w:bookmarkEnd w:id="7"/>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1014730</wp:posOffset>
            </wp:positionV>
            <wp:extent cx="57607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ind w:left="20"/>
        <w:spacing w:after="0"/>
        <w:rPr>
          <w:sz w:val="20"/>
          <w:szCs w:val="20"/>
          <w:color w:val="auto"/>
        </w:rPr>
      </w:pPr>
      <w:r>
        <w:rPr>
          <w:sz w:val="1"/>
          <w:szCs w:val="1"/>
          <w:color w:val="auto"/>
        </w:rPr>
        <w:drawing>
          <wp:inline distT="0" distB="0" distL="0" distR="0">
            <wp:extent cx="402590" cy="36893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02590" cy="368935"/>
                    </a:xfrm>
                    <a:prstGeom prst="rect">
                      <a:avLst/>
                    </a:prstGeom>
                    <a:noFill/>
                    <a:ln>
                      <a:noFill/>
                    </a:ln>
                  </pic:spPr>
                </pic:pic>
              </a:graphicData>
            </a:graphic>
          </wp:inline>
        </w:drawing>
      </w:r>
      <w:r>
        <w:rPr>
          <w:rFonts w:ascii="Arial" w:cs="Arial" w:eastAsia="Arial" w:hAnsi="Arial"/>
          <w:sz w:val="24"/>
          <w:szCs w:val="24"/>
          <w:b w:val="1"/>
          <w:bCs w:val="1"/>
          <w:color w:val="auto"/>
        </w:rPr>
        <w:t xml:space="preserve"> Innovation Pipeline and Other Business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5760720" cy="1974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60720" cy="197485"/>
                    </a:xfrm>
                    <a:prstGeom prst="rect">
                      <a:avLst/>
                    </a:prstGeom>
                    <a:noFill/>
                  </pic:spPr>
                </pic:pic>
              </a:graphicData>
            </a:graphic>
          </wp:anchor>
        </w:drawing>
      </w:r>
    </w:p>
    <w:p>
      <w:pPr>
        <w:spacing w:after="0" w:line="91" w:lineRule="exact"/>
        <w:rPr>
          <w:sz w:val="20"/>
          <w:szCs w:val="20"/>
          <w:color w:val="auto"/>
        </w:rPr>
      </w:pPr>
    </w:p>
    <w:p>
      <w:pPr>
        <w:ind w:left="3780"/>
        <w:spacing w:after="0"/>
        <w:rPr>
          <w:sz w:val="20"/>
          <w:szCs w:val="20"/>
          <w:color w:val="auto"/>
        </w:rPr>
      </w:pPr>
      <w:r>
        <w:rPr>
          <w:rFonts w:ascii="Arial" w:cs="Arial" w:eastAsia="Arial" w:hAnsi="Arial"/>
          <w:sz w:val="20"/>
          <w:szCs w:val="20"/>
          <w:b w:val="1"/>
          <w:bCs w:val="1"/>
          <w:color w:val="929292"/>
        </w:rPr>
        <w:t>New Indications</w:t>
      </w:r>
    </w:p>
    <w:p>
      <w:pPr>
        <w:sectPr>
          <w:pgSz w:w="11900" w:h="16838" w:orient="portrait"/>
          <w:cols w:equalWidth="0" w:num="1">
            <w:col w:w="10119"/>
          </w:cols>
          <w:pgMar w:left="340" w:top="1440" w:right="1440"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U.S. approval </w:t>
      </w:r>
      <w:r>
        <w:rPr>
          <w:rFonts w:ascii="Arial" w:cs="Arial" w:eastAsia="Arial" w:hAnsi="Arial"/>
          <w:sz w:val="17"/>
          <w:szCs w:val="17"/>
          <w:color w:val="auto"/>
        </w:rPr>
        <w:t>of</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Mounjaro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(tirzepatide), the first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only GIP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GLP-1 receptor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agonist, </w:t>
      </w:r>
      <w:r>
        <w:rPr>
          <w:rFonts w:ascii="Arial" w:cs="Arial" w:eastAsia="Arial" w:hAnsi="Arial"/>
          <w:sz w:val="18"/>
          <w:szCs w:val="18"/>
          <w:b w:val="1"/>
          <w:bCs w:val="1"/>
          <w:color w:val="auto"/>
        </w:rPr>
        <w:t>for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adults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 type 2 diabetes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109220</wp:posOffset>
            </wp:positionV>
            <wp:extent cx="1011555" cy="6083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11555" cy="6083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collaboration with Boehringer Ingelheim International GmbH, </w:t>
      </w:r>
      <w:r>
        <w:rPr>
          <w:rFonts w:ascii="Arial" w:cs="Arial" w:eastAsia="Arial" w:hAnsi="Arial"/>
          <w:sz w:val="18"/>
          <w:szCs w:val="18"/>
          <w:b w:val="1"/>
          <w:bCs w:val="1"/>
          <w:color w:val="auto"/>
        </w:rPr>
        <w:t>U.S.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approval </w:t>
      </w:r>
      <w:r>
        <w:rPr>
          <w:rFonts w:ascii="Arial" w:cs="Arial" w:eastAsia="Arial" w:hAnsi="Arial"/>
          <w:sz w:val="18"/>
          <w:szCs w:val="18"/>
          <w:color w:val="auto"/>
        </w:rPr>
        <w:t>of a new indication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 Jardiance (empagliflozin) to treat </w:t>
      </w:r>
      <w:r>
        <w:rPr>
          <w:rFonts w:ascii="Arial" w:cs="Arial" w:eastAsia="Arial" w:hAnsi="Arial"/>
          <w:sz w:val="18"/>
          <w:szCs w:val="18"/>
          <w:b w:val="1"/>
          <w:bCs w:val="1"/>
          <w:color w:val="auto"/>
        </w:rPr>
        <w:t>adults with heart failure</w:t>
      </w:r>
      <w:r>
        <w:rPr>
          <w:rFonts w:ascii="Arial" w:cs="Arial" w:eastAsia="Arial" w:hAnsi="Arial"/>
          <w:sz w:val="18"/>
          <w:szCs w:val="18"/>
          <w:color w:val="auto"/>
        </w:rPr>
        <w:t xml:space="preserve"> </w:t>
      </w:r>
      <w:r>
        <w:rPr>
          <w:rFonts w:ascii="Arial" w:cs="Arial" w:eastAsia="Arial" w:hAnsi="Arial"/>
          <w:sz w:val="18"/>
          <w:szCs w:val="18"/>
          <w:b w:val="1"/>
          <w:bCs w:val="1"/>
          <w:color w:val="auto"/>
        </w:rPr>
        <w:t>regardless of left ventricular ejection fraction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-1893570</wp:posOffset>
            </wp:positionV>
            <wp:extent cx="1525905" cy="6686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25905" cy="6686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U.S. approval </w:t>
      </w:r>
      <w:r>
        <w:rPr>
          <w:rFonts w:ascii="Arial" w:cs="Arial" w:eastAsia="Arial" w:hAnsi="Arial"/>
          <w:sz w:val="18"/>
          <w:szCs w:val="18"/>
          <w:color w:val="auto"/>
        </w:rPr>
        <w:t>of Retevmo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(selpercatinib), the </w:t>
      </w:r>
      <w:r>
        <w:rPr>
          <w:rFonts w:ascii="Arial" w:cs="Arial" w:eastAsia="Arial" w:hAnsi="Arial"/>
          <w:sz w:val="18"/>
          <w:szCs w:val="18"/>
          <w:b w:val="1"/>
          <w:bCs w:val="1"/>
          <w:color w:val="auto"/>
        </w:rPr>
        <w:t>first and</w:t>
      </w:r>
      <w:r>
        <w:rPr>
          <w:rFonts w:ascii="Arial" w:cs="Arial" w:eastAsia="Arial" w:hAnsi="Arial"/>
          <w:sz w:val="18"/>
          <w:szCs w:val="18"/>
          <w:color w:val="auto"/>
        </w:rPr>
        <w:t xml:space="preserve"> </w:t>
      </w:r>
      <w:r>
        <w:rPr>
          <w:rFonts w:ascii="Arial" w:cs="Arial" w:eastAsia="Arial" w:hAnsi="Arial"/>
          <w:sz w:val="18"/>
          <w:szCs w:val="18"/>
          <w:b w:val="1"/>
          <w:bCs w:val="1"/>
          <w:color w:val="auto"/>
        </w:rPr>
        <w:t>only RET inhibitor for adults with advanced or metastatic solid tumors with a RET gene fusion, regardless of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1037590</wp:posOffset>
            </wp:positionV>
            <wp:extent cx="5760720" cy="1968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60720" cy="19685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317500</wp:posOffset>
            </wp:positionV>
            <wp:extent cx="1414145" cy="5314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14145" cy="5314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199"/>
        <w:spacing w:after="0" w:line="277" w:lineRule="auto"/>
        <w:rPr>
          <w:sz w:val="20"/>
          <w:szCs w:val="20"/>
          <w:color w:val="auto"/>
        </w:rPr>
      </w:pPr>
      <w:r>
        <w:rPr>
          <w:rFonts w:ascii="Arial" w:cs="Arial" w:eastAsia="Arial" w:hAnsi="Arial"/>
          <w:sz w:val="17"/>
          <w:szCs w:val="17"/>
          <w:color w:val="auto"/>
        </w:rPr>
        <w:t xml:space="preserve">In collaboration with Incyte Corporation, </w:t>
      </w:r>
      <w:r>
        <w:rPr>
          <w:rFonts w:ascii="Arial" w:cs="Arial" w:eastAsia="Arial" w:hAnsi="Arial"/>
          <w:sz w:val="17"/>
          <w:szCs w:val="17"/>
          <w:b w:val="1"/>
          <w:bCs w:val="1"/>
          <w:color w:val="auto"/>
        </w:rPr>
        <w:t>U.S. approval</w:t>
      </w:r>
      <w:r>
        <w:rPr>
          <w:rFonts w:ascii="Arial" w:cs="Arial" w:eastAsia="Arial" w:hAnsi="Arial"/>
          <w:sz w:val="17"/>
          <w:szCs w:val="17"/>
          <w:color w:val="auto"/>
        </w:rPr>
        <w:t xml:space="preserve"> of Olumiant (baricitinib) as a </w:t>
      </w:r>
      <w:r>
        <w:rPr>
          <w:rFonts w:ascii="Arial" w:cs="Arial" w:eastAsia="Arial" w:hAnsi="Arial"/>
          <w:sz w:val="17"/>
          <w:szCs w:val="17"/>
          <w:b w:val="1"/>
          <w:bCs w:val="1"/>
          <w:color w:val="auto"/>
        </w:rPr>
        <w:t>first-in-disease systemic treatment for adults with severe alopecia areata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-1781175</wp:posOffset>
            </wp:positionV>
            <wp:extent cx="1371600" cy="7461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71600" cy="746125"/>
                    </a:xfrm>
                    <a:prstGeom prst="rect">
                      <a:avLst/>
                    </a:prstGeom>
                    <a:noFill/>
                  </pic:spPr>
                </pic:pic>
              </a:graphicData>
            </a:graphic>
          </wp:anchor>
        </w:drawing>
      </w:r>
    </w:p>
    <w:p>
      <w:pPr>
        <w:spacing w:after="0" w:line="248" w:lineRule="exact"/>
        <w:rPr>
          <w:sz w:val="20"/>
          <w:szCs w:val="20"/>
          <w:color w:val="auto"/>
        </w:rPr>
      </w:pPr>
    </w:p>
    <w:p>
      <w:pPr>
        <w:sectPr>
          <w:pgSz w:w="11900" w:h="16838" w:orient="portrait"/>
          <w:cols w:equalWidth="0" w:num="4">
            <w:col w:w="1720" w:space="100"/>
            <w:col w:w="2460" w:space="80"/>
            <w:col w:w="2240" w:space="80"/>
            <w:col w:w="3439"/>
          </w:cols>
          <w:pgMar w:left="340" w:top="1440" w:right="1440" w:bottom="1440" w:gutter="0" w:footer="0" w:header="0"/>
          <w:type w:val="continuous"/>
        </w:sectPr>
      </w:pPr>
    </w:p>
    <w:p>
      <w:pPr>
        <w:ind w:left="3620"/>
        <w:spacing w:after="0"/>
        <w:rPr>
          <w:sz w:val="20"/>
          <w:szCs w:val="20"/>
          <w:color w:val="auto"/>
        </w:rPr>
      </w:pPr>
      <w:r>
        <w:rPr>
          <w:rFonts w:ascii="Arial" w:cs="Arial" w:eastAsia="Arial" w:hAnsi="Arial"/>
          <w:sz w:val="20"/>
          <w:szCs w:val="20"/>
          <w:b w:val="1"/>
          <w:bCs w:val="1"/>
          <w:color w:val="929292"/>
        </w:rPr>
        <w:t>Key Data Readouts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We announced several key data readouts in 2022, including:</w:t>
      </w:r>
    </w:p>
    <w:p>
      <w:pPr>
        <w:spacing w:after="0" w:line="171" w:lineRule="exact"/>
        <w:rPr>
          <w:sz w:val="20"/>
          <w:szCs w:val="20"/>
          <w:color w:val="auto"/>
        </w:rPr>
      </w:pPr>
    </w:p>
    <w:p>
      <w:pPr>
        <w:ind w:left="500" w:right="1199" w:hanging="332"/>
        <w:spacing w:after="0" w:line="262" w:lineRule="auto"/>
        <w:tabs>
          <w:tab w:leader="none" w:pos="489" w:val="left"/>
        </w:tabs>
        <w:numPr>
          <w:ilvl w:val="0"/>
          <w:numId w:val="6"/>
        </w:numPr>
        <w:rPr>
          <w:rFonts w:ascii="Arial" w:cs="Arial" w:eastAsia="Arial" w:hAnsi="Arial"/>
          <w:sz w:val="16"/>
          <w:szCs w:val="16"/>
          <w:color w:val="auto"/>
        </w:rPr>
      </w:pPr>
      <w:r>
        <w:rPr>
          <w:rFonts w:ascii="Arial" w:cs="Arial" w:eastAsia="Arial" w:hAnsi="Arial"/>
          <w:sz w:val="18"/>
          <w:szCs w:val="18"/>
          <w:b w:val="1"/>
          <w:bCs w:val="1"/>
          <w:color w:val="auto"/>
        </w:rPr>
        <w:t xml:space="preserve">Positive </w:t>
      </w:r>
      <w:r>
        <w:rPr>
          <w:rFonts w:ascii="Arial" w:cs="Arial" w:eastAsia="Arial" w:hAnsi="Arial"/>
          <w:sz w:val="18"/>
          <w:szCs w:val="18"/>
          <w:color w:val="auto"/>
        </w:rPr>
        <w:t>results from</w:t>
      </w:r>
      <w:r>
        <w:rPr>
          <w:rFonts w:ascii="Arial" w:cs="Arial" w:eastAsia="Arial" w:hAnsi="Arial"/>
          <w:sz w:val="18"/>
          <w:szCs w:val="18"/>
          <w:b w:val="1"/>
          <w:bCs w:val="1"/>
          <w:color w:val="auto"/>
        </w:rPr>
        <w:t xml:space="preserve"> tirzepatide’s </w:t>
      </w:r>
      <w:r>
        <w:rPr>
          <w:rFonts w:ascii="Arial" w:cs="Arial" w:eastAsia="Arial" w:hAnsi="Arial"/>
          <w:sz w:val="18"/>
          <w:szCs w:val="18"/>
          <w:color w:val="auto"/>
        </w:rPr>
        <w:t>Phase III SURMOUNT-1 study evaluating the</w:t>
      </w:r>
      <w:r>
        <w:rPr>
          <w:rFonts w:ascii="Arial" w:cs="Arial" w:eastAsia="Arial" w:hAnsi="Arial"/>
          <w:sz w:val="18"/>
          <w:szCs w:val="18"/>
          <w:b w:val="1"/>
          <w:bCs w:val="1"/>
          <w:color w:val="auto"/>
        </w:rPr>
        <w:t xml:space="preserve"> efficacy and safety </w:t>
      </w:r>
      <w:r>
        <w:rPr>
          <w:rFonts w:ascii="Arial" w:cs="Arial" w:eastAsia="Arial" w:hAnsi="Arial"/>
          <w:sz w:val="18"/>
          <w:szCs w:val="18"/>
          <w:color w:val="auto"/>
        </w:rPr>
        <w:t>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tirzepatide compared to placebo </w:t>
      </w:r>
      <w:r>
        <w:rPr>
          <w:rFonts w:ascii="Arial" w:cs="Arial" w:eastAsia="Arial" w:hAnsi="Arial"/>
          <w:sz w:val="18"/>
          <w:szCs w:val="18"/>
          <w:b w:val="1"/>
          <w:bCs w:val="1"/>
          <w:color w:val="auto"/>
        </w:rPr>
        <w:t>in adults with obesity</w:t>
      </w:r>
      <w:r>
        <w:rPr>
          <w:rFonts w:ascii="Arial" w:cs="Arial" w:eastAsia="Arial" w:hAnsi="Arial"/>
          <w:sz w:val="18"/>
          <w:szCs w:val="18"/>
          <w:color w:val="auto"/>
        </w:rPr>
        <w:t xml:space="preserve">. We received </w:t>
      </w:r>
      <w:r>
        <w:rPr>
          <w:rFonts w:ascii="Arial" w:cs="Arial" w:eastAsia="Arial" w:hAnsi="Arial"/>
          <w:sz w:val="18"/>
          <w:szCs w:val="18"/>
          <w:b w:val="1"/>
          <w:bCs w:val="1"/>
          <w:color w:val="auto"/>
        </w:rPr>
        <w:t>U.S. FDA Fast Track</w:t>
      </w:r>
      <w:r>
        <w:rPr>
          <w:rFonts w:ascii="Arial" w:cs="Arial" w:eastAsia="Arial" w:hAnsi="Arial"/>
          <w:sz w:val="18"/>
          <w:szCs w:val="18"/>
          <w:color w:val="auto"/>
        </w:rPr>
        <w:t xml:space="preserve"> designation and initiated a rolling submission that will be based primarily on these results and those of SURMOUNT-2, which is expected to complete in the first half of 2023;</w:t>
      </w:r>
    </w:p>
    <w:p>
      <w:pPr>
        <w:spacing w:after="0" w:line="122" w:lineRule="exact"/>
        <w:rPr>
          <w:rFonts w:ascii="Arial" w:cs="Arial" w:eastAsia="Arial" w:hAnsi="Arial"/>
          <w:sz w:val="16"/>
          <w:szCs w:val="16"/>
          <w:color w:val="auto"/>
        </w:rPr>
      </w:pPr>
    </w:p>
    <w:p>
      <w:pPr>
        <w:ind w:left="500" w:right="1239" w:hanging="332"/>
        <w:spacing w:after="0" w:line="328" w:lineRule="auto"/>
        <w:tabs>
          <w:tab w:leader="none" w:pos="489" w:val="left"/>
        </w:tabs>
        <w:numPr>
          <w:ilvl w:val="0"/>
          <w:numId w:val="6"/>
        </w:numPr>
        <w:rPr>
          <w:rFonts w:ascii="Arial" w:cs="Arial" w:eastAsia="Arial" w:hAnsi="Arial"/>
          <w:sz w:val="15"/>
          <w:szCs w:val="15"/>
          <w:color w:val="auto"/>
        </w:rPr>
      </w:pPr>
      <w:r>
        <w:rPr>
          <w:rFonts w:ascii="Arial" w:cs="Arial" w:eastAsia="Arial" w:hAnsi="Arial"/>
          <w:sz w:val="17"/>
          <w:szCs w:val="17"/>
          <w:b w:val="1"/>
          <w:bCs w:val="1"/>
          <w:color w:val="auto"/>
        </w:rPr>
        <w:t xml:space="preserve">Positive </w:t>
      </w:r>
      <w:r>
        <w:rPr>
          <w:rFonts w:ascii="Arial" w:cs="Arial" w:eastAsia="Arial" w:hAnsi="Arial"/>
          <w:sz w:val="17"/>
          <w:szCs w:val="17"/>
          <w:color w:val="auto"/>
        </w:rPr>
        <w:t>results from two studies of</w:t>
      </w:r>
      <w:r>
        <w:rPr>
          <w:rFonts w:ascii="Arial" w:cs="Arial" w:eastAsia="Arial" w:hAnsi="Arial"/>
          <w:sz w:val="17"/>
          <w:szCs w:val="17"/>
          <w:b w:val="1"/>
          <w:bCs w:val="1"/>
          <w:color w:val="auto"/>
        </w:rPr>
        <w:t xml:space="preserve"> lebrikizumab’s </w:t>
      </w:r>
      <w:r>
        <w:rPr>
          <w:rFonts w:ascii="Arial" w:cs="Arial" w:eastAsia="Arial" w:hAnsi="Arial"/>
          <w:sz w:val="17"/>
          <w:szCs w:val="17"/>
          <w:color w:val="auto"/>
        </w:rPr>
        <w:t>Phase III programs evaluating the efficacy and safety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lebrikizumab in </w:t>
      </w:r>
      <w:r>
        <w:rPr>
          <w:rFonts w:ascii="Arial" w:cs="Arial" w:eastAsia="Arial" w:hAnsi="Arial"/>
          <w:sz w:val="17"/>
          <w:szCs w:val="17"/>
          <w:b w:val="1"/>
          <w:bCs w:val="1"/>
          <w:color w:val="auto"/>
        </w:rPr>
        <w:t>people with moderate-to-severe atopic dermatitis</w:t>
      </w:r>
      <w:r>
        <w:rPr>
          <w:rFonts w:ascii="Arial" w:cs="Arial" w:eastAsia="Arial" w:hAnsi="Arial"/>
          <w:sz w:val="17"/>
          <w:szCs w:val="17"/>
          <w:color w:val="auto"/>
        </w:rPr>
        <w:t xml:space="preserve"> through one year of treatment;</w:t>
      </w:r>
    </w:p>
    <w:p>
      <w:pPr>
        <w:spacing w:after="0" w:line="59" w:lineRule="exact"/>
        <w:rPr>
          <w:rFonts w:ascii="Arial" w:cs="Arial" w:eastAsia="Arial" w:hAnsi="Arial"/>
          <w:sz w:val="15"/>
          <w:szCs w:val="15"/>
          <w:color w:val="auto"/>
        </w:rPr>
      </w:pPr>
    </w:p>
    <w:p>
      <w:pPr>
        <w:ind w:left="500" w:right="1119" w:hanging="332"/>
        <w:spacing w:after="0" w:line="296" w:lineRule="auto"/>
        <w:tabs>
          <w:tab w:leader="none" w:pos="489" w:val="left"/>
        </w:tabs>
        <w:numPr>
          <w:ilvl w:val="0"/>
          <w:numId w:val="6"/>
        </w:numPr>
        <w:rPr>
          <w:rFonts w:ascii="Arial" w:cs="Arial" w:eastAsia="Arial" w:hAnsi="Arial"/>
          <w:sz w:val="16"/>
          <w:szCs w:val="16"/>
          <w:color w:val="auto"/>
        </w:rPr>
      </w:pPr>
      <w:r>
        <w:rPr>
          <w:rFonts w:ascii="Arial" w:cs="Arial" w:eastAsia="Arial" w:hAnsi="Arial"/>
          <w:sz w:val="18"/>
          <w:szCs w:val="18"/>
          <w:b w:val="1"/>
          <w:bCs w:val="1"/>
          <w:color w:val="auto"/>
        </w:rPr>
        <w:t xml:space="preserve">Positive </w:t>
      </w:r>
      <w:r>
        <w:rPr>
          <w:rFonts w:ascii="Arial" w:cs="Arial" w:eastAsia="Arial" w:hAnsi="Arial"/>
          <w:sz w:val="18"/>
          <w:szCs w:val="18"/>
          <w:color w:val="auto"/>
        </w:rPr>
        <w:t>results for</w:t>
      </w:r>
      <w:r>
        <w:rPr>
          <w:rFonts w:ascii="Arial" w:cs="Arial" w:eastAsia="Arial" w:hAnsi="Arial"/>
          <w:sz w:val="18"/>
          <w:szCs w:val="18"/>
          <w:b w:val="1"/>
          <w:bCs w:val="1"/>
          <w:color w:val="auto"/>
        </w:rPr>
        <w:t xml:space="preserve"> Jardiance </w:t>
      </w:r>
      <w:r>
        <w:rPr>
          <w:rFonts w:ascii="Arial" w:cs="Arial" w:eastAsia="Arial" w:hAnsi="Arial"/>
          <w:sz w:val="18"/>
          <w:szCs w:val="18"/>
          <w:color w:val="auto"/>
        </w:rPr>
        <w:t>(empagliflozin) in the Phase III EMPA-KIDNEY study evaluating efficacy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safety compared to placebo for the </w:t>
      </w:r>
      <w:r>
        <w:rPr>
          <w:rFonts w:ascii="Arial" w:cs="Arial" w:eastAsia="Arial" w:hAnsi="Arial"/>
          <w:sz w:val="18"/>
          <w:szCs w:val="18"/>
          <w:b w:val="1"/>
          <w:bCs w:val="1"/>
          <w:color w:val="auto"/>
        </w:rPr>
        <w:t>treatment of patients with chronic kidney disease</w:t>
      </w:r>
      <w:r>
        <w:rPr>
          <w:rFonts w:ascii="Arial" w:cs="Arial" w:eastAsia="Arial" w:hAnsi="Arial"/>
          <w:sz w:val="18"/>
          <w:szCs w:val="18"/>
          <w:color w:val="auto"/>
        </w:rPr>
        <w:t>; and</w:t>
      </w:r>
    </w:p>
    <w:p>
      <w:pPr>
        <w:spacing w:after="0" w:line="83" w:lineRule="exact"/>
        <w:rPr>
          <w:rFonts w:ascii="Arial" w:cs="Arial" w:eastAsia="Arial" w:hAnsi="Arial"/>
          <w:sz w:val="16"/>
          <w:szCs w:val="16"/>
          <w:color w:val="auto"/>
        </w:rPr>
      </w:pPr>
    </w:p>
    <w:p>
      <w:pPr>
        <w:ind w:left="500" w:right="1119" w:hanging="332"/>
        <w:spacing w:after="0" w:line="259" w:lineRule="auto"/>
        <w:tabs>
          <w:tab w:leader="none" w:pos="489" w:val="left"/>
        </w:tabs>
        <w:numPr>
          <w:ilvl w:val="0"/>
          <w:numId w:val="6"/>
        </w:numPr>
        <w:rPr>
          <w:rFonts w:ascii="Arial" w:cs="Arial" w:eastAsia="Arial" w:hAnsi="Arial"/>
          <w:sz w:val="16"/>
          <w:szCs w:val="16"/>
          <w:color w:val="auto"/>
        </w:rPr>
      </w:pPr>
      <w:r>
        <w:rPr>
          <w:rFonts w:ascii="Arial" w:cs="Arial" w:eastAsia="Arial" w:hAnsi="Arial"/>
          <w:sz w:val="18"/>
          <w:szCs w:val="18"/>
          <w:color w:val="auto"/>
        </w:rPr>
        <w:t xml:space="preserve">Updated data from the monarchE Phase III study evaluating the efficacy and safety of </w:t>
      </w:r>
      <w:r>
        <w:rPr>
          <w:rFonts w:ascii="Arial" w:cs="Arial" w:eastAsia="Arial" w:hAnsi="Arial"/>
          <w:sz w:val="18"/>
          <w:szCs w:val="18"/>
          <w:b w:val="1"/>
          <w:bCs w:val="1"/>
          <w:color w:val="auto"/>
        </w:rPr>
        <w:t>Verzenio</w:t>
      </w:r>
      <w:r>
        <w:rPr>
          <w:rFonts w:ascii="Arial" w:cs="Arial" w:eastAsia="Arial" w:hAnsi="Arial"/>
          <w:sz w:val="18"/>
          <w:szCs w:val="18"/>
          <w:color w:val="auto"/>
        </w:rPr>
        <w:t xml:space="preserve"> (abemaciclib) in combination with standard endocrine therapy for the </w:t>
      </w:r>
      <w:r>
        <w:rPr>
          <w:rFonts w:ascii="Arial" w:cs="Arial" w:eastAsia="Arial" w:hAnsi="Arial"/>
          <w:sz w:val="18"/>
          <w:szCs w:val="18"/>
          <w:b w:val="1"/>
          <w:bCs w:val="1"/>
          <w:color w:val="auto"/>
        </w:rPr>
        <w:t>treatment of hormone receptor-positive (HR+), human epidermal growth factor receptor 2-negative (HER2-), node-positive, high-risk early breast cancer</w:t>
      </w:r>
      <w:r>
        <w:rPr>
          <w:rFonts w:ascii="Arial" w:cs="Arial" w:eastAsia="Arial" w:hAnsi="Arial"/>
          <w:sz w:val="18"/>
          <w:szCs w:val="18"/>
          <w:color w:val="auto"/>
        </w:rPr>
        <w:t>. We submitted an application to the FDA to expand the adjuvant indication based</w:t>
      </w:r>
      <w:r>
        <w:rPr>
          <w:rFonts w:ascii="Arial" w:cs="Arial" w:eastAsia="Arial" w:hAnsi="Arial"/>
          <w:sz w:val="18"/>
          <w:szCs w:val="18"/>
          <w:b w:val="1"/>
          <w:bCs w:val="1"/>
          <w:color w:val="auto"/>
        </w:rPr>
        <w:t xml:space="preserve"> </w:t>
      </w:r>
      <w:r>
        <w:rPr>
          <w:rFonts w:ascii="Arial" w:cs="Arial" w:eastAsia="Arial" w:hAnsi="Arial"/>
          <w:sz w:val="18"/>
          <w:szCs w:val="18"/>
          <w:color w:val="auto"/>
        </w:rPr>
        <w:t>on these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108585</wp:posOffset>
            </wp:positionV>
            <wp:extent cx="5760720" cy="1968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60720" cy="196850"/>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type w:val="continuous"/>
        </w:sectPr>
      </w:pPr>
    </w:p>
    <w:p>
      <w:pPr>
        <w:spacing w:after="0" w:line="188" w:lineRule="exact"/>
        <w:rPr>
          <w:sz w:val="20"/>
          <w:szCs w:val="20"/>
          <w:color w:val="auto"/>
        </w:rPr>
      </w:pPr>
    </w:p>
    <w:p>
      <w:pPr>
        <w:ind w:left="2680"/>
        <w:spacing w:after="0"/>
        <w:rPr>
          <w:sz w:val="20"/>
          <w:szCs w:val="20"/>
          <w:color w:val="auto"/>
        </w:rPr>
      </w:pPr>
      <w:r>
        <w:rPr>
          <w:rFonts w:ascii="Arial" w:cs="Arial" w:eastAsia="Arial" w:hAnsi="Arial"/>
          <w:sz w:val="19"/>
          <w:szCs w:val="19"/>
          <w:b w:val="1"/>
          <w:bCs w:val="1"/>
          <w:color w:val="929292"/>
        </w:rPr>
        <w:t>Other Business Development Activities</w:t>
      </w:r>
    </w:p>
    <w:p>
      <w:pPr>
        <w:spacing w:after="0" w:line="79" w:lineRule="exact"/>
        <w:rPr>
          <w:sz w:val="20"/>
          <w:szCs w:val="20"/>
          <w:color w:val="auto"/>
        </w:rPr>
      </w:pPr>
    </w:p>
    <w:p>
      <w:pPr>
        <w:jc w:val="both"/>
        <w:ind w:right="120"/>
        <w:spacing w:after="0" w:line="266" w:lineRule="auto"/>
        <w:rPr>
          <w:sz w:val="20"/>
          <w:szCs w:val="20"/>
          <w:color w:val="auto"/>
        </w:rPr>
      </w:pPr>
      <w:r>
        <w:rPr>
          <w:rFonts w:ascii="Arial" w:cs="Arial" w:eastAsia="Arial" w:hAnsi="Arial"/>
          <w:sz w:val="20"/>
          <w:szCs w:val="20"/>
          <w:b w:val="1"/>
          <w:bCs w:val="1"/>
          <w:color w:val="D52B1E"/>
        </w:rPr>
        <w:t xml:space="preserve">Acquisition: </w:t>
      </w:r>
      <w:r>
        <w:rPr>
          <w:rFonts w:ascii="Arial" w:cs="Arial" w:eastAsia="Arial" w:hAnsi="Arial"/>
          <w:sz w:val="17"/>
          <w:szCs w:val="17"/>
          <w:color w:val="000000"/>
        </w:rPr>
        <w:t>acquired</w:t>
      </w:r>
      <w:r>
        <w:rPr>
          <w:rFonts w:ascii="Arial" w:cs="Arial" w:eastAsia="Arial" w:hAnsi="Arial"/>
          <w:sz w:val="20"/>
          <w:szCs w:val="20"/>
          <w:b w:val="1"/>
          <w:bCs w:val="1"/>
          <w:color w:val="D52B1E"/>
        </w:rPr>
        <w:t xml:space="preserve"> </w:t>
      </w:r>
      <w:r>
        <w:rPr>
          <w:rFonts w:ascii="Arial" w:cs="Arial" w:eastAsia="Arial" w:hAnsi="Arial"/>
          <w:sz w:val="17"/>
          <w:szCs w:val="17"/>
          <w:b w:val="1"/>
          <w:bCs w:val="1"/>
          <w:color w:val="000000"/>
        </w:rPr>
        <w:t>Akouos, Inc.</w:t>
      </w:r>
      <w:r>
        <w:rPr>
          <w:rFonts w:ascii="Arial" w:cs="Arial" w:eastAsia="Arial" w:hAnsi="Arial"/>
          <w:sz w:val="20"/>
          <w:szCs w:val="20"/>
          <w:b w:val="1"/>
          <w:bCs w:val="1"/>
          <w:color w:val="D52B1E"/>
        </w:rPr>
        <w:t xml:space="preserve"> </w:t>
      </w:r>
      <w:r>
        <w:rPr>
          <w:rFonts w:ascii="Arial" w:cs="Arial" w:eastAsia="Arial" w:hAnsi="Arial"/>
          <w:sz w:val="17"/>
          <w:szCs w:val="17"/>
          <w:color w:val="000000"/>
        </w:rPr>
        <w:t>to accelerate gene therapies that aim to</w:t>
      </w:r>
      <w:r>
        <w:rPr>
          <w:rFonts w:ascii="Arial" w:cs="Arial" w:eastAsia="Arial" w:hAnsi="Arial"/>
          <w:sz w:val="20"/>
          <w:szCs w:val="20"/>
          <w:b w:val="1"/>
          <w:bCs w:val="1"/>
          <w:color w:val="D52B1E"/>
        </w:rPr>
        <w:t xml:space="preserve"> </w:t>
      </w:r>
      <w:r>
        <w:rPr>
          <w:rFonts w:ascii="Arial" w:cs="Arial" w:eastAsia="Arial" w:hAnsi="Arial"/>
          <w:sz w:val="17"/>
          <w:szCs w:val="17"/>
          <w:color w:val="000000"/>
        </w:rPr>
        <w:t>restore, improve, and preserve hearing for patients living with disabling hearing loss worldwide.</w:t>
      </w:r>
    </w:p>
    <w:p>
      <w:pPr>
        <w:spacing w:after="0" w:line="30" w:lineRule="exact"/>
        <w:rPr>
          <w:sz w:val="20"/>
          <w:szCs w:val="20"/>
          <w:color w:val="auto"/>
        </w:rPr>
      </w:pPr>
    </w:p>
    <w:p>
      <w:pPr>
        <w:spacing w:after="0" w:line="264" w:lineRule="auto"/>
        <w:rPr>
          <w:sz w:val="20"/>
          <w:szCs w:val="20"/>
          <w:color w:val="auto"/>
        </w:rPr>
      </w:pPr>
      <w:r>
        <w:rPr>
          <w:rFonts w:ascii="Arial" w:cs="Arial" w:eastAsia="Arial" w:hAnsi="Arial"/>
          <w:sz w:val="20"/>
          <w:szCs w:val="20"/>
          <w:b w:val="1"/>
          <w:bCs w:val="1"/>
          <w:color w:val="D52B1E"/>
        </w:rPr>
        <w:t xml:space="preserve">License: </w:t>
      </w:r>
      <w:r>
        <w:rPr>
          <w:rFonts w:ascii="Arial" w:cs="Arial" w:eastAsia="Arial" w:hAnsi="Arial"/>
          <w:sz w:val="17"/>
          <w:szCs w:val="17"/>
          <w:color w:val="000000"/>
        </w:rPr>
        <w:t>expanded our licensing and collaboration agreement with</w:t>
      </w:r>
      <w:r>
        <w:rPr>
          <w:rFonts w:ascii="Arial" w:cs="Arial" w:eastAsia="Arial" w:hAnsi="Arial"/>
          <w:sz w:val="20"/>
          <w:szCs w:val="20"/>
          <w:b w:val="1"/>
          <w:bCs w:val="1"/>
          <w:color w:val="D52B1E"/>
        </w:rPr>
        <w:t xml:space="preserve"> </w:t>
      </w:r>
      <w:r>
        <w:rPr>
          <w:rFonts w:ascii="Arial" w:cs="Arial" w:eastAsia="Arial" w:hAnsi="Arial"/>
          <w:sz w:val="17"/>
          <w:szCs w:val="17"/>
          <w:b w:val="1"/>
          <w:bCs w:val="1"/>
          <w:color w:val="000000"/>
        </w:rPr>
        <w:t>ProQR</w:t>
      </w:r>
      <w:r>
        <w:rPr>
          <w:rFonts w:ascii="Arial" w:cs="Arial" w:eastAsia="Arial" w:hAnsi="Arial"/>
          <w:sz w:val="20"/>
          <w:szCs w:val="20"/>
          <w:b w:val="1"/>
          <w:bCs w:val="1"/>
          <w:color w:val="D52B1E"/>
        </w:rPr>
        <w:t xml:space="preserve"> </w:t>
      </w:r>
      <w:r>
        <w:rPr>
          <w:rFonts w:ascii="Arial" w:cs="Arial" w:eastAsia="Arial" w:hAnsi="Arial"/>
          <w:sz w:val="17"/>
          <w:szCs w:val="17"/>
          <w:color w:val="000000"/>
        </w:rPr>
        <w:t>to</w:t>
      </w:r>
      <w:r>
        <w:rPr>
          <w:rFonts w:ascii="Arial" w:cs="Arial" w:eastAsia="Arial" w:hAnsi="Arial"/>
          <w:sz w:val="20"/>
          <w:szCs w:val="20"/>
          <w:b w:val="1"/>
          <w:bCs w:val="1"/>
          <w:color w:val="D52B1E"/>
        </w:rPr>
        <w:t xml:space="preserve"> </w:t>
      </w:r>
      <w:r>
        <w:rPr>
          <w:rFonts w:ascii="Arial" w:cs="Arial" w:eastAsia="Arial" w:hAnsi="Arial"/>
          <w:sz w:val="17"/>
          <w:szCs w:val="17"/>
          <w:color w:val="000000"/>
        </w:rPr>
        <w:t>leverage ProQR’s Axiomer RNA editing platform technology to include additional targets beyond the liver and the nervous system, which were the focus of the original agreement from September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wp:posOffset>
            </wp:positionV>
            <wp:extent cx="57607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39"/>
        <w:spacing w:after="0"/>
        <w:rPr>
          <w:sz w:val="20"/>
          <w:szCs w:val="20"/>
          <w:color w:val="auto"/>
        </w:rPr>
      </w:pPr>
      <w:r>
        <w:rPr>
          <w:rFonts w:ascii="Arial" w:cs="Arial" w:eastAsia="Arial" w:hAnsi="Arial"/>
          <w:sz w:val="25"/>
          <w:szCs w:val="25"/>
          <w:b w:val="1"/>
          <w:bCs w:val="1"/>
          <w:color w:val="D52B1E"/>
        </w:rPr>
        <w:t>15+</w:t>
      </w:r>
    </w:p>
    <w:p>
      <w:pPr>
        <w:spacing w:after="0" w:line="33" w:lineRule="exact"/>
        <w:rPr>
          <w:sz w:val="20"/>
          <w:szCs w:val="20"/>
          <w:color w:val="auto"/>
        </w:rPr>
      </w:pPr>
    </w:p>
    <w:p>
      <w:pPr>
        <w:jc w:val="center"/>
        <w:ind w:right="1139"/>
        <w:spacing w:after="0" w:line="263" w:lineRule="auto"/>
        <w:rPr>
          <w:sz w:val="20"/>
          <w:szCs w:val="20"/>
          <w:color w:val="auto"/>
        </w:rPr>
      </w:pPr>
      <w:r>
        <w:rPr>
          <w:rFonts w:ascii="Arial" w:cs="Arial" w:eastAsia="Arial" w:hAnsi="Arial"/>
          <w:sz w:val="18"/>
          <w:szCs w:val="18"/>
          <w:b w:val="1"/>
          <w:bCs w:val="1"/>
          <w:color w:val="auto"/>
        </w:rPr>
        <w:t>acquisitions, license agreements, and research collaborations in 2022</w:t>
      </w:r>
    </w:p>
    <w:p>
      <w:pPr>
        <w:spacing w:after="0" w:line="540" w:lineRule="exact"/>
        <w:rPr>
          <w:sz w:val="20"/>
          <w:szCs w:val="20"/>
          <w:color w:val="auto"/>
        </w:rPr>
      </w:pPr>
    </w:p>
    <w:p>
      <w:pPr>
        <w:sectPr>
          <w:pgSz w:w="11900" w:h="16838" w:orient="portrait"/>
          <w:cols w:equalWidth="0" w:num="2">
            <w:col w:w="6400" w:space="340"/>
            <w:col w:w="3379"/>
          </w:cols>
          <w:pgMar w:left="340" w:top="1440" w:right="1440" w:bottom="1440" w:gutter="0" w:footer="0" w:header="0"/>
          <w:type w:val="continuous"/>
        </w:sectPr>
      </w:pPr>
    </w:p>
    <w:p>
      <w:pPr>
        <w:spacing w:after="0" w:line="381"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149225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type w:val="continuous"/>
        </w:sectPr>
      </w:pPr>
    </w:p>
    <w:bookmarkStart w:id="8" w:name="page9"/>
    <w:bookmarkEnd w:id="8"/>
    <w:p>
      <w:pPr>
        <w:ind w:left="40"/>
        <w:spacing w:after="0"/>
        <w:rPr>
          <w:sz w:val="20"/>
          <w:szCs w:val="20"/>
          <w:color w:val="auto"/>
        </w:rPr>
      </w:pPr>
      <w:r>
        <w:rPr>
          <w:sz w:val="1"/>
          <w:szCs w:val="1"/>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57607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inline distT="0" distB="0" distL="0" distR="0">
            <wp:extent cx="411480" cy="41148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11480" cy="411480"/>
                    </a:xfrm>
                    <a:prstGeom prst="rect">
                      <a:avLst/>
                    </a:prstGeom>
                    <a:noFill/>
                    <a:ln>
                      <a:noFill/>
                    </a:ln>
                  </pic:spPr>
                </pic:pic>
              </a:graphicData>
            </a:graphic>
          </wp:inline>
        </w:drawing>
      </w:r>
      <w:r>
        <w:rPr>
          <w:rFonts w:ascii="Arial" w:cs="Arial" w:eastAsia="Arial" w:hAnsi="Arial"/>
          <w:sz w:val="25"/>
          <w:szCs w:val="25"/>
          <w:b w:val="1"/>
          <w:bCs w:val="1"/>
          <w:color w:val="auto"/>
        </w:rPr>
        <w:t xml:space="preserve"> Shareholder Return</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2340" w:type="dxa"/>
            <w:vAlign w:val="bottom"/>
            <w:tcBorders>
              <w:top w:val="single" w:sz="8" w:color="auto"/>
            </w:tcBorders>
            <w:shd w:val="clear" w:color="auto" w:fill="F2F2F2"/>
          </w:tcPr>
          <w:p>
            <w:pPr>
              <w:jc w:val="center"/>
              <w:spacing w:after="0" w:line="274" w:lineRule="exact"/>
              <w:rPr>
                <w:sz w:val="20"/>
                <w:szCs w:val="20"/>
                <w:color w:val="auto"/>
              </w:rPr>
            </w:pPr>
            <w:r>
              <w:rPr>
                <w:rFonts w:ascii="Arial" w:cs="Arial" w:eastAsia="Arial" w:hAnsi="Arial"/>
                <w:sz w:val="25"/>
                <w:szCs w:val="25"/>
                <w:b w:val="1"/>
                <w:bCs w:val="1"/>
                <w:color w:val="D52B1E"/>
                <w:w w:val="99"/>
              </w:rPr>
              <w:t>34%</w:t>
            </w:r>
          </w:p>
        </w:tc>
        <w:tc>
          <w:tcPr>
            <w:tcW w:w="6740" w:type="dxa"/>
            <w:vAlign w:val="bottom"/>
            <w:tcBorders>
              <w:top w:val="single" w:sz="8" w:color="auto"/>
            </w:tcBorders>
            <w:shd w:val="clear" w:color="auto" w:fill="F2F2F2"/>
          </w:tcPr>
          <w:p>
            <w:pPr>
              <w:jc w:val="center"/>
              <w:spacing w:after="0"/>
              <w:rPr>
                <w:sz w:val="20"/>
                <w:szCs w:val="20"/>
                <w:color w:val="auto"/>
              </w:rPr>
            </w:pPr>
            <w:r>
              <w:rPr>
                <w:rFonts w:ascii="Arial" w:cs="Arial" w:eastAsia="Arial" w:hAnsi="Arial"/>
                <w:sz w:val="22"/>
                <w:szCs w:val="22"/>
                <w:b w:val="1"/>
                <w:bCs w:val="1"/>
                <w:color w:val="D52B1E"/>
                <w:w w:val="98"/>
              </w:rPr>
              <w:t>Consistently Exceeded Compensation Peer Group and S&amp;P 500</w:t>
            </w:r>
          </w:p>
        </w:tc>
      </w:tr>
      <w:tr>
        <w:trPr>
          <w:trHeight w:val="245"/>
        </w:trPr>
        <w:tc>
          <w:tcPr>
            <w:tcW w:w="234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9"/>
              </w:rPr>
              <w:t>2022 Total Shareholder</w:t>
            </w:r>
          </w:p>
        </w:tc>
        <w:tc>
          <w:tcPr>
            <w:tcW w:w="6740" w:type="dxa"/>
            <w:vAlign w:val="bottom"/>
            <w:shd w:val="clear" w:color="auto" w:fill="F2F2F2"/>
          </w:tcPr>
          <w:p>
            <w:pPr>
              <w:jc w:val="center"/>
              <w:spacing w:after="0"/>
              <w:rPr>
                <w:sz w:val="20"/>
                <w:szCs w:val="20"/>
                <w:color w:val="auto"/>
              </w:rPr>
            </w:pPr>
            <w:r>
              <w:rPr>
                <w:rFonts w:ascii="Arial" w:cs="Arial" w:eastAsia="Arial" w:hAnsi="Arial"/>
                <w:sz w:val="20"/>
                <w:szCs w:val="20"/>
                <w:color w:val="auto"/>
                <w:w w:val="98"/>
              </w:rPr>
              <w:t xml:space="preserve">in </w:t>
            </w:r>
            <w:r>
              <w:rPr>
                <w:rFonts w:ascii="Arial" w:cs="Arial" w:eastAsia="Arial" w:hAnsi="Arial"/>
                <w:sz w:val="20"/>
                <w:szCs w:val="20"/>
                <w:b w:val="1"/>
                <w:bCs w:val="1"/>
                <w:color w:val="auto"/>
                <w:w w:val="98"/>
              </w:rPr>
              <w:t>Total Shareholder Return</w:t>
            </w:r>
          </w:p>
        </w:tc>
      </w:tr>
      <w:tr>
        <w:trPr>
          <w:trHeight w:val="278"/>
        </w:trPr>
        <w:tc>
          <w:tcPr>
            <w:tcW w:w="234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9"/>
              </w:rPr>
              <w:t>Return</w:t>
            </w:r>
          </w:p>
        </w:tc>
        <w:tc>
          <w:tcPr>
            <w:tcW w:w="6740" w:type="dxa"/>
            <w:vAlign w:val="bottom"/>
            <w:shd w:val="clear" w:color="auto" w:fill="F2F2F2"/>
          </w:tcPr>
          <w:p>
            <w:pPr>
              <w:jc w:val="center"/>
              <w:spacing w:after="0"/>
              <w:rPr>
                <w:sz w:val="20"/>
                <w:szCs w:val="20"/>
                <w:color w:val="auto"/>
              </w:rPr>
            </w:pPr>
            <w:r>
              <w:rPr>
                <w:rFonts w:ascii="Arial" w:cs="Arial" w:eastAsia="Arial" w:hAnsi="Arial"/>
                <w:sz w:val="20"/>
                <w:szCs w:val="20"/>
                <w:color w:val="auto"/>
                <w:w w:val="98"/>
              </w:rPr>
              <w:t>in 2022 and the three- and five-year periods shown below</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3600450" cy="2074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00450"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left="4320"/>
        <w:spacing w:after="0"/>
        <w:rPr>
          <w:sz w:val="20"/>
          <w:szCs w:val="20"/>
          <w:color w:val="auto"/>
        </w:rPr>
      </w:pPr>
      <w:r>
        <w:rPr>
          <w:rFonts w:ascii="Arial" w:cs="Arial" w:eastAsia="Arial" w:hAnsi="Arial"/>
          <w:sz w:val="18"/>
          <w:szCs w:val="18"/>
          <w:color w:val="auto"/>
        </w:rPr>
        <w:t>TSR takes into account both</w:t>
      </w:r>
    </w:p>
    <w:p>
      <w:pPr>
        <w:spacing w:after="0" w:line="27" w:lineRule="exact"/>
        <w:rPr>
          <w:sz w:val="20"/>
          <w:szCs w:val="20"/>
          <w:color w:val="auto"/>
        </w:rPr>
      </w:pPr>
    </w:p>
    <w:p>
      <w:pPr>
        <w:jc w:val="center"/>
        <w:ind w:left="4320"/>
        <w:spacing w:after="0"/>
        <w:rPr>
          <w:sz w:val="20"/>
          <w:szCs w:val="20"/>
          <w:color w:val="auto"/>
        </w:rPr>
      </w:pPr>
      <w:r>
        <w:rPr>
          <w:rFonts w:ascii="Arial" w:cs="Arial" w:eastAsia="Arial" w:hAnsi="Arial"/>
          <w:sz w:val="18"/>
          <w:szCs w:val="18"/>
          <w:color w:val="auto"/>
        </w:rPr>
        <w:t>share price appreciation and</w:t>
      </w:r>
    </w:p>
    <w:p>
      <w:pPr>
        <w:spacing w:after="0" w:line="9" w:lineRule="exact"/>
        <w:rPr>
          <w:sz w:val="20"/>
          <w:szCs w:val="20"/>
          <w:color w:val="auto"/>
        </w:rPr>
      </w:pPr>
    </w:p>
    <w:p>
      <w:pPr>
        <w:jc w:val="center"/>
        <w:ind w:left="4320"/>
        <w:spacing w:after="0"/>
        <w:rPr>
          <w:sz w:val="20"/>
          <w:szCs w:val="20"/>
          <w:color w:val="auto"/>
        </w:rPr>
      </w:pPr>
      <w:r>
        <w:rPr>
          <w:rFonts w:ascii="Arial" w:cs="Arial" w:eastAsia="Arial" w:hAnsi="Arial"/>
          <w:sz w:val="18"/>
          <w:szCs w:val="18"/>
          <w:color w:val="auto"/>
        </w:rPr>
        <w:t>dividends. Any dividends paid</w:t>
      </w:r>
    </w:p>
    <w:p>
      <w:pPr>
        <w:spacing w:after="0" w:line="9" w:lineRule="exact"/>
        <w:rPr>
          <w:sz w:val="20"/>
          <w:szCs w:val="20"/>
          <w:color w:val="auto"/>
        </w:rPr>
      </w:pPr>
    </w:p>
    <w:p>
      <w:pPr>
        <w:jc w:val="center"/>
        <w:ind w:left="4320"/>
        <w:spacing w:after="0"/>
        <w:rPr>
          <w:sz w:val="20"/>
          <w:szCs w:val="20"/>
          <w:color w:val="auto"/>
        </w:rPr>
      </w:pPr>
      <w:r>
        <w:rPr>
          <w:rFonts w:ascii="Arial" w:cs="Arial" w:eastAsia="Arial" w:hAnsi="Arial"/>
          <w:sz w:val="18"/>
          <w:szCs w:val="18"/>
          <w:color w:val="auto"/>
        </w:rPr>
        <w:t>by a given company are</w:t>
      </w:r>
    </w:p>
    <w:p>
      <w:pPr>
        <w:spacing w:after="0" w:line="9" w:lineRule="exact"/>
        <w:rPr>
          <w:sz w:val="20"/>
          <w:szCs w:val="20"/>
          <w:color w:val="auto"/>
        </w:rPr>
      </w:pPr>
    </w:p>
    <w:p>
      <w:pPr>
        <w:jc w:val="center"/>
        <w:ind w:left="4320"/>
        <w:spacing w:after="0"/>
        <w:rPr>
          <w:sz w:val="20"/>
          <w:szCs w:val="20"/>
          <w:color w:val="auto"/>
        </w:rPr>
      </w:pPr>
      <w:r>
        <w:rPr>
          <w:rFonts w:ascii="Arial" w:cs="Arial" w:eastAsia="Arial" w:hAnsi="Arial"/>
          <w:sz w:val="18"/>
          <w:szCs w:val="18"/>
          <w:color w:val="auto"/>
        </w:rPr>
        <w:t>assumed to be reinvested in</w:t>
      </w:r>
    </w:p>
    <w:p>
      <w:pPr>
        <w:spacing w:after="0" w:line="9" w:lineRule="exact"/>
        <w:rPr>
          <w:sz w:val="20"/>
          <w:szCs w:val="20"/>
          <w:color w:val="auto"/>
        </w:rPr>
      </w:pPr>
    </w:p>
    <w:p>
      <w:pPr>
        <w:jc w:val="center"/>
        <w:ind w:left="4320"/>
        <w:spacing w:after="0"/>
        <w:rPr>
          <w:sz w:val="20"/>
          <w:szCs w:val="20"/>
          <w:color w:val="auto"/>
        </w:rPr>
      </w:pPr>
      <w:r>
        <w:rPr>
          <w:rFonts w:ascii="Arial" w:cs="Arial" w:eastAsia="Arial" w:hAnsi="Arial"/>
          <w:sz w:val="18"/>
          <w:szCs w:val="18"/>
          <w:color w:val="auto"/>
        </w:rPr>
        <w:t>the company’s stock on a</w:t>
      </w:r>
    </w:p>
    <w:p>
      <w:pPr>
        <w:spacing w:after="0" w:line="9" w:lineRule="exact"/>
        <w:rPr>
          <w:sz w:val="20"/>
          <w:szCs w:val="20"/>
          <w:color w:val="auto"/>
        </w:rPr>
      </w:pPr>
    </w:p>
    <w:p>
      <w:pPr>
        <w:jc w:val="center"/>
        <w:ind w:left="4320"/>
        <w:spacing w:after="0"/>
        <w:rPr>
          <w:sz w:val="20"/>
          <w:szCs w:val="20"/>
          <w:color w:val="auto"/>
        </w:rPr>
      </w:pPr>
      <w:r>
        <w:rPr>
          <w:rFonts w:ascii="Arial" w:cs="Arial" w:eastAsia="Arial" w:hAnsi="Arial"/>
          <w:sz w:val="18"/>
          <w:szCs w:val="18"/>
          <w:color w:val="auto"/>
        </w:rPr>
        <w:t>quarterly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623570</wp:posOffset>
            </wp:positionV>
            <wp:extent cx="57607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Health, Safety and Welfare</w:t>
      </w:r>
    </w:p>
    <w:p>
      <w:pPr>
        <w:spacing w:after="0" w:line="79" w:lineRule="exact"/>
        <w:rPr>
          <w:sz w:val="20"/>
          <w:szCs w:val="20"/>
          <w:color w:val="auto"/>
        </w:rPr>
      </w:pPr>
    </w:p>
    <w:p>
      <w:pPr>
        <w:ind w:right="500"/>
        <w:spacing w:after="0" w:line="251" w:lineRule="auto"/>
        <w:rPr>
          <w:sz w:val="20"/>
          <w:szCs w:val="20"/>
          <w:color w:val="auto"/>
        </w:rPr>
      </w:pPr>
      <w:r>
        <w:rPr>
          <w:rFonts w:ascii="Arial" w:cs="Arial" w:eastAsia="Arial" w:hAnsi="Arial"/>
          <w:sz w:val="18"/>
          <w:szCs w:val="18"/>
          <w:color w:val="auto"/>
        </w:rPr>
        <w:t>As the COVID-19 pandemic has evolved, we have remained focused on protecting the health, safety, and well-being of our employees; supporting the medical system and our communities; and affordability of and access to our medicines.</w:t>
      </w:r>
    </w:p>
    <w:p>
      <w:pPr>
        <w:spacing w:after="0" w:line="125"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Maintaining Supplies of and Access to Lilly Medicines</w:t>
      </w:r>
    </w:p>
    <w:p>
      <w:pPr>
        <w:spacing w:after="0" w:line="8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Throughout 2022, we continued our efforts to protect our manufacturing processes and remained in close communication with key suppliers regarding logistics, transportation, and supplies of raw materials. While we have faced challenges, and expect to continue to face challenges, meeting strong demand for our incretin products, we expect significant additional manufacturing capacity will become operational starting in 2023 and continuing over the next several years as part of our ongoing efforts to meet the significant demand for our incretin medicines.</w:t>
      </w:r>
    </w:p>
    <w:p>
      <w:pPr>
        <w:spacing w:after="0" w:line="122" w:lineRule="exact"/>
        <w:rPr>
          <w:sz w:val="20"/>
          <w:szCs w:val="20"/>
          <w:color w:val="auto"/>
        </w:rPr>
      </w:pPr>
    </w:p>
    <w:p>
      <w:pPr>
        <w:jc w:val="both"/>
        <w:ind w:right="420"/>
        <w:spacing w:after="0" w:line="282" w:lineRule="auto"/>
        <w:rPr>
          <w:sz w:val="20"/>
          <w:szCs w:val="20"/>
          <w:color w:val="auto"/>
        </w:rPr>
      </w:pPr>
      <w:r>
        <w:rPr>
          <w:rFonts w:ascii="Arial" w:cs="Arial" w:eastAsia="Arial" w:hAnsi="Arial"/>
          <w:sz w:val="17"/>
          <w:szCs w:val="17"/>
          <w:color w:val="auto"/>
        </w:rPr>
        <w:t>We also continued patient support programs to ensure patients maintained affordable access to their medications and adjusted how we operate to offer innovative solutions to our customers. We remain committed to working with stakeholders in healthcare systems to help patients get the medicines they need, including through our Insulin Value Program, which allows anyone with commercial insurance and those without insurance to fill their monthly prescription of Lilly insulin for $35, as well as our other access and affordability initiatives.</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D52B1E"/>
        </w:rPr>
        <w:t>Insulin Price Reduction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5768975" cy="8826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68975" cy="882650"/>
                    </a:xfrm>
                    <a:prstGeom prst="rect">
                      <a:avLst/>
                    </a:prstGeom>
                    <a:noFill/>
                  </pic:spPr>
                </pic:pic>
              </a:graphicData>
            </a:graphic>
          </wp:anchor>
        </w:drawing>
      </w:r>
    </w:p>
    <w:p>
      <w:pPr>
        <w:spacing w:after="0" w:line="40" w:lineRule="exact"/>
        <w:rPr>
          <w:sz w:val="20"/>
          <w:szCs w:val="20"/>
          <w:color w:val="auto"/>
        </w:rPr>
      </w:pPr>
    </w:p>
    <w:p>
      <w:pPr>
        <w:ind w:left="300" w:right="2500"/>
        <w:spacing w:after="0" w:line="259" w:lineRule="auto"/>
        <w:rPr>
          <w:sz w:val="20"/>
          <w:szCs w:val="20"/>
          <w:color w:val="auto"/>
        </w:rPr>
      </w:pPr>
      <w:r>
        <w:rPr>
          <w:rFonts w:ascii="Arial" w:cs="Arial" w:eastAsia="Arial" w:hAnsi="Arial"/>
          <w:sz w:val="18"/>
          <w:szCs w:val="18"/>
          <w:color w:val="auto"/>
        </w:rPr>
        <w:t>On March 1, 2023, we announced upcoming list price reductions of 70% for our most commonly prescribed insulins and an expansion of our Insulin Value Program that caps patient out-of-pocket costs at $35 or less per month. Lilly is taking these actions to make it easier to access Lilly insulin and help Americans who may have difficulty navigating a complex healthcare system that may keep them from getting affordable insulin.</w:t>
      </w:r>
    </w:p>
    <w:p>
      <w:pPr>
        <w:spacing w:after="0" w:line="349"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Working to Ensure Diversity in Clinical Trials</w:t>
      </w:r>
    </w:p>
    <w:p>
      <w:pPr>
        <w:spacing w:after="0" w:line="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continue to identify and address barriers to fair access and representation of communities in our clinical research to help develop innovative medicines. Diverse representation in clinical trials is critical to helping our researchers develop medicines that will be as effective as possible for patients who use them. We are working to ensure trial participants match the composition of the patient population that might use the trial’s medicine by selecting diverse investigators and collaborating with external groups to identify and implement solutions. We collaborate with patients, patient advocacy groups, regulatory agencies, health care professionals and community</w:t>
      </w:r>
    </w:p>
    <w:p>
      <w:pPr>
        <w:sectPr>
          <w:pgSz w:w="11900" w:h="16838" w:orient="portrait"/>
          <w:cols w:equalWidth="0" w:num="1">
            <w:col w:w="11220"/>
          </w:cols>
          <w:pgMar w:left="320" w:top="1207" w:right="35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7" w:right="359" w:bottom="1440" w:gutter="0" w:footer="0" w:header="0"/>
          <w:type w:val="continuous"/>
        </w:sectPr>
      </w:pPr>
    </w:p>
    <w:bookmarkStart w:id="9" w:name="page10"/>
    <w:bookmarkEnd w:id="9"/>
    <w:p>
      <w:pPr>
        <w:ind w:right="200"/>
        <w:spacing w:after="0" w:line="287" w:lineRule="auto"/>
        <w:rPr>
          <w:sz w:val="20"/>
          <w:szCs w:val="20"/>
          <w:color w:val="auto"/>
        </w:rPr>
      </w:pPr>
      <w:r>
        <w:rPr>
          <w:rFonts w:ascii="Arial" w:cs="Arial" w:eastAsia="Arial" w:hAnsi="Arial"/>
          <w:sz w:val="18"/>
          <w:szCs w:val="18"/>
          <w:color w:val="auto"/>
        </w:rPr>
        <w:t>organizations to identify and implement solutions that will result in diverse representation, improve health equity and generate evidence to support better patient outcomes.</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Keeping Our Employees Safe and Healthy</w:t>
      </w:r>
    </w:p>
    <w:p>
      <w:pPr>
        <w:spacing w:after="0" w:line="6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remain focused on protecting the health and safety of our employees and strive to foster a healthy, vibrant work environment. For additional information on our employee health and safety initiatives, see “</w:t>
      </w:r>
      <w:r>
        <w:rPr>
          <w:rFonts w:ascii="Arial" w:cs="Arial" w:eastAsia="Arial" w:hAnsi="Arial"/>
          <w:sz w:val="18"/>
          <w:szCs w:val="18"/>
          <w:u w:val="single" w:color="auto"/>
          <w:color w:val="0000FF"/>
        </w:rPr>
        <w:t>Governance—How We Operate and Effective Board—Governance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Practices—Human Capital Management</w:t>
      </w:r>
      <w:r>
        <w:rPr>
          <w:rFonts w:ascii="Arial" w:cs="Arial" w:eastAsia="Arial" w:hAnsi="Arial"/>
          <w:sz w:val="18"/>
          <w:szCs w:val="18"/>
          <w:color w:val="000000"/>
        </w:rPr>
        <w:t>.”</w:t>
      </w:r>
    </w:p>
    <w:p>
      <w:pPr>
        <w:spacing w:after="0" w:line="321"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Board Leadership and Composition Highlights</w:t>
      </w:r>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Director Nominee Snapshot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57607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9"/>
              </w:rPr>
              <w:t>Other</w:t>
            </w:r>
          </w:p>
        </w:tc>
        <w:tc>
          <w:tcPr>
            <w:tcW w:w="2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8"/>
              </w:rPr>
              <w:t>Director</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9"/>
              </w:rPr>
              <w:t>Public</w:t>
            </w:r>
          </w:p>
        </w:tc>
        <w:tc>
          <w:tcPr>
            <w:tcW w:w="2280" w:type="dxa"/>
            <w:vAlign w:val="bottom"/>
          </w:tcPr>
          <w:p>
            <w:pPr>
              <w:spacing w:after="0"/>
              <w:rPr>
                <w:sz w:val="18"/>
                <w:szCs w:val="18"/>
                <w:color w:val="auto"/>
              </w:rPr>
            </w:pPr>
          </w:p>
        </w:tc>
        <w:tc>
          <w:tcPr>
            <w:tcW w:w="1620" w:type="dxa"/>
            <w:vAlign w:val="bottom"/>
          </w:tcPr>
          <w:p>
            <w:pPr>
              <w:ind w:left="440"/>
              <w:spacing w:after="0"/>
              <w:rPr>
                <w:sz w:val="20"/>
                <w:szCs w:val="20"/>
                <w:color w:val="auto"/>
              </w:rPr>
            </w:pPr>
            <w:r>
              <w:rPr>
                <w:rFonts w:ascii="Arial" w:cs="Arial" w:eastAsia="Arial" w:hAnsi="Arial"/>
                <w:sz w:val="18"/>
                <w:szCs w:val="18"/>
                <w:b w:val="1"/>
                <w:bCs w:val="1"/>
                <w:color w:val="auto"/>
              </w:rPr>
              <w:t>Committee</w:t>
            </w:r>
          </w:p>
        </w:tc>
        <w:tc>
          <w:tcPr>
            <w:tcW w:w="0" w:type="dxa"/>
            <w:vAlign w:val="bottom"/>
          </w:tcPr>
          <w:p>
            <w:pPr>
              <w:spacing w:after="0"/>
              <w:rPr>
                <w:sz w:val="1"/>
                <w:szCs w:val="1"/>
                <w:color w:val="auto"/>
              </w:rPr>
            </w:pPr>
          </w:p>
        </w:tc>
      </w:tr>
      <w:tr>
        <w:trPr>
          <w:trHeight w:val="255"/>
        </w:trPr>
        <w:tc>
          <w:tcPr>
            <w:tcW w:w="12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Name</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Age</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Since</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Boards</w:t>
            </w:r>
          </w:p>
        </w:tc>
        <w:tc>
          <w:tcPr>
            <w:tcW w:w="22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Principal Occupation</w:t>
            </w:r>
          </w:p>
        </w:tc>
        <w:tc>
          <w:tcPr>
            <w:tcW w:w="16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Membership</w:t>
            </w:r>
          </w:p>
        </w:tc>
        <w:tc>
          <w:tcPr>
            <w:tcW w:w="0" w:type="dxa"/>
            <w:vAlign w:val="bottom"/>
          </w:tcPr>
          <w:p>
            <w:pPr>
              <w:spacing w:after="0"/>
              <w:rPr>
                <w:sz w:val="1"/>
                <w:szCs w:val="1"/>
                <w:color w:val="auto"/>
              </w:rPr>
            </w:pPr>
          </w:p>
        </w:tc>
      </w:tr>
      <w:tr>
        <w:trPr>
          <w:trHeight w:val="180"/>
        </w:trPr>
        <w:tc>
          <w:tcPr>
            <w:tcW w:w="1260" w:type="dxa"/>
            <w:vAlign w:val="bottom"/>
          </w:tcPr>
          <w:p>
            <w:pPr>
              <w:spacing w:after="0"/>
              <w:rPr>
                <w:sz w:val="15"/>
                <w:szCs w:val="15"/>
                <w:color w:val="auto"/>
              </w:rPr>
            </w:pPr>
          </w:p>
        </w:tc>
        <w:tc>
          <w:tcPr>
            <w:tcW w:w="1700" w:type="dxa"/>
            <w:vAlign w:val="bottom"/>
            <w:shd w:val="clear" w:color="auto" w:fill="F2F2F2"/>
          </w:tcPr>
          <w:p>
            <w:pPr>
              <w:spacing w:after="0"/>
              <w:rPr>
                <w:sz w:val="15"/>
                <w:szCs w:val="15"/>
                <w:color w:val="auto"/>
              </w:rPr>
            </w:pPr>
          </w:p>
        </w:tc>
        <w:tc>
          <w:tcPr>
            <w:tcW w:w="5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65</w:t>
            </w:r>
          </w:p>
        </w:tc>
        <w:tc>
          <w:tcPr>
            <w:tcW w:w="8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2012</w:t>
            </w:r>
          </w:p>
        </w:tc>
        <w:tc>
          <w:tcPr>
            <w:tcW w:w="8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2280" w:type="dxa"/>
            <w:vAlign w:val="bottom"/>
            <w:shd w:val="clear" w:color="auto" w:fill="F2F2F2"/>
          </w:tcPr>
          <w:p>
            <w:pPr>
              <w:ind w:left="80"/>
              <w:spacing w:after="0"/>
              <w:rPr>
                <w:sz w:val="20"/>
                <w:szCs w:val="20"/>
                <w:color w:val="auto"/>
              </w:rPr>
            </w:pPr>
            <w:r>
              <w:rPr>
                <w:rFonts w:ascii="Arial" w:cs="Arial" w:eastAsia="Arial" w:hAnsi="Arial"/>
                <w:sz w:val="14"/>
                <w:szCs w:val="14"/>
                <w:color w:val="auto"/>
              </w:rPr>
              <w:t>Sidney Farber professor of</w:t>
            </w:r>
          </w:p>
        </w:tc>
        <w:tc>
          <w:tcPr>
            <w:tcW w:w="1620" w:type="dxa"/>
            <w:vAlign w:val="bottom"/>
            <w:vMerge w:val="restart"/>
            <w:shd w:val="clear" w:color="auto" w:fill="F2F2F2"/>
          </w:tcPr>
          <w:p>
            <w:pPr>
              <w:ind w:left="120"/>
              <w:spacing w:after="0"/>
              <w:rPr>
                <w:sz w:val="20"/>
                <w:szCs w:val="20"/>
                <w:color w:val="auto"/>
              </w:rPr>
            </w:pPr>
            <w:r>
              <w:rPr>
                <w:rFonts w:ascii="Arial" w:cs="Arial" w:eastAsia="Arial" w:hAnsi="Arial"/>
                <w:sz w:val="14"/>
                <w:szCs w:val="14"/>
                <w:color w:val="auto"/>
              </w:rPr>
              <w:t>Science &amp; Technology</w:t>
            </w:r>
          </w:p>
        </w:tc>
        <w:tc>
          <w:tcPr>
            <w:tcW w:w="0" w:type="dxa"/>
            <w:vAlign w:val="bottom"/>
          </w:tcPr>
          <w:p>
            <w:pPr>
              <w:spacing w:after="0"/>
              <w:rPr>
                <w:sz w:val="1"/>
                <w:szCs w:val="1"/>
                <w:color w:val="auto"/>
              </w:rPr>
            </w:pPr>
          </w:p>
        </w:tc>
      </w:tr>
      <w:tr>
        <w:trPr>
          <w:trHeight w:val="82"/>
        </w:trPr>
        <w:tc>
          <w:tcPr>
            <w:tcW w:w="1260" w:type="dxa"/>
            <w:vAlign w:val="bottom"/>
          </w:tcPr>
          <w:p>
            <w:pPr>
              <w:spacing w:after="0"/>
              <w:rPr>
                <w:sz w:val="7"/>
                <w:szCs w:val="7"/>
                <w:color w:val="auto"/>
              </w:rPr>
            </w:pPr>
          </w:p>
        </w:tc>
        <w:tc>
          <w:tcPr>
            <w:tcW w:w="1700" w:type="dxa"/>
            <w:vAlign w:val="bottom"/>
            <w:shd w:val="clear" w:color="auto" w:fill="F2F2F2"/>
          </w:tcPr>
          <w:p>
            <w:pPr>
              <w:spacing w:after="0"/>
              <w:rPr>
                <w:sz w:val="7"/>
                <w:szCs w:val="7"/>
                <w:color w:val="auto"/>
              </w:rPr>
            </w:pPr>
          </w:p>
        </w:tc>
        <w:tc>
          <w:tcPr>
            <w:tcW w:w="540" w:type="dxa"/>
            <w:vAlign w:val="bottom"/>
            <w:shd w:val="clear" w:color="auto" w:fill="F2F2F2"/>
          </w:tcPr>
          <w:p>
            <w:pPr>
              <w:spacing w:after="0"/>
              <w:rPr>
                <w:sz w:val="7"/>
                <w:szCs w:val="7"/>
                <w:color w:val="auto"/>
              </w:rPr>
            </w:pPr>
          </w:p>
        </w:tc>
        <w:tc>
          <w:tcPr>
            <w:tcW w:w="880" w:type="dxa"/>
            <w:vAlign w:val="bottom"/>
            <w:shd w:val="clear" w:color="auto" w:fill="F2F2F2"/>
          </w:tcPr>
          <w:p>
            <w:pPr>
              <w:spacing w:after="0"/>
              <w:rPr>
                <w:sz w:val="7"/>
                <w:szCs w:val="7"/>
                <w:color w:val="auto"/>
              </w:rPr>
            </w:pPr>
          </w:p>
        </w:tc>
        <w:tc>
          <w:tcPr>
            <w:tcW w:w="800" w:type="dxa"/>
            <w:vAlign w:val="bottom"/>
            <w:shd w:val="clear" w:color="auto" w:fill="F2F2F2"/>
          </w:tcPr>
          <w:p>
            <w:pPr>
              <w:spacing w:after="0"/>
              <w:rPr>
                <w:sz w:val="7"/>
                <w:szCs w:val="7"/>
                <w:color w:val="auto"/>
              </w:rPr>
            </w:pPr>
          </w:p>
        </w:tc>
        <w:tc>
          <w:tcPr>
            <w:tcW w:w="2280" w:type="dxa"/>
            <w:vAlign w:val="bottom"/>
            <w:vMerge w:val="restart"/>
            <w:shd w:val="clear" w:color="auto" w:fill="F2F2F2"/>
          </w:tcPr>
          <w:p>
            <w:pPr>
              <w:ind w:left="80"/>
              <w:spacing w:after="0"/>
              <w:rPr>
                <w:sz w:val="20"/>
                <w:szCs w:val="20"/>
                <w:color w:val="auto"/>
              </w:rPr>
            </w:pPr>
            <w:r>
              <w:rPr>
                <w:rFonts w:ascii="Arial" w:cs="Arial" w:eastAsia="Arial" w:hAnsi="Arial"/>
                <w:sz w:val="14"/>
                <w:szCs w:val="14"/>
                <w:color w:val="auto"/>
              </w:rPr>
              <w:t>Medicine, Harvard Medical</w:t>
            </w:r>
          </w:p>
        </w:tc>
        <w:tc>
          <w:tcPr>
            <w:tcW w:w="1620" w:type="dxa"/>
            <w:vAlign w:val="bottom"/>
            <w:vMerge w:val="continue"/>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Pr>
          <w:p>
            <w:pPr>
              <w:spacing w:after="0"/>
              <w:rPr>
                <w:sz w:val="8"/>
                <w:szCs w:val="8"/>
                <w:color w:val="auto"/>
              </w:rPr>
            </w:pPr>
          </w:p>
        </w:tc>
        <w:tc>
          <w:tcPr>
            <w:tcW w:w="1700" w:type="dxa"/>
            <w:vAlign w:val="bottom"/>
            <w:shd w:val="clear" w:color="auto" w:fill="F2F2F2"/>
          </w:tcPr>
          <w:p>
            <w:pPr>
              <w:spacing w:after="0"/>
              <w:rPr>
                <w:sz w:val="8"/>
                <w:szCs w:val="8"/>
                <w:color w:val="auto"/>
              </w:rPr>
            </w:pPr>
          </w:p>
        </w:tc>
        <w:tc>
          <w:tcPr>
            <w:tcW w:w="540" w:type="dxa"/>
            <w:vAlign w:val="bottom"/>
            <w:shd w:val="clear" w:color="auto" w:fill="F2F2F2"/>
          </w:tcPr>
          <w:p>
            <w:pPr>
              <w:spacing w:after="0"/>
              <w:rPr>
                <w:sz w:val="8"/>
                <w:szCs w:val="8"/>
                <w:color w:val="auto"/>
              </w:rPr>
            </w:pPr>
          </w:p>
        </w:tc>
        <w:tc>
          <w:tcPr>
            <w:tcW w:w="880" w:type="dxa"/>
            <w:vAlign w:val="bottom"/>
            <w:shd w:val="clear" w:color="auto" w:fill="F2F2F2"/>
          </w:tcPr>
          <w:p>
            <w:pPr>
              <w:spacing w:after="0"/>
              <w:rPr>
                <w:sz w:val="8"/>
                <w:szCs w:val="8"/>
                <w:color w:val="auto"/>
              </w:rPr>
            </w:pPr>
          </w:p>
        </w:tc>
        <w:tc>
          <w:tcPr>
            <w:tcW w:w="800" w:type="dxa"/>
            <w:vAlign w:val="bottom"/>
            <w:shd w:val="clear" w:color="auto" w:fill="F2F2F2"/>
          </w:tcPr>
          <w:p>
            <w:pPr>
              <w:spacing w:after="0"/>
              <w:rPr>
                <w:sz w:val="8"/>
                <w:szCs w:val="8"/>
                <w:color w:val="auto"/>
              </w:rPr>
            </w:pPr>
          </w:p>
        </w:tc>
        <w:tc>
          <w:tcPr>
            <w:tcW w:w="2280" w:type="dxa"/>
            <w:vAlign w:val="bottom"/>
            <w:vMerge w:val="continue"/>
            <w:shd w:val="clear" w:color="auto" w:fill="F2F2F2"/>
          </w:tcPr>
          <w:p>
            <w:pPr>
              <w:spacing w:after="0"/>
              <w:rPr>
                <w:sz w:val="8"/>
                <w:szCs w:val="8"/>
                <w:color w:val="auto"/>
              </w:rPr>
            </w:pPr>
          </w:p>
        </w:tc>
        <w:tc>
          <w:tcPr>
            <w:tcW w:w="162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260" w:type="dxa"/>
            <w:vAlign w:val="bottom"/>
          </w:tcPr>
          <w:p>
            <w:pPr>
              <w:spacing w:after="0"/>
              <w:rPr>
                <w:sz w:val="15"/>
                <w:szCs w:val="15"/>
                <w:color w:val="auto"/>
              </w:rPr>
            </w:pPr>
          </w:p>
        </w:tc>
        <w:tc>
          <w:tcPr>
            <w:tcW w:w="1700" w:type="dxa"/>
            <w:vAlign w:val="bottom"/>
            <w:vMerge w:val="restart"/>
            <w:shd w:val="clear" w:color="auto" w:fill="F2F2F2"/>
          </w:tcPr>
          <w:p>
            <w:pPr>
              <w:ind w:left="20"/>
              <w:spacing w:after="0"/>
              <w:rPr>
                <w:sz w:val="20"/>
                <w:szCs w:val="20"/>
                <w:color w:val="auto"/>
              </w:rPr>
            </w:pPr>
            <w:r>
              <w:rPr>
                <w:rFonts w:ascii="Arial" w:cs="Arial" w:eastAsia="Arial" w:hAnsi="Arial"/>
                <w:sz w:val="22"/>
                <w:szCs w:val="22"/>
                <w:b w:val="1"/>
                <w:bCs w:val="1"/>
                <w:color w:val="auto"/>
              </w:rPr>
              <w:t>William G.</w:t>
            </w:r>
          </w:p>
        </w:tc>
        <w:tc>
          <w:tcPr>
            <w:tcW w:w="540" w:type="dxa"/>
            <w:vAlign w:val="bottom"/>
            <w:shd w:val="clear" w:color="auto" w:fill="F2F2F2"/>
          </w:tcPr>
          <w:p>
            <w:pPr>
              <w:spacing w:after="0"/>
              <w:rPr>
                <w:sz w:val="15"/>
                <w:szCs w:val="15"/>
                <w:color w:val="auto"/>
              </w:rPr>
            </w:pPr>
          </w:p>
        </w:tc>
        <w:tc>
          <w:tcPr>
            <w:tcW w:w="880" w:type="dxa"/>
            <w:vAlign w:val="bottom"/>
            <w:shd w:val="clear" w:color="auto" w:fill="F2F2F2"/>
          </w:tcPr>
          <w:p>
            <w:pPr>
              <w:spacing w:after="0"/>
              <w:rPr>
                <w:sz w:val="15"/>
                <w:szCs w:val="15"/>
                <w:color w:val="auto"/>
              </w:rPr>
            </w:pPr>
          </w:p>
        </w:tc>
        <w:tc>
          <w:tcPr>
            <w:tcW w:w="800" w:type="dxa"/>
            <w:vAlign w:val="bottom"/>
            <w:shd w:val="clear" w:color="auto" w:fill="F2F2F2"/>
          </w:tcPr>
          <w:p>
            <w:pPr>
              <w:spacing w:after="0"/>
              <w:rPr>
                <w:sz w:val="15"/>
                <w:szCs w:val="15"/>
                <w:color w:val="auto"/>
              </w:rPr>
            </w:pPr>
          </w:p>
        </w:tc>
        <w:tc>
          <w:tcPr>
            <w:tcW w:w="2280" w:type="dxa"/>
            <w:vAlign w:val="bottom"/>
            <w:shd w:val="clear" w:color="auto" w:fill="F2F2F2"/>
          </w:tcPr>
          <w:p>
            <w:pPr>
              <w:ind w:left="80"/>
              <w:spacing w:after="0"/>
              <w:rPr>
                <w:sz w:val="20"/>
                <w:szCs w:val="20"/>
                <w:color w:val="auto"/>
              </w:rPr>
            </w:pPr>
            <w:r>
              <w:rPr>
                <w:rFonts w:ascii="Arial" w:cs="Arial" w:eastAsia="Arial" w:hAnsi="Arial"/>
                <w:sz w:val="14"/>
                <w:szCs w:val="14"/>
                <w:color w:val="auto"/>
              </w:rPr>
              <w:t>School; Professor, Dana-Farber</w:t>
            </w:r>
          </w:p>
        </w:tc>
        <w:tc>
          <w:tcPr>
            <w:tcW w:w="162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1260" w:type="dxa"/>
            <w:vAlign w:val="bottom"/>
          </w:tcPr>
          <w:p>
            <w:pPr>
              <w:spacing w:after="0"/>
              <w:rPr>
                <w:sz w:val="7"/>
                <w:szCs w:val="7"/>
                <w:color w:val="auto"/>
              </w:rPr>
            </w:pPr>
          </w:p>
        </w:tc>
        <w:tc>
          <w:tcPr>
            <w:tcW w:w="1700" w:type="dxa"/>
            <w:vAlign w:val="bottom"/>
            <w:vMerge w:val="continue"/>
            <w:shd w:val="clear" w:color="auto" w:fill="F2F2F2"/>
          </w:tcPr>
          <w:p>
            <w:pPr>
              <w:spacing w:after="0"/>
              <w:rPr>
                <w:sz w:val="7"/>
                <w:szCs w:val="7"/>
                <w:color w:val="auto"/>
              </w:rPr>
            </w:pPr>
          </w:p>
        </w:tc>
        <w:tc>
          <w:tcPr>
            <w:tcW w:w="540" w:type="dxa"/>
            <w:vAlign w:val="bottom"/>
            <w:shd w:val="clear" w:color="auto" w:fill="F2F2F2"/>
          </w:tcPr>
          <w:p>
            <w:pPr>
              <w:spacing w:after="0"/>
              <w:rPr>
                <w:sz w:val="7"/>
                <w:szCs w:val="7"/>
                <w:color w:val="auto"/>
              </w:rPr>
            </w:pPr>
          </w:p>
        </w:tc>
        <w:tc>
          <w:tcPr>
            <w:tcW w:w="880" w:type="dxa"/>
            <w:vAlign w:val="bottom"/>
            <w:shd w:val="clear" w:color="auto" w:fill="F2F2F2"/>
          </w:tcPr>
          <w:p>
            <w:pPr>
              <w:spacing w:after="0"/>
              <w:rPr>
                <w:sz w:val="7"/>
                <w:szCs w:val="7"/>
                <w:color w:val="auto"/>
              </w:rPr>
            </w:pPr>
          </w:p>
        </w:tc>
        <w:tc>
          <w:tcPr>
            <w:tcW w:w="800" w:type="dxa"/>
            <w:vAlign w:val="bottom"/>
            <w:shd w:val="clear" w:color="auto" w:fill="F2F2F2"/>
          </w:tcPr>
          <w:p>
            <w:pPr>
              <w:spacing w:after="0"/>
              <w:rPr>
                <w:sz w:val="7"/>
                <w:szCs w:val="7"/>
                <w:color w:val="auto"/>
              </w:rPr>
            </w:pPr>
          </w:p>
        </w:tc>
        <w:tc>
          <w:tcPr>
            <w:tcW w:w="2280" w:type="dxa"/>
            <w:vAlign w:val="bottom"/>
            <w:vMerge w:val="restart"/>
            <w:shd w:val="clear" w:color="auto" w:fill="F2F2F2"/>
          </w:tcPr>
          <w:p>
            <w:pPr>
              <w:ind w:left="80"/>
              <w:spacing w:after="0"/>
              <w:rPr>
                <w:sz w:val="20"/>
                <w:szCs w:val="20"/>
                <w:color w:val="auto"/>
              </w:rPr>
            </w:pPr>
            <w:r>
              <w:rPr>
                <w:rFonts w:ascii="Arial" w:cs="Arial" w:eastAsia="Arial" w:hAnsi="Arial"/>
                <w:sz w:val="14"/>
                <w:szCs w:val="14"/>
                <w:color w:val="auto"/>
              </w:rPr>
              <w:t>Cancer Institute and Brigham</w:t>
            </w:r>
          </w:p>
        </w:tc>
        <w:tc>
          <w:tcPr>
            <w:tcW w:w="1620" w:type="dxa"/>
            <w:vAlign w:val="bottom"/>
            <w:vMerge w:val="restart"/>
            <w:shd w:val="clear" w:color="auto" w:fill="F2F2F2"/>
          </w:tcPr>
          <w:p>
            <w:pPr>
              <w:ind w:left="120"/>
              <w:spacing w:after="0"/>
              <w:rPr>
                <w:sz w:val="20"/>
                <w:szCs w:val="20"/>
                <w:color w:val="auto"/>
              </w:rPr>
            </w:pPr>
            <w:r>
              <w:rPr>
                <w:rFonts w:ascii="Arial" w:cs="Arial" w:eastAsia="Arial" w:hAnsi="Arial"/>
                <w:sz w:val="14"/>
                <w:szCs w:val="14"/>
                <w:color w:val="auto"/>
              </w:rPr>
              <w:t>Directors &amp; Corporate</w:t>
            </w:r>
          </w:p>
        </w:tc>
        <w:tc>
          <w:tcPr>
            <w:tcW w:w="0" w:type="dxa"/>
            <w:vAlign w:val="bottom"/>
          </w:tcPr>
          <w:p>
            <w:pPr>
              <w:spacing w:after="0"/>
              <w:rPr>
                <w:sz w:val="1"/>
                <w:szCs w:val="1"/>
                <w:color w:val="auto"/>
              </w:rPr>
            </w:pPr>
          </w:p>
        </w:tc>
      </w:tr>
      <w:tr>
        <w:trPr>
          <w:trHeight w:val="87"/>
        </w:trPr>
        <w:tc>
          <w:tcPr>
            <w:tcW w:w="1260" w:type="dxa"/>
            <w:vAlign w:val="bottom"/>
          </w:tcPr>
          <w:p>
            <w:pPr>
              <w:spacing w:after="0"/>
              <w:rPr>
                <w:sz w:val="7"/>
                <w:szCs w:val="7"/>
                <w:color w:val="auto"/>
              </w:rPr>
            </w:pPr>
          </w:p>
        </w:tc>
        <w:tc>
          <w:tcPr>
            <w:tcW w:w="1700" w:type="dxa"/>
            <w:vAlign w:val="bottom"/>
            <w:vMerge w:val="restart"/>
            <w:shd w:val="clear" w:color="auto" w:fill="F2F2F2"/>
          </w:tcPr>
          <w:p>
            <w:pPr>
              <w:ind w:left="20"/>
              <w:spacing w:after="0"/>
              <w:rPr>
                <w:sz w:val="20"/>
                <w:szCs w:val="20"/>
                <w:color w:val="auto"/>
              </w:rPr>
            </w:pPr>
            <w:r>
              <w:rPr>
                <w:rFonts w:ascii="Arial" w:cs="Arial" w:eastAsia="Arial" w:hAnsi="Arial"/>
                <w:sz w:val="22"/>
                <w:szCs w:val="22"/>
                <w:b w:val="1"/>
                <w:bCs w:val="1"/>
                <w:color w:val="auto"/>
              </w:rPr>
              <w:t>Kaelin, Jr., M.D.</w:t>
            </w:r>
          </w:p>
        </w:tc>
        <w:tc>
          <w:tcPr>
            <w:tcW w:w="540" w:type="dxa"/>
            <w:vAlign w:val="bottom"/>
            <w:shd w:val="clear" w:color="auto" w:fill="F2F2F2"/>
          </w:tcPr>
          <w:p>
            <w:pPr>
              <w:spacing w:after="0"/>
              <w:rPr>
                <w:sz w:val="7"/>
                <w:szCs w:val="7"/>
                <w:color w:val="auto"/>
              </w:rPr>
            </w:pPr>
          </w:p>
        </w:tc>
        <w:tc>
          <w:tcPr>
            <w:tcW w:w="880" w:type="dxa"/>
            <w:vAlign w:val="bottom"/>
            <w:shd w:val="clear" w:color="auto" w:fill="F2F2F2"/>
          </w:tcPr>
          <w:p>
            <w:pPr>
              <w:spacing w:after="0"/>
              <w:rPr>
                <w:sz w:val="7"/>
                <w:szCs w:val="7"/>
                <w:color w:val="auto"/>
              </w:rPr>
            </w:pPr>
          </w:p>
        </w:tc>
        <w:tc>
          <w:tcPr>
            <w:tcW w:w="800" w:type="dxa"/>
            <w:vAlign w:val="bottom"/>
            <w:shd w:val="clear" w:color="auto" w:fill="F2F2F2"/>
          </w:tcPr>
          <w:p>
            <w:pPr>
              <w:spacing w:after="0"/>
              <w:rPr>
                <w:sz w:val="7"/>
                <w:szCs w:val="7"/>
                <w:color w:val="auto"/>
              </w:rPr>
            </w:pPr>
          </w:p>
        </w:tc>
        <w:tc>
          <w:tcPr>
            <w:tcW w:w="2280" w:type="dxa"/>
            <w:vAlign w:val="bottom"/>
            <w:vMerge w:val="continue"/>
            <w:shd w:val="clear" w:color="auto" w:fill="F2F2F2"/>
          </w:tcPr>
          <w:p>
            <w:pPr>
              <w:spacing w:after="0"/>
              <w:rPr>
                <w:sz w:val="7"/>
                <w:szCs w:val="7"/>
                <w:color w:val="auto"/>
              </w:rPr>
            </w:pPr>
          </w:p>
        </w:tc>
        <w:tc>
          <w:tcPr>
            <w:tcW w:w="1620" w:type="dxa"/>
            <w:vAlign w:val="bottom"/>
            <w:vMerge w:val="continue"/>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1260" w:type="dxa"/>
            <w:vAlign w:val="bottom"/>
          </w:tcPr>
          <w:p>
            <w:pPr>
              <w:spacing w:after="0"/>
              <w:rPr>
                <w:sz w:val="15"/>
                <w:szCs w:val="15"/>
                <w:color w:val="auto"/>
              </w:rPr>
            </w:pPr>
          </w:p>
        </w:tc>
        <w:tc>
          <w:tcPr>
            <w:tcW w:w="1700" w:type="dxa"/>
            <w:vAlign w:val="bottom"/>
            <w:vMerge w:val="continue"/>
            <w:shd w:val="clear" w:color="auto" w:fill="F2F2F2"/>
          </w:tcPr>
          <w:p>
            <w:pPr>
              <w:spacing w:after="0"/>
              <w:rPr>
                <w:sz w:val="15"/>
                <w:szCs w:val="15"/>
                <w:color w:val="auto"/>
              </w:rPr>
            </w:pPr>
          </w:p>
        </w:tc>
        <w:tc>
          <w:tcPr>
            <w:tcW w:w="540" w:type="dxa"/>
            <w:vAlign w:val="bottom"/>
            <w:shd w:val="clear" w:color="auto" w:fill="F2F2F2"/>
          </w:tcPr>
          <w:p>
            <w:pPr>
              <w:spacing w:after="0"/>
              <w:rPr>
                <w:sz w:val="15"/>
                <w:szCs w:val="15"/>
                <w:color w:val="auto"/>
              </w:rPr>
            </w:pPr>
          </w:p>
        </w:tc>
        <w:tc>
          <w:tcPr>
            <w:tcW w:w="880" w:type="dxa"/>
            <w:vAlign w:val="bottom"/>
            <w:shd w:val="clear" w:color="auto" w:fill="F2F2F2"/>
          </w:tcPr>
          <w:p>
            <w:pPr>
              <w:spacing w:after="0"/>
              <w:rPr>
                <w:sz w:val="15"/>
                <w:szCs w:val="15"/>
                <w:color w:val="auto"/>
              </w:rPr>
            </w:pPr>
          </w:p>
        </w:tc>
        <w:tc>
          <w:tcPr>
            <w:tcW w:w="800" w:type="dxa"/>
            <w:vAlign w:val="bottom"/>
            <w:shd w:val="clear" w:color="auto" w:fill="F2F2F2"/>
          </w:tcPr>
          <w:p>
            <w:pPr>
              <w:spacing w:after="0"/>
              <w:rPr>
                <w:sz w:val="15"/>
                <w:szCs w:val="15"/>
                <w:color w:val="auto"/>
              </w:rPr>
            </w:pPr>
          </w:p>
        </w:tc>
        <w:tc>
          <w:tcPr>
            <w:tcW w:w="2280" w:type="dxa"/>
            <w:vAlign w:val="bottom"/>
            <w:shd w:val="clear" w:color="auto" w:fill="F2F2F2"/>
          </w:tcPr>
          <w:p>
            <w:pPr>
              <w:ind w:left="80"/>
              <w:spacing w:after="0"/>
              <w:rPr>
                <w:sz w:val="20"/>
                <w:szCs w:val="20"/>
                <w:color w:val="auto"/>
              </w:rPr>
            </w:pPr>
            <w:r>
              <w:rPr>
                <w:rFonts w:ascii="Arial" w:cs="Arial" w:eastAsia="Arial" w:hAnsi="Arial"/>
                <w:sz w:val="14"/>
                <w:szCs w:val="14"/>
                <w:color w:val="auto"/>
              </w:rPr>
              <w:t>and Women’s Hospital;</w:t>
            </w:r>
          </w:p>
        </w:tc>
        <w:tc>
          <w:tcPr>
            <w:tcW w:w="1620" w:type="dxa"/>
            <w:vAlign w:val="bottom"/>
            <w:shd w:val="clear" w:color="auto" w:fill="F2F2F2"/>
          </w:tcPr>
          <w:p>
            <w:pPr>
              <w:ind w:left="120"/>
              <w:spacing w:after="0"/>
              <w:rPr>
                <w:sz w:val="20"/>
                <w:szCs w:val="20"/>
                <w:color w:val="auto"/>
              </w:rPr>
            </w:pPr>
            <w:r>
              <w:rPr>
                <w:rFonts w:ascii="Arial" w:cs="Arial" w:eastAsia="Arial" w:hAnsi="Arial"/>
                <w:sz w:val="14"/>
                <w:szCs w:val="14"/>
                <w:color w:val="auto"/>
              </w:rPr>
              <w:t>Governance</w:t>
            </w: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1700" w:type="dxa"/>
            <w:vAlign w:val="bottom"/>
            <w:shd w:val="clear" w:color="auto" w:fill="F2F2F2"/>
          </w:tcPr>
          <w:p>
            <w:pPr>
              <w:ind w:left="20"/>
              <w:spacing w:after="0"/>
              <w:rPr>
                <w:sz w:val="20"/>
                <w:szCs w:val="20"/>
                <w:color w:val="auto"/>
              </w:rPr>
            </w:pPr>
            <w:r>
              <w:rPr>
                <w:rFonts w:ascii="Arial" w:cs="Arial" w:eastAsia="Arial" w:hAnsi="Arial"/>
                <w:sz w:val="14"/>
                <w:szCs w:val="14"/>
                <w:color w:val="auto"/>
              </w:rPr>
              <w:t>Independent Director</w:t>
            </w:r>
          </w:p>
        </w:tc>
        <w:tc>
          <w:tcPr>
            <w:tcW w:w="540" w:type="dxa"/>
            <w:vAlign w:val="bottom"/>
            <w:shd w:val="clear" w:color="auto" w:fill="F2F2F2"/>
          </w:tcPr>
          <w:p>
            <w:pPr>
              <w:spacing w:after="0"/>
              <w:rPr>
                <w:sz w:val="14"/>
                <w:szCs w:val="14"/>
                <w:color w:val="auto"/>
              </w:rPr>
            </w:pPr>
          </w:p>
        </w:tc>
        <w:tc>
          <w:tcPr>
            <w:tcW w:w="880" w:type="dxa"/>
            <w:vAlign w:val="bottom"/>
            <w:shd w:val="clear" w:color="auto" w:fill="F2F2F2"/>
          </w:tcPr>
          <w:p>
            <w:pPr>
              <w:spacing w:after="0"/>
              <w:rPr>
                <w:sz w:val="14"/>
                <w:szCs w:val="14"/>
                <w:color w:val="auto"/>
              </w:rPr>
            </w:pPr>
          </w:p>
        </w:tc>
        <w:tc>
          <w:tcPr>
            <w:tcW w:w="800" w:type="dxa"/>
            <w:vAlign w:val="bottom"/>
            <w:shd w:val="clear" w:color="auto" w:fill="F2F2F2"/>
          </w:tcPr>
          <w:p>
            <w:pPr>
              <w:spacing w:after="0"/>
              <w:rPr>
                <w:sz w:val="14"/>
                <w:szCs w:val="14"/>
                <w:color w:val="auto"/>
              </w:rPr>
            </w:pPr>
          </w:p>
        </w:tc>
        <w:tc>
          <w:tcPr>
            <w:tcW w:w="2280" w:type="dxa"/>
            <w:vAlign w:val="bottom"/>
            <w:shd w:val="clear" w:color="auto" w:fill="F2F2F2"/>
          </w:tcPr>
          <w:p>
            <w:pPr>
              <w:ind w:left="80"/>
              <w:spacing w:after="0"/>
              <w:rPr>
                <w:sz w:val="20"/>
                <w:szCs w:val="20"/>
                <w:color w:val="auto"/>
              </w:rPr>
            </w:pPr>
            <w:r>
              <w:rPr>
                <w:rFonts w:ascii="Arial" w:cs="Arial" w:eastAsia="Arial" w:hAnsi="Arial"/>
                <w:sz w:val="14"/>
                <w:szCs w:val="14"/>
                <w:color w:val="auto"/>
              </w:rPr>
              <w:t>Investigator, Howard Hughes</w:t>
            </w:r>
          </w:p>
        </w:tc>
        <w:tc>
          <w:tcPr>
            <w:tcW w:w="162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260" w:type="dxa"/>
            <w:vAlign w:val="bottom"/>
          </w:tcPr>
          <w:p>
            <w:pPr>
              <w:spacing w:after="0"/>
              <w:rPr>
                <w:sz w:val="17"/>
                <w:szCs w:val="17"/>
                <w:color w:val="auto"/>
              </w:rPr>
            </w:pPr>
          </w:p>
        </w:tc>
        <w:tc>
          <w:tcPr>
            <w:tcW w:w="1700" w:type="dxa"/>
            <w:vAlign w:val="bottom"/>
            <w:tcBorders>
              <w:bottom w:val="single" w:sz="8" w:color="F2F2F2"/>
            </w:tcBorders>
            <w:shd w:val="clear" w:color="auto" w:fill="F2F2F2"/>
          </w:tcPr>
          <w:p>
            <w:pPr>
              <w:spacing w:after="0"/>
              <w:rPr>
                <w:sz w:val="17"/>
                <w:szCs w:val="17"/>
                <w:color w:val="auto"/>
              </w:rPr>
            </w:pPr>
          </w:p>
        </w:tc>
        <w:tc>
          <w:tcPr>
            <w:tcW w:w="540" w:type="dxa"/>
            <w:vAlign w:val="bottom"/>
            <w:tcBorders>
              <w:bottom w:val="single" w:sz="8" w:color="F2F2F2"/>
            </w:tcBorders>
            <w:shd w:val="clear" w:color="auto" w:fill="F2F2F2"/>
          </w:tcPr>
          <w:p>
            <w:pPr>
              <w:spacing w:after="0"/>
              <w:rPr>
                <w:sz w:val="17"/>
                <w:szCs w:val="17"/>
                <w:color w:val="auto"/>
              </w:rPr>
            </w:pPr>
          </w:p>
        </w:tc>
        <w:tc>
          <w:tcPr>
            <w:tcW w:w="880" w:type="dxa"/>
            <w:vAlign w:val="bottom"/>
            <w:tcBorders>
              <w:bottom w:val="single" w:sz="8" w:color="F2F2F2"/>
            </w:tcBorders>
            <w:shd w:val="clear" w:color="auto" w:fill="F2F2F2"/>
          </w:tcPr>
          <w:p>
            <w:pPr>
              <w:spacing w:after="0"/>
              <w:rPr>
                <w:sz w:val="17"/>
                <w:szCs w:val="17"/>
                <w:color w:val="auto"/>
              </w:rPr>
            </w:pPr>
          </w:p>
        </w:tc>
        <w:tc>
          <w:tcPr>
            <w:tcW w:w="800" w:type="dxa"/>
            <w:vAlign w:val="bottom"/>
            <w:tcBorders>
              <w:bottom w:val="single" w:sz="8" w:color="F2F2F2"/>
            </w:tcBorders>
            <w:shd w:val="clear" w:color="auto" w:fill="F2F2F2"/>
          </w:tcPr>
          <w:p>
            <w:pPr>
              <w:spacing w:after="0"/>
              <w:rPr>
                <w:sz w:val="17"/>
                <w:szCs w:val="17"/>
                <w:color w:val="auto"/>
              </w:rPr>
            </w:pPr>
          </w:p>
        </w:tc>
        <w:tc>
          <w:tcPr>
            <w:tcW w:w="228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4"/>
                <w:szCs w:val="14"/>
                <w:color w:val="auto"/>
              </w:rPr>
              <w:t>Medical Institute</w:t>
            </w:r>
          </w:p>
        </w:tc>
        <w:tc>
          <w:tcPr>
            <w:tcW w:w="1620" w:type="dxa"/>
            <w:vAlign w:val="bottom"/>
            <w:tcBorders>
              <w:bottom w:val="single" w:sz="8" w:color="F2F2F2"/>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2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rPr>
              <w:t>55</w:t>
            </w:r>
          </w:p>
        </w:tc>
        <w:tc>
          <w:tcPr>
            <w:tcW w:w="880" w:type="dxa"/>
            <w:vAlign w:val="bottom"/>
          </w:tcPr>
          <w:p>
            <w:pPr>
              <w:jc w:val="center"/>
              <w:spacing w:after="0"/>
              <w:rPr>
                <w:sz w:val="20"/>
                <w:szCs w:val="20"/>
                <w:color w:val="auto"/>
              </w:rPr>
            </w:pPr>
            <w:r>
              <w:rPr>
                <w:rFonts w:ascii="Arial" w:cs="Arial" w:eastAsia="Arial" w:hAnsi="Arial"/>
                <w:sz w:val="14"/>
                <w:szCs w:val="14"/>
                <w:color w:val="auto"/>
              </w:rPr>
              <w:t>2017</w:t>
            </w:r>
          </w:p>
        </w:tc>
        <w:tc>
          <w:tcPr>
            <w:tcW w:w="800" w:type="dxa"/>
            <w:vAlign w:val="bottom"/>
          </w:tcPr>
          <w:p>
            <w:pPr>
              <w:jc w:val="center"/>
              <w:spacing w:after="0"/>
              <w:rPr>
                <w:sz w:val="20"/>
                <w:szCs w:val="20"/>
                <w:color w:val="auto"/>
              </w:rPr>
            </w:pPr>
            <w:r>
              <w:rPr>
                <w:rFonts w:ascii="Arial" w:cs="Arial" w:eastAsia="Arial" w:hAnsi="Arial"/>
                <w:sz w:val="14"/>
                <w:szCs w:val="14"/>
                <w:color w:val="auto"/>
              </w:rPr>
              <w:t>1</w:t>
            </w:r>
          </w:p>
        </w:tc>
        <w:tc>
          <w:tcPr>
            <w:tcW w:w="2280" w:type="dxa"/>
            <w:vAlign w:val="bottom"/>
          </w:tcPr>
          <w:p>
            <w:pPr>
              <w:ind w:left="80"/>
              <w:spacing w:after="0"/>
              <w:rPr>
                <w:sz w:val="20"/>
                <w:szCs w:val="20"/>
                <w:color w:val="auto"/>
              </w:rPr>
            </w:pPr>
            <w:r>
              <w:rPr>
                <w:rFonts w:ascii="Arial" w:cs="Arial" w:eastAsia="Arial" w:hAnsi="Arial"/>
                <w:sz w:val="14"/>
                <w:szCs w:val="14"/>
                <w:color w:val="auto"/>
              </w:rPr>
              <w:t>Chair, President and Chief</w:t>
            </w:r>
          </w:p>
        </w:tc>
        <w:tc>
          <w:tcPr>
            <w:tcW w:w="1620" w:type="dxa"/>
            <w:vAlign w:val="bottom"/>
          </w:tcPr>
          <w:p>
            <w:pPr>
              <w:ind w:left="120"/>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76"/>
        </w:trPr>
        <w:tc>
          <w:tcPr>
            <w:tcW w:w="12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Executive Officer, Eli Lilly and</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70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David A. Ricks</w:t>
            </w: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Company</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26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700" w:type="dxa"/>
            <w:vAlign w:val="bottom"/>
          </w:tcPr>
          <w:p>
            <w:pPr>
              <w:ind w:left="20"/>
              <w:spacing w:after="0"/>
              <w:rPr>
                <w:sz w:val="20"/>
                <w:szCs w:val="20"/>
                <w:color w:val="auto"/>
              </w:rPr>
            </w:pPr>
            <w:r>
              <w:rPr>
                <w:rFonts w:ascii="Arial" w:cs="Arial" w:eastAsia="Arial" w:hAnsi="Arial"/>
                <w:sz w:val="14"/>
                <w:szCs w:val="14"/>
                <w:color w:val="auto"/>
              </w:rPr>
              <w:t>Chair of the Board</w:t>
            </w: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3"/>
        </w:trPr>
        <w:tc>
          <w:tcPr>
            <w:tcW w:w="1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260" w:type="dxa"/>
            <w:vAlign w:val="bottom"/>
          </w:tcPr>
          <w:p>
            <w:pPr>
              <w:spacing w:after="0"/>
              <w:rPr>
                <w:sz w:val="15"/>
                <w:szCs w:val="15"/>
                <w:color w:val="auto"/>
              </w:rPr>
            </w:pPr>
          </w:p>
        </w:tc>
        <w:tc>
          <w:tcPr>
            <w:tcW w:w="1700" w:type="dxa"/>
            <w:vAlign w:val="bottom"/>
            <w:shd w:val="clear" w:color="auto" w:fill="F2F2F2"/>
          </w:tcPr>
          <w:p>
            <w:pPr>
              <w:spacing w:after="0"/>
              <w:rPr>
                <w:sz w:val="15"/>
                <w:szCs w:val="15"/>
                <w:color w:val="auto"/>
              </w:rPr>
            </w:pPr>
          </w:p>
        </w:tc>
        <w:tc>
          <w:tcPr>
            <w:tcW w:w="5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68</w:t>
            </w:r>
          </w:p>
        </w:tc>
        <w:tc>
          <w:tcPr>
            <w:tcW w:w="8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2013</w:t>
            </w:r>
          </w:p>
        </w:tc>
        <w:tc>
          <w:tcPr>
            <w:tcW w:w="8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2280" w:type="dxa"/>
            <w:vAlign w:val="bottom"/>
            <w:shd w:val="clear" w:color="auto" w:fill="F2F2F2"/>
          </w:tcPr>
          <w:p>
            <w:pPr>
              <w:ind w:left="80"/>
              <w:spacing w:after="0"/>
              <w:rPr>
                <w:sz w:val="20"/>
                <w:szCs w:val="20"/>
                <w:color w:val="auto"/>
              </w:rPr>
            </w:pPr>
            <w:r>
              <w:rPr>
                <w:rFonts w:ascii="Arial" w:cs="Arial" w:eastAsia="Arial" w:hAnsi="Arial"/>
                <w:sz w:val="14"/>
                <w:szCs w:val="14"/>
                <w:color w:val="auto"/>
              </w:rPr>
              <w:t>CEO, Michigan Medicine,</w:t>
            </w:r>
          </w:p>
        </w:tc>
        <w:tc>
          <w:tcPr>
            <w:tcW w:w="1620" w:type="dxa"/>
            <w:vAlign w:val="bottom"/>
            <w:vMerge w:val="restart"/>
            <w:shd w:val="clear" w:color="auto" w:fill="F2F2F2"/>
          </w:tcPr>
          <w:p>
            <w:pPr>
              <w:ind w:left="120"/>
              <w:spacing w:after="0"/>
              <w:rPr>
                <w:sz w:val="20"/>
                <w:szCs w:val="20"/>
                <w:color w:val="auto"/>
              </w:rPr>
            </w:pPr>
            <w:r>
              <w:rPr>
                <w:rFonts w:ascii="Arial" w:cs="Arial" w:eastAsia="Arial" w:hAnsi="Arial"/>
                <w:sz w:val="14"/>
                <w:szCs w:val="14"/>
                <w:color w:val="auto"/>
              </w:rPr>
              <w:t>Ethics &amp; Compliance</w:t>
            </w:r>
          </w:p>
        </w:tc>
        <w:tc>
          <w:tcPr>
            <w:tcW w:w="0" w:type="dxa"/>
            <w:vAlign w:val="bottom"/>
          </w:tcPr>
          <w:p>
            <w:pPr>
              <w:spacing w:after="0"/>
              <w:rPr>
                <w:sz w:val="1"/>
                <w:szCs w:val="1"/>
                <w:color w:val="auto"/>
              </w:rPr>
            </w:pPr>
          </w:p>
        </w:tc>
      </w:tr>
      <w:tr>
        <w:trPr>
          <w:trHeight w:val="82"/>
        </w:trPr>
        <w:tc>
          <w:tcPr>
            <w:tcW w:w="1260" w:type="dxa"/>
            <w:vAlign w:val="bottom"/>
          </w:tcPr>
          <w:p>
            <w:pPr>
              <w:spacing w:after="0"/>
              <w:rPr>
                <w:sz w:val="7"/>
                <w:szCs w:val="7"/>
                <w:color w:val="auto"/>
              </w:rPr>
            </w:pPr>
          </w:p>
        </w:tc>
        <w:tc>
          <w:tcPr>
            <w:tcW w:w="1700" w:type="dxa"/>
            <w:vAlign w:val="bottom"/>
            <w:vMerge w:val="restart"/>
            <w:shd w:val="clear" w:color="auto" w:fill="F2F2F2"/>
          </w:tcPr>
          <w:p>
            <w:pPr>
              <w:ind w:left="20"/>
              <w:spacing w:after="0"/>
              <w:rPr>
                <w:sz w:val="20"/>
                <w:szCs w:val="20"/>
                <w:color w:val="auto"/>
              </w:rPr>
            </w:pPr>
            <w:r>
              <w:rPr>
                <w:rFonts w:ascii="Arial" w:cs="Arial" w:eastAsia="Arial" w:hAnsi="Arial"/>
                <w:sz w:val="20"/>
                <w:szCs w:val="20"/>
                <w:b w:val="1"/>
                <w:bCs w:val="1"/>
                <w:color w:val="auto"/>
              </w:rPr>
              <w:t>Marschall S.</w:t>
            </w:r>
          </w:p>
        </w:tc>
        <w:tc>
          <w:tcPr>
            <w:tcW w:w="540" w:type="dxa"/>
            <w:vAlign w:val="bottom"/>
            <w:shd w:val="clear" w:color="auto" w:fill="F2F2F2"/>
          </w:tcPr>
          <w:p>
            <w:pPr>
              <w:spacing w:after="0"/>
              <w:rPr>
                <w:sz w:val="7"/>
                <w:szCs w:val="7"/>
                <w:color w:val="auto"/>
              </w:rPr>
            </w:pPr>
          </w:p>
        </w:tc>
        <w:tc>
          <w:tcPr>
            <w:tcW w:w="880" w:type="dxa"/>
            <w:vAlign w:val="bottom"/>
            <w:shd w:val="clear" w:color="auto" w:fill="F2F2F2"/>
          </w:tcPr>
          <w:p>
            <w:pPr>
              <w:spacing w:after="0"/>
              <w:rPr>
                <w:sz w:val="7"/>
                <w:szCs w:val="7"/>
                <w:color w:val="auto"/>
              </w:rPr>
            </w:pPr>
          </w:p>
        </w:tc>
        <w:tc>
          <w:tcPr>
            <w:tcW w:w="800" w:type="dxa"/>
            <w:vAlign w:val="bottom"/>
            <w:shd w:val="clear" w:color="auto" w:fill="F2F2F2"/>
          </w:tcPr>
          <w:p>
            <w:pPr>
              <w:spacing w:after="0"/>
              <w:rPr>
                <w:sz w:val="7"/>
                <w:szCs w:val="7"/>
                <w:color w:val="auto"/>
              </w:rPr>
            </w:pPr>
          </w:p>
        </w:tc>
        <w:tc>
          <w:tcPr>
            <w:tcW w:w="2280" w:type="dxa"/>
            <w:vAlign w:val="bottom"/>
            <w:vMerge w:val="restart"/>
            <w:shd w:val="clear" w:color="auto" w:fill="F2F2F2"/>
          </w:tcPr>
          <w:p>
            <w:pPr>
              <w:ind w:left="80"/>
              <w:spacing w:after="0"/>
              <w:rPr>
                <w:sz w:val="20"/>
                <w:szCs w:val="20"/>
                <w:color w:val="auto"/>
              </w:rPr>
            </w:pPr>
            <w:r>
              <w:rPr>
                <w:rFonts w:ascii="Arial" w:cs="Arial" w:eastAsia="Arial" w:hAnsi="Arial"/>
                <w:sz w:val="14"/>
                <w:szCs w:val="14"/>
                <w:color w:val="auto"/>
              </w:rPr>
              <w:t>Executive Vice President for</w:t>
            </w:r>
          </w:p>
        </w:tc>
        <w:tc>
          <w:tcPr>
            <w:tcW w:w="1620" w:type="dxa"/>
            <w:vAlign w:val="bottom"/>
            <w:vMerge w:val="continue"/>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Pr>
          <w:p>
            <w:pPr>
              <w:spacing w:after="0"/>
              <w:rPr>
                <w:sz w:val="8"/>
                <w:szCs w:val="8"/>
                <w:color w:val="auto"/>
              </w:rPr>
            </w:pPr>
          </w:p>
        </w:tc>
        <w:tc>
          <w:tcPr>
            <w:tcW w:w="1700" w:type="dxa"/>
            <w:vAlign w:val="bottom"/>
            <w:vMerge w:val="continue"/>
            <w:shd w:val="clear" w:color="auto" w:fill="F2F2F2"/>
          </w:tcPr>
          <w:p>
            <w:pPr>
              <w:spacing w:after="0"/>
              <w:rPr>
                <w:sz w:val="8"/>
                <w:szCs w:val="8"/>
                <w:color w:val="auto"/>
              </w:rPr>
            </w:pPr>
          </w:p>
        </w:tc>
        <w:tc>
          <w:tcPr>
            <w:tcW w:w="540" w:type="dxa"/>
            <w:vAlign w:val="bottom"/>
            <w:shd w:val="clear" w:color="auto" w:fill="F2F2F2"/>
          </w:tcPr>
          <w:p>
            <w:pPr>
              <w:spacing w:after="0"/>
              <w:rPr>
                <w:sz w:val="8"/>
                <w:szCs w:val="8"/>
                <w:color w:val="auto"/>
              </w:rPr>
            </w:pPr>
          </w:p>
        </w:tc>
        <w:tc>
          <w:tcPr>
            <w:tcW w:w="880" w:type="dxa"/>
            <w:vAlign w:val="bottom"/>
            <w:shd w:val="clear" w:color="auto" w:fill="F2F2F2"/>
          </w:tcPr>
          <w:p>
            <w:pPr>
              <w:spacing w:after="0"/>
              <w:rPr>
                <w:sz w:val="8"/>
                <w:szCs w:val="8"/>
                <w:color w:val="auto"/>
              </w:rPr>
            </w:pPr>
          </w:p>
        </w:tc>
        <w:tc>
          <w:tcPr>
            <w:tcW w:w="800" w:type="dxa"/>
            <w:vAlign w:val="bottom"/>
            <w:shd w:val="clear" w:color="auto" w:fill="F2F2F2"/>
          </w:tcPr>
          <w:p>
            <w:pPr>
              <w:spacing w:after="0"/>
              <w:rPr>
                <w:sz w:val="8"/>
                <w:szCs w:val="8"/>
                <w:color w:val="auto"/>
              </w:rPr>
            </w:pPr>
          </w:p>
        </w:tc>
        <w:tc>
          <w:tcPr>
            <w:tcW w:w="2280" w:type="dxa"/>
            <w:vAlign w:val="bottom"/>
            <w:vMerge w:val="continue"/>
            <w:shd w:val="clear" w:color="auto" w:fill="F2F2F2"/>
          </w:tcPr>
          <w:p>
            <w:pPr>
              <w:spacing w:after="0"/>
              <w:rPr>
                <w:sz w:val="8"/>
                <w:szCs w:val="8"/>
                <w:color w:val="auto"/>
              </w:rPr>
            </w:pPr>
          </w:p>
        </w:tc>
        <w:tc>
          <w:tcPr>
            <w:tcW w:w="162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1260" w:type="dxa"/>
            <w:vAlign w:val="bottom"/>
          </w:tcPr>
          <w:p>
            <w:pPr>
              <w:spacing w:after="0"/>
              <w:rPr>
                <w:sz w:val="14"/>
                <w:szCs w:val="14"/>
                <w:color w:val="auto"/>
              </w:rPr>
            </w:pPr>
          </w:p>
        </w:tc>
        <w:tc>
          <w:tcPr>
            <w:tcW w:w="1700" w:type="dxa"/>
            <w:vAlign w:val="bottom"/>
            <w:vMerge w:val="continue"/>
            <w:shd w:val="clear" w:color="auto" w:fill="F2F2F2"/>
          </w:tcPr>
          <w:p>
            <w:pPr>
              <w:spacing w:after="0"/>
              <w:rPr>
                <w:sz w:val="14"/>
                <w:szCs w:val="14"/>
                <w:color w:val="auto"/>
              </w:rPr>
            </w:pPr>
          </w:p>
        </w:tc>
        <w:tc>
          <w:tcPr>
            <w:tcW w:w="540" w:type="dxa"/>
            <w:vAlign w:val="bottom"/>
            <w:shd w:val="clear" w:color="auto" w:fill="F2F2F2"/>
          </w:tcPr>
          <w:p>
            <w:pPr>
              <w:spacing w:after="0"/>
              <w:rPr>
                <w:sz w:val="14"/>
                <w:szCs w:val="14"/>
                <w:color w:val="auto"/>
              </w:rPr>
            </w:pPr>
          </w:p>
        </w:tc>
        <w:tc>
          <w:tcPr>
            <w:tcW w:w="880" w:type="dxa"/>
            <w:vAlign w:val="bottom"/>
            <w:shd w:val="clear" w:color="auto" w:fill="F2F2F2"/>
          </w:tcPr>
          <w:p>
            <w:pPr>
              <w:spacing w:after="0"/>
              <w:rPr>
                <w:sz w:val="14"/>
                <w:szCs w:val="14"/>
                <w:color w:val="auto"/>
              </w:rPr>
            </w:pPr>
          </w:p>
        </w:tc>
        <w:tc>
          <w:tcPr>
            <w:tcW w:w="800" w:type="dxa"/>
            <w:vAlign w:val="bottom"/>
            <w:shd w:val="clear" w:color="auto" w:fill="F2F2F2"/>
          </w:tcPr>
          <w:p>
            <w:pPr>
              <w:spacing w:after="0"/>
              <w:rPr>
                <w:sz w:val="14"/>
                <w:szCs w:val="14"/>
                <w:color w:val="auto"/>
              </w:rPr>
            </w:pPr>
          </w:p>
        </w:tc>
        <w:tc>
          <w:tcPr>
            <w:tcW w:w="2280" w:type="dxa"/>
            <w:vAlign w:val="bottom"/>
            <w:shd w:val="clear" w:color="auto" w:fill="F2F2F2"/>
          </w:tcPr>
          <w:p>
            <w:pPr>
              <w:ind w:left="80"/>
              <w:spacing w:after="0"/>
              <w:rPr>
                <w:sz w:val="20"/>
                <w:szCs w:val="20"/>
                <w:color w:val="auto"/>
              </w:rPr>
            </w:pPr>
            <w:r>
              <w:rPr>
                <w:rFonts w:ascii="Arial" w:cs="Arial" w:eastAsia="Arial" w:hAnsi="Arial"/>
                <w:sz w:val="14"/>
                <w:szCs w:val="14"/>
                <w:color w:val="auto"/>
              </w:rPr>
              <w:t>Medical Affairs and Dean,</w:t>
            </w:r>
          </w:p>
        </w:tc>
        <w:tc>
          <w:tcPr>
            <w:tcW w:w="162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260" w:type="dxa"/>
            <w:vAlign w:val="bottom"/>
          </w:tcPr>
          <w:p>
            <w:pPr>
              <w:spacing w:after="0"/>
              <w:rPr>
                <w:sz w:val="17"/>
                <w:szCs w:val="17"/>
                <w:color w:val="auto"/>
              </w:rPr>
            </w:pPr>
          </w:p>
        </w:tc>
        <w:tc>
          <w:tcPr>
            <w:tcW w:w="1700" w:type="dxa"/>
            <w:vAlign w:val="bottom"/>
            <w:shd w:val="clear" w:color="auto" w:fill="F2F2F2"/>
          </w:tcPr>
          <w:p>
            <w:pPr>
              <w:ind w:left="20"/>
              <w:spacing w:after="0" w:line="199" w:lineRule="exact"/>
              <w:rPr>
                <w:sz w:val="20"/>
                <w:szCs w:val="20"/>
                <w:color w:val="auto"/>
              </w:rPr>
            </w:pPr>
            <w:r>
              <w:rPr>
                <w:rFonts w:ascii="Arial" w:cs="Arial" w:eastAsia="Arial" w:hAnsi="Arial"/>
                <w:sz w:val="20"/>
                <w:szCs w:val="20"/>
                <w:b w:val="1"/>
                <w:bCs w:val="1"/>
                <w:color w:val="auto"/>
              </w:rPr>
              <w:t>Runge, M.D.,</w:t>
            </w:r>
          </w:p>
        </w:tc>
        <w:tc>
          <w:tcPr>
            <w:tcW w:w="540" w:type="dxa"/>
            <w:vAlign w:val="bottom"/>
            <w:shd w:val="clear" w:color="auto" w:fill="F2F2F2"/>
          </w:tcPr>
          <w:p>
            <w:pPr>
              <w:spacing w:after="0"/>
              <w:rPr>
                <w:sz w:val="17"/>
                <w:szCs w:val="17"/>
                <w:color w:val="auto"/>
              </w:rPr>
            </w:pPr>
          </w:p>
        </w:tc>
        <w:tc>
          <w:tcPr>
            <w:tcW w:w="880" w:type="dxa"/>
            <w:vAlign w:val="bottom"/>
            <w:shd w:val="clear" w:color="auto" w:fill="F2F2F2"/>
          </w:tcPr>
          <w:p>
            <w:pPr>
              <w:spacing w:after="0"/>
              <w:rPr>
                <w:sz w:val="17"/>
                <w:szCs w:val="17"/>
                <w:color w:val="auto"/>
              </w:rPr>
            </w:pPr>
          </w:p>
        </w:tc>
        <w:tc>
          <w:tcPr>
            <w:tcW w:w="800" w:type="dxa"/>
            <w:vAlign w:val="bottom"/>
            <w:shd w:val="clear" w:color="auto" w:fill="F2F2F2"/>
          </w:tcPr>
          <w:p>
            <w:pPr>
              <w:spacing w:after="0"/>
              <w:rPr>
                <w:sz w:val="17"/>
                <w:szCs w:val="17"/>
                <w:color w:val="auto"/>
              </w:rPr>
            </w:pPr>
          </w:p>
        </w:tc>
        <w:tc>
          <w:tcPr>
            <w:tcW w:w="2280" w:type="dxa"/>
            <w:vAlign w:val="bottom"/>
            <w:shd w:val="clear" w:color="auto" w:fill="F2F2F2"/>
          </w:tcPr>
          <w:p>
            <w:pPr>
              <w:ind w:left="80"/>
              <w:spacing w:after="0"/>
              <w:rPr>
                <w:sz w:val="20"/>
                <w:szCs w:val="20"/>
                <w:color w:val="auto"/>
              </w:rPr>
            </w:pPr>
            <w:r>
              <w:rPr>
                <w:rFonts w:ascii="Arial" w:cs="Arial" w:eastAsia="Arial" w:hAnsi="Arial"/>
                <w:sz w:val="14"/>
                <w:szCs w:val="14"/>
                <w:color w:val="auto"/>
              </w:rPr>
              <w:t>Medical School, University of</w:t>
            </w:r>
          </w:p>
        </w:tc>
        <w:tc>
          <w:tcPr>
            <w:tcW w:w="1620" w:type="dxa"/>
            <w:vAlign w:val="bottom"/>
            <w:shd w:val="clear" w:color="auto" w:fill="F2F2F2"/>
          </w:tcPr>
          <w:p>
            <w:pPr>
              <w:ind w:left="120"/>
              <w:spacing w:after="0"/>
              <w:rPr>
                <w:sz w:val="20"/>
                <w:szCs w:val="20"/>
                <w:color w:val="auto"/>
              </w:rPr>
            </w:pPr>
            <w:r>
              <w:rPr>
                <w:rFonts w:ascii="Arial" w:cs="Arial" w:eastAsia="Arial" w:hAnsi="Arial"/>
                <w:sz w:val="14"/>
                <w:szCs w:val="14"/>
                <w:color w:val="auto"/>
              </w:rPr>
              <w:t>Science &amp; Technology</w:t>
            </w: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700" w:type="dxa"/>
            <w:vAlign w:val="bottom"/>
            <w:vMerge w:val="restart"/>
            <w:shd w:val="clear" w:color="auto" w:fill="F2F2F2"/>
          </w:tcPr>
          <w:p>
            <w:pPr>
              <w:ind w:left="20"/>
              <w:spacing w:after="0"/>
              <w:rPr>
                <w:sz w:val="20"/>
                <w:szCs w:val="20"/>
                <w:color w:val="auto"/>
              </w:rPr>
            </w:pPr>
            <w:r>
              <w:rPr>
                <w:rFonts w:ascii="Arial" w:cs="Arial" w:eastAsia="Arial" w:hAnsi="Arial"/>
                <w:sz w:val="20"/>
                <w:szCs w:val="20"/>
                <w:b w:val="1"/>
                <w:bCs w:val="1"/>
                <w:color w:val="auto"/>
              </w:rPr>
              <w:t>Ph.D.</w:t>
            </w:r>
          </w:p>
        </w:tc>
        <w:tc>
          <w:tcPr>
            <w:tcW w:w="540" w:type="dxa"/>
            <w:vAlign w:val="bottom"/>
            <w:shd w:val="clear" w:color="auto" w:fill="F2F2F2"/>
          </w:tcPr>
          <w:p>
            <w:pPr>
              <w:spacing w:after="0"/>
              <w:rPr>
                <w:sz w:val="16"/>
                <w:szCs w:val="16"/>
                <w:color w:val="auto"/>
              </w:rPr>
            </w:pPr>
          </w:p>
        </w:tc>
        <w:tc>
          <w:tcPr>
            <w:tcW w:w="880" w:type="dxa"/>
            <w:vAlign w:val="bottom"/>
            <w:shd w:val="clear" w:color="auto" w:fill="F2F2F2"/>
          </w:tcPr>
          <w:p>
            <w:pPr>
              <w:spacing w:after="0"/>
              <w:rPr>
                <w:sz w:val="16"/>
                <w:szCs w:val="16"/>
                <w:color w:val="auto"/>
              </w:rPr>
            </w:pPr>
          </w:p>
        </w:tc>
        <w:tc>
          <w:tcPr>
            <w:tcW w:w="800" w:type="dxa"/>
            <w:vAlign w:val="bottom"/>
            <w:shd w:val="clear" w:color="auto" w:fill="F2F2F2"/>
          </w:tcPr>
          <w:p>
            <w:pPr>
              <w:spacing w:after="0"/>
              <w:rPr>
                <w:sz w:val="16"/>
                <w:szCs w:val="16"/>
                <w:color w:val="auto"/>
              </w:rPr>
            </w:pPr>
          </w:p>
        </w:tc>
        <w:tc>
          <w:tcPr>
            <w:tcW w:w="2280" w:type="dxa"/>
            <w:vAlign w:val="bottom"/>
            <w:shd w:val="clear" w:color="auto" w:fill="F2F2F2"/>
          </w:tcPr>
          <w:p>
            <w:pPr>
              <w:ind w:left="80"/>
              <w:spacing w:after="0"/>
              <w:rPr>
                <w:sz w:val="20"/>
                <w:szCs w:val="20"/>
                <w:color w:val="auto"/>
              </w:rPr>
            </w:pPr>
            <w:r>
              <w:rPr>
                <w:rFonts w:ascii="Arial" w:cs="Arial" w:eastAsia="Arial" w:hAnsi="Arial"/>
                <w:sz w:val="14"/>
                <w:szCs w:val="14"/>
                <w:color w:val="auto"/>
              </w:rPr>
              <w:t>Michigan</w:t>
            </w:r>
          </w:p>
        </w:tc>
        <w:tc>
          <w:tcPr>
            <w:tcW w:w="162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260" w:type="dxa"/>
            <w:vAlign w:val="bottom"/>
          </w:tcPr>
          <w:p>
            <w:pPr>
              <w:spacing w:after="0"/>
              <w:rPr>
                <w:sz w:val="13"/>
                <w:szCs w:val="13"/>
                <w:color w:val="auto"/>
              </w:rPr>
            </w:pPr>
          </w:p>
        </w:tc>
        <w:tc>
          <w:tcPr>
            <w:tcW w:w="1700" w:type="dxa"/>
            <w:vAlign w:val="bottom"/>
            <w:vMerge w:val="continue"/>
            <w:shd w:val="clear" w:color="auto" w:fill="F2F2F2"/>
          </w:tcPr>
          <w:p>
            <w:pPr>
              <w:spacing w:after="0"/>
              <w:rPr>
                <w:sz w:val="13"/>
                <w:szCs w:val="13"/>
                <w:color w:val="auto"/>
              </w:rPr>
            </w:pPr>
          </w:p>
        </w:tc>
        <w:tc>
          <w:tcPr>
            <w:tcW w:w="540" w:type="dxa"/>
            <w:vAlign w:val="bottom"/>
            <w:shd w:val="clear" w:color="auto" w:fill="F2F2F2"/>
          </w:tcPr>
          <w:p>
            <w:pPr>
              <w:spacing w:after="0"/>
              <w:rPr>
                <w:sz w:val="13"/>
                <w:szCs w:val="13"/>
                <w:color w:val="auto"/>
              </w:rPr>
            </w:pPr>
          </w:p>
        </w:tc>
        <w:tc>
          <w:tcPr>
            <w:tcW w:w="880" w:type="dxa"/>
            <w:vAlign w:val="bottom"/>
            <w:shd w:val="clear" w:color="auto" w:fill="F2F2F2"/>
          </w:tcPr>
          <w:p>
            <w:pPr>
              <w:spacing w:after="0"/>
              <w:rPr>
                <w:sz w:val="13"/>
                <w:szCs w:val="13"/>
                <w:color w:val="auto"/>
              </w:rPr>
            </w:pPr>
          </w:p>
        </w:tc>
        <w:tc>
          <w:tcPr>
            <w:tcW w:w="800" w:type="dxa"/>
            <w:vAlign w:val="bottom"/>
            <w:shd w:val="clear" w:color="auto" w:fill="F2F2F2"/>
          </w:tcPr>
          <w:p>
            <w:pPr>
              <w:spacing w:after="0"/>
              <w:rPr>
                <w:sz w:val="13"/>
                <w:szCs w:val="13"/>
                <w:color w:val="auto"/>
              </w:rPr>
            </w:pPr>
          </w:p>
        </w:tc>
        <w:tc>
          <w:tcPr>
            <w:tcW w:w="2280" w:type="dxa"/>
            <w:vAlign w:val="bottom"/>
            <w:shd w:val="clear" w:color="auto" w:fill="F2F2F2"/>
          </w:tcPr>
          <w:p>
            <w:pPr>
              <w:spacing w:after="0"/>
              <w:rPr>
                <w:sz w:val="13"/>
                <w:szCs w:val="13"/>
                <w:color w:val="auto"/>
              </w:rPr>
            </w:pPr>
          </w:p>
        </w:tc>
        <w:tc>
          <w:tcPr>
            <w:tcW w:w="1620" w:type="dxa"/>
            <w:vAlign w:val="bottom"/>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rPr>
                <w:sz w:val="16"/>
                <w:szCs w:val="16"/>
                <w:color w:val="auto"/>
              </w:rPr>
            </w:pPr>
          </w:p>
        </w:tc>
        <w:tc>
          <w:tcPr>
            <w:tcW w:w="170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Independent Director</w:t>
            </w:r>
          </w:p>
        </w:tc>
        <w:tc>
          <w:tcPr>
            <w:tcW w:w="540" w:type="dxa"/>
            <w:vAlign w:val="bottom"/>
            <w:tcBorders>
              <w:bottom w:val="single" w:sz="8" w:color="F2F2F2"/>
            </w:tcBorders>
            <w:shd w:val="clear" w:color="auto" w:fill="F2F2F2"/>
          </w:tcPr>
          <w:p>
            <w:pPr>
              <w:spacing w:after="0"/>
              <w:rPr>
                <w:sz w:val="16"/>
                <w:szCs w:val="16"/>
                <w:color w:val="auto"/>
              </w:rPr>
            </w:pPr>
          </w:p>
        </w:tc>
        <w:tc>
          <w:tcPr>
            <w:tcW w:w="880" w:type="dxa"/>
            <w:vAlign w:val="bottom"/>
            <w:tcBorders>
              <w:bottom w:val="single" w:sz="8" w:color="F2F2F2"/>
            </w:tcBorders>
            <w:shd w:val="clear" w:color="auto" w:fill="F2F2F2"/>
          </w:tcPr>
          <w:p>
            <w:pPr>
              <w:spacing w:after="0"/>
              <w:rPr>
                <w:sz w:val="16"/>
                <w:szCs w:val="16"/>
                <w:color w:val="auto"/>
              </w:rPr>
            </w:pPr>
          </w:p>
        </w:tc>
        <w:tc>
          <w:tcPr>
            <w:tcW w:w="800" w:type="dxa"/>
            <w:vAlign w:val="bottom"/>
            <w:tcBorders>
              <w:bottom w:val="single" w:sz="8" w:color="F2F2F2"/>
            </w:tcBorders>
            <w:shd w:val="clear" w:color="auto" w:fill="F2F2F2"/>
          </w:tcPr>
          <w:p>
            <w:pPr>
              <w:spacing w:after="0"/>
              <w:rPr>
                <w:sz w:val="16"/>
                <w:szCs w:val="16"/>
                <w:color w:val="auto"/>
              </w:rPr>
            </w:pPr>
          </w:p>
        </w:tc>
        <w:tc>
          <w:tcPr>
            <w:tcW w:w="2280" w:type="dxa"/>
            <w:vAlign w:val="bottom"/>
            <w:tcBorders>
              <w:bottom w:val="single" w:sz="8" w:color="F2F2F2"/>
            </w:tcBorders>
            <w:shd w:val="clear" w:color="auto" w:fill="F2F2F2"/>
          </w:tcPr>
          <w:p>
            <w:pPr>
              <w:spacing w:after="0"/>
              <w:rPr>
                <w:sz w:val="16"/>
                <w:szCs w:val="16"/>
                <w:color w:val="auto"/>
              </w:rPr>
            </w:pPr>
          </w:p>
        </w:tc>
        <w:tc>
          <w:tcPr>
            <w:tcW w:w="1620" w:type="dxa"/>
            <w:vAlign w:val="bottom"/>
            <w:tcBorders>
              <w:bottom w:val="single" w:sz="8" w:color="F2F2F2"/>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rPr>
              <w:t>61</w:t>
            </w:r>
          </w:p>
        </w:tc>
        <w:tc>
          <w:tcPr>
            <w:tcW w:w="880" w:type="dxa"/>
            <w:vAlign w:val="bottom"/>
          </w:tcPr>
          <w:p>
            <w:pPr>
              <w:jc w:val="center"/>
              <w:spacing w:after="0"/>
              <w:rPr>
                <w:sz w:val="20"/>
                <w:szCs w:val="20"/>
                <w:color w:val="auto"/>
              </w:rPr>
            </w:pPr>
            <w:r>
              <w:rPr>
                <w:rFonts w:ascii="Arial" w:cs="Arial" w:eastAsia="Arial" w:hAnsi="Arial"/>
                <w:sz w:val="14"/>
                <w:szCs w:val="14"/>
                <w:color w:val="auto"/>
              </w:rPr>
              <w:t>2018</w:t>
            </w:r>
          </w:p>
        </w:tc>
        <w:tc>
          <w:tcPr>
            <w:tcW w:w="800" w:type="dxa"/>
            <w:vAlign w:val="bottom"/>
          </w:tcPr>
          <w:p>
            <w:pPr>
              <w:jc w:val="center"/>
              <w:spacing w:after="0"/>
              <w:rPr>
                <w:sz w:val="20"/>
                <w:szCs w:val="20"/>
                <w:color w:val="auto"/>
              </w:rPr>
            </w:pPr>
            <w:r>
              <w:rPr>
                <w:rFonts w:ascii="Arial" w:cs="Arial" w:eastAsia="Arial" w:hAnsi="Arial"/>
                <w:sz w:val="14"/>
                <w:szCs w:val="14"/>
                <w:color w:val="auto"/>
              </w:rPr>
              <w:t>1</w:t>
            </w:r>
          </w:p>
        </w:tc>
        <w:tc>
          <w:tcPr>
            <w:tcW w:w="2280" w:type="dxa"/>
            <w:vAlign w:val="bottom"/>
          </w:tcPr>
          <w:p>
            <w:pPr>
              <w:ind w:left="80"/>
              <w:spacing w:after="0"/>
              <w:rPr>
                <w:sz w:val="20"/>
                <w:szCs w:val="20"/>
                <w:color w:val="auto"/>
              </w:rPr>
            </w:pPr>
            <w:r>
              <w:rPr>
                <w:rFonts w:ascii="Arial" w:cs="Arial" w:eastAsia="Arial" w:hAnsi="Arial"/>
                <w:sz w:val="14"/>
                <w:szCs w:val="14"/>
                <w:color w:val="auto"/>
              </w:rPr>
              <w:t>Operating Partner, The Goldman</w:t>
            </w:r>
          </w:p>
        </w:tc>
        <w:tc>
          <w:tcPr>
            <w:tcW w:w="1620" w:type="dxa"/>
            <w:vAlign w:val="bottom"/>
            <w:vMerge w:val="restart"/>
          </w:tcPr>
          <w:p>
            <w:pPr>
              <w:ind w:left="120"/>
              <w:spacing w:after="0"/>
              <w:rPr>
                <w:sz w:val="20"/>
                <w:szCs w:val="20"/>
                <w:color w:val="auto"/>
              </w:rPr>
            </w:pPr>
            <w:r>
              <w:rPr>
                <w:rFonts w:ascii="Arial" w:cs="Arial" w:eastAsia="Arial" w:hAnsi="Arial"/>
                <w:sz w:val="14"/>
                <w:szCs w:val="14"/>
                <w:color w:val="auto"/>
              </w:rPr>
              <w:t>Talent and</w:t>
            </w: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80" w:type="dxa"/>
            <w:vAlign w:val="bottom"/>
            <w:vMerge w:val="restart"/>
          </w:tcPr>
          <w:p>
            <w:pPr>
              <w:ind w:left="80"/>
              <w:spacing w:after="0"/>
              <w:rPr>
                <w:sz w:val="20"/>
                <w:szCs w:val="20"/>
                <w:color w:val="auto"/>
              </w:rPr>
            </w:pPr>
            <w:r>
              <w:rPr>
                <w:rFonts w:ascii="Arial" w:cs="Arial" w:eastAsia="Arial" w:hAnsi="Arial"/>
                <w:sz w:val="14"/>
                <w:szCs w:val="14"/>
                <w:color w:val="auto"/>
              </w:rPr>
              <w:t>Sachs Group, Inc.</w:t>
            </w: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2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1620" w:type="dxa"/>
            <w:vAlign w:val="bottom"/>
            <w:vMerge w:val="restart"/>
          </w:tcPr>
          <w:p>
            <w:pPr>
              <w:ind w:left="120"/>
              <w:spacing w:after="0"/>
              <w:rPr>
                <w:sz w:val="20"/>
                <w:szCs w:val="20"/>
                <w:color w:val="auto"/>
              </w:rPr>
            </w:pPr>
            <w:r>
              <w:rPr>
                <w:rFonts w:ascii="Arial" w:cs="Arial" w:eastAsia="Arial" w:hAnsi="Arial"/>
                <w:sz w:val="14"/>
                <w:szCs w:val="14"/>
                <w:color w:val="auto"/>
              </w:rPr>
              <w:t>Compensation</w:t>
            </w: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1260" w:type="dxa"/>
            <w:vAlign w:val="bottom"/>
          </w:tcPr>
          <w:p>
            <w:pPr>
              <w:spacing w:after="0"/>
              <w:rPr>
                <w:sz w:val="24"/>
                <w:szCs w:val="24"/>
                <w:color w:val="auto"/>
              </w:rPr>
            </w:pPr>
          </w:p>
        </w:tc>
        <w:tc>
          <w:tcPr>
            <w:tcW w:w="1700" w:type="dxa"/>
            <w:vAlign w:val="bottom"/>
          </w:tcPr>
          <w:p>
            <w:pPr>
              <w:ind w:left="20"/>
              <w:spacing w:after="0"/>
              <w:rPr>
                <w:sz w:val="20"/>
                <w:szCs w:val="20"/>
                <w:color w:val="auto"/>
              </w:rPr>
            </w:pPr>
            <w:r>
              <w:rPr>
                <w:rFonts w:ascii="Arial" w:cs="Arial" w:eastAsia="Arial" w:hAnsi="Arial"/>
                <w:sz w:val="20"/>
                <w:szCs w:val="20"/>
                <w:b w:val="1"/>
                <w:bCs w:val="1"/>
                <w:color w:val="auto"/>
              </w:rPr>
              <w:t>Karen Walker</w:t>
            </w: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20" w:type="dxa"/>
            <w:vAlign w:val="bottom"/>
            <w:vMerge w:val="restart"/>
          </w:tcPr>
          <w:p>
            <w:pPr>
              <w:ind w:left="120"/>
              <w:spacing w:after="0"/>
              <w:rPr>
                <w:sz w:val="20"/>
                <w:szCs w:val="20"/>
                <w:color w:val="auto"/>
              </w:rPr>
            </w:pPr>
            <w:r>
              <w:rPr>
                <w:rFonts w:ascii="Arial" w:cs="Arial" w:eastAsia="Arial" w:hAnsi="Arial"/>
                <w:sz w:val="14"/>
                <w:szCs w:val="14"/>
                <w:color w:val="auto"/>
              </w:rPr>
              <w:t>Audit</w:t>
            </w: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700" w:type="dxa"/>
            <w:vAlign w:val="bottom"/>
          </w:tcPr>
          <w:p>
            <w:pPr>
              <w:ind w:left="20"/>
              <w:spacing w:after="0"/>
              <w:rPr>
                <w:sz w:val="20"/>
                <w:szCs w:val="20"/>
                <w:color w:val="auto"/>
              </w:rPr>
            </w:pPr>
            <w:r>
              <w:rPr>
                <w:rFonts w:ascii="Arial" w:cs="Arial" w:eastAsia="Arial" w:hAnsi="Arial"/>
                <w:sz w:val="14"/>
                <w:szCs w:val="14"/>
                <w:color w:val="auto"/>
              </w:rPr>
              <w:t>Independent Director</w:t>
            </w: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-2960370</wp:posOffset>
            </wp:positionV>
            <wp:extent cx="5760720" cy="31375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60720" cy="313753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800"/>
        <w:spacing w:after="0"/>
        <w:rPr>
          <w:sz w:val="20"/>
          <w:szCs w:val="20"/>
          <w:color w:val="auto"/>
        </w:rPr>
      </w:pPr>
      <w:r>
        <w:rPr>
          <w:rFonts w:ascii="Arial" w:cs="Arial" w:eastAsia="Arial" w:hAnsi="Arial"/>
          <w:sz w:val="19"/>
          <w:szCs w:val="19"/>
          <w:b w:val="1"/>
          <w:bCs w:val="1"/>
          <w:color w:val="D52B1E"/>
        </w:rPr>
        <w:t>Director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5768975" cy="5657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68975" cy="565785"/>
                    </a:xfrm>
                    <a:prstGeom prst="rect">
                      <a:avLst/>
                    </a:prstGeom>
                    <a:noFill/>
                  </pic:spPr>
                </pic:pic>
              </a:graphicData>
            </a:graphic>
          </wp:anchor>
        </w:drawing>
      </w:r>
    </w:p>
    <w:p>
      <w:pPr>
        <w:spacing w:after="0" w:line="40" w:lineRule="exact"/>
        <w:rPr>
          <w:sz w:val="20"/>
          <w:szCs w:val="20"/>
          <w:color w:val="auto"/>
        </w:rPr>
      </w:pPr>
    </w:p>
    <w:p>
      <w:pPr>
        <w:ind w:left="300" w:right="2460"/>
        <w:spacing w:after="0" w:line="268" w:lineRule="auto"/>
        <w:rPr>
          <w:sz w:val="20"/>
          <w:szCs w:val="20"/>
          <w:color w:val="auto"/>
        </w:rPr>
      </w:pPr>
      <w:r>
        <w:rPr>
          <w:rFonts w:ascii="Arial" w:cs="Arial" w:eastAsia="Arial" w:hAnsi="Arial"/>
          <w:sz w:val="18"/>
          <w:szCs w:val="18"/>
          <w:color w:val="auto"/>
        </w:rPr>
        <w:t>Jackson P. Tai, who joined the board in 2013 and serves on the Audit Committee and the Directors and Corporate Governance Committee, will retire from the board following the Annual Meeting pursuant to our retirement policy.</w:t>
      </w:r>
    </w:p>
    <w:p>
      <w:pPr>
        <w:spacing w:after="0" w:line="200" w:lineRule="exact"/>
        <w:rPr>
          <w:sz w:val="20"/>
          <w:szCs w:val="20"/>
          <w:color w:val="auto"/>
        </w:rPr>
      </w:pPr>
    </w:p>
    <w:p>
      <w:pPr>
        <w:spacing w:after="0" w:line="2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5" w:right="439" w:bottom="1440" w:gutter="0" w:footer="0" w:header="0"/>
        </w:sectPr>
      </w:pPr>
    </w:p>
    <w:bookmarkStart w:id="10" w:name="page11"/>
    <w:bookmarkEnd w:id="10"/>
    <w:p>
      <w:pPr>
        <w:spacing w:after="0"/>
        <w:rPr>
          <w:sz w:val="20"/>
          <w:szCs w:val="20"/>
          <w:color w:val="auto"/>
        </w:rPr>
      </w:pPr>
      <w:r>
        <w:rPr>
          <w:rFonts w:ascii="Arial" w:cs="Arial" w:eastAsia="Arial" w:hAnsi="Arial"/>
          <w:sz w:val="25"/>
          <w:szCs w:val="25"/>
          <w:b w:val="1"/>
          <w:bCs w:val="1"/>
          <w:color w:val="00A1DE"/>
        </w:rPr>
        <w:t>Board Leadership and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90170</wp:posOffset>
            </wp:positionV>
            <wp:extent cx="2237105" cy="26149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37105" cy="2614930"/>
                    </a:xfrm>
                    <a:prstGeom prst="rect">
                      <a:avLst/>
                    </a:prstGeom>
                    <a:noFill/>
                  </pic:spPr>
                </pic:pic>
              </a:graphicData>
            </a:graphic>
          </wp:anchor>
        </w:drawing>
      </w:r>
    </w:p>
    <w:p>
      <w:pPr>
        <w:spacing w:after="0" w:line="216" w:lineRule="exact"/>
        <w:rPr>
          <w:sz w:val="20"/>
          <w:szCs w:val="20"/>
          <w:color w:val="auto"/>
        </w:rPr>
      </w:pPr>
    </w:p>
    <w:p>
      <w:pPr>
        <w:ind w:left="180" w:right="6700" w:hanging="154"/>
        <w:spacing w:after="0" w:line="273" w:lineRule="auto"/>
        <w:tabs>
          <w:tab w:leader="none" w:pos="180" w:val="left"/>
        </w:tabs>
        <w:numPr>
          <w:ilvl w:val="0"/>
          <w:numId w:val="7"/>
        </w:numPr>
        <w:rPr>
          <w:rFonts w:ascii="Calibri" w:cs="Calibri" w:eastAsia="Calibri" w:hAnsi="Calibri"/>
          <w:sz w:val="16"/>
          <w:szCs w:val="16"/>
          <w:b w:val="1"/>
          <w:bCs w:val="1"/>
          <w:color w:val="auto"/>
        </w:rPr>
      </w:pPr>
      <w:r>
        <w:rPr>
          <w:rFonts w:ascii="Arial" w:cs="Arial" w:eastAsia="Arial" w:hAnsi="Arial"/>
          <w:sz w:val="19"/>
          <w:szCs w:val="19"/>
          <w:b w:val="1"/>
          <w:bCs w:val="1"/>
          <w:color w:val="auto"/>
        </w:rPr>
        <w:t xml:space="preserve">Lead Independent Director: </w:t>
      </w:r>
      <w:r>
        <w:rPr>
          <w:rFonts w:ascii="Arial" w:cs="Arial" w:eastAsia="Arial" w:hAnsi="Arial"/>
          <w:sz w:val="17"/>
          <w:szCs w:val="17"/>
          <w:color w:val="auto"/>
        </w:rPr>
        <w:t>We have a strong lead</w:t>
      </w:r>
      <w:r>
        <w:rPr>
          <w:rFonts w:ascii="Arial" w:cs="Arial" w:eastAsia="Arial" w:hAnsi="Arial"/>
          <w:sz w:val="19"/>
          <w:szCs w:val="19"/>
          <w:b w:val="1"/>
          <w:bCs w:val="1"/>
          <w:color w:val="auto"/>
        </w:rPr>
        <w:t xml:space="preserve"> </w:t>
      </w:r>
      <w:r>
        <w:rPr>
          <w:rFonts w:ascii="Arial" w:cs="Arial" w:eastAsia="Arial" w:hAnsi="Arial"/>
          <w:sz w:val="17"/>
          <w:szCs w:val="17"/>
          <w:color w:val="auto"/>
        </w:rPr>
        <w:t>independent director empowered with clearly defined responsibilities.</w:t>
      </w:r>
    </w:p>
    <w:p>
      <w:pPr>
        <w:spacing w:after="0" w:line="60" w:lineRule="exact"/>
        <w:rPr>
          <w:rFonts w:ascii="Calibri" w:cs="Calibri" w:eastAsia="Calibri" w:hAnsi="Calibri"/>
          <w:sz w:val="16"/>
          <w:szCs w:val="16"/>
          <w:b w:val="1"/>
          <w:bCs w:val="1"/>
          <w:color w:val="auto"/>
        </w:rPr>
      </w:pPr>
    </w:p>
    <w:p>
      <w:pPr>
        <w:ind w:left="180" w:right="5780" w:hanging="154"/>
        <w:spacing w:after="0" w:line="267" w:lineRule="auto"/>
        <w:tabs>
          <w:tab w:leader="none" w:pos="169" w:val="left"/>
        </w:tabs>
        <w:numPr>
          <w:ilvl w:val="0"/>
          <w:numId w:val="7"/>
        </w:numPr>
        <w:rPr>
          <w:rFonts w:ascii="Arial" w:cs="Arial" w:eastAsia="Arial" w:hAnsi="Arial"/>
          <w:sz w:val="16"/>
          <w:szCs w:val="16"/>
          <w:b w:val="1"/>
          <w:bCs w:val="1"/>
          <w:color w:val="auto"/>
        </w:rPr>
      </w:pPr>
      <w:r>
        <w:rPr>
          <w:rFonts w:ascii="Arial" w:cs="Arial" w:eastAsia="Arial" w:hAnsi="Arial"/>
          <w:sz w:val="19"/>
          <w:szCs w:val="19"/>
          <w:b w:val="1"/>
          <w:bCs w:val="1"/>
          <w:color w:val="auto"/>
        </w:rPr>
        <w:t xml:space="preserve">Independent Committees: </w:t>
      </w:r>
      <w:r>
        <w:rPr>
          <w:rFonts w:ascii="Arial" w:cs="Arial" w:eastAsia="Arial" w:hAnsi="Arial"/>
          <w:sz w:val="17"/>
          <w:szCs w:val="17"/>
          <w:color w:val="auto"/>
        </w:rPr>
        <w:t>All standing board committees are</w:t>
      </w:r>
      <w:r>
        <w:rPr>
          <w:rFonts w:ascii="Arial" w:cs="Arial" w:eastAsia="Arial" w:hAnsi="Arial"/>
          <w:sz w:val="19"/>
          <w:szCs w:val="19"/>
          <w:b w:val="1"/>
          <w:bCs w:val="1"/>
          <w:color w:val="auto"/>
        </w:rPr>
        <w:t xml:space="preserve"> </w:t>
      </w:r>
      <w:r>
        <w:rPr>
          <w:rFonts w:ascii="Arial" w:cs="Arial" w:eastAsia="Arial" w:hAnsi="Arial"/>
          <w:sz w:val="17"/>
          <w:szCs w:val="17"/>
          <w:color w:val="auto"/>
        </w:rPr>
        <w:t>composed solely of independent directors and led by independent committee chairs.</w:t>
      </w:r>
    </w:p>
    <w:p>
      <w:pPr>
        <w:spacing w:after="0" w:line="65" w:lineRule="exact"/>
        <w:rPr>
          <w:rFonts w:ascii="Arial" w:cs="Arial" w:eastAsia="Arial" w:hAnsi="Arial"/>
          <w:sz w:val="16"/>
          <w:szCs w:val="16"/>
          <w:b w:val="1"/>
          <w:bCs w:val="1"/>
          <w:color w:val="auto"/>
        </w:rPr>
      </w:pPr>
    </w:p>
    <w:p>
      <w:pPr>
        <w:ind w:left="180" w:right="5800" w:hanging="154"/>
        <w:spacing w:after="0" w:line="267" w:lineRule="auto"/>
        <w:tabs>
          <w:tab w:leader="none" w:pos="169" w:val="left"/>
        </w:tabs>
        <w:numPr>
          <w:ilvl w:val="0"/>
          <w:numId w:val="7"/>
        </w:numPr>
        <w:rPr>
          <w:rFonts w:ascii="Arial" w:cs="Arial" w:eastAsia="Arial" w:hAnsi="Arial"/>
          <w:sz w:val="16"/>
          <w:szCs w:val="16"/>
          <w:b w:val="1"/>
          <w:bCs w:val="1"/>
          <w:color w:val="auto"/>
        </w:rPr>
      </w:pPr>
      <w:r>
        <w:rPr>
          <w:rFonts w:ascii="Arial" w:cs="Arial" w:eastAsia="Arial" w:hAnsi="Arial"/>
          <w:sz w:val="19"/>
          <w:szCs w:val="19"/>
          <w:b w:val="1"/>
          <w:bCs w:val="1"/>
          <w:color w:val="auto"/>
        </w:rPr>
        <w:t xml:space="preserve">Executive Sessions: </w:t>
      </w:r>
      <w:r>
        <w:rPr>
          <w:rFonts w:ascii="Arial" w:cs="Arial" w:eastAsia="Arial" w:hAnsi="Arial"/>
          <w:sz w:val="17"/>
          <w:szCs w:val="17"/>
          <w:color w:val="auto"/>
        </w:rPr>
        <w:t>Our board holds executive sessions of the</w:t>
      </w:r>
      <w:r>
        <w:rPr>
          <w:rFonts w:ascii="Arial" w:cs="Arial" w:eastAsia="Arial" w:hAnsi="Arial"/>
          <w:sz w:val="19"/>
          <w:szCs w:val="19"/>
          <w:b w:val="1"/>
          <w:bCs w:val="1"/>
          <w:color w:val="auto"/>
        </w:rPr>
        <w:t xml:space="preserve"> </w:t>
      </w:r>
      <w:r>
        <w:rPr>
          <w:rFonts w:ascii="Arial" w:cs="Arial" w:eastAsia="Arial" w:hAnsi="Arial"/>
          <w:sz w:val="17"/>
          <w:szCs w:val="17"/>
          <w:color w:val="auto"/>
        </w:rPr>
        <w:t>independent directors that are presided over by the lead independent director at every regular board meeting.</w:t>
      </w:r>
    </w:p>
    <w:p>
      <w:pPr>
        <w:spacing w:after="0" w:line="65" w:lineRule="exact"/>
        <w:rPr>
          <w:rFonts w:ascii="Arial" w:cs="Arial" w:eastAsia="Arial" w:hAnsi="Arial"/>
          <w:sz w:val="16"/>
          <w:szCs w:val="16"/>
          <w:b w:val="1"/>
          <w:bCs w:val="1"/>
          <w:color w:val="auto"/>
        </w:rPr>
      </w:pPr>
    </w:p>
    <w:p>
      <w:pPr>
        <w:ind w:left="180" w:right="5740" w:hanging="154"/>
        <w:spacing w:after="0" w:line="275" w:lineRule="auto"/>
        <w:tabs>
          <w:tab w:leader="none" w:pos="169" w:val="left"/>
        </w:tabs>
        <w:numPr>
          <w:ilvl w:val="0"/>
          <w:numId w:val="7"/>
        </w:numPr>
        <w:rPr>
          <w:rFonts w:ascii="Arial" w:cs="Arial" w:eastAsia="Arial" w:hAnsi="Arial"/>
          <w:sz w:val="16"/>
          <w:szCs w:val="16"/>
          <w:b w:val="1"/>
          <w:bCs w:val="1"/>
          <w:color w:val="auto"/>
        </w:rPr>
      </w:pPr>
      <w:r>
        <w:rPr>
          <w:rFonts w:ascii="Arial" w:cs="Arial" w:eastAsia="Arial" w:hAnsi="Arial"/>
          <w:sz w:val="19"/>
          <w:szCs w:val="19"/>
          <w:b w:val="1"/>
          <w:bCs w:val="1"/>
          <w:color w:val="auto"/>
        </w:rPr>
        <w:t xml:space="preserve">Access to Management &amp; Advisors: </w:t>
      </w:r>
      <w:r>
        <w:rPr>
          <w:rFonts w:ascii="Arial" w:cs="Arial" w:eastAsia="Arial" w:hAnsi="Arial"/>
          <w:sz w:val="17"/>
          <w:szCs w:val="17"/>
          <w:color w:val="auto"/>
        </w:rPr>
        <w:t>Our independent</w:t>
      </w:r>
      <w:r>
        <w:rPr>
          <w:rFonts w:ascii="Arial" w:cs="Arial" w:eastAsia="Arial" w:hAnsi="Arial"/>
          <w:sz w:val="19"/>
          <w:szCs w:val="19"/>
          <w:b w:val="1"/>
          <w:bCs w:val="1"/>
          <w:color w:val="auto"/>
        </w:rPr>
        <w:t xml:space="preserve"> </w:t>
      </w:r>
      <w:r>
        <w:rPr>
          <w:rFonts w:ascii="Arial" w:cs="Arial" w:eastAsia="Arial" w:hAnsi="Arial"/>
          <w:sz w:val="17"/>
          <w:szCs w:val="17"/>
          <w:color w:val="auto"/>
        </w:rPr>
        <w:t>directors actively engage in board meetings, have direct access to management, and, along with our board committees, have discretion to hire independent advisors at the company’s expense.</w:t>
      </w:r>
    </w:p>
    <w:p>
      <w:pPr>
        <w:spacing w:after="0" w:line="63" w:lineRule="exact"/>
        <w:rPr>
          <w:rFonts w:ascii="Arial" w:cs="Arial" w:eastAsia="Arial" w:hAnsi="Arial"/>
          <w:sz w:val="16"/>
          <w:szCs w:val="16"/>
          <w:b w:val="1"/>
          <w:bCs w:val="1"/>
          <w:color w:val="auto"/>
        </w:rPr>
      </w:pPr>
    </w:p>
    <w:p>
      <w:pPr>
        <w:jc w:val="both"/>
        <w:ind w:left="180" w:right="5740" w:hanging="154"/>
        <w:spacing w:after="0" w:line="267" w:lineRule="auto"/>
        <w:tabs>
          <w:tab w:leader="none" w:pos="169" w:val="left"/>
        </w:tabs>
        <w:numPr>
          <w:ilvl w:val="0"/>
          <w:numId w:val="7"/>
        </w:numPr>
        <w:rPr>
          <w:rFonts w:ascii="Arial" w:cs="Arial" w:eastAsia="Arial" w:hAnsi="Arial"/>
          <w:sz w:val="16"/>
          <w:szCs w:val="16"/>
          <w:b w:val="1"/>
          <w:bCs w:val="1"/>
          <w:color w:val="auto"/>
        </w:rPr>
      </w:pPr>
      <w:r>
        <w:rPr>
          <w:rFonts w:ascii="Arial" w:cs="Arial" w:eastAsia="Arial" w:hAnsi="Arial"/>
          <w:sz w:val="19"/>
          <w:szCs w:val="19"/>
          <w:b w:val="1"/>
          <w:bCs w:val="1"/>
          <w:color w:val="auto"/>
        </w:rPr>
        <w:t xml:space="preserve">Conflict of Interest Management: </w:t>
      </w:r>
      <w:r>
        <w:rPr>
          <w:rFonts w:ascii="Arial" w:cs="Arial" w:eastAsia="Arial" w:hAnsi="Arial"/>
          <w:sz w:val="17"/>
          <w:szCs w:val="17"/>
          <w:color w:val="auto"/>
        </w:rPr>
        <w:t>Our conflict of interest policy</w:t>
      </w:r>
      <w:r>
        <w:rPr>
          <w:rFonts w:ascii="Arial" w:cs="Arial" w:eastAsia="Arial" w:hAnsi="Arial"/>
          <w:sz w:val="19"/>
          <w:szCs w:val="19"/>
          <w:b w:val="1"/>
          <w:bCs w:val="1"/>
          <w:color w:val="auto"/>
        </w:rPr>
        <w:t xml:space="preserve"> </w:t>
      </w:r>
      <w:r>
        <w:rPr>
          <w:rFonts w:ascii="Arial" w:cs="Arial" w:eastAsia="Arial" w:hAnsi="Arial"/>
          <w:sz w:val="17"/>
          <w:szCs w:val="17"/>
          <w:color w:val="auto"/>
        </w:rPr>
        <w:t>requires disclosures of potential conflicts to Lilly and clarifies when Lilly board service must be disclosed to others.</w:t>
      </w:r>
    </w:p>
    <w:p>
      <w:pPr>
        <w:spacing w:after="0" w:line="66" w:lineRule="exact"/>
        <w:rPr>
          <w:sz w:val="20"/>
          <w:szCs w:val="20"/>
          <w:color w:val="auto"/>
        </w:rPr>
      </w:pPr>
    </w:p>
    <w:p>
      <w:pPr>
        <w:ind w:left="20"/>
        <w:spacing w:after="0"/>
        <w:tabs>
          <w:tab w:leader="none" w:pos="5700" w:val="left"/>
        </w:tabs>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8"/>
          <w:szCs w:val="18"/>
          <w:b w:val="1"/>
          <w:bCs w:val="1"/>
          <w:color w:val="auto"/>
        </w:rPr>
        <w:t>CEO Selection and Compensation:</w:t>
      </w:r>
      <w:r>
        <w:rPr>
          <w:rFonts w:ascii="Arial" w:cs="Arial" w:eastAsia="Arial" w:hAnsi="Arial"/>
          <w:sz w:val="16"/>
          <w:szCs w:val="16"/>
          <w:b w:val="1"/>
          <w:bCs w:val="1"/>
          <w:color w:val="auto"/>
        </w:rPr>
        <w:t xml:space="preserve"> </w:t>
      </w:r>
      <w:r>
        <w:rPr>
          <w:rFonts w:ascii="Arial" w:cs="Arial" w:eastAsia="Arial" w:hAnsi="Arial"/>
          <w:sz w:val="17"/>
          <w:szCs w:val="17"/>
          <w:color w:val="auto"/>
        </w:rPr>
        <w:t>Our independent directors</w:t>
      </w:r>
      <w:r>
        <w:rPr>
          <w:sz w:val="20"/>
          <w:szCs w:val="20"/>
          <w:color w:val="auto"/>
        </w:rPr>
        <w:tab/>
      </w:r>
      <w:r>
        <w:rPr>
          <w:rFonts w:ascii="Arial" w:cs="Arial" w:eastAsia="Arial" w:hAnsi="Arial"/>
          <w:sz w:val="14"/>
          <w:szCs w:val="14"/>
          <w:color w:val="auto"/>
        </w:rPr>
        <w:t>Information as of the date of this proxy statement.</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lead the board’s process for selecting the CEO. Our Talent and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Compensation Committee (and, in the case of our CEO,</w:t>
      </w:r>
    </w:p>
    <w:p>
      <w:pPr>
        <w:spacing w:after="0" w:line="86" w:lineRule="exact"/>
        <w:rPr>
          <w:sz w:val="20"/>
          <w:szCs w:val="20"/>
          <w:color w:val="auto"/>
        </w:rPr>
      </w:pPr>
    </w:p>
    <w:p>
      <w:pPr>
        <w:ind w:left="180" w:right="2560"/>
        <w:spacing w:after="0" w:line="287" w:lineRule="auto"/>
        <w:rPr>
          <w:sz w:val="20"/>
          <w:szCs w:val="20"/>
          <w:color w:val="auto"/>
        </w:rPr>
      </w:pPr>
      <w:r>
        <w:rPr>
          <w:rFonts w:ascii="Arial" w:cs="Arial" w:eastAsia="Arial" w:hAnsi="Arial"/>
          <w:sz w:val="18"/>
          <w:szCs w:val="18"/>
          <w:color w:val="auto"/>
        </w:rPr>
        <w:t>in consultation with other independent directors and our external compensation consultant) establishes the compensation for our CEO and other executive officers.</w:t>
      </w:r>
    </w:p>
    <w:p>
      <w:pPr>
        <w:spacing w:after="0" w:line="104" w:lineRule="exact"/>
        <w:rPr>
          <w:sz w:val="20"/>
          <w:szCs w:val="20"/>
          <w:color w:val="auto"/>
        </w:rPr>
      </w:pPr>
    </w:p>
    <w:p>
      <w:pPr>
        <w:ind w:left="180" w:right="2260" w:hanging="154"/>
        <w:spacing w:after="0" w:line="300" w:lineRule="auto"/>
        <w:tabs>
          <w:tab w:leader="none" w:pos="169" w:val="left"/>
        </w:tabs>
        <w:numPr>
          <w:ilvl w:val="0"/>
          <w:numId w:val="8"/>
        </w:numPr>
        <w:rPr>
          <w:rFonts w:ascii="Arial" w:cs="Arial" w:eastAsia="Arial" w:hAnsi="Arial"/>
          <w:sz w:val="16"/>
          <w:szCs w:val="16"/>
          <w:b w:val="1"/>
          <w:bCs w:val="1"/>
          <w:color w:val="auto"/>
        </w:rPr>
      </w:pPr>
      <w:r>
        <w:rPr>
          <w:rFonts w:ascii="Arial" w:cs="Arial" w:eastAsia="Arial" w:hAnsi="Arial"/>
          <w:sz w:val="19"/>
          <w:szCs w:val="19"/>
          <w:b w:val="1"/>
          <w:bCs w:val="1"/>
          <w:color w:val="auto"/>
        </w:rPr>
        <w:t xml:space="preserve">Refreshment: </w:t>
      </w:r>
      <w:r>
        <w:rPr>
          <w:rFonts w:ascii="Arial" w:cs="Arial" w:eastAsia="Arial" w:hAnsi="Arial"/>
          <w:sz w:val="17"/>
          <w:szCs w:val="17"/>
          <w:color w:val="auto"/>
        </w:rPr>
        <w:t>We are committed to maintaining an active and insightful board and seek to balance continuity</w:t>
      </w:r>
      <w:r>
        <w:rPr>
          <w:rFonts w:ascii="Arial" w:cs="Arial" w:eastAsia="Arial" w:hAnsi="Arial"/>
          <w:sz w:val="19"/>
          <w:szCs w:val="19"/>
          <w:b w:val="1"/>
          <w:bCs w:val="1"/>
          <w:color w:val="auto"/>
        </w:rPr>
        <w:t xml:space="preserve"> </w:t>
      </w:r>
      <w:r>
        <w:rPr>
          <w:rFonts w:ascii="Arial" w:cs="Arial" w:eastAsia="Arial" w:hAnsi="Arial"/>
          <w:sz w:val="17"/>
          <w:szCs w:val="17"/>
          <w:color w:val="auto"/>
        </w:rPr>
        <w:t>of experience with fresh perspectives.</w:t>
      </w:r>
    </w:p>
    <w:p>
      <w:pPr>
        <w:spacing w:after="0" w:line="144" w:lineRule="exact"/>
        <w:rPr>
          <w:rFonts w:ascii="Arial" w:cs="Arial" w:eastAsia="Arial" w:hAnsi="Arial"/>
          <w:sz w:val="16"/>
          <w:szCs w:val="16"/>
          <w:b w:val="1"/>
          <w:bCs w:val="1"/>
          <w:color w:val="auto"/>
        </w:rPr>
      </w:pPr>
    </w:p>
    <w:p>
      <w:pPr>
        <w:ind w:left="180" w:right="2200" w:hanging="154"/>
        <w:spacing w:after="0" w:line="267" w:lineRule="auto"/>
        <w:tabs>
          <w:tab w:leader="none" w:pos="169" w:val="left"/>
        </w:tabs>
        <w:numPr>
          <w:ilvl w:val="0"/>
          <w:numId w:val="8"/>
        </w:numPr>
        <w:rPr>
          <w:rFonts w:ascii="Arial" w:cs="Arial" w:eastAsia="Arial" w:hAnsi="Arial"/>
          <w:sz w:val="16"/>
          <w:szCs w:val="16"/>
          <w:b w:val="1"/>
          <w:bCs w:val="1"/>
          <w:color w:val="auto"/>
        </w:rPr>
      </w:pPr>
      <w:r>
        <w:rPr>
          <w:rFonts w:ascii="Arial" w:cs="Arial" w:eastAsia="Arial" w:hAnsi="Arial"/>
          <w:sz w:val="19"/>
          <w:szCs w:val="19"/>
          <w:b w:val="1"/>
          <w:bCs w:val="1"/>
          <w:color w:val="auto"/>
        </w:rPr>
        <w:t xml:space="preserve">Robust Annual Assessment: </w:t>
      </w:r>
      <w:r>
        <w:rPr>
          <w:rFonts w:ascii="Arial" w:cs="Arial" w:eastAsia="Arial" w:hAnsi="Arial"/>
          <w:sz w:val="17"/>
          <w:szCs w:val="17"/>
          <w:color w:val="auto"/>
        </w:rPr>
        <w:t>Our board conducts a robust annual assessment of its performance led by the</w:t>
      </w:r>
      <w:r>
        <w:rPr>
          <w:rFonts w:ascii="Arial" w:cs="Arial" w:eastAsia="Arial" w:hAnsi="Arial"/>
          <w:sz w:val="19"/>
          <w:szCs w:val="19"/>
          <w:b w:val="1"/>
          <w:bCs w:val="1"/>
          <w:color w:val="auto"/>
        </w:rPr>
        <w:t xml:space="preserve"> </w:t>
      </w:r>
      <w:r>
        <w:rPr>
          <w:rFonts w:ascii="Arial" w:cs="Arial" w:eastAsia="Arial" w:hAnsi="Arial"/>
          <w:sz w:val="17"/>
          <w:szCs w:val="17"/>
          <w:color w:val="auto"/>
        </w:rPr>
        <w:t>lead independent director, including an annual assessment of each director. These assessments help provide the board with valuable perspectives to drive effectiveness and leadership.</w:t>
      </w:r>
    </w:p>
    <w:p>
      <w:pPr>
        <w:spacing w:after="0" w:line="284"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Strategy and Risk Oversight</w:t>
      </w:r>
    </w:p>
    <w:p>
      <w:pPr>
        <w:spacing w:after="0" w:line="235" w:lineRule="exact"/>
        <w:rPr>
          <w:sz w:val="20"/>
          <w:szCs w:val="20"/>
          <w:color w:val="auto"/>
        </w:rPr>
      </w:pPr>
    </w:p>
    <w:p>
      <w:pPr>
        <w:jc w:val="both"/>
        <w:ind w:left="260" w:right="280" w:hanging="171"/>
        <w:spacing w:after="0" w:line="250" w:lineRule="auto"/>
        <w:tabs>
          <w:tab w:leader="none" w:pos="249" w:val="left"/>
        </w:tabs>
        <w:numPr>
          <w:ilvl w:val="0"/>
          <w:numId w:val="9"/>
        </w:numPr>
        <w:rPr>
          <w:rFonts w:ascii="Arial" w:cs="Arial" w:eastAsia="Arial" w:hAnsi="Arial"/>
          <w:sz w:val="16"/>
          <w:szCs w:val="16"/>
          <w:b w:val="1"/>
          <w:bCs w:val="1"/>
          <w:color w:val="auto"/>
        </w:rPr>
      </w:pPr>
      <w:r>
        <w:rPr>
          <w:rFonts w:ascii="Arial" w:cs="Arial" w:eastAsia="Arial" w:hAnsi="Arial"/>
          <w:sz w:val="22"/>
          <w:szCs w:val="22"/>
          <w:b w:val="1"/>
          <w:bCs w:val="1"/>
          <w:color w:val="auto"/>
        </w:rPr>
        <w:t xml:space="preserve">Strategy: </w:t>
      </w:r>
      <w:r>
        <w:rPr>
          <w:rFonts w:ascii="Arial" w:cs="Arial" w:eastAsia="Arial" w:hAnsi="Arial"/>
          <w:sz w:val="17"/>
          <w:szCs w:val="17"/>
          <w:color w:val="auto"/>
        </w:rPr>
        <w:t>Our board approves and actively oversees our corporate long-term strategy. Our board and board committee agendas are</w:t>
      </w:r>
      <w:r>
        <w:rPr>
          <w:rFonts w:ascii="Arial" w:cs="Arial" w:eastAsia="Arial" w:hAnsi="Arial"/>
          <w:sz w:val="22"/>
          <w:szCs w:val="22"/>
          <w:b w:val="1"/>
          <w:bCs w:val="1"/>
          <w:color w:val="auto"/>
        </w:rPr>
        <w:t xml:space="preserve"> </w:t>
      </w:r>
      <w:r>
        <w:rPr>
          <w:rFonts w:ascii="Arial" w:cs="Arial" w:eastAsia="Arial" w:hAnsi="Arial"/>
          <w:sz w:val="17"/>
          <w:szCs w:val="17"/>
          <w:color w:val="auto"/>
        </w:rPr>
        <w:t>structured to engage our directors in informed reviews of strategic and forward-looking issues, as well as in constructive challenges to management initiatives and programs.</w:t>
      </w:r>
    </w:p>
    <w:p>
      <w:pPr>
        <w:spacing w:after="0" w:line="187" w:lineRule="exact"/>
        <w:rPr>
          <w:rFonts w:ascii="Arial" w:cs="Arial" w:eastAsia="Arial" w:hAnsi="Arial"/>
          <w:sz w:val="16"/>
          <w:szCs w:val="16"/>
          <w:b w:val="1"/>
          <w:bCs w:val="1"/>
          <w:color w:val="auto"/>
        </w:rPr>
      </w:pPr>
    </w:p>
    <w:p>
      <w:pPr>
        <w:ind w:left="260" w:hanging="171"/>
        <w:spacing w:after="0" w:line="269" w:lineRule="auto"/>
        <w:tabs>
          <w:tab w:leader="none" w:pos="249" w:val="left"/>
        </w:tabs>
        <w:numPr>
          <w:ilvl w:val="0"/>
          <w:numId w:val="9"/>
        </w:numPr>
        <w:rPr>
          <w:rFonts w:ascii="Arial" w:cs="Arial" w:eastAsia="Arial" w:hAnsi="Arial"/>
          <w:sz w:val="16"/>
          <w:szCs w:val="16"/>
          <w:b w:val="1"/>
          <w:bCs w:val="1"/>
          <w:color w:val="auto"/>
        </w:rPr>
      </w:pPr>
      <w:r>
        <w:rPr>
          <w:rFonts w:ascii="Arial" w:cs="Arial" w:eastAsia="Arial" w:hAnsi="Arial"/>
          <w:sz w:val="22"/>
          <w:szCs w:val="22"/>
          <w:b w:val="1"/>
          <w:bCs w:val="1"/>
          <w:color w:val="auto"/>
        </w:rPr>
        <w:t xml:space="preserve">Code of Conduct: </w:t>
      </w:r>
      <w:r>
        <w:rPr>
          <w:rFonts w:ascii="Arial" w:cs="Arial" w:eastAsia="Arial" w:hAnsi="Arial"/>
          <w:sz w:val="17"/>
          <w:szCs w:val="17"/>
          <w:color w:val="auto"/>
        </w:rPr>
        <w:t>Our code of business conduct reflects principles that are consistent with our company values of integrity,</w:t>
      </w:r>
      <w:r>
        <w:rPr>
          <w:rFonts w:ascii="Arial" w:cs="Arial" w:eastAsia="Arial" w:hAnsi="Arial"/>
          <w:sz w:val="22"/>
          <w:szCs w:val="22"/>
          <w:b w:val="1"/>
          <w:bCs w:val="1"/>
          <w:color w:val="auto"/>
        </w:rPr>
        <w:t xml:space="preserve"> </w:t>
      </w:r>
      <w:r>
        <w:rPr>
          <w:rFonts w:ascii="Arial" w:cs="Arial" w:eastAsia="Arial" w:hAnsi="Arial"/>
          <w:sz w:val="17"/>
          <w:szCs w:val="17"/>
          <w:color w:val="auto"/>
        </w:rPr>
        <w:t>excellence, and respect for people, which are stated in The Red Book. This code applies to our board and all employees worldwide and is reviewed and approved annually by the board. In 2022 we revised The Red Book training to update our Global Conduct in the Workplace procedure to continue to help ensure that we maintain a respectful, safe, inclusive, and professional workplace. We have a supplemental code of conduct for our CEO and all members of financial management, in recognition of their unique responsibilities to ensure proper accounting, financial reporting, internal controls, and financial stewardship.</w:t>
      </w:r>
    </w:p>
    <w:p>
      <w:pPr>
        <w:spacing w:after="0" w:line="173" w:lineRule="exact"/>
        <w:rPr>
          <w:rFonts w:ascii="Arial" w:cs="Arial" w:eastAsia="Arial" w:hAnsi="Arial"/>
          <w:sz w:val="16"/>
          <w:szCs w:val="16"/>
          <w:b w:val="1"/>
          <w:bCs w:val="1"/>
          <w:color w:val="auto"/>
        </w:rPr>
      </w:pPr>
    </w:p>
    <w:p>
      <w:pPr>
        <w:ind w:left="260" w:right="1200" w:hanging="171"/>
        <w:spacing w:after="0" w:line="233" w:lineRule="auto"/>
        <w:tabs>
          <w:tab w:leader="none" w:pos="249" w:val="left"/>
        </w:tabs>
        <w:numPr>
          <w:ilvl w:val="0"/>
          <w:numId w:val="9"/>
        </w:numPr>
        <w:rPr>
          <w:rFonts w:ascii="Arial" w:cs="Arial" w:eastAsia="Arial" w:hAnsi="Arial"/>
          <w:sz w:val="16"/>
          <w:szCs w:val="16"/>
          <w:b w:val="1"/>
          <w:bCs w:val="1"/>
          <w:color w:val="auto"/>
        </w:rPr>
      </w:pPr>
      <w:r>
        <w:rPr>
          <w:rFonts w:ascii="Arial" w:cs="Arial" w:eastAsia="Arial" w:hAnsi="Arial"/>
          <w:sz w:val="22"/>
          <w:szCs w:val="22"/>
          <w:b w:val="1"/>
          <w:bCs w:val="1"/>
          <w:color w:val="auto"/>
        </w:rPr>
        <w:t xml:space="preserve">Corporate Governance: </w:t>
      </w:r>
      <w:r>
        <w:rPr>
          <w:rFonts w:ascii="Arial" w:cs="Arial" w:eastAsia="Arial" w:hAnsi="Arial"/>
          <w:sz w:val="17"/>
          <w:szCs w:val="17"/>
          <w:color w:val="auto"/>
        </w:rPr>
        <w:t>The charters of our board committees clearly establish the committees’ respective roles and</w:t>
      </w:r>
      <w:r>
        <w:rPr>
          <w:rFonts w:ascii="Arial" w:cs="Arial" w:eastAsia="Arial" w:hAnsi="Arial"/>
          <w:sz w:val="22"/>
          <w:szCs w:val="22"/>
          <w:b w:val="1"/>
          <w:bCs w:val="1"/>
          <w:color w:val="auto"/>
        </w:rPr>
        <w:t xml:space="preserve"> </w:t>
      </w:r>
      <w:r>
        <w:rPr>
          <w:rFonts w:ascii="Arial" w:cs="Arial" w:eastAsia="Arial" w:hAnsi="Arial"/>
          <w:sz w:val="17"/>
          <w:szCs w:val="17"/>
          <w:color w:val="auto"/>
        </w:rPr>
        <w:t>responsibilities.</w:t>
      </w:r>
    </w:p>
    <w:p>
      <w:pPr>
        <w:spacing w:after="0" w:line="197" w:lineRule="exact"/>
        <w:rPr>
          <w:rFonts w:ascii="Arial" w:cs="Arial" w:eastAsia="Arial" w:hAnsi="Arial"/>
          <w:sz w:val="16"/>
          <w:szCs w:val="16"/>
          <w:b w:val="1"/>
          <w:bCs w:val="1"/>
          <w:color w:val="auto"/>
        </w:rPr>
      </w:pPr>
    </w:p>
    <w:p>
      <w:pPr>
        <w:ind w:left="260" w:right="40" w:hanging="171"/>
        <w:spacing w:after="0" w:line="250" w:lineRule="auto"/>
        <w:tabs>
          <w:tab w:leader="none" w:pos="249" w:val="left"/>
        </w:tabs>
        <w:numPr>
          <w:ilvl w:val="0"/>
          <w:numId w:val="9"/>
        </w:numPr>
        <w:rPr>
          <w:rFonts w:ascii="Arial" w:cs="Arial" w:eastAsia="Arial" w:hAnsi="Arial"/>
          <w:sz w:val="16"/>
          <w:szCs w:val="16"/>
          <w:b w:val="1"/>
          <w:bCs w:val="1"/>
          <w:color w:val="auto"/>
        </w:rPr>
      </w:pPr>
      <w:r>
        <w:rPr>
          <w:rFonts w:ascii="Arial" w:cs="Arial" w:eastAsia="Arial" w:hAnsi="Arial"/>
          <w:sz w:val="22"/>
          <w:szCs w:val="22"/>
          <w:b w:val="1"/>
          <w:bCs w:val="1"/>
          <w:color w:val="auto"/>
        </w:rPr>
        <w:t xml:space="preserve">Compliance Program and Enterprise Risk Reviews: </w:t>
      </w:r>
      <w:r>
        <w:rPr>
          <w:rFonts w:ascii="Arial" w:cs="Arial" w:eastAsia="Arial" w:hAnsi="Arial"/>
          <w:sz w:val="17"/>
          <w:szCs w:val="17"/>
          <w:color w:val="auto"/>
        </w:rPr>
        <w:t>Our board reviews the overall state of our compliance program at least</w:t>
      </w:r>
      <w:r>
        <w:rPr>
          <w:rFonts w:ascii="Arial" w:cs="Arial" w:eastAsia="Arial" w:hAnsi="Arial"/>
          <w:sz w:val="22"/>
          <w:szCs w:val="22"/>
          <w:b w:val="1"/>
          <w:bCs w:val="1"/>
          <w:color w:val="auto"/>
        </w:rPr>
        <w:t xml:space="preserve"> </w:t>
      </w:r>
      <w:r>
        <w:rPr>
          <w:rFonts w:ascii="Arial" w:cs="Arial" w:eastAsia="Arial" w:hAnsi="Arial"/>
          <w:sz w:val="17"/>
          <w:szCs w:val="17"/>
          <w:color w:val="auto"/>
        </w:rPr>
        <w:t>annually and regularly reviews our enterprise-level risks. Our Audit Committee oversees the process by which we identify and create mitigation plans for enterprise-level risks. See “</w:t>
      </w:r>
      <w:r>
        <w:rPr>
          <w:rFonts w:ascii="Arial" w:cs="Arial" w:eastAsia="Arial" w:hAnsi="Arial"/>
          <w:sz w:val="17"/>
          <w:szCs w:val="17"/>
          <w:u w:val="single" w:color="auto"/>
          <w:color w:val="0000FF"/>
        </w:rPr>
        <w:t>Governance Practices—Board Oversight</w:t>
      </w:r>
      <w:r>
        <w:rPr>
          <w:rFonts w:ascii="Arial" w:cs="Arial" w:eastAsia="Arial" w:hAnsi="Arial"/>
          <w:sz w:val="17"/>
          <w:szCs w:val="17"/>
          <w:color w:val="auto"/>
        </w:rPr>
        <w:t>” for additional information.</w:t>
      </w:r>
    </w:p>
    <w:p>
      <w:pPr>
        <w:sectPr>
          <w:pgSz w:w="11900" w:h="16838" w:orient="portrait"/>
          <w:cols w:equalWidth="0" w:num="1">
            <w:col w:w="11200"/>
          </w:cols>
          <w:pgMar w:left="320" w:top="1033" w:right="379" w:bottom="1440" w:gutter="0" w:footer="0" w:header="0"/>
        </w:sect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3" w:right="37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Board Oversight of Certain Key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106045</wp:posOffset>
            </wp:positionV>
            <wp:extent cx="514350" cy="514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 cy="514350"/>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106045</wp:posOffset>
            </wp:positionV>
            <wp:extent cx="514350" cy="514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 cy="51435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106045</wp:posOffset>
            </wp:positionV>
            <wp:extent cx="514350" cy="514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 cy="51435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97790</wp:posOffset>
            </wp:positionV>
            <wp:extent cx="557530" cy="540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753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0"/>
        </w:trPr>
        <w:tc>
          <w:tcPr>
            <w:tcW w:w="620" w:type="dxa"/>
            <w:vAlign w:val="bottom"/>
            <w:tcBorders>
              <w:left w:val="single" w:sz="8" w:color="auto"/>
            </w:tcBorders>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r>
      <w:tr>
        <w:trPr>
          <w:trHeight w:val="725"/>
        </w:trPr>
        <w:tc>
          <w:tcPr>
            <w:tcW w:w="2080" w:type="dxa"/>
            <w:vAlign w:val="bottom"/>
            <w:tcBorders>
              <w:left w:val="single" w:sz="8" w:color="auto"/>
              <w:right w:val="single" w:sz="8" w:color="auto"/>
            </w:tcBorders>
            <w:gridSpan w:val="3"/>
          </w:tcPr>
          <w:p>
            <w:pPr>
              <w:ind w:left="420"/>
              <w:spacing w:after="0"/>
              <w:rPr>
                <w:sz w:val="20"/>
                <w:szCs w:val="20"/>
                <w:color w:val="auto"/>
              </w:rPr>
            </w:pPr>
            <w:r>
              <w:rPr>
                <w:rFonts w:ascii="Arial" w:cs="Arial" w:eastAsia="Arial" w:hAnsi="Arial"/>
                <w:sz w:val="19"/>
                <w:szCs w:val="19"/>
                <w:b w:val="1"/>
                <w:bCs w:val="1"/>
                <w:color w:val="D52B1E"/>
              </w:rPr>
              <w:t>Cybersecurity</w:t>
            </w:r>
          </w:p>
        </w:tc>
        <w:tc>
          <w:tcPr>
            <w:tcW w:w="180" w:type="dxa"/>
            <w:vAlign w:val="bottom"/>
            <w:tcBorders>
              <w:right w:val="single" w:sz="8" w:color="auto"/>
            </w:tcBorders>
          </w:tcPr>
          <w:p>
            <w:pPr>
              <w:spacing w:after="0"/>
              <w:rPr>
                <w:sz w:val="24"/>
                <w:szCs w:val="24"/>
                <w:color w:val="auto"/>
              </w:rPr>
            </w:pPr>
          </w:p>
        </w:tc>
        <w:tc>
          <w:tcPr>
            <w:tcW w:w="2120" w:type="dxa"/>
            <w:vAlign w:val="bottom"/>
            <w:tcBorders>
              <w:right w:val="single" w:sz="8" w:color="auto"/>
            </w:tcBorders>
            <w:gridSpan w:val="3"/>
          </w:tcPr>
          <w:p>
            <w:pPr>
              <w:ind w:left="320"/>
              <w:spacing w:after="0"/>
              <w:rPr>
                <w:sz w:val="20"/>
                <w:szCs w:val="20"/>
                <w:color w:val="auto"/>
              </w:rPr>
            </w:pPr>
            <w:r>
              <w:rPr>
                <w:rFonts w:ascii="Arial" w:cs="Arial" w:eastAsia="Arial" w:hAnsi="Arial"/>
                <w:sz w:val="19"/>
                <w:szCs w:val="19"/>
                <w:b w:val="1"/>
                <w:bCs w:val="1"/>
                <w:color w:val="D52B1E"/>
              </w:rPr>
              <w:t>Political Activity</w:t>
            </w:r>
          </w:p>
        </w:tc>
        <w:tc>
          <w:tcPr>
            <w:tcW w:w="180" w:type="dxa"/>
            <w:vAlign w:val="bottom"/>
            <w:tcBorders>
              <w:right w:val="single" w:sz="8" w:color="auto"/>
            </w:tcBorders>
          </w:tcPr>
          <w:p>
            <w:pPr>
              <w:spacing w:after="0"/>
              <w:rPr>
                <w:sz w:val="24"/>
                <w:szCs w:val="24"/>
                <w:color w:val="auto"/>
              </w:rPr>
            </w:pPr>
          </w:p>
        </w:tc>
        <w:tc>
          <w:tcPr>
            <w:tcW w:w="2160" w:type="dxa"/>
            <w:vAlign w:val="bottom"/>
            <w:tcBorders>
              <w:right w:val="single" w:sz="8" w:color="auto"/>
            </w:tcBorders>
            <w:gridSpan w:val="3"/>
          </w:tcPr>
          <w:p>
            <w:pPr>
              <w:ind w:left="480"/>
              <w:spacing w:after="0"/>
              <w:rPr>
                <w:sz w:val="20"/>
                <w:szCs w:val="20"/>
                <w:color w:val="auto"/>
              </w:rPr>
            </w:pPr>
            <w:r>
              <w:rPr>
                <w:rFonts w:ascii="Arial" w:cs="Arial" w:eastAsia="Arial" w:hAnsi="Arial"/>
                <w:sz w:val="19"/>
                <w:szCs w:val="19"/>
                <w:b w:val="1"/>
                <w:bCs w:val="1"/>
                <w:color w:val="D52B1E"/>
              </w:rPr>
              <w:t>Environment</w:t>
            </w:r>
          </w:p>
        </w:tc>
        <w:tc>
          <w:tcPr>
            <w:tcW w:w="20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tcBorders>
              <w:right w:val="single" w:sz="8" w:color="auto"/>
            </w:tcBorders>
            <w:gridSpan w:val="2"/>
          </w:tcPr>
          <w:p>
            <w:pPr>
              <w:ind w:left="280"/>
              <w:spacing w:after="0"/>
              <w:rPr>
                <w:sz w:val="20"/>
                <w:szCs w:val="20"/>
                <w:color w:val="auto"/>
              </w:rPr>
            </w:pPr>
            <w:r>
              <w:rPr>
                <w:rFonts w:ascii="Arial" w:cs="Arial" w:eastAsia="Arial" w:hAnsi="Arial"/>
                <w:sz w:val="19"/>
                <w:szCs w:val="19"/>
                <w:b w:val="1"/>
                <w:bCs w:val="1"/>
                <w:color w:val="D52B1E"/>
              </w:rPr>
              <w:t>DEI</w:t>
            </w:r>
          </w:p>
        </w:tc>
      </w:tr>
      <w:tr>
        <w:trPr>
          <w:trHeight w:val="235"/>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Our board and Audit</w:t>
            </w:r>
          </w:p>
        </w:tc>
        <w:tc>
          <w:tcPr>
            <w:tcW w:w="18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Our board oversees our</w:t>
            </w:r>
          </w:p>
        </w:tc>
        <w:tc>
          <w:tcPr>
            <w:tcW w:w="18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Our board, including its</w:t>
            </w:r>
          </w:p>
        </w:tc>
        <w:tc>
          <w:tcPr>
            <w:tcW w:w="20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Our board exercises</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Committee receive</w:t>
            </w:r>
          </w:p>
        </w:tc>
        <w:tc>
          <w:tcPr>
            <w:tcW w:w="1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political expenditures</w:t>
            </w:r>
          </w:p>
        </w:tc>
        <w:tc>
          <w:tcPr>
            <w:tcW w:w="18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Directors and Corporate</w:t>
            </w: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active oversight over the</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regular presentations</w:t>
            </w:r>
          </w:p>
        </w:tc>
        <w:tc>
          <w:tcPr>
            <w:tcW w:w="1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and lobbying activities.</w:t>
            </w:r>
          </w:p>
        </w:tc>
        <w:tc>
          <w:tcPr>
            <w:tcW w:w="18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Governance Committee,</w:t>
            </w: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overall talent</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on cybersecurity and</w:t>
            </w:r>
          </w:p>
        </w:tc>
        <w:tc>
          <w:tcPr>
            <w:tcW w:w="1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Directors receive regular</w:t>
            </w:r>
          </w:p>
        </w:tc>
        <w:tc>
          <w:tcPr>
            <w:tcW w:w="18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oversees and maintains</w:t>
            </w: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management process,</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information technology</w:t>
            </w:r>
          </w:p>
        </w:tc>
        <w:tc>
          <w:tcPr>
            <w:tcW w:w="1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updates on public policy</w:t>
            </w:r>
          </w:p>
        </w:tc>
        <w:tc>
          <w:tcPr>
            <w:tcW w:w="18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ongoing engagement on</w:t>
            </w: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including human capital</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as part of their</w:t>
            </w:r>
          </w:p>
        </w:tc>
        <w:tc>
          <w:tcPr>
            <w:tcW w:w="1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issues and on the</w:t>
            </w:r>
          </w:p>
        </w:tc>
        <w:tc>
          <w:tcPr>
            <w:tcW w:w="18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key climate and</w:t>
            </w: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management strategies,</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oversight of enterprise-</w:t>
            </w:r>
          </w:p>
        </w:tc>
        <w:tc>
          <w:tcPr>
            <w:tcW w:w="1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company’s political</w:t>
            </w:r>
          </w:p>
        </w:tc>
        <w:tc>
          <w:tcPr>
            <w:tcW w:w="18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sustainability matters.</w:t>
            </w: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corporate culture, and</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level risks; in addition to</w:t>
            </w:r>
          </w:p>
        </w:tc>
        <w:tc>
          <w:tcPr>
            <w:tcW w:w="1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corporate activity. The</w:t>
            </w:r>
          </w:p>
        </w:tc>
        <w:tc>
          <w:tcPr>
            <w:tcW w:w="18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DEI programs. The</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regular presentations,</w:t>
            </w:r>
          </w:p>
        </w:tc>
        <w:tc>
          <w:tcPr>
            <w:tcW w:w="1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board also receives</w:t>
            </w:r>
          </w:p>
        </w:tc>
        <w:tc>
          <w:tcPr>
            <w:tcW w:w="18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board also oversees the</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management promptly</w:t>
            </w:r>
          </w:p>
        </w:tc>
        <w:tc>
          <w:tcPr>
            <w:tcW w:w="1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semi-annual updates on</w:t>
            </w:r>
          </w:p>
        </w:tc>
        <w:tc>
          <w:tcPr>
            <w:tcW w:w="18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work of its committees in</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updates our board</w:t>
            </w:r>
          </w:p>
        </w:tc>
        <w:tc>
          <w:tcPr>
            <w:tcW w:w="1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political engagement,</w:t>
            </w:r>
          </w:p>
        </w:tc>
        <w:tc>
          <w:tcPr>
            <w:tcW w:w="18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connection with the</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regarding significant</w:t>
            </w:r>
          </w:p>
        </w:tc>
        <w:tc>
          <w:tcPr>
            <w:tcW w:w="1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including information on</w:t>
            </w:r>
          </w:p>
        </w:tc>
        <w:tc>
          <w:tcPr>
            <w:tcW w:w="18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board’s development of</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threats or incidents as</w:t>
            </w:r>
          </w:p>
        </w:tc>
        <w:tc>
          <w:tcPr>
            <w:tcW w:w="1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the contributions made</w:t>
            </w:r>
          </w:p>
        </w:tc>
        <w:tc>
          <w:tcPr>
            <w:tcW w:w="18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corporate policies and</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they arise, as well as</w:t>
            </w:r>
          </w:p>
        </w:tc>
        <w:tc>
          <w:tcPr>
            <w:tcW w:w="1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by LillyPAC and the</w:t>
            </w:r>
          </w:p>
        </w:tc>
        <w:tc>
          <w:tcPr>
            <w:tcW w:w="18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frameworks designed to</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changes to the broader</w:t>
            </w:r>
          </w:p>
        </w:tc>
        <w:tc>
          <w:tcPr>
            <w:tcW w:w="1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company, as well as</w:t>
            </w:r>
          </w:p>
        </w:tc>
        <w:tc>
          <w:tcPr>
            <w:tcW w:w="18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attract, retain, engage,</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cybersecurity</w:t>
            </w:r>
          </w:p>
        </w:tc>
        <w:tc>
          <w:tcPr>
            <w:tcW w:w="1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trade association</w:t>
            </w:r>
          </w:p>
        </w:tc>
        <w:tc>
          <w:tcPr>
            <w:tcW w:w="18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and develop a workforce</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landscape.</w:t>
            </w:r>
          </w:p>
        </w:tc>
        <w:tc>
          <w:tcPr>
            <w:tcW w:w="1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memberships.</w:t>
            </w:r>
          </w:p>
        </w:tc>
        <w:tc>
          <w:tcPr>
            <w:tcW w:w="18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that aligns with our</w:t>
            </w:r>
          </w:p>
        </w:tc>
      </w:tr>
      <w:tr>
        <w:trPr>
          <w:trHeight w:val="239"/>
        </w:trPr>
        <w:tc>
          <w:tcPr>
            <w:tcW w:w="620" w:type="dxa"/>
            <w:vAlign w:val="bottom"/>
            <w:tcBorders>
              <w:left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values and mission.</w:t>
            </w:r>
          </w:p>
        </w:tc>
      </w:tr>
      <w:tr>
        <w:trPr>
          <w:trHeight w:val="23"/>
        </w:trPr>
        <w:tc>
          <w:tcPr>
            <w:tcW w:w="620" w:type="dxa"/>
            <w:vAlign w:val="bottom"/>
            <w:tcBorders>
              <w:left w:val="single" w:sz="8" w:color="auto"/>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r>
    </w:tbl>
    <w:p>
      <w:pPr>
        <w:spacing w:after="0" w:line="124" w:lineRule="exact"/>
        <w:rPr>
          <w:sz w:val="20"/>
          <w:szCs w:val="20"/>
          <w:color w:val="auto"/>
        </w:rPr>
      </w:pPr>
    </w:p>
    <w:p>
      <w:pPr>
        <w:sectPr>
          <w:pgSz w:w="11900" w:h="16838" w:orient="portrait"/>
          <w:cols w:equalWidth="0" w:num="1">
            <w:col w:w="10980"/>
          </w:cols>
          <w:pgMar w:left="320" w:top="1097" w:right="599" w:bottom="1440" w:gutter="0" w:footer="0" w:header="0"/>
        </w:sectPr>
      </w:pPr>
    </w:p>
    <w:p>
      <w:pPr>
        <w:spacing w:after="0"/>
        <w:rPr>
          <w:sz w:val="20"/>
          <w:szCs w:val="20"/>
          <w:color w:val="auto"/>
        </w:rPr>
      </w:pPr>
      <w:r>
        <w:rPr>
          <w:rFonts w:ascii="Arial" w:cs="Arial" w:eastAsia="Arial" w:hAnsi="Arial"/>
          <w:sz w:val="25"/>
          <w:szCs w:val="25"/>
          <w:b w:val="1"/>
          <w:bCs w:val="1"/>
          <w:color w:val="00A1DE"/>
        </w:rPr>
        <w:t>Shareholder Access &amp; Engagement</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Engagement Response</w:t>
      </w:r>
    </w:p>
    <w:p>
      <w:pPr>
        <w:spacing w:after="0" w:line="54" w:lineRule="exact"/>
        <w:rPr>
          <w:sz w:val="20"/>
          <w:szCs w:val="20"/>
          <w:color w:val="auto"/>
        </w:rPr>
      </w:pPr>
    </w:p>
    <w:p>
      <w:pPr>
        <w:ind w:left="340" w:right="52" w:hanging="332"/>
        <w:spacing w:after="0" w:line="259" w:lineRule="auto"/>
        <w:tabs>
          <w:tab w:leader="none" w:pos="329" w:val="left"/>
        </w:tabs>
        <w:numPr>
          <w:ilvl w:val="0"/>
          <w:numId w:val="10"/>
        </w:numPr>
        <w:rPr>
          <w:rFonts w:ascii="Arial" w:cs="Arial" w:eastAsia="Arial" w:hAnsi="Arial"/>
          <w:sz w:val="16"/>
          <w:szCs w:val="16"/>
          <w:color w:val="auto"/>
        </w:rPr>
      </w:pPr>
      <w:r>
        <w:rPr>
          <w:rFonts w:ascii="Arial" w:cs="Arial" w:eastAsia="Arial" w:hAnsi="Arial"/>
          <w:sz w:val="18"/>
          <w:szCs w:val="18"/>
          <w:color w:val="auto"/>
        </w:rPr>
        <w:t>In response to input from our shareholders and consistent with previous years, management is putting forth for consideration at the Annual Meeting proposals to amend our articles of incorporation to eliminate the classified board structure and to eliminate supermajority voting.</w:t>
      </w:r>
    </w:p>
    <w:p>
      <w:pPr>
        <w:spacing w:after="0" w:line="17" w:lineRule="exact"/>
        <w:rPr>
          <w:rFonts w:ascii="Arial" w:cs="Arial" w:eastAsia="Arial" w:hAnsi="Arial"/>
          <w:sz w:val="16"/>
          <w:szCs w:val="16"/>
          <w:color w:val="auto"/>
        </w:rPr>
      </w:pPr>
    </w:p>
    <w:p>
      <w:pPr>
        <w:ind w:left="340" w:right="192" w:hanging="332"/>
        <w:spacing w:after="0" w:line="259" w:lineRule="auto"/>
        <w:tabs>
          <w:tab w:leader="none" w:pos="329" w:val="left"/>
        </w:tabs>
        <w:numPr>
          <w:ilvl w:val="0"/>
          <w:numId w:val="10"/>
        </w:numPr>
        <w:rPr>
          <w:rFonts w:ascii="Arial" w:cs="Arial" w:eastAsia="Arial" w:hAnsi="Arial"/>
          <w:sz w:val="16"/>
          <w:szCs w:val="16"/>
          <w:color w:val="auto"/>
        </w:rPr>
      </w:pPr>
      <w:r>
        <w:rPr>
          <w:rFonts w:ascii="Arial" w:cs="Arial" w:eastAsia="Arial" w:hAnsi="Arial"/>
          <w:sz w:val="18"/>
          <w:szCs w:val="18"/>
          <w:color w:val="auto"/>
        </w:rPr>
        <w:t>In response to input from our shareholders, at our 2022 annual meeting, management put forth, and shareholders approved, amendments to our articles of incorporation and bylaws to permit shareholders to amend the company’s bylaws.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Proxy Access</w:t>
      </w:r>
    </w:p>
    <w:p>
      <w:pPr>
        <w:spacing w:after="0" w:line="67" w:lineRule="exact"/>
        <w:rPr>
          <w:sz w:val="20"/>
          <w:szCs w:val="20"/>
          <w:color w:val="auto"/>
        </w:rPr>
      </w:pPr>
    </w:p>
    <w:p>
      <w:pPr>
        <w:jc w:val="both"/>
        <w:ind w:left="340" w:right="352" w:hanging="332"/>
        <w:spacing w:after="0" w:line="268" w:lineRule="auto"/>
        <w:tabs>
          <w:tab w:leader="none" w:pos="329" w:val="left"/>
        </w:tabs>
        <w:numPr>
          <w:ilvl w:val="0"/>
          <w:numId w:val="11"/>
        </w:numPr>
        <w:rPr>
          <w:rFonts w:ascii="Arial" w:cs="Arial" w:eastAsia="Arial" w:hAnsi="Arial"/>
          <w:sz w:val="16"/>
          <w:szCs w:val="16"/>
          <w:color w:val="auto"/>
        </w:rPr>
      </w:pPr>
      <w:r>
        <w:rPr>
          <w:rFonts w:ascii="Arial" w:cs="Arial" w:eastAsia="Arial" w:hAnsi="Arial"/>
          <w:sz w:val="18"/>
          <w:szCs w:val="18"/>
          <w:color w:val="auto"/>
        </w:rPr>
        <w:t>Our bylaws provide proxy access rights for shareholders holding at least three percent of our common stock for at least three years to</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ind w:left="328" w:right="340"/>
        <w:spacing w:after="0" w:line="284" w:lineRule="auto"/>
        <w:rPr>
          <w:sz w:val="20"/>
          <w:szCs w:val="20"/>
          <w:color w:val="auto"/>
        </w:rPr>
      </w:pPr>
      <w:r>
        <w:rPr>
          <w:rFonts w:ascii="Arial" w:cs="Arial" w:eastAsia="Arial" w:hAnsi="Arial"/>
          <w:sz w:val="18"/>
          <w:szCs w:val="18"/>
          <w:color w:val="auto"/>
        </w:rPr>
        <w:t>nominate to the board the greater of two directors or 20 percent of our board seats.</w:t>
      </w:r>
    </w:p>
    <w:p>
      <w:pPr>
        <w:ind w:left="8"/>
        <w:spacing w:after="0"/>
        <w:rPr>
          <w:sz w:val="20"/>
          <w:szCs w:val="20"/>
          <w:color w:val="auto"/>
        </w:rPr>
      </w:pPr>
      <w:r>
        <w:rPr>
          <w:rFonts w:ascii="Arial" w:cs="Arial" w:eastAsia="Arial" w:hAnsi="Arial"/>
          <w:sz w:val="22"/>
          <w:szCs w:val="22"/>
          <w:b w:val="1"/>
          <w:bCs w:val="1"/>
          <w:color w:val="auto"/>
        </w:rPr>
        <w:t>Board Accountability</w:t>
      </w:r>
    </w:p>
    <w:p>
      <w:pPr>
        <w:spacing w:after="0" w:line="54" w:lineRule="exact"/>
        <w:rPr>
          <w:sz w:val="20"/>
          <w:szCs w:val="20"/>
          <w:color w:val="auto"/>
        </w:rPr>
      </w:pPr>
    </w:p>
    <w:p>
      <w:pPr>
        <w:ind w:left="328" w:hanging="328"/>
        <w:spacing w:after="0" w:line="281" w:lineRule="auto"/>
        <w:tabs>
          <w:tab w:leader="none" w:pos="317" w:val="left"/>
        </w:tabs>
        <w:numPr>
          <w:ilvl w:val="0"/>
          <w:numId w:val="12"/>
        </w:numPr>
        <w:rPr>
          <w:rFonts w:ascii="Arial" w:cs="Arial" w:eastAsia="Arial" w:hAnsi="Arial"/>
          <w:sz w:val="16"/>
          <w:szCs w:val="16"/>
          <w:color w:val="auto"/>
        </w:rPr>
      </w:pPr>
      <w:r>
        <w:rPr>
          <w:rFonts w:ascii="Arial" w:cs="Arial" w:eastAsia="Arial" w:hAnsi="Arial"/>
          <w:sz w:val="18"/>
          <w:szCs w:val="18"/>
          <w:color w:val="auto"/>
        </w:rPr>
        <w:t>We have a majority voting standard and a resignation policy for the election of directors in uncontested elections.</w:t>
      </w:r>
    </w:p>
    <w:p>
      <w:pPr>
        <w:spacing w:after="0" w:line="1" w:lineRule="exact"/>
        <w:rPr>
          <w:rFonts w:ascii="Arial" w:cs="Arial" w:eastAsia="Arial" w:hAnsi="Arial"/>
          <w:sz w:val="16"/>
          <w:szCs w:val="16"/>
          <w:color w:val="auto"/>
        </w:rPr>
      </w:pPr>
    </w:p>
    <w:p>
      <w:pPr>
        <w:ind w:left="308" w:hanging="308"/>
        <w:spacing w:after="0"/>
        <w:tabs>
          <w:tab w:leader="none" w:pos="308" w:val="left"/>
        </w:tabs>
        <w:numPr>
          <w:ilvl w:val="0"/>
          <w:numId w:val="12"/>
        </w:numPr>
        <w:rPr>
          <w:rFonts w:ascii="Arial" w:cs="Arial" w:eastAsia="Arial" w:hAnsi="Arial"/>
          <w:sz w:val="16"/>
          <w:szCs w:val="16"/>
          <w:color w:val="auto"/>
        </w:rPr>
      </w:pPr>
      <w:r>
        <w:rPr>
          <w:rFonts w:ascii="Arial" w:cs="Arial" w:eastAsia="Arial" w:hAnsi="Arial"/>
          <w:sz w:val="18"/>
          <w:szCs w:val="18"/>
          <w:color w:val="auto"/>
        </w:rPr>
        <w:t>Shareholders have the ability to amend our bylaws.</w:t>
      </w:r>
    </w:p>
    <w:p>
      <w:pPr>
        <w:spacing w:after="0" w:line="63" w:lineRule="exact"/>
        <w:rPr>
          <w:rFonts w:ascii="Arial" w:cs="Arial" w:eastAsia="Arial" w:hAnsi="Arial"/>
          <w:sz w:val="16"/>
          <w:szCs w:val="16"/>
          <w:color w:val="auto"/>
        </w:rPr>
      </w:pPr>
    </w:p>
    <w:p>
      <w:pPr>
        <w:ind w:left="328" w:right="440" w:hanging="328"/>
        <w:spacing w:after="0" w:line="281" w:lineRule="auto"/>
        <w:tabs>
          <w:tab w:leader="none" w:pos="317" w:val="left"/>
        </w:tabs>
        <w:numPr>
          <w:ilvl w:val="0"/>
          <w:numId w:val="12"/>
        </w:numPr>
        <w:rPr>
          <w:rFonts w:ascii="Arial" w:cs="Arial" w:eastAsia="Arial" w:hAnsi="Arial"/>
          <w:sz w:val="16"/>
          <w:szCs w:val="16"/>
          <w:color w:val="auto"/>
        </w:rPr>
      </w:pPr>
      <w:r>
        <w:rPr>
          <w:rFonts w:ascii="Arial" w:cs="Arial" w:eastAsia="Arial" w:hAnsi="Arial"/>
          <w:sz w:val="18"/>
          <w:szCs w:val="18"/>
          <w:color w:val="auto"/>
        </w:rPr>
        <w:t>We do not have a shareholder rights plan (known as a “poison pill”).</w:t>
      </w:r>
    </w:p>
    <w:p>
      <w:pPr>
        <w:spacing w:after="0" w:line="1" w:lineRule="exact"/>
        <w:rPr>
          <w:rFonts w:ascii="Arial" w:cs="Arial" w:eastAsia="Arial" w:hAnsi="Arial"/>
          <w:sz w:val="16"/>
          <w:szCs w:val="16"/>
          <w:color w:val="auto"/>
        </w:rPr>
      </w:pPr>
    </w:p>
    <w:p>
      <w:pPr>
        <w:ind w:left="328" w:right="140" w:hanging="328"/>
        <w:spacing w:after="0" w:line="268" w:lineRule="auto"/>
        <w:tabs>
          <w:tab w:leader="none" w:pos="317" w:val="left"/>
        </w:tabs>
        <w:numPr>
          <w:ilvl w:val="0"/>
          <w:numId w:val="12"/>
        </w:numPr>
        <w:rPr>
          <w:rFonts w:ascii="Arial" w:cs="Arial" w:eastAsia="Arial" w:hAnsi="Arial"/>
          <w:sz w:val="16"/>
          <w:szCs w:val="16"/>
          <w:color w:val="auto"/>
        </w:rPr>
      </w:pPr>
      <w:r>
        <w:rPr>
          <w:rFonts w:ascii="Arial" w:cs="Arial" w:eastAsia="Arial" w:hAnsi="Arial"/>
          <w:sz w:val="18"/>
          <w:szCs w:val="18"/>
          <w:color w:val="auto"/>
        </w:rPr>
        <w:t>We have meaningful stock ownership and retention guidelines for our directors and executive officers to foster alignment with shareholders.</w:t>
      </w:r>
    </w:p>
    <w:p>
      <w:pPr>
        <w:spacing w:after="0" w:line="8" w:lineRule="exact"/>
        <w:rPr>
          <w:rFonts w:ascii="Arial" w:cs="Arial" w:eastAsia="Arial" w:hAnsi="Arial"/>
          <w:sz w:val="16"/>
          <w:szCs w:val="16"/>
          <w:color w:val="auto"/>
        </w:rPr>
      </w:pPr>
    </w:p>
    <w:p>
      <w:pPr>
        <w:ind w:left="308" w:hanging="308"/>
        <w:spacing w:after="0"/>
        <w:tabs>
          <w:tab w:leader="none" w:pos="308" w:val="left"/>
        </w:tabs>
        <w:numPr>
          <w:ilvl w:val="0"/>
          <w:numId w:val="12"/>
        </w:numPr>
        <w:rPr>
          <w:rFonts w:ascii="Arial" w:cs="Arial" w:eastAsia="Arial" w:hAnsi="Arial"/>
          <w:sz w:val="16"/>
          <w:szCs w:val="16"/>
          <w:color w:val="auto"/>
        </w:rPr>
      </w:pPr>
      <w:r>
        <w:rPr>
          <w:rFonts w:ascii="Arial" w:cs="Arial" w:eastAsia="Arial" w:hAnsi="Arial"/>
          <w:sz w:val="18"/>
          <w:szCs w:val="18"/>
          <w:color w:val="auto"/>
        </w:rPr>
        <w:t>We have an annual cap on director compensation.</w:t>
      </w:r>
    </w:p>
    <w:p>
      <w:pPr>
        <w:spacing w:after="0" w:line="848" w:lineRule="exact"/>
        <w:rPr>
          <w:sz w:val="20"/>
          <w:szCs w:val="20"/>
          <w:color w:val="auto"/>
        </w:rPr>
      </w:pPr>
    </w:p>
    <w:p>
      <w:pPr>
        <w:sectPr>
          <w:pgSz w:w="11900" w:h="16838" w:orient="portrait"/>
          <w:cols w:equalWidth="0" w:num="2">
            <w:col w:w="5192" w:space="720"/>
            <w:col w:w="5068"/>
          </w:cols>
          <w:pgMar w:left="320" w:top="1097" w:right="599" w:bottom="1440" w:gutter="0" w:footer="0" w:header="0"/>
          <w:type w:val="continuous"/>
        </w:sectPr>
      </w:pPr>
    </w:p>
    <w:p>
      <w:pPr>
        <w:spacing w:after="0" w:line="162"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Compensation</w:t>
      </w:r>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Compensation Practices of Interest</w:t>
      </w:r>
    </w:p>
    <w:p>
      <w:pPr>
        <w:spacing w:after="0" w:line="69"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Shareholders strongly support our compensation practices. For each of the last five years, greater than 94 percent of shares cast voted in favor of our executive compensation programs.</w:t>
      </w:r>
    </w:p>
    <w:p>
      <w:pPr>
        <w:spacing w:after="0" w:line="200" w:lineRule="exact"/>
        <w:rPr>
          <w:sz w:val="20"/>
          <w:szCs w:val="20"/>
          <w:color w:val="auto"/>
        </w:rPr>
      </w:pPr>
    </w:p>
    <w:p>
      <w:pPr>
        <w:spacing w:after="0" w:line="2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7" w:right="599" w:bottom="1440" w:gutter="0" w:footer="0" w:header="0"/>
          <w:type w:val="continuous"/>
        </w:sectPr>
      </w:pPr>
    </w:p>
    <w:bookmarkStart w:id="12" w:name="page13"/>
    <w:bookmarkEnd w:id="12"/>
    <w:p>
      <w:pPr>
        <w:ind w:left="4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208280</wp:posOffset>
            </wp:positionH>
            <wp:positionV relativeFrom="page">
              <wp:posOffset>654685</wp:posOffset>
            </wp:positionV>
            <wp:extent cx="1817370" cy="33686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17370" cy="3368675"/>
                    </a:xfrm>
                    <a:prstGeom prst="rect">
                      <a:avLst/>
                    </a:prstGeom>
                    <a:noFill/>
                  </pic:spPr>
                </pic:pic>
              </a:graphicData>
            </a:graphic>
          </wp:anchor>
        </w:drawing>
        <w:t>Pay for Performance Philosophy</w:t>
      </w:r>
    </w:p>
    <w:p>
      <w:pPr>
        <w:spacing w:after="0" w:line="200" w:lineRule="exact"/>
        <w:rPr>
          <w:sz w:val="20"/>
          <w:szCs w:val="20"/>
          <w:color w:val="auto"/>
        </w:rPr>
      </w:pPr>
    </w:p>
    <w:p>
      <w:pPr>
        <w:spacing w:after="0" w:line="253" w:lineRule="exact"/>
        <w:rPr>
          <w:sz w:val="20"/>
          <w:szCs w:val="20"/>
          <w:color w:val="auto"/>
        </w:rPr>
      </w:pPr>
    </w:p>
    <w:p>
      <w:pPr>
        <w:ind w:left="420" w:right="40" w:firstLine="10"/>
        <w:spacing w:after="0" w:line="256" w:lineRule="auto"/>
        <w:rPr>
          <w:sz w:val="20"/>
          <w:szCs w:val="20"/>
          <w:color w:val="auto"/>
        </w:rPr>
      </w:pPr>
      <w:r>
        <w:rPr>
          <w:rFonts w:ascii="Arial" w:cs="Arial" w:eastAsia="Arial" w:hAnsi="Arial"/>
          <w:sz w:val="18"/>
          <w:szCs w:val="18"/>
          <w:color w:val="auto"/>
        </w:rPr>
        <w:t>Our compensation programs are designed to align executive pay with shareholder interests and link pay to performance through a blend of short- and long-term performance measures.</w:t>
      </w:r>
    </w:p>
    <w:p>
      <w:pPr>
        <w:spacing w:after="0" w:line="129" w:lineRule="exact"/>
        <w:rPr>
          <w:sz w:val="20"/>
          <w:szCs w:val="20"/>
          <w:color w:val="auto"/>
        </w:rPr>
      </w:pPr>
    </w:p>
    <w:p>
      <w:pPr>
        <w:ind w:left="420" w:firstLine="10"/>
        <w:spacing w:after="0" w:line="271" w:lineRule="auto"/>
        <w:rPr>
          <w:sz w:val="20"/>
          <w:szCs w:val="20"/>
          <w:color w:val="auto"/>
        </w:rPr>
      </w:pPr>
      <w:r>
        <w:rPr>
          <w:rFonts w:ascii="Arial" w:cs="Arial" w:eastAsia="Arial" w:hAnsi="Arial"/>
          <w:sz w:val="17"/>
          <w:szCs w:val="17"/>
          <w:color w:val="auto"/>
        </w:rPr>
        <w:t>Our Talent and Compensation Committee annually reviews our compensation programs to help ensure they provide incentives to deliver long-term, sustainable business results while discouraging excessive risk-taking and other adverse behaviors.</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Arial" w:cs="Arial" w:eastAsia="Arial" w:hAnsi="Arial"/>
          <w:sz w:val="18"/>
          <w:szCs w:val="18"/>
          <w:b w:val="1"/>
          <w:bCs w:val="1"/>
          <w:color w:val="FFFFFF"/>
        </w:rPr>
        <w:t>Compensation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-221615</wp:posOffset>
            </wp:positionV>
            <wp:extent cx="1843405" cy="33686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43405" cy="3368675"/>
                    </a:xfrm>
                    <a:prstGeom prst="rect">
                      <a:avLst/>
                    </a:prstGeom>
                    <a:noFill/>
                  </pic:spPr>
                </pic:pic>
              </a:graphicData>
            </a:graphic>
          </wp:anchor>
        </w:drawing>
      </w:r>
    </w:p>
    <w:p>
      <w:pPr>
        <w:spacing w:after="0" w:line="372" w:lineRule="exact"/>
        <w:rPr>
          <w:sz w:val="20"/>
          <w:szCs w:val="20"/>
          <w:color w:val="auto"/>
        </w:rPr>
      </w:pPr>
    </w:p>
    <w:p>
      <w:pPr>
        <w:ind w:right="520" w:hanging="246"/>
        <w:spacing w:after="0"/>
        <w:rPr>
          <w:sz w:val="20"/>
          <w:szCs w:val="20"/>
          <w:color w:val="auto"/>
        </w:rPr>
      </w:pPr>
      <w:r>
        <w:rPr>
          <w:sz w:val="1"/>
          <w:szCs w:val="1"/>
          <w:color w:val="auto"/>
        </w:rPr>
        <w:drawing>
          <wp:inline distT="0" distB="0" distL="0" distR="0">
            <wp:extent cx="120015" cy="11176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0015" cy="111760"/>
                    </a:xfrm>
                    <a:prstGeom prst="rect">
                      <a:avLst/>
                    </a:prstGeom>
                    <a:noFill/>
                    <a:ln>
                      <a:noFill/>
                    </a:ln>
                  </pic:spPr>
                </pic:pic>
              </a:graphicData>
            </a:graphic>
          </wp:inline>
        </w:drawing>
      </w:r>
      <w:r>
        <w:rPr>
          <w:rFonts w:ascii="Arial" w:cs="Arial" w:eastAsia="Arial" w:hAnsi="Arial"/>
          <w:sz w:val="18"/>
          <w:szCs w:val="18"/>
          <w:color w:val="auto"/>
        </w:rPr>
        <w:t xml:space="preserve"> We have robust stock ownership and retention guidelines for executive officers.</w:t>
      </w:r>
    </w:p>
    <w:p>
      <w:pPr>
        <w:spacing w:after="0" w:line="104" w:lineRule="exact"/>
        <w:rPr>
          <w:sz w:val="20"/>
          <w:szCs w:val="20"/>
          <w:color w:val="auto"/>
        </w:rPr>
      </w:pPr>
    </w:p>
    <w:p>
      <w:pPr>
        <w:ind w:right="60" w:hanging="246"/>
        <w:spacing w:after="0"/>
        <w:rPr>
          <w:sz w:val="20"/>
          <w:szCs w:val="20"/>
          <w:color w:val="auto"/>
        </w:rPr>
      </w:pPr>
      <w:r>
        <w:rPr>
          <w:sz w:val="1"/>
          <w:szCs w:val="1"/>
          <w:color w:val="auto"/>
        </w:rPr>
        <w:drawing>
          <wp:inline distT="0" distB="0" distL="0" distR="0">
            <wp:extent cx="120015" cy="11112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0015" cy="111125"/>
                    </a:xfrm>
                    <a:prstGeom prst="rect">
                      <a:avLst/>
                    </a:prstGeom>
                    <a:noFill/>
                    <a:ln>
                      <a:noFill/>
                    </a:ln>
                  </pic:spPr>
                </pic:pic>
              </a:graphicData>
            </a:graphic>
          </wp:inline>
        </w:drawing>
      </w:r>
      <w:r>
        <w:rPr>
          <w:rFonts w:ascii="Arial" w:cs="Arial" w:eastAsia="Arial" w:hAnsi="Arial"/>
          <w:sz w:val="18"/>
          <w:szCs w:val="18"/>
          <w:color w:val="auto"/>
        </w:rPr>
        <w:t xml:space="preserve"> Executive officers are prohibited from hedging or pledging their company stock.</w:t>
      </w:r>
    </w:p>
    <w:p>
      <w:pPr>
        <w:spacing w:after="0" w:line="104" w:lineRule="exact"/>
        <w:rPr>
          <w:sz w:val="20"/>
          <w:szCs w:val="20"/>
          <w:color w:val="auto"/>
        </w:rPr>
      </w:pPr>
    </w:p>
    <w:p>
      <w:pPr>
        <w:ind w:right="120" w:hanging="246"/>
        <w:spacing w:after="0"/>
        <w:rPr>
          <w:sz w:val="20"/>
          <w:szCs w:val="20"/>
          <w:color w:val="auto"/>
        </w:rPr>
      </w:pPr>
      <w:r>
        <w:rPr>
          <w:sz w:val="1"/>
          <w:szCs w:val="1"/>
          <w:color w:val="auto"/>
        </w:rPr>
        <w:drawing>
          <wp:inline distT="0" distB="0" distL="0" distR="0">
            <wp:extent cx="120015" cy="11112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0015" cy="111125"/>
                    </a:xfrm>
                    <a:prstGeom prst="rect">
                      <a:avLst/>
                    </a:prstGeom>
                    <a:noFill/>
                    <a:ln>
                      <a:noFill/>
                    </a:ln>
                  </pic:spPr>
                </pic:pic>
              </a:graphicData>
            </a:graphic>
          </wp:inline>
        </w:drawing>
      </w:r>
      <w:r>
        <w:rPr>
          <w:rFonts w:ascii="Arial" w:cs="Arial" w:eastAsia="Arial" w:hAnsi="Arial"/>
          <w:sz w:val="18"/>
          <w:szCs w:val="18"/>
          <w:color w:val="auto"/>
        </w:rPr>
        <w:t xml:space="preserve"> We have a compensation recovery or “clawback” policy that applies to all executives and covers a wide range of misconduct.</w:t>
      </w:r>
    </w:p>
    <w:p>
      <w:pPr>
        <w:spacing w:after="0" w:line="104" w:lineRule="exact"/>
        <w:rPr>
          <w:sz w:val="20"/>
          <w:szCs w:val="20"/>
          <w:color w:val="auto"/>
        </w:rPr>
      </w:pPr>
    </w:p>
    <w:p>
      <w:pPr>
        <w:ind w:hanging="246"/>
        <w:spacing w:after="0"/>
        <w:rPr>
          <w:sz w:val="20"/>
          <w:szCs w:val="20"/>
          <w:color w:val="auto"/>
        </w:rPr>
      </w:pPr>
      <w:r>
        <w:rPr>
          <w:sz w:val="1"/>
          <w:szCs w:val="1"/>
          <w:color w:val="auto"/>
        </w:rPr>
        <w:drawing>
          <wp:inline distT="0" distB="0" distL="0" distR="0">
            <wp:extent cx="120015" cy="11176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0015" cy="111760"/>
                    </a:xfrm>
                    <a:prstGeom prst="rect">
                      <a:avLst/>
                    </a:prstGeom>
                    <a:noFill/>
                    <a:ln>
                      <a:noFill/>
                    </a:ln>
                  </pic:spPr>
                </pic:pic>
              </a:graphicData>
            </a:graphic>
          </wp:inline>
        </w:drawing>
      </w:r>
      <w:r>
        <w:rPr>
          <w:rFonts w:ascii="Arial" w:cs="Arial" w:eastAsia="Arial" w:hAnsi="Arial"/>
          <w:sz w:val="18"/>
          <w:szCs w:val="18"/>
          <w:color w:val="auto"/>
        </w:rPr>
        <w:t xml:space="preserve"> We have a restrictive policy on perquisites.</w:t>
      </w:r>
    </w:p>
    <w:p>
      <w:pPr>
        <w:spacing w:after="0" w:line="104" w:lineRule="exact"/>
        <w:rPr>
          <w:sz w:val="20"/>
          <w:szCs w:val="20"/>
          <w:color w:val="auto"/>
        </w:rPr>
      </w:pPr>
    </w:p>
    <w:p>
      <w:pPr>
        <w:ind w:right="180" w:hanging="246"/>
        <w:spacing w:after="0"/>
        <w:rPr>
          <w:sz w:val="20"/>
          <w:szCs w:val="20"/>
          <w:color w:val="auto"/>
        </w:rPr>
      </w:pPr>
      <w:r>
        <w:rPr>
          <w:sz w:val="1"/>
          <w:szCs w:val="1"/>
          <w:color w:val="auto"/>
        </w:rPr>
        <w:drawing>
          <wp:inline distT="0" distB="0" distL="0" distR="0">
            <wp:extent cx="120015" cy="11176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0015" cy="111760"/>
                    </a:xfrm>
                    <a:prstGeom prst="rect">
                      <a:avLst/>
                    </a:prstGeom>
                    <a:noFill/>
                    <a:ln>
                      <a:noFill/>
                    </a:ln>
                  </pic:spPr>
                </pic:pic>
              </a:graphicData>
            </a:graphic>
          </wp:inline>
        </w:drawing>
      </w:r>
      <w:r>
        <w:rPr>
          <w:rFonts w:ascii="Arial" w:cs="Arial" w:eastAsia="Arial" w:hAnsi="Arial"/>
          <w:sz w:val="18"/>
          <w:szCs w:val="18"/>
          <w:color w:val="auto"/>
        </w:rPr>
        <w:t xml:space="preserve"> We have double trigger change-in-control provisions in severance plans.</w:t>
      </w:r>
    </w:p>
    <w:p>
      <w:pPr>
        <w:spacing w:after="0" w:line="20" w:lineRule="exact"/>
        <w:rPr>
          <w:sz w:val="20"/>
          <w:szCs w:val="20"/>
          <w:color w:val="auto"/>
        </w:rPr>
      </w:pPr>
      <w:r>
        <w:rPr>
          <w:sz w:val="20"/>
          <w:szCs w:val="20"/>
          <w:color w:val="auto"/>
        </w:rPr>
        <w:br w:type="column"/>
      </w:r>
    </w:p>
    <w:p>
      <w:pPr>
        <w:ind w:left="500"/>
        <w:spacing w:after="0"/>
        <w:rPr>
          <w:sz w:val="20"/>
          <w:szCs w:val="20"/>
          <w:color w:val="auto"/>
        </w:rPr>
      </w:pPr>
      <w:r>
        <w:rPr>
          <w:rFonts w:ascii="Arial" w:cs="Arial" w:eastAsia="Arial" w:hAnsi="Arial"/>
          <w:sz w:val="18"/>
          <w:szCs w:val="18"/>
          <w:b w:val="1"/>
          <w:bCs w:val="1"/>
          <w:color w:val="FFFFFF"/>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-221615</wp:posOffset>
            </wp:positionV>
            <wp:extent cx="1860550" cy="33686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60550" cy="336867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sz w:val="1"/>
          <w:szCs w:val="1"/>
          <w:color w:val="auto"/>
        </w:rPr>
        <w:drawing>
          <wp:inline distT="0" distB="0" distL="0" distR="0">
            <wp:extent cx="102870" cy="9461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Arial" w:cs="Arial" w:eastAsia="Arial" w:hAnsi="Arial"/>
          <w:sz w:val="18"/>
          <w:szCs w:val="18"/>
          <w:color w:val="auto"/>
        </w:rPr>
        <w:t xml:space="preserve"> We don’t enter into</w:t>
      </w:r>
    </w:p>
    <w:p>
      <w:pPr>
        <w:spacing w:after="0" w:line="4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employment agreements with</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any of our executive officers.</w:t>
      </w:r>
    </w:p>
    <w:p>
      <w:pPr>
        <w:spacing w:after="0" w:line="172" w:lineRule="exact"/>
        <w:rPr>
          <w:sz w:val="20"/>
          <w:szCs w:val="20"/>
          <w:color w:val="auto"/>
        </w:rPr>
      </w:pPr>
    </w:p>
    <w:p>
      <w:pPr>
        <w:spacing w:after="0"/>
        <w:rPr>
          <w:sz w:val="20"/>
          <w:szCs w:val="20"/>
          <w:color w:val="auto"/>
        </w:rPr>
      </w:pPr>
      <w:r>
        <w:rPr>
          <w:sz w:val="1"/>
          <w:szCs w:val="1"/>
          <w:color w:val="auto"/>
        </w:rPr>
        <w:drawing>
          <wp:inline distT="0" distB="0" distL="0" distR="0">
            <wp:extent cx="102870" cy="9398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2870" cy="93980"/>
                    </a:xfrm>
                    <a:prstGeom prst="rect">
                      <a:avLst/>
                    </a:prstGeom>
                    <a:noFill/>
                    <a:ln>
                      <a:noFill/>
                    </a:ln>
                  </pic:spPr>
                </pic:pic>
              </a:graphicData>
            </a:graphic>
          </wp:inline>
        </w:drawing>
      </w:r>
      <w:r>
        <w:rPr>
          <w:rFonts w:ascii="Arial" w:cs="Arial" w:eastAsia="Arial" w:hAnsi="Arial"/>
          <w:sz w:val="18"/>
          <w:szCs w:val="18"/>
          <w:color w:val="auto"/>
        </w:rPr>
        <w:t xml:space="preserve"> We don’t provide “top hat”</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retirement plans.</w:t>
      </w:r>
    </w:p>
    <w:p>
      <w:pPr>
        <w:spacing w:after="0" w:line="118" w:lineRule="exact"/>
        <w:rPr>
          <w:sz w:val="20"/>
          <w:szCs w:val="20"/>
          <w:color w:val="auto"/>
        </w:rPr>
      </w:pPr>
    </w:p>
    <w:p>
      <w:pPr>
        <w:ind w:left="260" w:right="2260" w:hanging="247"/>
        <w:spacing w:after="0"/>
        <w:rPr>
          <w:sz w:val="20"/>
          <w:szCs w:val="20"/>
          <w:color w:val="auto"/>
        </w:rPr>
      </w:pPr>
      <w:r>
        <w:rPr>
          <w:sz w:val="1"/>
          <w:szCs w:val="1"/>
          <w:color w:val="auto"/>
        </w:rPr>
        <w:drawing>
          <wp:inline distT="0" distB="0" distL="0" distR="0">
            <wp:extent cx="102870" cy="9398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2870" cy="93980"/>
                    </a:xfrm>
                    <a:prstGeom prst="rect">
                      <a:avLst/>
                    </a:prstGeom>
                    <a:noFill/>
                    <a:ln>
                      <a:noFill/>
                    </a:ln>
                  </pic:spPr>
                </pic:pic>
              </a:graphicData>
            </a:graphic>
          </wp:inline>
        </w:drawing>
      </w:r>
      <w:r>
        <w:rPr>
          <w:rFonts w:ascii="Arial" w:cs="Arial" w:eastAsia="Arial" w:hAnsi="Arial"/>
          <w:sz w:val="18"/>
          <w:szCs w:val="18"/>
          <w:color w:val="auto"/>
        </w:rPr>
        <w:t xml:space="preserve"> We don’t provide tax gross-ups to executive officers (except for limited gross-ups related to international assignments).</w:t>
      </w:r>
    </w:p>
    <w:p>
      <w:pPr>
        <w:spacing w:after="0" w:line="2292" w:lineRule="exact"/>
        <w:rPr>
          <w:sz w:val="20"/>
          <w:szCs w:val="20"/>
          <w:color w:val="auto"/>
        </w:rPr>
      </w:pPr>
    </w:p>
    <w:p>
      <w:pPr>
        <w:sectPr>
          <w:pgSz w:w="11900" w:h="16838" w:orient="portrait"/>
          <w:cols w:equalWidth="0" w:num="3">
            <w:col w:w="2820" w:space="640"/>
            <w:col w:w="2440" w:space="380"/>
            <w:col w:w="4960"/>
          </w:cols>
          <w:pgMar w:left="320" w:top="1174" w:right="339" w:bottom="1440" w:gutter="0" w:footer="0" w:header="0"/>
        </w:sectPr>
      </w:pPr>
    </w:p>
    <w:p>
      <w:pPr>
        <w:spacing w:after="0" w:line="177"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Executive Compensation Summary for 2022</w:t>
      </w:r>
    </w:p>
    <w:p>
      <w:pPr>
        <w:spacing w:after="0" w:line="69"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At the end of 2022, the total target compensation for our named executive officers was comparable to the median of the company’s peer group. Bonus and equity payouts exceeded target, consistent with strong company performance over the respective performance periods.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 for Performance</w:t>
      </w:r>
    </w:p>
    <w:p>
      <w:pPr>
        <w:spacing w:after="0" w:line="5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As described in the Compensation Discussion and Analysis (CD&amp;A), we link our incentive pay programs to a mix of measures on three dimensions of company performance: operating performance; progress with our innovation pipeline; and shareholder return (both absolute and relative). The Talent and Compensation Committee adjusts reported EPS results to eliminate the distorting effect of certain unusual items on incentive compensation performance measures.</w:t>
      </w:r>
    </w:p>
    <w:p>
      <w:pPr>
        <w:spacing w:after="0" w:line="14"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 xml:space="preserve">The summary below highlights how our incentive pay programs are intended to align with company performance. Please also see </w:t>
      </w:r>
      <w:r>
        <w:rPr>
          <w:rFonts w:ascii="Arial" w:cs="Arial" w:eastAsia="Arial" w:hAnsi="Arial"/>
          <w:sz w:val="18"/>
          <w:szCs w:val="18"/>
          <w:u w:val="single" w:color="auto"/>
          <w:color w:val="0000FF"/>
        </w:rPr>
        <w:t>Appendix</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w:t>
      </w:r>
      <w:r>
        <w:rPr>
          <w:rFonts w:ascii="Arial" w:cs="Arial" w:eastAsia="Arial" w:hAnsi="Arial"/>
          <w:sz w:val="18"/>
          <w:szCs w:val="18"/>
          <w:color w:val="0000FF"/>
        </w:rPr>
        <w:t xml:space="preserve"> </w:t>
      </w:r>
      <w:r>
        <w:rPr>
          <w:rFonts w:ascii="Arial" w:cs="Arial" w:eastAsia="Arial" w:hAnsi="Arial"/>
          <w:sz w:val="18"/>
          <w:szCs w:val="18"/>
          <w:color w:val="000000"/>
        </w:rPr>
        <w:t>for adjustments made to revenue and EPS for incentive compensation programs.</w:t>
      </w:r>
    </w:p>
    <w:p>
      <w:pPr>
        <w:sectPr>
          <w:pgSz w:w="11900" w:h="16838" w:orient="portrait"/>
          <w:cols w:equalWidth="0" w:num="1">
            <w:col w:w="11240"/>
          </w:cols>
          <w:pgMar w:left="320" w:top="1174" w:right="339" w:bottom="1440" w:gutter="0" w:footer="0" w:header="0"/>
          <w:type w:val="continuous"/>
        </w:sectPr>
      </w:pPr>
    </w:p>
    <w:p>
      <w:pPr>
        <w:spacing w:after="0" w:line="256" w:lineRule="exact"/>
        <w:rPr>
          <w:sz w:val="20"/>
          <w:szCs w:val="20"/>
          <w:color w:val="auto"/>
        </w:rPr>
      </w:pPr>
    </w:p>
    <w:p>
      <w:pPr>
        <w:ind w:left="180" w:hanging="154"/>
        <w:spacing w:after="0" w:line="264" w:lineRule="auto"/>
        <w:tabs>
          <w:tab w:leader="none" w:pos="169" w:val="left"/>
        </w:tabs>
        <w:numPr>
          <w:ilvl w:val="0"/>
          <w:numId w:val="13"/>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Bonus Plan Result: </w:t>
      </w:r>
      <w:r>
        <w:rPr>
          <w:rFonts w:ascii="Arial" w:cs="Arial" w:eastAsia="Arial" w:hAnsi="Arial"/>
          <w:sz w:val="17"/>
          <w:szCs w:val="17"/>
          <w:color w:val="000000"/>
        </w:rPr>
        <w:t>In 2022, the company exceeded its annual cash</w:t>
      </w:r>
      <w:r>
        <w:rPr>
          <w:rFonts w:ascii="Arial" w:cs="Arial" w:eastAsia="Arial" w:hAnsi="Arial"/>
          <w:sz w:val="20"/>
          <w:szCs w:val="20"/>
          <w:b w:val="1"/>
          <w:bCs w:val="1"/>
          <w:color w:val="D52B1E"/>
        </w:rPr>
        <w:t xml:space="preserve"> </w:t>
      </w:r>
      <w:r>
        <w:rPr>
          <w:rFonts w:ascii="Arial" w:cs="Arial" w:eastAsia="Arial" w:hAnsi="Arial"/>
          <w:sz w:val="17"/>
          <w:szCs w:val="17"/>
          <w:color w:val="000000"/>
        </w:rPr>
        <w:t xml:space="preserve">bonus target for revenue and nearly achieved its target for EPS. We also made significant pipeline advances. For purposes of the bonus, the Talent and Compensation Committee adjusted revenue and adjusted non-GAAP EPS to exclude estimated savings from certain discrete and unplanned performance items. See the </w:t>
      </w:r>
      <w:r>
        <w:rPr>
          <w:rFonts w:ascii="Arial" w:cs="Arial" w:eastAsia="Arial" w:hAnsi="Arial"/>
          <w:sz w:val="17"/>
          <w:szCs w:val="17"/>
          <w:u w:val="single" w:color="auto"/>
          <w:color w:val="0000FF"/>
        </w:rPr>
        <w:t>CD&amp;A</w:t>
      </w:r>
      <w:r>
        <w:rPr>
          <w:rFonts w:ascii="Arial" w:cs="Arial" w:eastAsia="Arial" w:hAnsi="Arial"/>
          <w:sz w:val="17"/>
          <w:szCs w:val="17"/>
          <w:color w:val="000000"/>
        </w:rPr>
        <w:t xml:space="preserve"> for further discussion of the Eli Lilly and Company Bonus Plan (Bonus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jc w:val="center"/>
        <w:ind w:right="2480"/>
        <w:spacing w:after="0"/>
        <w:rPr>
          <w:sz w:val="20"/>
          <w:szCs w:val="20"/>
          <w:color w:val="auto"/>
        </w:rPr>
      </w:pPr>
      <w:r>
        <w:rPr>
          <w:rFonts w:ascii="Arial" w:cs="Arial" w:eastAsia="Arial" w:hAnsi="Arial"/>
          <w:sz w:val="32"/>
          <w:szCs w:val="32"/>
          <w:color w:val="D52B1E"/>
        </w:rPr>
        <w:t>1.20</w:t>
      </w:r>
    </w:p>
    <w:p>
      <w:pPr>
        <w:spacing w:after="0" w:line="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Bonus Plan Multiple</w:t>
      </w:r>
    </w:p>
    <w:p>
      <w:pPr>
        <w:spacing w:after="0" w:line="777" w:lineRule="exact"/>
        <w:rPr>
          <w:sz w:val="20"/>
          <w:szCs w:val="20"/>
          <w:color w:val="auto"/>
        </w:rPr>
      </w:pPr>
    </w:p>
    <w:p>
      <w:pPr>
        <w:sectPr>
          <w:pgSz w:w="11900" w:h="16838" w:orient="portrait"/>
          <w:cols w:equalWidth="0" w:num="2">
            <w:col w:w="6120" w:space="580"/>
            <w:col w:w="4540"/>
          </w:cols>
          <w:pgMar w:left="320" w:top="1174" w:right="339" w:bottom="1440" w:gutter="0" w:footer="0" w:header="0"/>
          <w:type w:val="continuous"/>
        </w:sectPr>
      </w:pPr>
    </w:p>
    <w:p>
      <w:pPr>
        <w:spacing w:after="0" w:line="82" w:lineRule="exact"/>
        <w:rPr>
          <w:sz w:val="20"/>
          <w:szCs w:val="20"/>
          <w:color w:val="auto"/>
        </w:rPr>
      </w:pPr>
    </w:p>
    <w:p>
      <w:pPr>
        <w:ind w:left="180" w:right="120" w:hanging="154"/>
        <w:spacing w:after="0" w:line="264" w:lineRule="auto"/>
        <w:tabs>
          <w:tab w:leader="none" w:pos="169" w:val="left"/>
        </w:tabs>
        <w:numPr>
          <w:ilvl w:val="0"/>
          <w:numId w:val="14"/>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2021-2023 Performance Award (PA) Result: </w:t>
      </w:r>
      <w:r>
        <w:rPr>
          <w:rFonts w:ascii="Arial" w:cs="Arial" w:eastAsia="Arial" w:hAnsi="Arial"/>
          <w:sz w:val="17"/>
          <w:szCs w:val="17"/>
          <w:color w:val="000000"/>
        </w:rPr>
        <w:t xml:space="preserve">We exceeded the two-year EPS growth target set for our PA program. The PA target is based on expected EPS growth of peer companies over a two-year period. As a result of exceeding the EPS growth target set for our PA program, the PA payout was above target. See the </w:t>
      </w:r>
      <w:r>
        <w:rPr>
          <w:rFonts w:ascii="Arial" w:cs="Arial" w:eastAsia="Arial" w:hAnsi="Arial"/>
          <w:sz w:val="17"/>
          <w:szCs w:val="17"/>
          <w:u w:val="single" w:color="auto"/>
          <w:color w:val="0000FF"/>
        </w:rPr>
        <w:t>CD&amp;A</w:t>
      </w:r>
      <w:r>
        <w:rPr>
          <w:rFonts w:ascii="Arial" w:cs="Arial" w:eastAsia="Arial" w:hAnsi="Arial"/>
          <w:sz w:val="17"/>
          <w:szCs w:val="17"/>
          <w:color w:val="000000"/>
        </w:rPr>
        <w:t xml:space="preserve"> for further discussion on the PA program.</w:t>
      </w:r>
    </w:p>
    <w:p>
      <w:pPr>
        <w:spacing w:after="0" w:line="279" w:lineRule="exact"/>
        <w:rPr>
          <w:rFonts w:ascii="Arial" w:cs="Arial" w:eastAsia="Arial" w:hAnsi="Arial"/>
          <w:sz w:val="16"/>
          <w:szCs w:val="16"/>
          <w:b w:val="1"/>
          <w:bCs w:val="1"/>
          <w:color w:val="D52B1E"/>
        </w:rPr>
      </w:pPr>
    </w:p>
    <w:p>
      <w:pPr>
        <w:ind w:left="180" w:hanging="154"/>
        <w:spacing w:after="0" w:line="264" w:lineRule="auto"/>
        <w:tabs>
          <w:tab w:leader="none" w:pos="169" w:val="left"/>
        </w:tabs>
        <w:numPr>
          <w:ilvl w:val="0"/>
          <w:numId w:val="14"/>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2020-2022 Shareholder Value Award (SVA) Result: </w:t>
      </w:r>
      <w:r>
        <w:rPr>
          <w:rFonts w:ascii="Arial" w:cs="Arial" w:eastAsia="Arial" w:hAnsi="Arial"/>
          <w:sz w:val="17"/>
          <w:szCs w:val="17"/>
          <w:color w:val="000000"/>
        </w:rPr>
        <w:t>Our total stock</w:t>
      </w:r>
      <w:r>
        <w:rPr>
          <w:rFonts w:ascii="Arial" w:cs="Arial" w:eastAsia="Arial" w:hAnsi="Arial"/>
          <w:sz w:val="20"/>
          <w:szCs w:val="20"/>
          <w:b w:val="1"/>
          <w:bCs w:val="1"/>
          <w:color w:val="D52B1E"/>
        </w:rPr>
        <w:t xml:space="preserve"> </w:t>
      </w:r>
      <w:r>
        <w:rPr>
          <w:rFonts w:ascii="Arial" w:cs="Arial" w:eastAsia="Arial" w:hAnsi="Arial"/>
          <w:sz w:val="17"/>
          <w:szCs w:val="17"/>
          <w:color w:val="000000"/>
        </w:rPr>
        <w:t xml:space="preserve">price growth exceeded the target range in our SVA program, which is based on expected large-cap company returns over a three-year period. This performance resulted in a SVA payout above target. See the </w:t>
      </w:r>
      <w:r>
        <w:rPr>
          <w:rFonts w:ascii="Arial" w:cs="Arial" w:eastAsia="Arial" w:hAnsi="Arial"/>
          <w:sz w:val="17"/>
          <w:szCs w:val="17"/>
          <w:u w:val="single" w:color="auto"/>
          <w:color w:val="0000FF"/>
        </w:rPr>
        <w:t>CD&amp;A</w:t>
      </w:r>
      <w:r>
        <w:rPr>
          <w:rFonts w:ascii="Arial" w:cs="Arial" w:eastAsia="Arial" w:hAnsi="Arial"/>
          <w:sz w:val="17"/>
          <w:szCs w:val="17"/>
          <w:color w:val="000000"/>
        </w:rPr>
        <w:t xml:space="preserve"> for further discussion on the SVA program.</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ind w:right="2360"/>
        <w:spacing w:after="0"/>
        <w:rPr>
          <w:sz w:val="20"/>
          <w:szCs w:val="20"/>
          <w:color w:val="auto"/>
        </w:rPr>
      </w:pPr>
      <w:r>
        <w:rPr>
          <w:rFonts w:ascii="Arial" w:cs="Arial" w:eastAsia="Arial" w:hAnsi="Arial"/>
          <w:sz w:val="32"/>
          <w:szCs w:val="32"/>
          <w:color w:val="D52B1E"/>
        </w:rPr>
        <w:t>140%</w:t>
      </w:r>
    </w:p>
    <w:p>
      <w:pPr>
        <w:spacing w:after="0" w:line="45"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2021-2023 PA Payout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360"/>
        <w:spacing w:after="0"/>
        <w:rPr>
          <w:sz w:val="20"/>
          <w:szCs w:val="20"/>
          <w:color w:val="auto"/>
        </w:rPr>
      </w:pPr>
      <w:r>
        <w:rPr>
          <w:rFonts w:ascii="Arial" w:cs="Arial" w:eastAsia="Arial" w:hAnsi="Arial"/>
          <w:sz w:val="32"/>
          <w:szCs w:val="32"/>
          <w:color w:val="D52B1E"/>
        </w:rPr>
        <w:t>175%</w:t>
      </w:r>
    </w:p>
    <w:p>
      <w:pPr>
        <w:spacing w:after="0" w:line="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2020-2022 SVA Payout</w:t>
      </w:r>
    </w:p>
    <w:p>
      <w:pPr>
        <w:spacing w:after="0" w:line="563" w:lineRule="exact"/>
        <w:rPr>
          <w:sz w:val="20"/>
          <w:szCs w:val="20"/>
          <w:color w:val="auto"/>
        </w:rPr>
      </w:pPr>
    </w:p>
    <w:p>
      <w:pPr>
        <w:sectPr>
          <w:pgSz w:w="11900" w:h="16838" w:orient="portrait"/>
          <w:cols w:equalWidth="0" w:num="2">
            <w:col w:w="6360" w:space="220"/>
            <w:col w:w="4660"/>
          </w:cols>
          <w:pgMar w:left="320" w:top="1174" w:right="339" w:bottom="1440" w:gutter="0" w:footer="0" w:header="0"/>
          <w:type w:val="continuous"/>
        </w:sect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13" w:name="page14"/>
    <w:bookmarkEnd w:id="13"/>
    <w:p>
      <w:pPr>
        <w:ind w:left="180" w:hanging="154"/>
        <w:spacing w:after="0" w:line="264" w:lineRule="auto"/>
        <w:tabs>
          <w:tab w:leader="none" w:pos="169" w:val="left"/>
        </w:tabs>
        <w:numPr>
          <w:ilvl w:val="0"/>
          <w:numId w:val="15"/>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2020-2022 Relative Value Award (RVA) Result: </w:t>
      </w:r>
      <w:r>
        <w:rPr>
          <w:rFonts w:ascii="Arial" w:cs="Arial" w:eastAsia="Arial" w:hAnsi="Arial"/>
          <w:sz w:val="17"/>
          <w:szCs w:val="17"/>
          <w:color w:val="000000"/>
        </w:rPr>
        <w:t>The RVA measures</w:t>
      </w:r>
      <w:r>
        <w:rPr>
          <w:rFonts w:ascii="Arial" w:cs="Arial" w:eastAsia="Arial" w:hAnsi="Arial"/>
          <w:sz w:val="20"/>
          <w:szCs w:val="20"/>
          <w:b w:val="1"/>
          <w:bCs w:val="1"/>
          <w:color w:val="D52B1E"/>
        </w:rPr>
        <w:t xml:space="preserve"> </w:t>
      </w:r>
      <w:r>
        <w:rPr>
          <w:rFonts w:ascii="Arial" w:cs="Arial" w:eastAsia="Arial" w:hAnsi="Arial"/>
          <w:sz w:val="17"/>
          <w:szCs w:val="17"/>
          <w:color w:val="000000"/>
        </w:rPr>
        <w:t xml:space="preserve">Lilly’s relative total shareholder return (TSR) against its peers. Lilly’s TSR performance exceeded the peer median TSR for the 2020-2022 performance period resulting in a payout above target. See the </w:t>
      </w:r>
      <w:r>
        <w:rPr>
          <w:rFonts w:ascii="Arial" w:cs="Arial" w:eastAsia="Arial" w:hAnsi="Arial"/>
          <w:sz w:val="17"/>
          <w:szCs w:val="17"/>
          <w:u w:val="single" w:color="auto"/>
          <w:color w:val="0000FF"/>
        </w:rPr>
        <w:t>CD&amp;A</w:t>
      </w:r>
      <w:r>
        <w:rPr>
          <w:rFonts w:ascii="Arial" w:cs="Arial" w:eastAsia="Arial" w:hAnsi="Arial"/>
          <w:sz w:val="17"/>
          <w:szCs w:val="17"/>
          <w:color w:val="000000"/>
        </w:rPr>
        <w:t xml:space="preserve"> for further discussion on the RVA program.</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ind w:right="2340"/>
        <w:spacing w:after="0"/>
        <w:rPr>
          <w:sz w:val="20"/>
          <w:szCs w:val="20"/>
          <w:color w:val="auto"/>
        </w:rPr>
      </w:pPr>
      <w:r>
        <w:rPr>
          <w:rFonts w:ascii="Arial" w:cs="Arial" w:eastAsia="Arial" w:hAnsi="Arial"/>
          <w:sz w:val="32"/>
          <w:szCs w:val="32"/>
          <w:color w:val="D52B1E"/>
        </w:rPr>
        <w:t>175%</w:t>
      </w:r>
    </w:p>
    <w:p>
      <w:pPr>
        <w:spacing w:after="0" w:line="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2020-2022 RVA Payout</w:t>
      </w:r>
    </w:p>
    <w:p>
      <w:pPr>
        <w:spacing w:after="0" w:line="563" w:lineRule="exact"/>
        <w:rPr>
          <w:sz w:val="20"/>
          <w:szCs w:val="20"/>
          <w:color w:val="auto"/>
        </w:rPr>
      </w:pPr>
    </w:p>
    <w:p>
      <w:pPr>
        <w:sectPr>
          <w:pgSz w:w="11900" w:h="16838" w:orient="portrait"/>
          <w:cols w:equalWidth="0" w:num="2">
            <w:col w:w="6320" w:space="260"/>
            <w:col w:w="4660"/>
          </w:cols>
          <w:pgMar w:left="320" w:top="1250" w:right="339" w:bottom="1440" w:gutter="0" w:footer="0" w:header="0"/>
        </w:sectPr>
      </w:pPr>
    </w:p>
    <w:p>
      <w:pPr>
        <w:spacing w:after="0" w:line="195"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Voting</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47625</wp:posOffset>
            </wp:positionV>
            <wp:extent cx="668655" cy="6686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8655" cy="668655"/>
                    </a:xfrm>
                    <a:prstGeom prst="rect">
                      <a:avLst/>
                    </a:prstGeom>
                    <a:noFill/>
                  </pic:spPr>
                </pic:pic>
              </a:graphicData>
            </a:graphic>
          </wp:anchor>
        </w:drawing>
        <w:drawing>
          <wp:anchor simplePos="0" relativeHeight="251657728" behindDoc="1" locked="0" layoutInCell="0" allowOverlap="1">
            <wp:simplePos x="0" y="0"/>
            <wp:positionH relativeFrom="column">
              <wp:posOffset>1710690</wp:posOffset>
            </wp:positionH>
            <wp:positionV relativeFrom="paragraph">
              <wp:posOffset>99060</wp:posOffset>
            </wp:positionV>
            <wp:extent cx="565785" cy="5657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 cy="56578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107315</wp:posOffset>
            </wp:positionV>
            <wp:extent cx="548640" cy="548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48640" cy="54864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81915</wp:posOffset>
            </wp:positionV>
            <wp:extent cx="600075" cy="6000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007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000" w:type="dxa"/>
            <w:vAlign w:val="bottom"/>
          </w:tcPr>
          <w:p>
            <w:pPr>
              <w:jc w:val="center"/>
              <w:ind w:right="59"/>
              <w:spacing w:after="0"/>
              <w:rPr>
                <w:sz w:val="20"/>
                <w:szCs w:val="20"/>
                <w:color w:val="auto"/>
              </w:rPr>
            </w:pPr>
            <w:r>
              <w:rPr>
                <w:rFonts w:ascii="Arial" w:cs="Arial" w:eastAsia="Arial" w:hAnsi="Arial"/>
                <w:sz w:val="16"/>
                <w:szCs w:val="16"/>
                <w:b w:val="1"/>
                <w:bCs w:val="1"/>
                <w:color w:val="auto"/>
              </w:rPr>
              <w:t>ONLINE</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rPr>
              <w:t>BY TELEPHONE</w:t>
            </w:r>
          </w:p>
        </w:tc>
        <w:tc>
          <w:tcPr>
            <w:tcW w:w="2140" w:type="dxa"/>
            <w:vAlign w:val="bottom"/>
          </w:tcPr>
          <w:p>
            <w:pPr>
              <w:jc w:val="center"/>
              <w:spacing w:after="0"/>
              <w:rPr>
                <w:sz w:val="20"/>
                <w:szCs w:val="20"/>
                <w:color w:val="auto"/>
              </w:rPr>
            </w:pPr>
            <w:r>
              <w:rPr>
                <w:rFonts w:ascii="Arial" w:cs="Arial" w:eastAsia="Arial" w:hAnsi="Arial"/>
                <w:sz w:val="16"/>
                <w:szCs w:val="16"/>
                <w:b w:val="1"/>
                <w:bCs w:val="1"/>
                <w:color w:val="auto"/>
              </w:rPr>
              <w:t>BY MAIL</w:t>
            </w:r>
          </w:p>
        </w:tc>
        <w:tc>
          <w:tcPr>
            <w:tcW w:w="2940" w:type="dxa"/>
            <w:vAlign w:val="bottom"/>
          </w:tcPr>
          <w:p>
            <w:pPr>
              <w:jc w:val="center"/>
              <w:spacing w:after="0"/>
              <w:rPr>
                <w:sz w:val="20"/>
                <w:szCs w:val="20"/>
                <w:color w:val="auto"/>
              </w:rPr>
            </w:pPr>
            <w:r>
              <w:rPr>
                <w:rFonts w:ascii="Arial" w:cs="Arial" w:eastAsia="Arial" w:hAnsi="Arial"/>
                <w:sz w:val="16"/>
                <w:szCs w:val="16"/>
                <w:b w:val="1"/>
                <w:bCs w:val="1"/>
                <w:color w:val="auto"/>
                <w:w w:val="99"/>
              </w:rPr>
              <w:t>AT THE MEETING</w:t>
            </w:r>
          </w:p>
        </w:tc>
      </w:tr>
      <w:tr>
        <w:trPr>
          <w:trHeight w:val="163"/>
        </w:trPr>
        <w:tc>
          <w:tcPr>
            <w:tcW w:w="2000" w:type="dxa"/>
            <w:vAlign w:val="bottom"/>
          </w:tcPr>
          <w:p>
            <w:pPr>
              <w:jc w:val="center"/>
              <w:ind w:right="59"/>
              <w:spacing w:after="0" w:line="163" w:lineRule="exact"/>
              <w:rPr>
                <w:sz w:val="20"/>
                <w:szCs w:val="20"/>
                <w:color w:val="auto"/>
              </w:rPr>
            </w:pPr>
            <w:r>
              <w:rPr>
                <w:rFonts w:ascii="Arial" w:cs="Arial" w:eastAsia="Arial" w:hAnsi="Arial"/>
                <w:sz w:val="16"/>
                <w:szCs w:val="16"/>
                <w:color w:val="auto"/>
              </w:rPr>
              <w:t>Visit the website listed on</w:t>
            </w:r>
          </w:p>
        </w:tc>
        <w:tc>
          <w:tcPr>
            <w:tcW w:w="2020" w:type="dxa"/>
            <w:vAlign w:val="bottom"/>
          </w:tcPr>
          <w:p>
            <w:pPr>
              <w:jc w:val="center"/>
              <w:spacing w:after="0" w:line="163" w:lineRule="exact"/>
              <w:rPr>
                <w:sz w:val="20"/>
                <w:szCs w:val="20"/>
                <w:color w:val="auto"/>
              </w:rPr>
            </w:pPr>
            <w:r>
              <w:rPr>
                <w:rFonts w:ascii="Arial" w:cs="Arial" w:eastAsia="Arial" w:hAnsi="Arial"/>
                <w:sz w:val="16"/>
                <w:szCs w:val="16"/>
                <w:color w:val="auto"/>
              </w:rPr>
              <w:t>Call 1-800-690-6903 and</w:t>
            </w:r>
          </w:p>
        </w:tc>
        <w:tc>
          <w:tcPr>
            <w:tcW w:w="2140" w:type="dxa"/>
            <w:vAlign w:val="bottom"/>
          </w:tcPr>
          <w:p>
            <w:pPr>
              <w:jc w:val="center"/>
              <w:spacing w:after="0" w:line="163" w:lineRule="exact"/>
              <w:rPr>
                <w:sz w:val="20"/>
                <w:szCs w:val="20"/>
                <w:color w:val="auto"/>
              </w:rPr>
            </w:pPr>
            <w:r>
              <w:rPr>
                <w:rFonts w:ascii="Arial" w:cs="Arial" w:eastAsia="Arial" w:hAnsi="Arial"/>
                <w:sz w:val="16"/>
                <w:szCs w:val="16"/>
                <w:color w:val="auto"/>
              </w:rPr>
              <w:t>If you received or requested</w:t>
            </w:r>
          </w:p>
        </w:tc>
        <w:tc>
          <w:tcPr>
            <w:tcW w:w="2940" w:type="dxa"/>
            <w:vAlign w:val="bottom"/>
          </w:tcPr>
          <w:p>
            <w:pPr>
              <w:jc w:val="center"/>
              <w:spacing w:after="0" w:line="163" w:lineRule="exact"/>
              <w:rPr>
                <w:sz w:val="20"/>
                <w:szCs w:val="20"/>
                <w:color w:val="auto"/>
              </w:rPr>
            </w:pPr>
            <w:r>
              <w:rPr>
                <w:rFonts w:ascii="Arial" w:cs="Arial" w:eastAsia="Arial" w:hAnsi="Arial"/>
                <w:sz w:val="16"/>
                <w:szCs w:val="16"/>
                <w:color w:val="auto"/>
              </w:rPr>
              <w:t>Attend the Annual Meeting, online by</w:t>
            </w:r>
          </w:p>
        </w:tc>
      </w:tr>
      <w:tr>
        <w:trPr>
          <w:trHeight w:val="162"/>
        </w:trPr>
        <w:tc>
          <w:tcPr>
            <w:tcW w:w="2000" w:type="dxa"/>
            <w:vAlign w:val="bottom"/>
          </w:tcPr>
          <w:p>
            <w:pPr>
              <w:jc w:val="center"/>
              <w:ind w:right="59"/>
              <w:spacing w:after="0" w:line="162" w:lineRule="exact"/>
              <w:rPr>
                <w:sz w:val="20"/>
                <w:szCs w:val="20"/>
                <w:color w:val="auto"/>
              </w:rPr>
            </w:pPr>
            <w:r>
              <w:rPr>
                <w:rFonts w:ascii="Arial" w:cs="Arial" w:eastAsia="Arial" w:hAnsi="Arial"/>
                <w:sz w:val="16"/>
                <w:szCs w:val="16"/>
                <w:color w:val="auto"/>
              </w:rPr>
              <w:t>your notice, proxy card, or</w:t>
            </w:r>
          </w:p>
        </w:tc>
        <w:tc>
          <w:tcPr>
            <w:tcW w:w="2020" w:type="dxa"/>
            <w:vAlign w:val="bottom"/>
          </w:tcPr>
          <w:p>
            <w:pPr>
              <w:jc w:val="center"/>
              <w:spacing w:after="0" w:line="162" w:lineRule="exact"/>
              <w:rPr>
                <w:sz w:val="20"/>
                <w:szCs w:val="20"/>
                <w:color w:val="auto"/>
              </w:rPr>
            </w:pPr>
            <w:r>
              <w:rPr>
                <w:rFonts w:ascii="Arial" w:cs="Arial" w:eastAsia="Arial" w:hAnsi="Arial"/>
                <w:sz w:val="16"/>
                <w:szCs w:val="16"/>
                <w:color w:val="auto"/>
              </w:rPr>
              <w:t>follow the instructions</w:t>
            </w:r>
          </w:p>
        </w:tc>
        <w:tc>
          <w:tcPr>
            <w:tcW w:w="2140" w:type="dxa"/>
            <w:vAlign w:val="bottom"/>
          </w:tcPr>
          <w:p>
            <w:pPr>
              <w:jc w:val="center"/>
              <w:spacing w:after="0" w:line="162" w:lineRule="exact"/>
              <w:rPr>
                <w:sz w:val="20"/>
                <w:szCs w:val="20"/>
                <w:color w:val="auto"/>
              </w:rPr>
            </w:pPr>
            <w:r>
              <w:rPr>
                <w:rFonts w:ascii="Arial" w:cs="Arial" w:eastAsia="Arial" w:hAnsi="Arial"/>
                <w:sz w:val="16"/>
                <w:szCs w:val="16"/>
                <w:color w:val="auto"/>
              </w:rPr>
              <w:t>paper copies of your proxy</w:t>
            </w:r>
          </w:p>
        </w:tc>
        <w:tc>
          <w:tcPr>
            <w:tcW w:w="2940" w:type="dxa"/>
            <w:vAlign w:val="bottom"/>
          </w:tcPr>
          <w:p>
            <w:pPr>
              <w:jc w:val="center"/>
              <w:spacing w:after="0" w:line="162" w:lineRule="exact"/>
              <w:rPr>
                <w:sz w:val="20"/>
                <w:szCs w:val="20"/>
                <w:color w:val="auto"/>
              </w:rPr>
            </w:pPr>
            <w:r>
              <w:rPr>
                <w:rFonts w:ascii="Arial" w:cs="Arial" w:eastAsia="Arial" w:hAnsi="Arial"/>
                <w:sz w:val="16"/>
                <w:szCs w:val="16"/>
                <w:color w:val="auto"/>
              </w:rPr>
              <w:t>live webcast at</w:t>
            </w:r>
          </w:p>
        </w:tc>
      </w:tr>
      <w:tr>
        <w:trPr>
          <w:trHeight w:val="162"/>
        </w:trPr>
        <w:tc>
          <w:tcPr>
            <w:tcW w:w="2000" w:type="dxa"/>
            <w:vAlign w:val="bottom"/>
          </w:tcPr>
          <w:p>
            <w:pPr>
              <w:jc w:val="center"/>
              <w:ind w:right="59"/>
              <w:spacing w:after="0" w:line="162" w:lineRule="exact"/>
              <w:rPr>
                <w:sz w:val="20"/>
                <w:szCs w:val="20"/>
                <w:color w:val="auto"/>
              </w:rPr>
            </w:pPr>
            <w:r>
              <w:rPr>
                <w:rFonts w:ascii="Arial" w:cs="Arial" w:eastAsia="Arial" w:hAnsi="Arial"/>
                <w:sz w:val="16"/>
                <w:szCs w:val="16"/>
                <w:color w:val="auto"/>
              </w:rPr>
              <w:t>voting instruction form</w:t>
            </w:r>
          </w:p>
        </w:tc>
        <w:tc>
          <w:tcPr>
            <w:tcW w:w="2020" w:type="dxa"/>
            <w:vAlign w:val="bottom"/>
          </w:tcPr>
          <w:p>
            <w:pPr>
              <w:jc w:val="center"/>
              <w:spacing w:after="0" w:line="162" w:lineRule="exact"/>
              <w:rPr>
                <w:sz w:val="20"/>
                <w:szCs w:val="20"/>
                <w:color w:val="auto"/>
              </w:rPr>
            </w:pPr>
            <w:r>
              <w:rPr>
                <w:rFonts w:ascii="Arial" w:cs="Arial" w:eastAsia="Arial" w:hAnsi="Arial"/>
                <w:sz w:val="16"/>
                <w:szCs w:val="16"/>
                <w:color w:val="auto"/>
              </w:rPr>
              <w:t>provided</w:t>
            </w:r>
          </w:p>
        </w:tc>
        <w:tc>
          <w:tcPr>
            <w:tcW w:w="2140" w:type="dxa"/>
            <w:vAlign w:val="bottom"/>
          </w:tcPr>
          <w:p>
            <w:pPr>
              <w:jc w:val="center"/>
              <w:spacing w:after="0" w:line="162" w:lineRule="exact"/>
              <w:rPr>
                <w:sz w:val="20"/>
                <w:szCs w:val="20"/>
                <w:color w:val="auto"/>
              </w:rPr>
            </w:pPr>
            <w:r>
              <w:rPr>
                <w:rFonts w:ascii="Arial" w:cs="Arial" w:eastAsia="Arial" w:hAnsi="Arial"/>
                <w:sz w:val="16"/>
                <w:szCs w:val="16"/>
                <w:color w:val="auto"/>
              </w:rPr>
              <w:t>materials, sign, date, and</w:t>
            </w:r>
          </w:p>
        </w:tc>
        <w:tc>
          <w:tcPr>
            <w:tcW w:w="2940" w:type="dxa"/>
            <w:vAlign w:val="bottom"/>
          </w:tcPr>
          <w:p>
            <w:pPr>
              <w:jc w:val="center"/>
              <w:spacing w:after="0" w:line="162" w:lineRule="exact"/>
              <w:rPr>
                <w:sz w:val="20"/>
                <w:szCs w:val="20"/>
                <w:color w:val="auto"/>
              </w:rPr>
            </w:pPr>
            <w:r>
              <w:rPr>
                <w:rFonts w:ascii="Arial" w:cs="Arial" w:eastAsia="Arial" w:hAnsi="Arial"/>
                <w:sz w:val="16"/>
                <w:szCs w:val="16"/>
                <w:color w:val="D52B1E"/>
              </w:rPr>
              <w:t>virtualshareholdermeeting.com/LLY2023</w:t>
            </w:r>
          </w:p>
        </w:tc>
      </w:tr>
      <w:tr>
        <w:trPr>
          <w:trHeight w:val="162"/>
        </w:trPr>
        <w:tc>
          <w:tcPr>
            <w:tcW w:w="20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140" w:type="dxa"/>
            <w:vAlign w:val="bottom"/>
          </w:tcPr>
          <w:p>
            <w:pPr>
              <w:jc w:val="center"/>
              <w:spacing w:after="0" w:line="162" w:lineRule="exact"/>
              <w:rPr>
                <w:sz w:val="20"/>
                <w:szCs w:val="20"/>
                <w:color w:val="auto"/>
              </w:rPr>
            </w:pPr>
            <w:r>
              <w:rPr>
                <w:rFonts w:ascii="Arial" w:cs="Arial" w:eastAsia="Arial" w:hAnsi="Arial"/>
                <w:sz w:val="16"/>
                <w:szCs w:val="16"/>
                <w:color w:val="auto"/>
              </w:rPr>
              <w:t>return your proxy card or</w:t>
            </w:r>
          </w:p>
        </w:tc>
        <w:tc>
          <w:tcPr>
            <w:tcW w:w="2940" w:type="dxa"/>
            <w:vAlign w:val="bottom"/>
          </w:tcPr>
          <w:p>
            <w:pPr>
              <w:jc w:val="center"/>
              <w:spacing w:after="0" w:line="162" w:lineRule="exact"/>
              <w:rPr>
                <w:sz w:val="20"/>
                <w:szCs w:val="20"/>
                <w:color w:val="auto"/>
              </w:rPr>
            </w:pPr>
            <w:r>
              <w:rPr>
                <w:rFonts w:ascii="Arial" w:cs="Arial" w:eastAsia="Arial" w:hAnsi="Arial"/>
                <w:sz w:val="16"/>
                <w:szCs w:val="16"/>
                <w:color w:val="auto"/>
              </w:rPr>
              <w:t>on Monday, May 1, 2023, at 8:30 a.m.</w:t>
            </w:r>
          </w:p>
        </w:tc>
      </w:tr>
      <w:tr>
        <w:trPr>
          <w:trHeight w:val="215"/>
        </w:trPr>
        <w:tc>
          <w:tcPr>
            <w:tcW w:w="20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6"/>
                <w:szCs w:val="16"/>
                <w:color w:val="auto"/>
              </w:rPr>
              <w:t>voting instruction form</w:t>
            </w:r>
          </w:p>
        </w:tc>
        <w:tc>
          <w:tcPr>
            <w:tcW w:w="2940" w:type="dxa"/>
            <w:vAlign w:val="bottom"/>
          </w:tcPr>
          <w:p>
            <w:pPr>
              <w:jc w:val="center"/>
              <w:spacing w:after="0"/>
              <w:rPr>
                <w:sz w:val="20"/>
                <w:szCs w:val="20"/>
                <w:color w:val="auto"/>
              </w:rPr>
            </w:pPr>
            <w:r>
              <w:rPr>
                <w:rFonts w:ascii="Arial" w:cs="Arial" w:eastAsia="Arial" w:hAnsi="Arial"/>
                <w:sz w:val="16"/>
                <w:szCs w:val="16"/>
                <w:color w:val="auto"/>
              </w:rPr>
              <w:t>EDT</w:t>
            </w:r>
          </w:p>
        </w:tc>
      </w:tr>
    </w:tbl>
    <w:p>
      <w:pPr>
        <w:spacing w:after="0" w:line="229" w:lineRule="exact"/>
        <w:rPr>
          <w:sz w:val="20"/>
          <w:szCs w:val="20"/>
          <w:color w:val="auto"/>
        </w:rPr>
      </w:pPr>
    </w:p>
    <w:p>
      <w:pPr>
        <w:ind w:right="20"/>
        <w:spacing w:after="0"/>
        <w:rPr>
          <w:sz w:val="20"/>
          <w:szCs w:val="20"/>
          <w:color w:val="auto"/>
        </w:rPr>
      </w:pPr>
      <w:r>
        <w:rPr>
          <w:rFonts w:ascii="Arial" w:cs="Arial" w:eastAsia="Arial" w:hAnsi="Arial"/>
          <w:sz w:val="22"/>
          <w:szCs w:val="22"/>
          <w:b w:val="1"/>
          <w:bCs w:val="1"/>
          <w:color w:val="auto"/>
        </w:rPr>
        <w:t xml:space="preserve">Vote Early: </w:t>
      </w:r>
      <w:r>
        <w:rPr>
          <w:rFonts w:ascii="Arial" w:cs="Arial" w:eastAsia="Arial" w:hAnsi="Arial"/>
          <w:sz w:val="17"/>
          <w:szCs w:val="17"/>
          <w:color w:val="auto"/>
        </w:rPr>
        <w:t>Even if you plan to attend the Annual Meeting, we encourage you to vote prior to the meeting, either online, by telephone or by</w:t>
      </w:r>
      <w:r>
        <w:rPr>
          <w:rFonts w:ascii="Arial" w:cs="Arial" w:eastAsia="Arial" w:hAnsi="Arial"/>
          <w:sz w:val="22"/>
          <w:szCs w:val="22"/>
          <w:b w:val="1"/>
          <w:bCs w:val="1"/>
          <w:color w:val="auto"/>
        </w:rPr>
        <w:t xml:space="preserve"> </w:t>
      </w:r>
      <w:r>
        <w:rPr>
          <w:rFonts w:ascii="Arial" w:cs="Arial" w:eastAsia="Arial" w:hAnsi="Arial"/>
          <w:sz w:val="17"/>
          <w:szCs w:val="17"/>
          <w:color w:val="auto"/>
        </w:rPr>
        <w:t>mail.</w:t>
      </w:r>
    </w:p>
    <w:p>
      <w:pPr>
        <w:spacing w:after="0" w:line="200" w:lineRule="exact"/>
        <w:rPr>
          <w:sz w:val="20"/>
          <w:szCs w:val="20"/>
          <w:color w:val="auto"/>
        </w:rPr>
      </w:pPr>
    </w:p>
    <w:p>
      <w:pPr>
        <w:spacing w:after="0" w:line="236" w:lineRule="exact"/>
        <w:rPr>
          <w:sz w:val="20"/>
          <w:szCs w:val="20"/>
          <w:color w:val="auto"/>
        </w:rPr>
      </w:pPr>
    </w:p>
    <w:p>
      <w:pPr>
        <w:spacing w:after="0" w:line="271" w:lineRule="auto"/>
        <w:rPr>
          <w:sz w:val="20"/>
          <w:szCs w:val="20"/>
          <w:color w:val="auto"/>
        </w:rPr>
      </w:pPr>
      <w:r>
        <w:rPr>
          <w:rFonts w:ascii="Arial" w:cs="Arial" w:eastAsia="Arial" w:hAnsi="Arial"/>
          <w:sz w:val="22"/>
          <w:szCs w:val="22"/>
          <w:b w:val="1"/>
          <w:bCs w:val="1"/>
          <w:color w:val="auto"/>
        </w:rPr>
        <w:t xml:space="preserve">Beneficial Shareholders: </w:t>
      </w:r>
      <w:r>
        <w:rPr>
          <w:rFonts w:ascii="Arial" w:cs="Arial" w:eastAsia="Arial" w:hAnsi="Arial"/>
          <w:sz w:val="17"/>
          <w:szCs w:val="17"/>
          <w:color w:val="auto"/>
        </w:rPr>
        <w:t>Shareholders who hold their shares beneficially through an institutional holder of record, such as a broker or</w:t>
      </w:r>
      <w:r>
        <w:rPr>
          <w:rFonts w:ascii="Arial" w:cs="Arial" w:eastAsia="Arial" w:hAnsi="Arial"/>
          <w:sz w:val="22"/>
          <w:szCs w:val="22"/>
          <w:b w:val="1"/>
          <w:bCs w:val="1"/>
          <w:color w:val="auto"/>
        </w:rPr>
        <w:t xml:space="preserve"> </w:t>
      </w:r>
      <w:r>
        <w:rPr>
          <w:rFonts w:ascii="Arial" w:cs="Arial" w:eastAsia="Arial" w:hAnsi="Arial"/>
          <w:sz w:val="17"/>
          <w:szCs w:val="17"/>
          <w:color w:val="auto"/>
        </w:rPr>
        <w:t>bank (sometimes referred to as holding shares in street name), will receive voting instructions from that holder of record. If you do not provide voting instructions to the holder of record, your shares will not be voted on any proposal on which the broker does not have discretionary authority to vote. See “</w:t>
      </w:r>
      <w:r>
        <w:rPr>
          <w:rFonts w:ascii="Arial" w:cs="Arial" w:eastAsia="Arial" w:hAnsi="Arial"/>
          <w:sz w:val="17"/>
          <w:szCs w:val="17"/>
          <w:u w:val="single" w:color="auto"/>
          <w:color w:val="0000FF"/>
        </w:rPr>
        <w:t>Other Information—Meeting and Voting Logistics—How to Vote</w:t>
      </w:r>
      <w:r>
        <w:rPr>
          <w:rFonts w:ascii="Arial" w:cs="Arial" w:eastAsia="Arial" w:hAnsi="Arial"/>
          <w:sz w:val="17"/>
          <w:szCs w:val="17"/>
          <w:color w:val="auto"/>
        </w:rPr>
        <w:t>” for more information.</w:t>
      </w:r>
    </w:p>
    <w:p>
      <w:pPr>
        <w:spacing w:after="0" w:line="173" w:lineRule="exact"/>
        <w:rPr>
          <w:sz w:val="20"/>
          <w:szCs w:val="20"/>
          <w:color w:val="auto"/>
        </w:rPr>
      </w:pPr>
    </w:p>
    <w:p>
      <w:pPr>
        <w:jc w:val="both"/>
        <w:ind w:right="60"/>
        <w:spacing w:after="0" w:line="271" w:lineRule="auto"/>
        <w:rPr>
          <w:sz w:val="20"/>
          <w:szCs w:val="20"/>
          <w:color w:val="auto"/>
        </w:rPr>
      </w:pPr>
      <w:r>
        <w:rPr>
          <w:rFonts w:ascii="Arial" w:cs="Arial" w:eastAsia="Arial" w:hAnsi="Arial"/>
          <w:sz w:val="22"/>
          <w:szCs w:val="22"/>
          <w:b w:val="1"/>
          <w:bCs w:val="1"/>
          <w:color w:val="auto"/>
        </w:rPr>
        <w:t xml:space="preserve">Voting Deadlines: </w:t>
      </w:r>
      <w:r>
        <w:rPr>
          <w:rFonts w:ascii="Arial" w:cs="Arial" w:eastAsia="Arial" w:hAnsi="Arial"/>
          <w:sz w:val="17"/>
          <w:szCs w:val="17"/>
          <w:color w:val="auto"/>
        </w:rPr>
        <w:t>You may vote your shares prior to the Annual Meeting until 11:59 p.m. EDT on April 30, 2023, online or by telephone.</w:t>
      </w:r>
      <w:r>
        <w:rPr>
          <w:rFonts w:ascii="Arial" w:cs="Arial" w:eastAsia="Arial" w:hAnsi="Arial"/>
          <w:sz w:val="22"/>
          <w:szCs w:val="22"/>
          <w:b w:val="1"/>
          <w:bCs w:val="1"/>
          <w:color w:val="auto"/>
        </w:rPr>
        <w:t xml:space="preserve"> </w:t>
      </w:r>
      <w:r>
        <w:rPr>
          <w:rFonts w:ascii="Arial" w:cs="Arial" w:eastAsia="Arial" w:hAnsi="Arial"/>
          <w:sz w:val="17"/>
          <w:szCs w:val="17"/>
          <w:color w:val="auto"/>
        </w:rPr>
        <w:t>If you are voting by mail, your marked, signed, and dated proxy card must be received by April 30, 2023. Shareholders who hold their shares in the 401(k) Plan must vote in advance of the Annual Meeting, by April 26, 2023, so the plan trustee can vote their shares accordingly. See “</w:t>
      </w:r>
      <w:r>
        <w:rPr>
          <w:rFonts w:ascii="Arial" w:cs="Arial" w:eastAsia="Arial" w:hAnsi="Arial"/>
          <w:sz w:val="17"/>
          <w:szCs w:val="17"/>
          <w:u w:val="single" w:color="auto"/>
          <w:color w:val="0000FF"/>
        </w:rPr>
        <w:t>Other Information—Meeting and Voting Logistics—How to Vote</w:t>
      </w:r>
      <w:r>
        <w:rPr>
          <w:rFonts w:ascii="Arial" w:cs="Arial" w:eastAsia="Arial" w:hAnsi="Arial"/>
          <w:sz w:val="17"/>
          <w:szCs w:val="17"/>
          <w:color w:val="auto"/>
        </w:rPr>
        <w:t>” for more information.</w:t>
      </w:r>
    </w:p>
    <w:p>
      <w:pPr>
        <w:spacing w:after="0" w:line="173" w:lineRule="exact"/>
        <w:rPr>
          <w:sz w:val="20"/>
          <w:szCs w:val="20"/>
          <w:color w:val="auto"/>
        </w:rPr>
      </w:pPr>
    </w:p>
    <w:p>
      <w:pPr>
        <w:ind w:right="300"/>
        <w:spacing w:after="0" w:line="233" w:lineRule="auto"/>
        <w:rPr>
          <w:sz w:val="20"/>
          <w:szCs w:val="20"/>
          <w:color w:val="auto"/>
        </w:rPr>
      </w:pPr>
      <w:r>
        <w:rPr>
          <w:rFonts w:ascii="Arial" w:cs="Arial" w:eastAsia="Arial" w:hAnsi="Arial"/>
          <w:sz w:val="22"/>
          <w:szCs w:val="22"/>
          <w:b w:val="1"/>
          <w:bCs w:val="1"/>
          <w:color w:val="auto"/>
        </w:rPr>
        <w:t xml:space="preserve">More Information: </w:t>
      </w:r>
      <w:r>
        <w:rPr>
          <w:rFonts w:ascii="Arial" w:cs="Arial" w:eastAsia="Arial" w:hAnsi="Arial"/>
          <w:sz w:val="17"/>
          <w:szCs w:val="17"/>
          <w:color w:val="auto"/>
        </w:rPr>
        <w:t>Further information on how to vote, including if you hold voting shares in the 401(k) Plan, is provided under “</w:t>
      </w:r>
      <w:r>
        <w:rPr>
          <w:rFonts w:ascii="Arial" w:cs="Arial" w:eastAsia="Arial" w:hAnsi="Arial"/>
          <w:sz w:val="17"/>
          <w:szCs w:val="17"/>
          <w:u w:val="single" w:color="auto"/>
          <w:color w:val="0000FF"/>
        </w:rPr>
        <w:t>Other</w:t>
      </w:r>
      <w:r>
        <w:rPr>
          <w:rFonts w:ascii="Arial" w:cs="Arial" w:eastAsia="Arial" w:hAnsi="Arial"/>
          <w:sz w:val="22"/>
          <w:szCs w:val="22"/>
          <w:b w:val="1"/>
          <w:bCs w:val="1"/>
          <w:color w:val="auto"/>
        </w:rPr>
        <w:t xml:space="preserve"> </w:t>
      </w:r>
      <w:r>
        <w:rPr>
          <w:rFonts w:ascii="Arial" w:cs="Arial" w:eastAsia="Arial" w:hAnsi="Arial"/>
          <w:sz w:val="17"/>
          <w:szCs w:val="17"/>
          <w:u w:val="single" w:color="auto"/>
          <w:color w:val="0000FF"/>
        </w:rPr>
        <w:t>Information—Meeting and Voting Logistics—How to Vote</w:t>
      </w:r>
      <w:r>
        <w:rPr>
          <w:rFonts w:ascii="Arial" w:cs="Arial" w:eastAsia="Arial" w:hAnsi="Arial"/>
          <w:sz w:val="17"/>
          <w:szCs w:val="17"/>
          <w:color w:val="000000"/>
        </w:rPr>
        <w:t>.”</w:t>
      </w:r>
    </w:p>
    <w:p>
      <w:pPr>
        <w:spacing w:after="0" w:line="134"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Voting Matters and Board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57607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7"/>
              </w:rPr>
              <w:t>Board Vote</w:t>
            </w:r>
          </w:p>
        </w:tc>
        <w:tc>
          <w:tcPr>
            <w:tcW w:w="7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9"/>
              </w:rPr>
              <w:t>See</w:t>
            </w:r>
          </w:p>
        </w:tc>
      </w:tr>
      <w:tr>
        <w:trPr>
          <w:trHeight w:val="255"/>
        </w:trPr>
        <w:tc>
          <w:tcPr>
            <w:tcW w:w="4860" w:type="dxa"/>
            <w:vAlign w:val="bottom"/>
            <w:tcBorders>
              <w:bottom w:val="single" w:sz="8" w:color="666666"/>
            </w:tcBorders>
          </w:tcPr>
          <w:p>
            <w:pPr>
              <w:ind w:left="800"/>
              <w:spacing w:after="0"/>
              <w:rPr>
                <w:sz w:val="20"/>
                <w:szCs w:val="20"/>
                <w:color w:val="auto"/>
              </w:rPr>
            </w:pPr>
            <w:r>
              <w:rPr>
                <w:rFonts w:ascii="Arial" w:cs="Arial" w:eastAsia="Arial" w:hAnsi="Arial"/>
                <w:sz w:val="18"/>
                <w:szCs w:val="18"/>
                <w:b w:val="1"/>
                <w:bCs w:val="1"/>
                <w:color w:val="auto"/>
              </w:rPr>
              <w:t>Voting Matter</w:t>
            </w:r>
          </w:p>
        </w:tc>
        <w:tc>
          <w:tcPr>
            <w:tcW w:w="1700" w:type="dxa"/>
            <w:vAlign w:val="bottom"/>
            <w:tcBorders>
              <w:bottom w:val="single" w:sz="8" w:color="666666"/>
            </w:tcBorders>
          </w:tcPr>
          <w:p>
            <w:pPr>
              <w:jc w:val="center"/>
              <w:ind w:left="10"/>
              <w:spacing w:after="0"/>
              <w:rPr>
                <w:sz w:val="20"/>
                <w:szCs w:val="20"/>
                <w:color w:val="auto"/>
              </w:rPr>
            </w:pPr>
            <w:r>
              <w:rPr>
                <w:rFonts w:ascii="Arial" w:cs="Arial" w:eastAsia="Arial" w:hAnsi="Arial"/>
                <w:sz w:val="18"/>
                <w:szCs w:val="18"/>
                <w:b w:val="1"/>
                <w:bCs w:val="1"/>
                <w:color w:val="auto"/>
                <w:w w:val="98"/>
              </w:rPr>
              <w:t>Required Vote</w:t>
            </w:r>
          </w:p>
        </w:tc>
        <w:tc>
          <w:tcPr>
            <w:tcW w:w="1800" w:type="dxa"/>
            <w:vAlign w:val="bottom"/>
            <w:tcBorders>
              <w:bottom w:val="single" w:sz="8" w:color="666666"/>
            </w:tcBorders>
          </w:tcPr>
          <w:p>
            <w:pPr>
              <w:jc w:val="center"/>
              <w:spacing w:after="0"/>
              <w:rPr>
                <w:sz w:val="20"/>
                <w:szCs w:val="20"/>
                <w:color w:val="auto"/>
              </w:rPr>
            </w:pPr>
            <w:r>
              <w:rPr>
                <w:rFonts w:ascii="Arial" w:cs="Arial" w:eastAsia="Arial" w:hAnsi="Arial"/>
                <w:sz w:val="18"/>
                <w:szCs w:val="18"/>
                <w:b w:val="1"/>
                <w:bCs w:val="1"/>
                <w:color w:val="auto"/>
                <w:w w:val="99"/>
              </w:rPr>
              <w:t>Recommendation</w:t>
            </w:r>
          </w:p>
        </w:tc>
        <w:tc>
          <w:tcPr>
            <w:tcW w:w="720" w:type="dxa"/>
            <w:vAlign w:val="bottom"/>
            <w:tcBorders>
              <w:bottom w:val="single" w:sz="8" w:color="666666"/>
            </w:tcBorders>
            <w:gridSpan w:val="3"/>
          </w:tcPr>
          <w:p>
            <w:pPr>
              <w:jc w:val="center"/>
              <w:ind w:right="20"/>
              <w:spacing w:after="0"/>
              <w:rPr>
                <w:sz w:val="20"/>
                <w:szCs w:val="20"/>
                <w:color w:val="auto"/>
              </w:rPr>
            </w:pPr>
            <w:r>
              <w:rPr>
                <w:rFonts w:ascii="Arial" w:cs="Arial" w:eastAsia="Arial" w:hAnsi="Arial"/>
                <w:sz w:val="18"/>
                <w:szCs w:val="18"/>
                <w:b w:val="1"/>
                <w:bCs w:val="1"/>
                <w:color w:val="auto"/>
                <w:w w:val="97"/>
              </w:rPr>
              <w:t>Page</w:t>
            </w:r>
          </w:p>
        </w:tc>
      </w:tr>
      <w:tr>
        <w:trPr>
          <w:trHeight w:val="203"/>
        </w:trPr>
        <w:tc>
          <w:tcPr>
            <w:tcW w:w="4860" w:type="dxa"/>
            <w:vAlign w:val="bottom"/>
            <w:shd w:val="clear" w:color="auto" w:fill="F2F2F2"/>
          </w:tcPr>
          <w:p>
            <w:pPr>
              <w:ind w:left="20"/>
              <w:spacing w:after="0" w:line="182" w:lineRule="exact"/>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b w:val="1"/>
                <w:bCs w:val="1"/>
                <w:color w:val="D52B1E"/>
              </w:rPr>
              <w:t>Election of four directors</w:t>
            </w:r>
            <w:r>
              <w:rPr>
                <w:rFonts w:ascii="Arial" w:cs="Arial" w:eastAsia="Arial" w:hAnsi="Arial"/>
                <w:sz w:val="18"/>
                <w:szCs w:val="18"/>
                <w:color w:val="auto"/>
              </w:rPr>
              <w:t xml:space="preserve"> to serve three-year</w:t>
            </w:r>
          </w:p>
        </w:tc>
        <w:tc>
          <w:tcPr>
            <w:tcW w:w="1700" w:type="dxa"/>
            <w:vAlign w:val="bottom"/>
            <w:shd w:val="clear" w:color="auto" w:fill="F2F2F2"/>
          </w:tcPr>
          <w:p>
            <w:pPr>
              <w:jc w:val="center"/>
              <w:ind w:left="30"/>
              <w:spacing w:after="0" w:line="182" w:lineRule="exact"/>
              <w:rPr>
                <w:sz w:val="20"/>
                <w:szCs w:val="20"/>
                <w:color w:val="auto"/>
              </w:rPr>
            </w:pPr>
            <w:r>
              <w:rPr>
                <w:rFonts w:ascii="Arial" w:cs="Arial" w:eastAsia="Arial" w:hAnsi="Arial"/>
                <w:sz w:val="18"/>
                <w:szCs w:val="18"/>
                <w:color w:val="auto"/>
                <w:w w:val="99"/>
              </w:rPr>
              <w:t>Majority of votes</w:t>
            </w:r>
          </w:p>
        </w:tc>
        <w:tc>
          <w:tcPr>
            <w:tcW w:w="1800" w:type="dxa"/>
            <w:vAlign w:val="bottom"/>
            <w:shd w:val="clear" w:color="auto" w:fill="F2F2F2"/>
          </w:tcPr>
          <w:p>
            <w:pPr>
              <w:jc w:val="center"/>
              <w:spacing w:after="0" w:line="182" w:lineRule="exact"/>
              <w:rPr>
                <w:sz w:val="20"/>
                <w:szCs w:val="20"/>
                <w:color w:val="auto"/>
              </w:rPr>
            </w:pPr>
            <w:r>
              <w:rPr>
                <w:rFonts w:ascii="Arial" w:cs="Arial" w:eastAsia="Arial" w:hAnsi="Arial"/>
                <w:sz w:val="18"/>
                <w:szCs w:val="18"/>
                <w:color w:val="auto"/>
              </w:rPr>
              <w:t>FOR EACH</w:t>
            </w:r>
          </w:p>
        </w:tc>
        <w:tc>
          <w:tcPr>
            <w:tcW w:w="720" w:type="dxa"/>
            <w:vAlign w:val="bottom"/>
            <w:gridSpan w:val="3"/>
            <w:shd w:val="clear" w:color="auto" w:fill="F2F2F2"/>
          </w:tcPr>
          <w:p>
            <w:pPr>
              <w:jc w:val="center"/>
              <w:ind w:right="40"/>
              <w:spacing w:after="0" w:line="182" w:lineRule="exact"/>
              <w:rPr>
                <w:sz w:val="20"/>
                <w:szCs w:val="20"/>
                <w:color w:val="auto"/>
              </w:rPr>
            </w:pPr>
            <w:r>
              <w:rPr>
                <w:rFonts w:ascii="Arial" w:cs="Arial" w:eastAsia="Arial" w:hAnsi="Arial"/>
                <w:sz w:val="18"/>
                <w:szCs w:val="18"/>
                <w:color w:val="0000FF"/>
                <w:w w:val="99"/>
              </w:rPr>
              <w:t>27</w:t>
            </w:r>
          </w:p>
        </w:tc>
      </w:tr>
      <w:tr>
        <w:trPr>
          <w:trHeight w:val="218"/>
        </w:trPr>
        <w:tc>
          <w:tcPr>
            <w:tcW w:w="4860" w:type="dxa"/>
            <w:vAlign w:val="bottom"/>
            <w:tcBorders>
              <w:top w:val="single" w:sz="8" w:color="F2F2F2"/>
            </w:tcBorders>
            <w:shd w:val="clear" w:color="auto" w:fill="F2F2F2"/>
          </w:tcPr>
          <w:p>
            <w:pPr>
              <w:ind w:left="800"/>
              <w:spacing w:after="0"/>
              <w:rPr>
                <w:sz w:val="20"/>
                <w:szCs w:val="20"/>
                <w:color w:val="auto"/>
              </w:rPr>
            </w:pPr>
            <w:r>
              <w:rPr>
                <w:rFonts w:ascii="Arial" w:cs="Arial" w:eastAsia="Arial" w:hAnsi="Arial"/>
                <w:sz w:val="18"/>
                <w:szCs w:val="18"/>
                <w:color w:val="auto"/>
              </w:rPr>
              <w:t>terms</w:t>
            </w:r>
          </w:p>
        </w:tc>
        <w:tc>
          <w:tcPr>
            <w:tcW w:w="1700" w:type="dxa"/>
            <w:vAlign w:val="bottom"/>
            <w:tcBorders>
              <w:top w:val="single" w:sz="8" w:color="F2F2F2"/>
            </w:tcBorders>
            <w:shd w:val="clear" w:color="auto" w:fill="F2F2F2"/>
          </w:tcPr>
          <w:p>
            <w:pPr>
              <w:jc w:val="center"/>
              <w:ind w:left="30"/>
              <w:spacing w:after="0"/>
              <w:rPr>
                <w:sz w:val="20"/>
                <w:szCs w:val="20"/>
                <w:color w:val="auto"/>
              </w:rPr>
            </w:pPr>
            <w:r>
              <w:rPr>
                <w:rFonts w:ascii="Arial" w:cs="Arial" w:eastAsia="Arial" w:hAnsi="Arial"/>
                <w:sz w:val="18"/>
                <w:szCs w:val="18"/>
                <w:color w:val="auto"/>
              </w:rPr>
              <w:t>cast (for each</w:t>
            </w:r>
          </w:p>
        </w:tc>
        <w:tc>
          <w:tcPr>
            <w:tcW w:w="1800" w:type="dxa"/>
            <w:vAlign w:val="bottom"/>
            <w:tcBorders>
              <w:top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w w:val="99"/>
              </w:rPr>
              <w:t>NOMINEE</w:t>
            </w:r>
          </w:p>
        </w:tc>
        <w:tc>
          <w:tcPr>
            <w:tcW w:w="240" w:type="dxa"/>
            <w:vAlign w:val="bottom"/>
            <w:tcBorders>
              <w:top w:val="single" w:sz="8" w:color="F2F2F2"/>
            </w:tcBorders>
            <w:shd w:val="clear" w:color="auto" w:fill="F2F2F2"/>
          </w:tcPr>
          <w:p>
            <w:pPr>
              <w:spacing w:after="0"/>
              <w:rPr>
                <w:sz w:val="18"/>
                <w:szCs w:val="18"/>
                <w:color w:val="auto"/>
              </w:rPr>
            </w:pPr>
          </w:p>
        </w:tc>
        <w:tc>
          <w:tcPr>
            <w:tcW w:w="200" w:type="dxa"/>
            <w:vAlign w:val="bottom"/>
            <w:tcBorders>
              <w:top w:val="single" w:sz="8" w:color="0000FF"/>
            </w:tcBorders>
            <w:shd w:val="clear" w:color="auto" w:fill="F2F2F2"/>
          </w:tcPr>
          <w:p>
            <w:pPr>
              <w:spacing w:after="0"/>
              <w:rPr>
                <w:sz w:val="18"/>
                <w:szCs w:val="18"/>
                <w:color w:val="auto"/>
              </w:rPr>
            </w:pPr>
          </w:p>
        </w:tc>
        <w:tc>
          <w:tcPr>
            <w:tcW w:w="280" w:type="dxa"/>
            <w:vAlign w:val="bottom"/>
            <w:tcBorders>
              <w:top w:val="single" w:sz="8" w:color="F2F2F2"/>
            </w:tcBorders>
            <w:shd w:val="clear" w:color="auto" w:fill="F2F2F2"/>
          </w:tcPr>
          <w:p>
            <w:pPr>
              <w:spacing w:after="0"/>
              <w:rPr>
                <w:sz w:val="18"/>
                <w:szCs w:val="18"/>
                <w:color w:val="auto"/>
              </w:rPr>
            </w:pPr>
          </w:p>
        </w:tc>
      </w:tr>
      <w:tr>
        <w:trPr>
          <w:trHeight w:val="239"/>
        </w:trPr>
        <w:tc>
          <w:tcPr>
            <w:tcW w:w="4860" w:type="dxa"/>
            <w:vAlign w:val="bottom"/>
            <w:shd w:val="clear" w:color="auto" w:fill="F2F2F2"/>
          </w:tcPr>
          <w:p>
            <w:pPr>
              <w:spacing w:after="0"/>
              <w:rPr>
                <w:sz w:val="20"/>
                <w:szCs w:val="20"/>
                <w:color w:val="auto"/>
              </w:rPr>
            </w:pPr>
          </w:p>
        </w:tc>
        <w:tc>
          <w:tcPr>
            <w:tcW w:w="1700" w:type="dxa"/>
            <w:vAlign w:val="bottom"/>
            <w:shd w:val="clear" w:color="auto" w:fill="F2F2F2"/>
          </w:tcPr>
          <w:p>
            <w:pPr>
              <w:jc w:val="center"/>
              <w:ind w:left="30"/>
              <w:spacing w:after="0"/>
              <w:rPr>
                <w:sz w:val="20"/>
                <w:szCs w:val="20"/>
                <w:color w:val="auto"/>
              </w:rPr>
            </w:pPr>
            <w:r>
              <w:rPr>
                <w:rFonts w:ascii="Arial" w:cs="Arial" w:eastAsia="Arial" w:hAnsi="Arial"/>
                <w:sz w:val="18"/>
                <w:szCs w:val="18"/>
                <w:color w:val="auto"/>
                <w:w w:val="98"/>
              </w:rPr>
              <w:t>nominee)</w:t>
            </w:r>
          </w:p>
        </w:tc>
        <w:tc>
          <w:tcPr>
            <w:tcW w:w="1800" w:type="dxa"/>
            <w:vAlign w:val="bottom"/>
            <w:shd w:val="clear" w:color="auto" w:fill="F2F2F2"/>
          </w:tcPr>
          <w:p>
            <w:pPr>
              <w:spacing w:after="0"/>
              <w:rPr>
                <w:sz w:val="20"/>
                <w:szCs w:val="20"/>
                <w:color w:val="auto"/>
              </w:rPr>
            </w:pPr>
          </w:p>
        </w:tc>
        <w:tc>
          <w:tcPr>
            <w:tcW w:w="240" w:type="dxa"/>
            <w:vAlign w:val="bottom"/>
            <w:shd w:val="clear" w:color="auto" w:fill="F2F2F2"/>
          </w:tcPr>
          <w:p>
            <w:pPr>
              <w:spacing w:after="0"/>
              <w:rPr>
                <w:sz w:val="20"/>
                <w:szCs w:val="20"/>
                <w:color w:val="auto"/>
              </w:rPr>
            </w:pPr>
          </w:p>
        </w:tc>
        <w:tc>
          <w:tcPr>
            <w:tcW w:w="200" w:type="dxa"/>
            <w:vAlign w:val="bottom"/>
            <w:shd w:val="clear" w:color="auto" w:fill="F2F2F2"/>
          </w:tcPr>
          <w:p>
            <w:pPr>
              <w:spacing w:after="0"/>
              <w:rPr>
                <w:sz w:val="20"/>
                <w:szCs w:val="20"/>
                <w:color w:val="auto"/>
              </w:rPr>
            </w:pPr>
          </w:p>
        </w:tc>
        <w:tc>
          <w:tcPr>
            <w:tcW w:w="280" w:type="dxa"/>
            <w:vAlign w:val="bottom"/>
            <w:shd w:val="clear" w:color="auto" w:fill="F2F2F2"/>
          </w:tcPr>
          <w:p>
            <w:pPr>
              <w:spacing w:after="0"/>
              <w:rPr>
                <w:sz w:val="20"/>
                <w:szCs w:val="20"/>
                <w:color w:val="auto"/>
              </w:rPr>
            </w:pPr>
          </w:p>
        </w:tc>
      </w:tr>
      <w:tr>
        <w:trPr>
          <w:trHeight w:val="23"/>
        </w:trPr>
        <w:tc>
          <w:tcPr>
            <w:tcW w:w="4860" w:type="dxa"/>
            <w:vAlign w:val="bottom"/>
            <w:shd w:val="clear" w:color="auto" w:fill="F2F2F2"/>
          </w:tcPr>
          <w:p>
            <w:pPr>
              <w:spacing w:after="0"/>
              <w:rPr>
                <w:sz w:val="2"/>
                <w:szCs w:val="2"/>
                <w:color w:val="auto"/>
              </w:rPr>
            </w:pPr>
          </w:p>
        </w:tc>
        <w:tc>
          <w:tcPr>
            <w:tcW w:w="1700" w:type="dxa"/>
            <w:vAlign w:val="bottom"/>
            <w:shd w:val="clear" w:color="auto" w:fill="F2F2F2"/>
          </w:tcPr>
          <w:p>
            <w:pPr>
              <w:spacing w:after="0"/>
              <w:rPr>
                <w:sz w:val="2"/>
                <w:szCs w:val="2"/>
                <w:color w:val="auto"/>
              </w:rPr>
            </w:pPr>
          </w:p>
        </w:tc>
        <w:tc>
          <w:tcPr>
            <w:tcW w:w="1800" w:type="dxa"/>
            <w:vAlign w:val="bottom"/>
            <w:shd w:val="clear" w:color="auto" w:fill="F2F2F2"/>
          </w:tcPr>
          <w:p>
            <w:pPr>
              <w:spacing w:after="0"/>
              <w:rPr>
                <w:sz w:val="2"/>
                <w:szCs w:val="2"/>
                <w:color w:val="auto"/>
              </w:rPr>
            </w:pPr>
          </w:p>
        </w:tc>
        <w:tc>
          <w:tcPr>
            <w:tcW w:w="240" w:type="dxa"/>
            <w:vAlign w:val="bottom"/>
            <w:shd w:val="clear" w:color="auto" w:fill="F2F2F2"/>
          </w:tcPr>
          <w:p>
            <w:pPr>
              <w:spacing w:after="0"/>
              <w:rPr>
                <w:sz w:val="2"/>
                <w:szCs w:val="2"/>
                <w:color w:val="auto"/>
              </w:rPr>
            </w:pPr>
          </w:p>
        </w:tc>
        <w:tc>
          <w:tcPr>
            <w:tcW w:w="200" w:type="dxa"/>
            <w:vAlign w:val="bottom"/>
            <w:shd w:val="clear" w:color="auto" w:fill="F2F2F2"/>
          </w:tcPr>
          <w:p>
            <w:pPr>
              <w:spacing w:after="0"/>
              <w:rPr>
                <w:sz w:val="2"/>
                <w:szCs w:val="2"/>
                <w:color w:val="auto"/>
              </w:rPr>
            </w:pPr>
          </w:p>
        </w:tc>
        <w:tc>
          <w:tcPr>
            <w:tcW w:w="280" w:type="dxa"/>
            <w:vAlign w:val="bottom"/>
            <w:shd w:val="clear" w:color="auto" w:fill="F2F2F2"/>
          </w:tcPr>
          <w:p>
            <w:pPr>
              <w:spacing w:after="0"/>
              <w:rPr>
                <w:sz w:val="2"/>
                <w:szCs w:val="2"/>
                <w:color w:val="auto"/>
              </w:rPr>
            </w:pPr>
          </w:p>
        </w:tc>
      </w:tr>
    </w:tbl>
    <w:p>
      <w:pPr>
        <w:spacing w:after="0" w:line="1" w:lineRule="exact"/>
        <w:rPr>
          <w:sz w:val="20"/>
          <w:szCs w:val="20"/>
          <w:color w:val="auto"/>
        </w:rPr>
      </w:pPr>
    </w:p>
    <w:p>
      <w:pPr>
        <w:sectPr>
          <w:pgSz w:w="11900" w:h="16838" w:orient="portrait"/>
          <w:cols w:equalWidth="0" w:num="1">
            <w:col w:w="11240"/>
          </w:cols>
          <w:pgMar w:left="320" w:top="1250" w:right="339" w:bottom="1440" w:gutter="0" w:footer="0" w:header="0"/>
          <w:type w:val="continuous"/>
        </w:sectPr>
      </w:pPr>
    </w:p>
    <w:p>
      <w:pPr>
        <w:spacing w:after="0" w:line="7" w:lineRule="exact"/>
        <w:rPr>
          <w:sz w:val="20"/>
          <w:szCs w:val="20"/>
          <w:color w:val="auto"/>
        </w:rPr>
      </w:pPr>
    </w:p>
    <w:p>
      <w:pPr>
        <w:ind w:left="800" w:hanging="768"/>
        <w:spacing w:after="0" w:line="296" w:lineRule="auto"/>
        <w:tabs>
          <w:tab w:leader="none" w:pos="780" w:val="left"/>
        </w:tabs>
        <w:rPr>
          <w:sz w:val="20"/>
          <w:szCs w:val="20"/>
          <w:color w:val="auto"/>
        </w:rPr>
      </w:pPr>
      <w:r>
        <w:rPr>
          <w:rFonts w:ascii="Arial" w:cs="Arial" w:eastAsia="Arial" w:hAnsi="Arial"/>
          <w:sz w:val="18"/>
          <w:szCs w:val="18"/>
          <w:color w:val="auto"/>
        </w:rPr>
        <w:t>Item 2</w:t>
        <w:tab/>
        <w:t xml:space="preserve">Advisory </w:t>
      </w:r>
      <w:r>
        <w:rPr>
          <w:rFonts w:ascii="Arial" w:cs="Arial" w:eastAsia="Arial" w:hAnsi="Arial"/>
          <w:sz w:val="18"/>
          <w:szCs w:val="18"/>
          <w:b w:val="1"/>
          <w:bCs w:val="1"/>
          <w:color w:val="D52B1E"/>
        </w:rPr>
        <w:t>vote on compensation</w:t>
      </w:r>
      <w:r>
        <w:rPr>
          <w:rFonts w:ascii="Arial" w:cs="Arial" w:eastAsia="Arial" w:hAnsi="Arial"/>
          <w:sz w:val="18"/>
          <w:szCs w:val="18"/>
          <w:color w:val="auto"/>
        </w:rPr>
        <w:t xml:space="preserve"> paid to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5760720" cy="4286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60720" cy="428625"/>
                    </a:xfrm>
                    <a:prstGeom prst="rect">
                      <a:avLst/>
                    </a:prstGeom>
                    <a:noFill/>
                  </pic:spPr>
                </pic:pic>
              </a:graphicData>
            </a:graphic>
          </wp:anchor>
        </w:drawing>
      </w:r>
    </w:p>
    <w:p>
      <w:pPr>
        <w:spacing w:after="0" w:line="131" w:lineRule="exact"/>
        <w:rPr>
          <w:sz w:val="20"/>
          <w:szCs w:val="20"/>
          <w:color w:val="auto"/>
        </w:rPr>
      </w:pPr>
    </w:p>
    <w:p>
      <w:pPr>
        <w:ind w:left="800" w:hanging="768"/>
        <w:spacing w:after="0" w:line="326" w:lineRule="auto"/>
        <w:tabs>
          <w:tab w:leader="none" w:pos="780" w:val="left"/>
        </w:tabs>
        <w:rPr>
          <w:sz w:val="20"/>
          <w:szCs w:val="20"/>
          <w:color w:val="auto"/>
        </w:rPr>
      </w:pPr>
      <w:r>
        <w:rPr>
          <w:rFonts w:ascii="Arial" w:cs="Arial" w:eastAsia="Arial" w:hAnsi="Arial"/>
          <w:sz w:val="18"/>
          <w:szCs w:val="18"/>
          <w:color w:val="auto"/>
        </w:rPr>
        <w:t>Item 3</w:t>
        <w:tab/>
        <w:t xml:space="preserve">Advisory vote on </w:t>
      </w:r>
      <w:r>
        <w:rPr>
          <w:rFonts w:ascii="Arial" w:cs="Arial" w:eastAsia="Arial" w:hAnsi="Arial"/>
          <w:sz w:val="18"/>
          <w:szCs w:val="18"/>
          <w:b w:val="1"/>
          <w:bCs w:val="1"/>
          <w:color w:val="D52B1E"/>
        </w:rPr>
        <w:t>frequency of future advisory</w:t>
      </w:r>
      <w:r>
        <w:rPr>
          <w:rFonts w:ascii="Arial" w:cs="Arial" w:eastAsia="Arial" w:hAnsi="Arial"/>
          <w:sz w:val="18"/>
          <w:szCs w:val="18"/>
          <w:color w:val="auto"/>
        </w:rPr>
        <w:t xml:space="preserve"> </w:t>
      </w:r>
      <w:r>
        <w:rPr>
          <w:rFonts w:ascii="Arial" w:cs="Arial" w:eastAsia="Arial" w:hAnsi="Arial"/>
          <w:sz w:val="18"/>
          <w:szCs w:val="18"/>
          <w:b w:val="1"/>
          <w:bCs w:val="1"/>
          <w:color w:val="D52B1E"/>
        </w:rPr>
        <w:t xml:space="preserve">votes </w:t>
      </w:r>
      <w:r>
        <w:rPr>
          <w:rFonts w:ascii="Arial" w:cs="Arial" w:eastAsia="Arial" w:hAnsi="Arial"/>
          <w:sz w:val="17"/>
          <w:szCs w:val="17"/>
          <w:color w:val="000000"/>
        </w:rPr>
        <w:t>on named executive officer compensation</w:t>
      </w:r>
    </w:p>
    <w:p>
      <w:pPr>
        <w:spacing w:after="0" w:line="113" w:lineRule="exact"/>
        <w:rPr>
          <w:sz w:val="20"/>
          <w:szCs w:val="20"/>
          <w:color w:val="auto"/>
        </w:rPr>
      </w:pPr>
    </w:p>
    <w:p>
      <w:pPr>
        <w:ind w:left="800" w:right="880" w:hanging="768"/>
        <w:spacing w:after="0" w:line="281" w:lineRule="auto"/>
        <w:tabs>
          <w:tab w:leader="none" w:pos="7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9"/>
          <w:szCs w:val="19"/>
          <w:b w:val="1"/>
          <w:bCs w:val="1"/>
          <w:color w:val="D52B1E"/>
        </w:rPr>
        <w:t xml:space="preserve">Ratification </w:t>
      </w:r>
      <w:r>
        <w:rPr>
          <w:rFonts w:ascii="Arial" w:cs="Arial" w:eastAsia="Arial" w:hAnsi="Arial"/>
          <w:sz w:val="17"/>
          <w:szCs w:val="17"/>
          <w:color w:val="000000"/>
        </w:rPr>
        <w:t>of the appointment of the</w:t>
      </w:r>
      <w:r>
        <w:rPr>
          <w:rFonts w:ascii="Arial" w:cs="Arial" w:eastAsia="Arial" w:hAnsi="Arial"/>
          <w:sz w:val="19"/>
          <w:szCs w:val="19"/>
          <w:b w:val="1"/>
          <w:bCs w:val="1"/>
          <w:color w:val="D52B1E"/>
        </w:rPr>
        <w:t xml:space="preserve">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5760720" cy="5568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60720" cy="556895"/>
                    </a:xfrm>
                    <a:prstGeom prst="rect">
                      <a:avLst/>
                    </a:prstGeom>
                    <a:noFill/>
                  </pic:spPr>
                </pic:pic>
              </a:graphicData>
            </a:graphic>
          </wp:anchor>
        </w:drawing>
      </w:r>
    </w:p>
    <w:p>
      <w:pPr>
        <w:ind w:left="800" w:hanging="768"/>
        <w:spacing w:after="0" w:line="276" w:lineRule="auto"/>
        <w:tabs>
          <w:tab w:leader="none" w:pos="780" w:val="left"/>
        </w:tabs>
        <w:rPr>
          <w:sz w:val="20"/>
          <w:szCs w:val="20"/>
          <w:color w:val="auto"/>
        </w:rPr>
      </w:pPr>
      <w:r>
        <w:rPr>
          <w:rFonts w:ascii="Arial" w:cs="Arial" w:eastAsia="Arial" w:hAnsi="Arial"/>
          <w:sz w:val="18"/>
          <w:szCs w:val="18"/>
          <w:color w:val="auto"/>
        </w:rPr>
        <w:t>Item 5</w:t>
        <w:tab/>
        <w:t xml:space="preserve">Proposal to amend the company’s articles of incorporation to </w:t>
      </w:r>
      <w:r>
        <w:rPr>
          <w:rFonts w:ascii="Arial" w:cs="Arial" w:eastAsia="Arial" w:hAnsi="Arial"/>
          <w:sz w:val="18"/>
          <w:szCs w:val="18"/>
          <w:b w:val="1"/>
          <w:bCs w:val="1"/>
          <w:color w:val="D52B1E"/>
        </w:rPr>
        <w:t>eliminate the classified board</w:t>
      </w:r>
      <w:r>
        <w:rPr>
          <w:rFonts w:ascii="Arial" w:cs="Arial" w:eastAsia="Arial" w:hAnsi="Arial"/>
          <w:sz w:val="18"/>
          <w:szCs w:val="18"/>
          <w:color w:val="auto"/>
        </w:rPr>
        <w:t xml:space="preserve"> structure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900" w:type="dxa"/>
            <w:vAlign w:val="bottom"/>
          </w:tcPr>
          <w:p>
            <w:pPr>
              <w:jc w:val="center"/>
              <w:ind w:right="270"/>
              <w:spacing w:after="0" w:line="202" w:lineRule="exact"/>
              <w:rPr>
                <w:sz w:val="20"/>
                <w:szCs w:val="20"/>
                <w:color w:val="auto"/>
              </w:rPr>
            </w:pPr>
            <w:r>
              <w:rPr>
                <w:rFonts w:ascii="Arial" w:cs="Arial" w:eastAsia="Arial" w:hAnsi="Arial"/>
                <w:sz w:val="18"/>
                <w:szCs w:val="18"/>
                <w:color w:val="auto"/>
                <w:w w:val="99"/>
              </w:rPr>
              <w:t>Majority of votes</w:t>
            </w:r>
          </w:p>
        </w:tc>
        <w:tc>
          <w:tcPr>
            <w:tcW w:w="1700" w:type="dxa"/>
            <w:vAlign w:val="bottom"/>
          </w:tcPr>
          <w:p>
            <w:pPr>
              <w:ind w:left="380"/>
              <w:spacing w:after="0" w:line="202" w:lineRule="exact"/>
              <w:rPr>
                <w:sz w:val="20"/>
                <w:szCs w:val="20"/>
                <w:color w:val="auto"/>
              </w:rPr>
            </w:pPr>
            <w:r>
              <w:rPr>
                <w:rFonts w:ascii="Arial" w:cs="Arial" w:eastAsia="Arial" w:hAnsi="Arial"/>
                <w:sz w:val="18"/>
                <w:szCs w:val="18"/>
                <w:color w:val="auto"/>
              </w:rPr>
              <w:t>FOR</w:t>
            </w:r>
          </w:p>
        </w:tc>
        <w:tc>
          <w:tcPr>
            <w:tcW w:w="200" w:type="dxa"/>
            <w:vAlign w:val="bottom"/>
            <w:tcBorders>
              <w:bottom w:val="single" w:sz="8" w:color="0000FF"/>
            </w:tcBorders>
          </w:tcPr>
          <w:p>
            <w:pPr>
              <w:jc w:val="right"/>
              <w:spacing w:after="0" w:line="202" w:lineRule="exact"/>
              <w:rPr>
                <w:sz w:val="20"/>
                <w:szCs w:val="20"/>
                <w:color w:val="auto"/>
              </w:rPr>
            </w:pPr>
            <w:r>
              <w:rPr>
                <w:rFonts w:ascii="Arial" w:cs="Arial" w:eastAsia="Arial" w:hAnsi="Arial"/>
                <w:sz w:val="18"/>
                <w:szCs w:val="18"/>
                <w:color w:val="0000FF"/>
                <w:w w:val="89"/>
              </w:rPr>
              <w:t>50</w:t>
            </w:r>
          </w:p>
        </w:tc>
      </w:tr>
      <w:tr>
        <w:trPr>
          <w:trHeight w:val="241"/>
        </w:trPr>
        <w:tc>
          <w:tcPr>
            <w:tcW w:w="1900" w:type="dxa"/>
            <w:vAlign w:val="bottom"/>
          </w:tcPr>
          <w:p>
            <w:pPr>
              <w:jc w:val="center"/>
              <w:ind w:right="270"/>
              <w:spacing w:after="0"/>
              <w:rPr>
                <w:sz w:val="20"/>
                <w:szCs w:val="20"/>
                <w:color w:val="auto"/>
              </w:rPr>
            </w:pPr>
            <w:r>
              <w:rPr>
                <w:rFonts w:ascii="Arial" w:cs="Arial" w:eastAsia="Arial" w:hAnsi="Arial"/>
                <w:sz w:val="18"/>
                <w:szCs w:val="18"/>
                <w:color w:val="auto"/>
              </w:rPr>
              <w:t>cast</w:t>
            </w: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01"/>
        </w:trPr>
        <w:tc>
          <w:tcPr>
            <w:tcW w:w="1900" w:type="dxa"/>
            <w:vAlign w:val="bottom"/>
          </w:tcPr>
          <w:p>
            <w:pPr>
              <w:jc w:val="center"/>
              <w:ind w:right="270"/>
              <w:spacing w:after="0"/>
              <w:rPr>
                <w:sz w:val="20"/>
                <w:szCs w:val="20"/>
                <w:color w:val="auto"/>
              </w:rPr>
            </w:pPr>
            <w:r>
              <w:rPr>
                <w:rFonts w:ascii="Arial" w:cs="Arial" w:eastAsia="Arial" w:hAnsi="Arial"/>
                <w:sz w:val="18"/>
                <w:szCs w:val="18"/>
                <w:color w:val="auto"/>
                <w:w w:val="99"/>
              </w:rPr>
              <w:t>Majority of votes</w:t>
            </w:r>
          </w:p>
        </w:tc>
        <w:tc>
          <w:tcPr>
            <w:tcW w:w="1700" w:type="dxa"/>
            <w:vAlign w:val="bottom"/>
          </w:tcPr>
          <w:p>
            <w:pPr>
              <w:ind w:left="380"/>
              <w:spacing w:after="0"/>
              <w:rPr>
                <w:sz w:val="20"/>
                <w:szCs w:val="20"/>
                <w:color w:val="auto"/>
              </w:rPr>
            </w:pPr>
            <w:r>
              <w:rPr>
                <w:rFonts w:ascii="Arial" w:cs="Arial" w:eastAsia="Arial" w:hAnsi="Arial"/>
                <w:sz w:val="18"/>
                <w:szCs w:val="18"/>
                <w:color w:val="auto"/>
              </w:rPr>
              <w:t>FOR</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84</w:t>
            </w:r>
          </w:p>
        </w:tc>
      </w:tr>
      <w:tr>
        <w:trPr>
          <w:trHeight w:val="240"/>
        </w:trPr>
        <w:tc>
          <w:tcPr>
            <w:tcW w:w="1900" w:type="dxa"/>
            <w:vAlign w:val="bottom"/>
          </w:tcPr>
          <w:p>
            <w:pPr>
              <w:jc w:val="center"/>
              <w:ind w:right="270"/>
              <w:spacing w:after="0"/>
              <w:rPr>
                <w:sz w:val="20"/>
                <w:szCs w:val="20"/>
                <w:color w:val="auto"/>
              </w:rPr>
            </w:pPr>
            <w:r>
              <w:rPr>
                <w:rFonts w:ascii="Arial" w:cs="Arial" w:eastAsia="Arial" w:hAnsi="Arial"/>
                <w:sz w:val="18"/>
                <w:szCs w:val="18"/>
                <w:color w:val="auto"/>
              </w:rPr>
              <w:t>cast</w:t>
            </w: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15"/>
        </w:trPr>
        <w:tc>
          <w:tcPr>
            <w:tcW w:w="1900" w:type="dxa"/>
            <w:vAlign w:val="bottom"/>
          </w:tcPr>
          <w:p>
            <w:pPr>
              <w:jc w:val="center"/>
              <w:ind w:right="270"/>
              <w:spacing w:after="0"/>
              <w:rPr>
                <w:sz w:val="20"/>
                <w:szCs w:val="20"/>
                <w:color w:val="auto"/>
              </w:rPr>
            </w:pPr>
            <w:r>
              <w:rPr>
                <w:rFonts w:ascii="Arial" w:cs="Arial" w:eastAsia="Arial" w:hAnsi="Arial"/>
                <w:sz w:val="18"/>
                <w:szCs w:val="18"/>
                <w:color w:val="auto"/>
                <w:w w:val="99"/>
              </w:rPr>
              <w:t>Majority of votes</w:t>
            </w:r>
          </w:p>
        </w:tc>
        <w:tc>
          <w:tcPr>
            <w:tcW w:w="1700" w:type="dxa"/>
            <w:vAlign w:val="bottom"/>
          </w:tcPr>
          <w:p>
            <w:pPr>
              <w:ind w:left="380"/>
              <w:spacing w:after="0"/>
              <w:rPr>
                <w:sz w:val="20"/>
                <w:szCs w:val="20"/>
                <w:color w:val="auto"/>
              </w:rPr>
            </w:pPr>
            <w:r>
              <w:rPr>
                <w:rFonts w:ascii="Arial" w:cs="Arial" w:eastAsia="Arial" w:hAnsi="Arial"/>
                <w:sz w:val="18"/>
                <w:szCs w:val="18"/>
                <w:color w:val="auto"/>
              </w:rPr>
              <w:t>FOR</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84</w:t>
            </w:r>
          </w:p>
        </w:tc>
      </w:tr>
      <w:tr>
        <w:trPr>
          <w:trHeight w:val="240"/>
        </w:trPr>
        <w:tc>
          <w:tcPr>
            <w:tcW w:w="1900" w:type="dxa"/>
            <w:vAlign w:val="bottom"/>
          </w:tcPr>
          <w:p>
            <w:pPr>
              <w:jc w:val="center"/>
              <w:ind w:right="270"/>
              <w:spacing w:after="0"/>
              <w:rPr>
                <w:sz w:val="20"/>
                <w:szCs w:val="20"/>
                <w:color w:val="auto"/>
              </w:rPr>
            </w:pPr>
            <w:r>
              <w:rPr>
                <w:rFonts w:ascii="Arial" w:cs="Arial" w:eastAsia="Arial" w:hAnsi="Arial"/>
                <w:sz w:val="18"/>
                <w:szCs w:val="18"/>
                <w:color w:val="auto"/>
              </w:rPr>
              <w:t>cast</w:t>
            </w: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53"/>
        </w:trPr>
        <w:tc>
          <w:tcPr>
            <w:tcW w:w="1900" w:type="dxa"/>
            <w:vAlign w:val="bottom"/>
          </w:tcPr>
          <w:p>
            <w:pPr>
              <w:jc w:val="center"/>
              <w:ind w:right="270"/>
              <w:spacing w:after="0"/>
              <w:rPr>
                <w:sz w:val="20"/>
                <w:szCs w:val="20"/>
                <w:color w:val="auto"/>
              </w:rPr>
            </w:pPr>
            <w:r>
              <w:rPr>
                <w:rFonts w:ascii="Arial" w:cs="Arial" w:eastAsia="Arial" w:hAnsi="Arial"/>
                <w:sz w:val="18"/>
                <w:szCs w:val="18"/>
                <w:color w:val="auto"/>
                <w:w w:val="99"/>
              </w:rPr>
              <w:t>80% of outstanding</w:t>
            </w:r>
          </w:p>
        </w:tc>
        <w:tc>
          <w:tcPr>
            <w:tcW w:w="1700" w:type="dxa"/>
            <w:vAlign w:val="bottom"/>
          </w:tcPr>
          <w:p>
            <w:pPr>
              <w:ind w:left="380"/>
              <w:spacing w:after="0"/>
              <w:rPr>
                <w:sz w:val="20"/>
                <w:szCs w:val="20"/>
                <w:color w:val="auto"/>
              </w:rPr>
            </w:pPr>
            <w:r>
              <w:rPr>
                <w:rFonts w:ascii="Arial" w:cs="Arial" w:eastAsia="Arial" w:hAnsi="Arial"/>
                <w:sz w:val="18"/>
                <w:szCs w:val="18"/>
                <w:color w:val="auto"/>
              </w:rPr>
              <w:t>FOR</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87</w:t>
            </w:r>
          </w:p>
        </w:tc>
      </w:tr>
      <w:tr>
        <w:trPr>
          <w:trHeight w:val="240"/>
        </w:trPr>
        <w:tc>
          <w:tcPr>
            <w:tcW w:w="1900" w:type="dxa"/>
            <w:vAlign w:val="bottom"/>
          </w:tcPr>
          <w:p>
            <w:pPr>
              <w:jc w:val="center"/>
              <w:ind w:right="270"/>
              <w:spacing w:after="0"/>
              <w:rPr>
                <w:sz w:val="20"/>
                <w:szCs w:val="20"/>
                <w:color w:val="auto"/>
              </w:rPr>
            </w:pPr>
            <w:r>
              <w:rPr>
                <w:rFonts w:ascii="Arial" w:cs="Arial" w:eastAsia="Arial" w:hAnsi="Arial"/>
                <w:sz w:val="18"/>
                <w:szCs w:val="18"/>
                <w:color w:val="auto"/>
                <w:w w:val="99"/>
              </w:rPr>
              <w:t>shares</w:t>
            </w: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459" w:lineRule="exact"/>
        <w:rPr>
          <w:sz w:val="20"/>
          <w:szCs w:val="20"/>
          <w:color w:val="auto"/>
        </w:rPr>
      </w:pPr>
    </w:p>
    <w:p>
      <w:pPr>
        <w:sectPr>
          <w:pgSz w:w="11900" w:h="16838" w:orient="portrait"/>
          <w:cols w:equalWidth="0" w:num="2">
            <w:col w:w="4740" w:space="260"/>
            <w:col w:w="6240"/>
          </w:cols>
          <w:pgMar w:left="320" w:top="1250" w:right="339" w:bottom="1440" w:gutter="0" w:footer="0" w:header="0"/>
          <w:type w:val="continuous"/>
        </w:sect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0"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7"/>
              </w:rPr>
              <w:t>Board Vote</w:t>
            </w:r>
          </w:p>
        </w:tc>
        <w:tc>
          <w:tcPr>
            <w:tcW w:w="7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9"/>
              </w:rPr>
              <w:t>See</w:t>
            </w:r>
          </w:p>
        </w:tc>
      </w:tr>
      <w:tr>
        <w:trPr>
          <w:trHeight w:val="255"/>
        </w:trPr>
        <w:tc>
          <w:tcPr>
            <w:tcW w:w="4920" w:type="dxa"/>
            <w:vAlign w:val="bottom"/>
            <w:tcBorders>
              <w:bottom w:val="single" w:sz="8" w:color="666666"/>
            </w:tcBorders>
          </w:tcPr>
          <w:p>
            <w:pPr>
              <w:ind w:left="800"/>
              <w:spacing w:after="0"/>
              <w:rPr>
                <w:sz w:val="20"/>
                <w:szCs w:val="20"/>
                <w:color w:val="auto"/>
              </w:rPr>
            </w:pPr>
            <w:r>
              <w:rPr>
                <w:rFonts w:ascii="Arial" w:cs="Arial" w:eastAsia="Arial" w:hAnsi="Arial"/>
                <w:sz w:val="18"/>
                <w:szCs w:val="18"/>
                <w:b w:val="1"/>
                <w:bCs w:val="1"/>
                <w:color w:val="auto"/>
              </w:rPr>
              <w:t>Voting Matter</w:t>
            </w:r>
          </w:p>
        </w:tc>
        <w:tc>
          <w:tcPr>
            <w:tcW w:w="1700" w:type="dxa"/>
            <w:vAlign w:val="bottom"/>
            <w:tcBorders>
              <w:bottom w:val="single" w:sz="8" w:color="666666"/>
            </w:tcBorders>
          </w:tcPr>
          <w:p>
            <w:pPr>
              <w:jc w:val="center"/>
              <w:spacing w:after="0"/>
              <w:rPr>
                <w:sz w:val="20"/>
                <w:szCs w:val="20"/>
                <w:color w:val="auto"/>
              </w:rPr>
            </w:pPr>
            <w:r>
              <w:rPr>
                <w:rFonts w:ascii="Arial" w:cs="Arial" w:eastAsia="Arial" w:hAnsi="Arial"/>
                <w:sz w:val="18"/>
                <w:szCs w:val="18"/>
                <w:b w:val="1"/>
                <w:bCs w:val="1"/>
                <w:color w:val="auto"/>
                <w:w w:val="98"/>
              </w:rPr>
              <w:t>Required Vote</w:t>
            </w:r>
          </w:p>
        </w:tc>
        <w:tc>
          <w:tcPr>
            <w:tcW w:w="1740" w:type="dxa"/>
            <w:vAlign w:val="bottom"/>
            <w:tcBorders>
              <w:bottom w:val="single" w:sz="8" w:color="666666"/>
            </w:tcBorders>
          </w:tcPr>
          <w:p>
            <w:pPr>
              <w:jc w:val="center"/>
              <w:spacing w:after="0"/>
              <w:rPr>
                <w:sz w:val="20"/>
                <w:szCs w:val="20"/>
                <w:color w:val="auto"/>
              </w:rPr>
            </w:pPr>
            <w:r>
              <w:rPr>
                <w:rFonts w:ascii="Arial" w:cs="Arial" w:eastAsia="Arial" w:hAnsi="Arial"/>
                <w:sz w:val="18"/>
                <w:szCs w:val="18"/>
                <w:b w:val="1"/>
                <w:bCs w:val="1"/>
                <w:color w:val="auto"/>
                <w:w w:val="99"/>
              </w:rPr>
              <w:t>Recommendation</w:t>
            </w:r>
          </w:p>
        </w:tc>
        <w:tc>
          <w:tcPr>
            <w:tcW w:w="720" w:type="dxa"/>
            <w:vAlign w:val="bottom"/>
            <w:tcBorders>
              <w:bottom w:val="single" w:sz="8" w:color="666666"/>
            </w:tcBorders>
            <w:gridSpan w:val="3"/>
          </w:tcPr>
          <w:p>
            <w:pPr>
              <w:jc w:val="center"/>
              <w:ind w:right="20"/>
              <w:spacing w:after="0"/>
              <w:rPr>
                <w:sz w:val="20"/>
                <w:szCs w:val="20"/>
                <w:color w:val="auto"/>
              </w:rPr>
            </w:pPr>
            <w:r>
              <w:rPr>
                <w:rFonts w:ascii="Arial" w:cs="Arial" w:eastAsia="Arial" w:hAnsi="Arial"/>
                <w:sz w:val="18"/>
                <w:szCs w:val="18"/>
                <w:b w:val="1"/>
                <w:bCs w:val="1"/>
                <w:color w:val="auto"/>
                <w:w w:val="97"/>
              </w:rPr>
              <w:t>Page</w:t>
            </w:r>
          </w:p>
        </w:tc>
      </w:tr>
      <w:tr>
        <w:trPr>
          <w:trHeight w:val="203"/>
        </w:trPr>
        <w:tc>
          <w:tcPr>
            <w:tcW w:w="4920" w:type="dxa"/>
            <w:vAlign w:val="bottom"/>
          </w:tcPr>
          <w:p>
            <w:pPr>
              <w:ind w:left="20"/>
              <w:spacing w:after="0" w:line="202" w:lineRule="exact"/>
              <w:rPr>
                <w:sz w:val="20"/>
                <w:szCs w:val="20"/>
                <w:color w:val="auto"/>
              </w:rPr>
            </w:pPr>
            <w:r>
              <w:rPr>
                <w:rFonts w:ascii="Arial" w:cs="Arial" w:eastAsia="Arial" w:hAnsi="Arial"/>
                <w:sz w:val="18"/>
                <w:szCs w:val="18"/>
                <w:color w:val="auto"/>
              </w:rPr>
              <w:t>Item 6   Proposal to amend the company’s articles of</w:t>
            </w:r>
          </w:p>
        </w:tc>
        <w:tc>
          <w:tcPr>
            <w:tcW w:w="1700" w:type="dxa"/>
            <w:vAlign w:val="bottom"/>
          </w:tcPr>
          <w:p>
            <w:pPr>
              <w:jc w:val="center"/>
              <w:spacing w:after="0" w:line="202" w:lineRule="exact"/>
              <w:rPr>
                <w:sz w:val="20"/>
                <w:szCs w:val="20"/>
                <w:color w:val="auto"/>
              </w:rPr>
            </w:pPr>
            <w:r>
              <w:rPr>
                <w:rFonts w:ascii="Arial" w:cs="Arial" w:eastAsia="Arial" w:hAnsi="Arial"/>
                <w:sz w:val="18"/>
                <w:szCs w:val="18"/>
                <w:color w:val="auto"/>
                <w:w w:val="99"/>
              </w:rPr>
              <w:t>80% of outstanding</w:t>
            </w:r>
          </w:p>
        </w:tc>
        <w:tc>
          <w:tcPr>
            <w:tcW w:w="1740" w:type="dxa"/>
            <w:vAlign w:val="bottom"/>
          </w:tcPr>
          <w:p>
            <w:pPr>
              <w:jc w:val="center"/>
              <w:spacing w:after="0" w:line="202" w:lineRule="exact"/>
              <w:rPr>
                <w:sz w:val="20"/>
                <w:szCs w:val="20"/>
                <w:color w:val="auto"/>
              </w:rPr>
            </w:pPr>
            <w:r>
              <w:rPr>
                <w:rFonts w:ascii="Arial" w:cs="Arial" w:eastAsia="Arial" w:hAnsi="Arial"/>
                <w:sz w:val="18"/>
                <w:szCs w:val="18"/>
                <w:color w:val="auto"/>
                <w:w w:val="99"/>
              </w:rPr>
              <w:t>FOR</w:t>
            </w:r>
          </w:p>
        </w:tc>
        <w:tc>
          <w:tcPr>
            <w:tcW w:w="720" w:type="dxa"/>
            <w:vAlign w:val="bottom"/>
            <w:gridSpan w:val="3"/>
          </w:tcPr>
          <w:p>
            <w:pPr>
              <w:jc w:val="center"/>
              <w:ind w:right="40"/>
              <w:spacing w:after="0" w:line="202" w:lineRule="exact"/>
              <w:rPr>
                <w:sz w:val="20"/>
                <w:szCs w:val="20"/>
                <w:color w:val="auto"/>
              </w:rPr>
            </w:pPr>
            <w:r>
              <w:rPr>
                <w:rFonts w:ascii="Arial" w:cs="Arial" w:eastAsia="Arial" w:hAnsi="Arial"/>
                <w:sz w:val="18"/>
                <w:szCs w:val="18"/>
                <w:color w:val="0000FF"/>
                <w:w w:val="99"/>
              </w:rPr>
              <w:t>88</w:t>
            </w:r>
          </w:p>
        </w:tc>
      </w:tr>
      <w:tr>
        <w:trPr>
          <w:trHeight w:val="231"/>
        </w:trPr>
        <w:tc>
          <w:tcPr>
            <w:tcW w:w="4920" w:type="dxa"/>
            <w:vAlign w:val="bottom"/>
          </w:tcPr>
          <w:p>
            <w:pPr>
              <w:ind w:left="800"/>
              <w:spacing w:after="0"/>
              <w:rPr>
                <w:sz w:val="20"/>
                <w:szCs w:val="20"/>
                <w:color w:val="auto"/>
              </w:rPr>
            </w:pPr>
            <w:r>
              <w:rPr>
                <w:rFonts w:ascii="Arial" w:cs="Arial" w:eastAsia="Arial" w:hAnsi="Arial"/>
                <w:sz w:val="18"/>
                <w:szCs w:val="18"/>
                <w:color w:val="auto"/>
              </w:rPr>
              <w:t xml:space="preserve">incorporation to </w:t>
            </w:r>
            <w:r>
              <w:rPr>
                <w:rFonts w:ascii="Arial" w:cs="Arial" w:eastAsia="Arial" w:hAnsi="Arial"/>
                <w:sz w:val="18"/>
                <w:szCs w:val="18"/>
                <w:b w:val="1"/>
                <w:bCs w:val="1"/>
                <w:color w:val="D52B1E"/>
              </w:rPr>
              <w:t>eliminate supermajority voting</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shares</w:t>
            </w:r>
          </w:p>
        </w:tc>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80" w:type="dxa"/>
            <w:vAlign w:val="bottom"/>
          </w:tcPr>
          <w:p>
            <w:pPr>
              <w:spacing w:after="0"/>
              <w:rPr>
                <w:sz w:val="20"/>
                <w:szCs w:val="20"/>
                <w:color w:val="auto"/>
              </w:rPr>
            </w:pPr>
          </w:p>
        </w:tc>
      </w:tr>
      <w:tr>
        <w:trPr>
          <w:trHeight w:val="239"/>
        </w:trPr>
        <w:tc>
          <w:tcPr>
            <w:tcW w:w="4920" w:type="dxa"/>
            <w:vAlign w:val="bottom"/>
          </w:tcPr>
          <w:p>
            <w:pPr>
              <w:ind w:left="800"/>
              <w:spacing w:after="0"/>
              <w:rPr>
                <w:sz w:val="20"/>
                <w:szCs w:val="20"/>
                <w:color w:val="auto"/>
              </w:rPr>
            </w:pPr>
            <w:r>
              <w:rPr>
                <w:rFonts w:ascii="Arial" w:cs="Arial" w:eastAsia="Arial" w:hAnsi="Arial"/>
                <w:sz w:val="18"/>
                <w:szCs w:val="18"/>
                <w:color w:val="auto"/>
              </w:rPr>
              <w:t>provisions</w:t>
            </w:r>
          </w:p>
        </w:tc>
        <w:tc>
          <w:tcPr>
            <w:tcW w:w="17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57607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5760720" cy="4286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60720" cy="428625"/>
                    </a:xfrm>
                    <a:prstGeom prst="rect">
                      <a:avLst/>
                    </a:prstGeom>
                    <a:noFill/>
                  </pic:spPr>
                </pic:pic>
              </a:graphicData>
            </a:graphic>
          </wp:anchor>
        </w:drawing>
      </w:r>
    </w:p>
    <w:p>
      <w:pPr>
        <w:sectPr>
          <w:pgSz w:w="11900" w:h="16838" w:orient="portrait"/>
          <w:cols w:equalWidth="0" w:num="1">
            <w:col w:w="10139"/>
          </w:cols>
          <w:pgMar w:left="320" w:top="1052" w:right="1440" w:bottom="1440" w:gutter="0" w:footer="0" w:header="0"/>
        </w:sectPr>
      </w:pPr>
    </w:p>
    <w:p>
      <w:pPr>
        <w:spacing w:after="0" w:line="193" w:lineRule="exact"/>
        <w:rPr>
          <w:sz w:val="20"/>
          <w:szCs w:val="20"/>
          <w:color w:val="auto"/>
        </w:rPr>
      </w:pPr>
    </w:p>
    <w:p>
      <w:pPr>
        <w:ind w:left="800" w:right="40" w:hanging="768"/>
        <w:spacing w:after="0" w:line="326" w:lineRule="auto"/>
        <w:tabs>
          <w:tab w:leader="none" w:pos="780" w:val="left"/>
        </w:tabs>
        <w:rPr>
          <w:sz w:val="20"/>
          <w:szCs w:val="20"/>
          <w:color w:val="auto"/>
        </w:rPr>
      </w:pPr>
      <w:r>
        <w:rPr>
          <w:rFonts w:ascii="Arial" w:cs="Arial" w:eastAsia="Arial" w:hAnsi="Arial"/>
          <w:sz w:val="18"/>
          <w:szCs w:val="18"/>
          <w:color w:val="auto"/>
        </w:rPr>
        <w:t>Item 7</w:t>
        <w:tab/>
        <w:t xml:space="preserve">Shareholder proposal to publish an </w:t>
      </w:r>
      <w:r>
        <w:rPr>
          <w:rFonts w:ascii="Arial" w:cs="Arial" w:eastAsia="Arial" w:hAnsi="Arial"/>
          <w:sz w:val="18"/>
          <w:szCs w:val="18"/>
          <w:b w:val="1"/>
          <w:bCs w:val="1"/>
          <w:color w:val="D52B1E"/>
        </w:rPr>
        <w:t>annual report</w:t>
      </w:r>
      <w:r>
        <w:rPr>
          <w:rFonts w:ascii="Arial" w:cs="Arial" w:eastAsia="Arial" w:hAnsi="Arial"/>
          <w:sz w:val="18"/>
          <w:szCs w:val="18"/>
          <w:color w:val="auto"/>
        </w:rPr>
        <w:t xml:space="preserve"> </w:t>
      </w:r>
      <w:r>
        <w:rPr>
          <w:rFonts w:ascii="Arial" w:cs="Arial" w:eastAsia="Arial" w:hAnsi="Arial"/>
          <w:sz w:val="18"/>
          <w:szCs w:val="18"/>
          <w:b w:val="1"/>
          <w:bCs w:val="1"/>
          <w:color w:val="D52B1E"/>
        </w:rPr>
        <w:t>disclosing lobbying activities</w:t>
      </w:r>
    </w:p>
    <w:p>
      <w:pPr>
        <w:spacing w:after="0" w:line="113" w:lineRule="exact"/>
        <w:rPr>
          <w:sz w:val="20"/>
          <w:szCs w:val="20"/>
          <w:color w:val="auto"/>
        </w:rPr>
      </w:pPr>
    </w:p>
    <w:p>
      <w:pPr>
        <w:ind w:left="800" w:hanging="768"/>
        <w:spacing w:after="0" w:line="326" w:lineRule="auto"/>
        <w:tabs>
          <w:tab w:leader="none" w:pos="780" w:val="left"/>
        </w:tabs>
        <w:rPr>
          <w:sz w:val="20"/>
          <w:szCs w:val="20"/>
          <w:color w:val="auto"/>
        </w:rPr>
      </w:pPr>
      <w:r>
        <w:rPr>
          <w:rFonts w:ascii="Arial" w:cs="Arial" w:eastAsia="Arial" w:hAnsi="Arial"/>
          <w:sz w:val="18"/>
          <w:szCs w:val="18"/>
          <w:color w:val="auto"/>
        </w:rPr>
        <w:t>Item 8</w:t>
        <w:tab/>
        <w:t xml:space="preserve">Shareholder proposal to </w:t>
      </w:r>
      <w:r>
        <w:rPr>
          <w:rFonts w:ascii="Arial" w:cs="Arial" w:eastAsia="Arial" w:hAnsi="Arial"/>
          <w:sz w:val="18"/>
          <w:szCs w:val="18"/>
          <w:b w:val="1"/>
          <w:bCs w:val="1"/>
          <w:color w:val="D52B1E"/>
        </w:rPr>
        <w:t>eliminate supermajority</w:t>
      </w:r>
      <w:r>
        <w:rPr>
          <w:rFonts w:ascii="Arial" w:cs="Arial" w:eastAsia="Arial" w:hAnsi="Arial"/>
          <w:sz w:val="18"/>
          <w:szCs w:val="18"/>
          <w:color w:val="auto"/>
        </w:rPr>
        <w:t xml:space="preserve"> </w:t>
      </w:r>
      <w:r>
        <w:rPr>
          <w:rFonts w:ascii="Arial" w:cs="Arial" w:eastAsia="Arial" w:hAnsi="Arial"/>
          <w:sz w:val="18"/>
          <w:szCs w:val="18"/>
          <w:b w:val="1"/>
          <w:bCs w:val="1"/>
          <w:color w:val="D52B1E"/>
        </w:rPr>
        <w:t>voting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5760720" cy="8489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60720" cy="848995"/>
                    </a:xfrm>
                    <a:prstGeom prst="rect">
                      <a:avLst/>
                    </a:prstGeom>
                    <a:noFill/>
                  </pic:spPr>
                </pic:pic>
              </a:graphicData>
            </a:graphic>
          </wp:anchor>
        </w:drawing>
      </w:r>
    </w:p>
    <w:p>
      <w:pPr>
        <w:spacing w:after="0" w:line="93" w:lineRule="exact"/>
        <w:rPr>
          <w:sz w:val="20"/>
          <w:szCs w:val="20"/>
          <w:color w:val="auto"/>
        </w:rPr>
      </w:pPr>
    </w:p>
    <w:p>
      <w:pPr>
        <w:ind w:left="800" w:right="20" w:hanging="768"/>
        <w:spacing w:after="0" w:line="273" w:lineRule="auto"/>
        <w:tabs>
          <w:tab w:leader="none" w:pos="780" w:val="left"/>
        </w:tabs>
        <w:rPr>
          <w:sz w:val="20"/>
          <w:szCs w:val="20"/>
          <w:color w:val="auto"/>
        </w:rPr>
      </w:pPr>
      <w:r>
        <w:rPr>
          <w:rFonts w:ascii="Arial" w:cs="Arial" w:eastAsia="Arial" w:hAnsi="Arial"/>
          <w:sz w:val="18"/>
          <w:szCs w:val="18"/>
          <w:color w:val="auto"/>
        </w:rPr>
        <w:t>Item 9</w:t>
        <w:tab/>
        <w:t xml:space="preserve">Shareholder proposal to establish and </w:t>
      </w:r>
      <w:r>
        <w:rPr>
          <w:rFonts w:ascii="Arial" w:cs="Arial" w:eastAsia="Arial" w:hAnsi="Arial"/>
          <w:sz w:val="18"/>
          <w:szCs w:val="18"/>
          <w:b w:val="1"/>
          <w:bCs w:val="1"/>
          <w:color w:val="D52B1E"/>
        </w:rPr>
        <w:t>report</w:t>
      </w:r>
      <w:r>
        <w:rPr>
          <w:rFonts w:ascii="Arial" w:cs="Arial" w:eastAsia="Arial" w:hAnsi="Arial"/>
          <w:sz w:val="18"/>
          <w:szCs w:val="18"/>
          <w:color w:val="auto"/>
        </w:rPr>
        <w:t xml:space="preserve"> on a process by which the </w:t>
      </w:r>
      <w:r>
        <w:rPr>
          <w:rFonts w:ascii="Arial" w:cs="Arial" w:eastAsia="Arial" w:hAnsi="Arial"/>
          <w:sz w:val="18"/>
          <w:szCs w:val="18"/>
          <w:b w:val="1"/>
          <w:bCs w:val="1"/>
          <w:color w:val="D52B1E"/>
        </w:rPr>
        <w:t>impact of extended patent</w:t>
      </w:r>
      <w:r>
        <w:rPr>
          <w:rFonts w:ascii="Arial" w:cs="Arial" w:eastAsia="Arial" w:hAnsi="Arial"/>
          <w:sz w:val="18"/>
          <w:szCs w:val="18"/>
          <w:color w:val="auto"/>
        </w:rPr>
        <w:t xml:space="preserve"> </w:t>
      </w:r>
      <w:r>
        <w:rPr>
          <w:rFonts w:ascii="Arial" w:cs="Arial" w:eastAsia="Arial" w:hAnsi="Arial"/>
          <w:sz w:val="18"/>
          <w:szCs w:val="18"/>
          <w:b w:val="1"/>
          <w:bCs w:val="1"/>
          <w:color w:val="D52B1E"/>
        </w:rPr>
        <w:t xml:space="preserve">exclusivities on product access </w:t>
      </w:r>
      <w:r>
        <w:rPr>
          <w:rFonts w:ascii="Arial" w:cs="Arial" w:eastAsia="Arial" w:hAnsi="Arial"/>
          <w:sz w:val="17"/>
          <w:szCs w:val="17"/>
          <w:color w:val="000000"/>
        </w:rPr>
        <w:t>would be</w:t>
      </w:r>
      <w:r>
        <w:rPr>
          <w:rFonts w:ascii="Arial" w:cs="Arial" w:eastAsia="Arial" w:hAnsi="Arial"/>
          <w:sz w:val="18"/>
          <w:szCs w:val="18"/>
          <w:b w:val="1"/>
          <w:bCs w:val="1"/>
          <w:color w:val="D52B1E"/>
        </w:rPr>
        <w:t xml:space="preserve"> </w:t>
      </w:r>
      <w:r>
        <w:rPr>
          <w:rFonts w:ascii="Arial" w:cs="Arial" w:eastAsia="Arial" w:hAnsi="Arial"/>
          <w:sz w:val="17"/>
          <w:szCs w:val="17"/>
          <w:color w:val="000000"/>
        </w:rPr>
        <w:t>considered in deciding whether to apply for secondary and tertiary patents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Pr>
          <w:p>
            <w:pPr>
              <w:jc w:val="center"/>
              <w:ind w:right="230"/>
              <w:spacing w:after="0"/>
              <w:rPr>
                <w:sz w:val="20"/>
                <w:szCs w:val="20"/>
                <w:color w:val="auto"/>
              </w:rPr>
            </w:pPr>
            <w:r>
              <w:rPr>
                <w:rFonts w:ascii="Arial" w:cs="Arial" w:eastAsia="Arial" w:hAnsi="Arial"/>
                <w:sz w:val="18"/>
                <w:szCs w:val="18"/>
                <w:color w:val="auto"/>
                <w:w w:val="99"/>
              </w:rPr>
              <w:t>Majority of votes</w:t>
            </w:r>
          </w:p>
        </w:tc>
        <w:tc>
          <w:tcPr>
            <w:tcW w:w="1860" w:type="dxa"/>
            <w:vAlign w:val="bottom"/>
          </w:tcPr>
          <w:p>
            <w:pPr>
              <w:ind w:left="340"/>
              <w:spacing w:after="0"/>
              <w:rPr>
                <w:sz w:val="20"/>
                <w:szCs w:val="20"/>
                <w:color w:val="auto"/>
              </w:rPr>
            </w:pPr>
            <w:r>
              <w:rPr>
                <w:rFonts w:ascii="Arial" w:cs="Arial" w:eastAsia="Arial" w:hAnsi="Arial"/>
                <w:sz w:val="18"/>
                <w:szCs w:val="18"/>
                <w:color w:val="auto"/>
              </w:rPr>
              <w:t>AGAINST</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89</w:t>
            </w:r>
          </w:p>
        </w:tc>
      </w:tr>
      <w:tr>
        <w:trPr>
          <w:trHeight w:val="241"/>
        </w:trPr>
        <w:tc>
          <w:tcPr>
            <w:tcW w:w="1620" w:type="dxa"/>
            <w:vAlign w:val="bottom"/>
          </w:tcPr>
          <w:p>
            <w:pPr>
              <w:jc w:val="center"/>
              <w:ind w:right="230"/>
              <w:spacing w:after="0"/>
              <w:rPr>
                <w:sz w:val="20"/>
                <w:szCs w:val="20"/>
                <w:color w:val="auto"/>
              </w:rPr>
            </w:pPr>
            <w:r>
              <w:rPr>
                <w:rFonts w:ascii="Arial" w:cs="Arial" w:eastAsia="Arial" w:hAnsi="Arial"/>
                <w:sz w:val="18"/>
                <w:szCs w:val="18"/>
                <w:color w:val="auto"/>
              </w:rPr>
              <w:t>cast</w:t>
            </w:r>
          </w:p>
        </w:tc>
        <w:tc>
          <w:tcPr>
            <w:tcW w:w="18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14"/>
        </w:trPr>
        <w:tc>
          <w:tcPr>
            <w:tcW w:w="1620" w:type="dxa"/>
            <w:vAlign w:val="bottom"/>
          </w:tcPr>
          <w:p>
            <w:pPr>
              <w:jc w:val="center"/>
              <w:ind w:right="230"/>
              <w:spacing w:after="0"/>
              <w:rPr>
                <w:sz w:val="20"/>
                <w:szCs w:val="20"/>
                <w:color w:val="auto"/>
              </w:rPr>
            </w:pPr>
            <w:r>
              <w:rPr>
                <w:rFonts w:ascii="Arial" w:cs="Arial" w:eastAsia="Arial" w:hAnsi="Arial"/>
                <w:sz w:val="18"/>
                <w:szCs w:val="18"/>
                <w:color w:val="auto"/>
                <w:w w:val="99"/>
              </w:rPr>
              <w:t>Majority of votes</w:t>
            </w:r>
          </w:p>
        </w:tc>
        <w:tc>
          <w:tcPr>
            <w:tcW w:w="1860" w:type="dxa"/>
            <w:vAlign w:val="bottom"/>
          </w:tcPr>
          <w:p>
            <w:pPr>
              <w:ind w:left="340"/>
              <w:spacing w:after="0"/>
              <w:rPr>
                <w:sz w:val="20"/>
                <w:szCs w:val="20"/>
                <w:color w:val="auto"/>
              </w:rPr>
            </w:pPr>
            <w:r>
              <w:rPr>
                <w:rFonts w:ascii="Arial" w:cs="Arial" w:eastAsia="Arial" w:hAnsi="Arial"/>
                <w:sz w:val="18"/>
                <w:szCs w:val="18"/>
                <w:color w:val="auto"/>
              </w:rPr>
              <w:t>AGAINST</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92</w:t>
            </w:r>
          </w:p>
        </w:tc>
      </w:tr>
      <w:tr>
        <w:trPr>
          <w:trHeight w:val="241"/>
        </w:trPr>
        <w:tc>
          <w:tcPr>
            <w:tcW w:w="1620" w:type="dxa"/>
            <w:vAlign w:val="bottom"/>
          </w:tcPr>
          <w:p>
            <w:pPr>
              <w:jc w:val="center"/>
              <w:ind w:right="230"/>
              <w:spacing w:after="0"/>
              <w:rPr>
                <w:sz w:val="20"/>
                <w:szCs w:val="20"/>
                <w:color w:val="auto"/>
              </w:rPr>
            </w:pPr>
            <w:r>
              <w:rPr>
                <w:rFonts w:ascii="Arial" w:cs="Arial" w:eastAsia="Arial" w:hAnsi="Arial"/>
                <w:sz w:val="18"/>
                <w:szCs w:val="18"/>
                <w:color w:val="auto"/>
              </w:rPr>
              <w:t>cast</w:t>
            </w:r>
          </w:p>
        </w:tc>
        <w:tc>
          <w:tcPr>
            <w:tcW w:w="18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14"/>
        </w:trPr>
        <w:tc>
          <w:tcPr>
            <w:tcW w:w="1620" w:type="dxa"/>
            <w:vAlign w:val="bottom"/>
          </w:tcPr>
          <w:p>
            <w:pPr>
              <w:jc w:val="center"/>
              <w:ind w:right="230"/>
              <w:spacing w:after="0"/>
              <w:rPr>
                <w:sz w:val="20"/>
                <w:szCs w:val="20"/>
                <w:color w:val="auto"/>
              </w:rPr>
            </w:pPr>
            <w:r>
              <w:rPr>
                <w:rFonts w:ascii="Arial" w:cs="Arial" w:eastAsia="Arial" w:hAnsi="Arial"/>
                <w:sz w:val="18"/>
                <w:szCs w:val="18"/>
                <w:color w:val="auto"/>
                <w:w w:val="99"/>
              </w:rPr>
              <w:t>Majority of votes</w:t>
            </w:r>
          </w:p>
        </w:tc>
        <w:tc>
          <w:tcPr>
            <w:tcW w:w="1860" w:type="dxa"/>
            <w:vAlign w:val="bottom"/>
          </w:tcPr>
          <w:p>
            <w:pPr>
              <w:ind w:left="340"/>
              <w:spacing w:after="0"/>
              <w:rPr>
                <w:sz w:val="20"/>
                <w:szCs w:val="20"/>
                <w:color w:val="auto"/>
              </w:rPr>
            </w:pPr>
            <w:r>
              <w:rPr>
                <w:rFonts w:ascii="Arial" w:cs="Arial" w:eastAsia="Arial" w:hAnsi="Arial"/>
                <w:sz w:val="18"/>
                <w:szCs w:val="18"/>
                <w:color w:val="auto"/>
              </w:rPr>
              <w:t>AGAINST</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94</w:t>
            </w:r>
          </w:p>
        </w:tc>
      </w:tr>
      <w:tr>
        <w:trPr>
          <w:trHeight w:val="241"/>
        </w:trPr>
        <w:tc>
          <w:tcPr>
            <w:tcW w:w="1620" w:type="dxa"/>
            <w:vAlign w:val="bottom"/>
          </w:tcPr>
          <w:p>
            <w:pPr>
              <w:jc w:val="center"/>
              <w:ind w:right="230"/>
              <w:spacing w:after="0"/>
              <w:rPr>
                <w:sz w:val="20"/>
                <w:szCs w:val="20"/>
                <w:color w:val="auto"/>
              </w:rPr>
            </w:pPr>
            <w:r>
              <w:rPr>
                <w:rFonts w:ascii="Arial" w:cs="Arial" w:eastAsia="Arial" w:hAnsi="Arial"/>
                <w:sz w:val="18"/>
                <w:szCs w:val="18"/>
                <w:color w:val="auto"/>
              </w:rPr>
              <w:t>cast</w:t>
            </w:r>
          </w:p>
        </w:tc>
        <w:tc>
          <w:tcPr>
            <w:tcW w:w="186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869" w:lineRule="exact"/>
        <w:rPr>
          <w:sz w:val="20"/>
          <w:szCs w:val="20"/>
          <w:color w:val="auto"/>
        </w:rPr>
      </w:pPr>
    </w:p>
    <w:p>
      <w:pPr>
        <w:sectPr>
          <w:pgSz w:w="11900" w:h="16838" w:orient="portrait"/>
          <w:cols w:equalWidth="0" w:num="2">
            <w:col w:w="4880" w:space="240"/>
            <w:col w:w="5019"/>
          </w:cols>
          <w:pgMar w:left="320" w:top="1052" w:right="1440" w:bottom="1440" w:gutter="0" w:footer="0" w:header="0"/>
          <w:type w:val="continuous"/>
        </w:sectPr>
      </w:pPr>
    </w:p>
    <w:p>
      <w:pPr>
        <w:spacing w:after="0" w:line="12" w:lineRule="exact"/>
        <w:rPr>
          <w:sz w:val="20"/>
          <w:szCs w:val="20"/>
          <w:color w:val="auto"/>
        </w:rPr>
      </w:pPr>
    </w:p>
    <w:p>
      <w:pPr>
        <w:ind w:left="800" w:right="600" w:hanging="768"/>
        <w:spacing w:after="0" w:line="326" w:lineRule="auto"/>
        <w:tabs>
          <w:tab w:leader="none" w:pos="780" w:val="left"/>
        </w:tabs>
        <w:rPr>
          <w:sz w:val="20"/>
          <w:szCs w:val="20"/>
          <w:color w:val="auto"/>
        </w:rPr>
      </w:pPr>
      <w:r>
        <w:rPr>
          <w:rFonts w:ascii="Arial" w:cs="Arial" w:eastAsia="Arial" w:hAnsi="Arial"/>
          <w:sz w:val="18"/>
          <w:szCs w:val="18"/>
          <w:color w:val="auto"/>
        </w:rPr>
        <w:t>Item 10</w:t>
        <w:tab/>
        <w:t xml:space="preserve">Shareholder proposal to report on </w:t>
      </w:r>
      <w:r>
        <w:rPr>
          <w:rFonts w:ascii="Arial" w:cs="Arial" w:eastAsia="Arial" w:hAnsi="Arial"/>
          <w:sz w:val="18"/>
          <w:szCs w:val="18"/>
          <w:b w:val="1"/>
          <w:bCs w:val="1"/>
          <w:color w:val="D52B1E"/>
        </w:rPr>
        <w:t>risks of</w:t>
      </w:r>
      <w:r>
        <w:rPr>
          <w:rFonts w:ascii="Arial" w:cs="Arial" w:eastAsia="Arial" w:hAnsi="Arial"/>
          <w:sz w:val="18"/>
          <w:szCs w:val="18"/>
          <w:color w:val="auto"/>
        </w:rPr>
        <w:t xml:space="preserve"> </w:t>
      </w:r>
      <w:r>
        <w:rPr>
          <w:rFonts w:ascii="Arial" w:cs="Arial" w:eastAsia="Arial" w:hAnsi="Arial"/>
          <w:sz w:val="18"/>
          <w:szCs w:val="18"/>
          <w:b w:val="1"/>
          <w:bCs w:val="1"/>
          <w:color w:val="D52B1E"/>
        </w:rPr>
        <w:t>supporting abortion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5760720" cy="5657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60720" cy="565785"/>
                    </a:xfrm>
                    <a:prstGeom prst="rect">
                      <a:avLst/>
                    </a:prstGeom>
                    <a:noFill/>
                  </pic:spPr>
                </pic:pic>
              </a:graphicData>
            </a:graphic>
          </wp:anchor>
        </w:drawing>
      </w:r>
    </w:p>
    <w:p>
      <w:pPr>
        <w:spacing w:after="0" w:line="93" w:lineRule="exact"/>
        <w:rPr>
          <w:sz w:val="20"/>
          <w:szCs w:val="20"/>
          <w:color w:val="auto"/>
        </w:rPr>
      </w:pPr>
    </w:p>
    <w:p>
      <w:pPr>
        <w:jc w:val="both"/>
        <w:ind w:left="800" w:right="440" w:hanging="768"/>
        <w:spacing w:after="0" w:line="281" w:lineRule="auto"/>
        <w:tabs>
          <w:tab w:leader="none" w:pos="780" w:val="left"/>
        </w:tabs>
        <w:rPr>
          <w:sz w:val="20"/>
          <w:szCs w:val="20"/>
          <w:color w:val="auto"/>
        </w:rPr>
      </w:pPr>
      <w:r>
        <w:rPr>
          <w:rFonts w:ascii="Arial" w:cs="Arial" w:eastAsia="Arial" w:hAnsi="Arial"/>
          <w:sz w:val="18"/>
          <w:szCs w:val="18"/>
          <w:color w:val="auto"/>
        </w:rPr>
        <w:t>Item 11</w:t>
        <w:tab/>
        <w:t xml:space="preserve">Shareholder proposal to </w:t>
      </w:r>
      <w:r>
        <w:rPr>
          <w:rFonts w:ascii="Arial" w:cs="Arial" w:eastAsia="Arial" w:hAnsi="Arial"/>
          <w:sz w:val="18"/>
          <w:szCs w:val="18"/>
          <w:b w:val="1"/>
          <w:bCs w:val="1"/>
          <w:color w:val="D52B1E"/>
        </w:rPr>
        <w:t>disclose lobbying</w:t>
      </w:r>
      <w:r>
        <w:rPr>
          <w:rFonts w:ascii="Arial" w:cs="Arial" w:eastAsia="Arial" w:hAnsi="Arial"/>
          <w:sz w:val="18"/>
          <w:szCs w:val="18"/>
          <w:color w:val="auto"/>
        </w:rPr>
        <w:t xml:space="preserve"> </w:t>
      </w:r>
      <w:r>
        <w:rPr>
          <w:rFonts w:ascii="Arial" w:cs="Arial" w:eastAsia="Arial" w:hAnsi="Arial"/>
          <w:sz w:val="18"/>
          <w:szCs w:val="18"/>
          <w:b w:val="1"/>
          <w:bCs w:val="1"/>
          <w:color w:val="D52B1E"/>
        </w:rPr>
        <w:t xml:space="preserve">activities and alignment </w:t>
      </w:r>
      <w:r>
        <w:rPr>
          <w:rFonts w:ascii="Arial" w:cs="Arial" w:eastAsia="Arial" w:hAnsi="Arial"/>
          <w:sz w:val="17"/>
          <w:szCs w:val="17"/>
          <w:color w:val="000000"/>
        </w:rPr>
        <w:t>with public policy</w:t>
      </w:r>
      <w:r>
        <w:rPr>
          <w:rFonts w:ascii="Arial" w:cs="Arial" w:eastAsia="Arial" w:hAnsi="Arial"/>
          <w:sz w:val="18"/>
          <w:szCs w:val="18"/>
          <w:b w:val="1"/>
          <w:bCs w:val="1"/>
          <w:color w:val="D52B1E"/>
        </w:rPr>
        <w:t xml:space="preserve"> </w:t>
      </w:r>
      <w:r>
        <w:rPr>
          <w:rFonts w:ascii="Arial" w:cs="Arial" w:eastAsia="Arial" w:hAnsi="Arial"/>
          <w:sz w:val="17"/>
          <w:szCs w:val="17"/>
          <w:color w:val="000000"/>
        </w:rPr>
        <w:t>positions and statements</w:t>
      </w:r>
    </w:p>
    <w:p>
      <w:pPr>
        <w:spacing w:after="0" w:line="164" w:lineRule="exact"/>
        <w:rPr>
          <w:sz w:val="20"/>
          <w:szCs w:val="20"/>
          <w:color w:val="auto"/>
        </w:rPr>
      </w:pPr>
    </w:p>
    <w:p>
      <w:pPr>
        <w:jc w:val="center"/>
        <w:ind w:left="20"/>
        <w:spacing w:after="0"/>
        <w:tabs>
          <w:tab w:leader="none" w:pos="160" w:val="left"/>
        </w:tabs>
        <w:rPr>
          <w:sz w:val="20"/>
          <w:szCs w:val="20"/>
          <w:color w:val="auto"/>
        </w:rPr>
      </w:pPr>
      <w:r>
        <w:rPr>
          <w:rFonts w:ascii="Arial" w:cs="Arial" w:eastAsia="Arial" w:hAnsi="Arial"/>
          <w:sz w:val="18"/>
          <w:szCs w:val="18"/>
          <w:color w:val="auto"/>
        </w:rPr>
        <w:t>Item 12</w:t>
        <w:tab/>
        <w:t xml:space="preserve">Shareholder proposal to </w:t>
      </w:r>
      <w:r>
        <w:rPr>
          <w:rFonts w:ascii="Arial" w:cs="Arial" w:eastAsia="Arial" w:hAnsi="Arial"/>
          <w:sz w:val="18"/>
          <w:szCs w:val="18"/>
          <w:b w:val="1"/>
          <w:bCs w:val="1"/>
          <w:color w:val="D52B1E"/>
        </w:rPr>
        <w:t>report</w:t>
      </w:r>
      <w:r>
        <w:rPr>
          <w:rFonts w:ascii="Arial" w:cs="Arial" w:eastAsia="Arial" w:hAnsi="Arial"/>
          <w:sz w:val="18"/>
          <w:szCs w:val="18"/>
          <w:color w:val="auto"/>
        </w:rPr>
        <w:t xml:space="preserve"> on </w:t>
      </w:r>
      <w:r>
        <w:rPr>
          <w:rFonts w:ascii="Arial" w:cs="Arial" w:eastAsia="Arial" w:hAnsi="Arial"/>
          <w:sz w:val="18"/>
          <w:szCs w:val="18"/>
          <w:b w:val="1"/>
          <w:bCs w:val="1"/>
          <w:color w:val="D52B1E"/>
        </w:rPr>
        <w:t>effectiveness</w:t>
      </w:r>
    </w:p>
    <w:p>
      <w:pPr>
        <w:spacing w:after="0" w:line="46" w:lineRule="exact"/>
        <w:rPr>
          <w:sz w:val="20"/>
          <w:szCs w:val="20"/>
          <w:color w:val="auto"/>
        </w:rPr>
      </w:pPr>
    </w:p>
    <w:p>
      <w:pPr>
        <w:ind w:left="800" w:right="740"/>
        <w:spacing w:after="0" w:line="305" w:lineRule="auto"/>
        <w:rPr>
          <w:sz w:val="20"/>
          <w:szCs w:val="20"/>
          <w:color w:val="auto"/>
        </w:rPr>
      </w:pPr>
      <w:r>
        <w:rPr>
          <w:rFonts w:ascii="Arial" w:cs="Arial" w:eastAsia="Arial" w:hAnsi="Arial"/>
          <w:sz w:val="18"/>
          <w:szCs w:val="18"/>
          <w:color w:val="auto"/>
        </w:rPr>
        <w:t xml:space="preserve">of the company’s </w:t>
      </w:r>
      <w:r>
        <w:rPr>
          <w:rFonts w:ascii="Arial" w:cs="Arial" w:eastAsia="Arial" w:hAnsi="Arial"/>
          <w:sz w:val="18"/>
          <w:szCs w:val="18"/>
          <w:b w:val="1"/>
          <w:bCs w:val="1"/>
          <w:color w:val="D52B1E"/>
        </w:rPr>
        <w:t>diversity, equity, and</w:t>
      </w:r>
      <w:r>
        <w:rPr>
          <w:rFonts w:ascii="Arial" w:cs="Arial" w:eastAsia="Arial" w:hAnsi="Arial"/>
          <w:sz w:val="18"/>
          <w:szCs w:val="18"/>
          <w:color w:val="auto"/>
        </w:rPr>
        <w:t xml:space="preserve"> </w:t>
      </w:r>
      <w:r>
        <w:rPr>
          <w:rFonts w:ascii="Arial" w:cs="Arial" w:eastAsia="Arial" w:hAnsi="Arial"/>
          <w:sz w:val="18"/>
          <w:szCs w:val="18"/>
          <w:b w:val="1"/>
          <w:bCs w:val="1"/>
          <w:color w:val="D52B1E"/>
        </w:rPr>
        <w:t xml:space="preserve">inclusion </w:t>
      </w:r>
      <w:r>
        <w:rPr>
          <w:rFonts w:ascii="Arial" w:cs="Arial" w:eastAsia="Arial" w:hAnsi="Arial"/>
          <w:sz w:val="17"/>
          <w:szCs w:val="17"/>
          <w:color w:val="000000"/>
        </w:rPr>
        <w:t>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5760720" cy="6343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60720" cy="634365"/>
                    </a:xfrm>
                    <a:prstGeom prst="rect">
                      <a:avLst/>
                    </a:prstGeom>
                    <a:noFill/>
                  </pic:spPr>
                </pic:pic>
              </a:graphicData>
            </a:graphic>
          </wp:anchor>
        </w:drawing>
      </w:r>
    </w:p>
    <w:p>
      <w:pPr>
        <w:spacing w:after="0" w:line="106"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8"/>
          <w:szCs w:val="18"/>
          <w:color w:val="auto"/>
        </w:rPr>
        <w:t>Item 13</w:t>
      </w:r>
      <w:r>
        <w:rPr>
          <w:sz w:val="20"/>
          <w:szCs w:val="20"/>
          <w:color w:val="auto"/>
        </w:rPr>
        <w:tab/>
      </w:r>
      <w:r>
        <w:rPr>
          <w:rFonts w:ascii="Arial" w:cs="Arial" w:eastAsia="Arial" w:hAnsi="Arial"/>
          <w:sz w:val="17"/>
          <w:szCs w:val="17"/>
          <w:color w:val="auto"/>
        </w:rPr>
        <w:t>Shareholder proposal to adopt a policy to require</w:t>
      </w:r>
    </w:p>
    <w:p>
      <w:pPr>
        <w:spacing w:after="0" w:line="32" w:lineRule="exact"/>
        <w:rPr>
          <w:sz w:val="20"/>
          <w:szCs w:val="20"/>
          <w:color w:val="auto"/>
        </w:rPr>
      </w:pPr>
    </w:p>
    <w:p>
      <w:pPr>
        <w:ind w:left="800" w:right="140"/>
        <w:spacing w:after="0" w:line="263" w:lineRule="auto"/>
        <w:rPr>
          <w:sz w:val="20"/>
          <w:szCs w:val="20"/>
          <w:color w:val="auto"/>
        </w:rPr>
      </w:pPr>
      <w:r>
        <w:rPr>
          <w:rFonts w:ascii="Arial" w:cs="Arial" w:eastAsia="Arial" w:hAnsi="Arial"/>
          <w:sz w:val="18"/>
          <w:szCs w:val="18"/>
          <w:color w:val="auto"/>
        </w:rPr>
        <w:t xml:space="preserve">certain </w:t>
      </w:r>
      <w:r>
        <w:rPr>
          <w:rFonts w:ascii="Arial" w:cs="Arial" w:eastAsia="Arial" w:hAnsi="Arial"/>
          <w:sz w:val="18"/>
          <w:szCs w:val="18"/>
          <w:b w:val="1"/>
          <w:bCs w:val="1"/>
          <w:color w:val="D52B1E"/>
        </w:rPr>
        <w:t>third-party organizations to annually</w:t>
      </w:r>
      <w:r>
        <w:rPr>
          <w:rFonts w:ascii="Arial" w:cs="Arial" w:eastAsia="Arial" w:hAnsi="Arial"/>
          <w:sz w:val="18"/>
          <w:szCs w:val="18"/>
          <w:color w:val="auto"/>
        </w:rPr>
        <w:t xml:space="preserve"> </w:t>
      </w:r>
      <w:r>
        <w:rPr>
          <w:rFonts w:ascii="Arial" w:cs="Arial" w:eastAsia="Arial" w:hAnsi="Arial"/>
          <w:sz w:val="18"/>
          <w:szCs w:val="18"/>
          <w:b w:val="1"/>
          <w:bCs w:val="1"/>
          <w:color w:val="D52B1E"/>
        </w:rPr>
        <w:t>report expenditures for political activities</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before Lilly contributes to an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57607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Pr>
          <w:p>
            <w:pPr>
              <w:jc w:val="center"/>
              <w:ind w:right="230"/>
              <w:spacing w:after="0"/>
              <w:rPr>
                <w:sz w:val="20"/>
                <w:szCs w:val="20"/>
                <w:color w:val="auto"/>
              </w:rPr>
            </w:pPr>
            <w:r>
              <w:rPr>
                <w:rFonts w:ascii="Arial" w:cs="Arial" w:eastAsia="Arial" w:hAnsi="Arial"/>
                <w:sz w:val="18"/>
                <w:szCs w:val="18"/>
                <w:color w:val="auto"/>
                <w:w w:val="99"/>
              </w:rPr>
              <w:t>Majority of votes</w:t>
            </w:r>
          </w:p>
        </w:tc>
        <w:tc>
          <w:tcPr>
            <w:tcW w:w="1820" w:type="dxa"/>
            <w:vAlign w:val="bottom"/>
          </w:tcPr>
          <w:p>
            <w:pPr>
              <w:ind w:left="340"/>
              <w:spacing w:after="0"/>
              <w:rPr>
                <w:sz w:val="20"/>
                <w:szCs w:val="20"/>
                <w:color w:val="auto"/>
              </w:rPr>
            </w:pPr>
            <w:r>
              <w:rPr>
                <w:rFonts w:ascii="Arial" w:cs="Arial" w:eastAsia="Arial" w:hAnsi="Arial"/>
                <w:sz w:val="18"/>
                <w:szCs w:val="18"/>
                <w:color w:val="auto"/>
              </w:rPr>
              <w:t>AGAINST</w:t>
            </w:r>
          </w:p>
        </w:tc>
        <w:tc>
          <w:tcPr>
            <w:tcW w:w="300" w:type="dxa"/>
            <w:vAlign w:val="bottom"/>
            <w:gridSpan w:val="3"/>
          </w:tcPr>
          <w:p>
            <w:pPr>
              <w:jc w:val="center"/>
              <w:ind w:right="20"/>
              <w:spacing w:after="0"/>
              <w:rPr>
                <w:sz w:val="20"/>
                <w:szCs w:val="20"/>
                <w:color w:val="auto"/>
              </w:rPr>
            </w:pPr>
            <w:r>
              <w:rPr>
                <w:rFonts w:ascii="Arial" w:cs="Arial" w:eastAsia="Arial" w:hAnsi="Arial"/>
                <w:sz w:val="18"/>
                <w:szCs w:val="18"/>
                <w:color w:val="0000FF"/>
                <w:w w:val="99"/>
              </w:rPr>
              <w:t>97</w:t>
            </w:r>
          </w:p>
        </w:tc>
      </w:tr>
      <w:tr>
        <w:trPr>
          <w:trHeight w:val="241"/>
        </w:trPr>
        <w:tc>
          <w:tcPr>
            <w:tcW w:w="1620" w:type="dxa"/>
            <w:vAlign w:val="bottom"/>
          </w:tcPr>
          <w:p>
            <w:pPr>
              <w:jc w:val="center"/>
              <w:ind w:right="230"/>
              <w:spacing w:after="0"/>
              <w:rPr>
                <w:sz w:val="20"/>
                <w:szCs w:val="20"/>
                <w:color w:val="auto"/>
              </w:rPr>
            </w:pPr>
            <w:r>
              <w:rPr>
                <w:rFonts w:ascii="Arial" w:cs="Arial" w:eastAsia="Arial" w:hAnsi="Arial"/>
                <w:sz w:val="18"/>
                <w:szCs w:val="18"/>
                <w:color w:val="auto"/>
              </w:rPr>
              <w:t>cast</w:t>
            </w:r>
          </w:p>
        </w:tc>
        <w:tc>
          <w:tcPr>
            <w:tcW w:w="1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r>
      <w:tr>
        <w:trPr>
          <w:trHeight w:val="414"/>
        </w:trPr>
        <w:tc>
          <w:tcPr>
            <w:tcW w:w="1620" w:type="dxa"/>
            <w:vAlign w:val="bottom"/>
          </w:tcPr>
          <w:p>
            <w:pPr>
              <w:jc w:val="center"/>
              <w:ind w:right="230"/>
              <w:spacing w:after="0"/>
              <w:rPr>
                <w:sz w:val="20"/>
                <w:szCs w:val="20"/>
                <w:color w:val="auto"/>
              </w:rPr>
            </w:pPr>
            <w:r>
              <w:rPr>
                <w:rFonts w:ascii="Arial" w:cs="Arial" w:eastAsia="Arial" w:hAnsi="Arial"/>
                <w:sz w:val="18"/>
                <w:szCs w:val="18"/>
                <w:color w:val="auto"/>
                <w:w w:val="99"/>
              </w:rPr>
              <w:t>Majority of votes</w:t>
            </w:r>
          </w:p>
        </w:tc>
        <w:tc>
          <w:tcPr>
            <w:tcW w:w="1820" w:type="dxa"/>
            <w:vAlign w:val="bottom"/>
          </w:tcPr>
          <w:p>
            <w:pPr>
              <w:ind w:left="340"/>
              <w:spacing w:after="0"/>
              <w:rPr>
                <w:sz w:val="20"/>
                <w:szCs w:val="20"/>
                <w:color w:val="auto"/>
              </w:rPr>
            </w:pPr>
            <w:r>
              <w:rPr>
                <w:rFonts w:ascii="Arial" w:cs="Arial" w:eastAsia="Arial" w:hAnsi="Arial"/>
                <w:sz w:val="18"/>
                <w:szCs w:val="18"/>
                <w:color w:val="auto"/>
              </w:rPr>
              <w:t>AGAINST</w:t>
            </w:r>
          </w:p>
        </w:tc>
        <w:tc>
          <w:tcPr>
            <w:tcW w:w="300" w:type="dxa"/>
            <w:vAlign w:val="bottom"/>
            <w:gridSpan w:val="3"/>
          </w:tcPr>
          <w:p>
            <w:pPr>
              <w:jc w:val="center"/>
              <w:ind w:right="20"/>
              <w:spacing w:after="0"/>
              <w:rPr>
                <w:sz w:val="20"/>
                <w:szCs w:val="20"/>
                <w:color w:val="auto"/>
              </w:rPr>
            </w:pPr>
            <w:r>
              <w:rPr>
                <w:rFonts w:ascii="Arial" w:cs="Arial" w:eastAsia="Arial" w:hAnsi="Arial"/>
                <w:sz w:val="18"/>
                <w:szCs w:val="18"/>
                <w:color w:val="0000FF"/>
                <w:w w:val="99"/>
              </w:rPr>
              <w:t>99</w:t>
            </w:r>
          </w:p>
        </w:tc>
      </w:tr>
      <w:tr>
        <w:trPr>
          <w:trHeight w:val="241"/>
        </w:trPr>
        <w:tc>
          <w:tcPr>
            <w:tcW w:w="1620" w:type="dxa"/>
            <w:vAlign w:val="bottom"/>
          </w:tcPr>
          <w:p>
            <w:pPr>
              <w:jc w:val="center"/>
              <w:ind w:right="230"/>
              <w:spacing w:after="0"/>
              <w:rPr>
                <w:sz w:val="20"/>
                <w:szCs w:val="20"/>
                <w:color w:val="auto"/>
              </w:rPr>
            </w:pPr>
            <w:r>
              <w:rPr>
                <w:rFonts w:ascii="Arial" w:cs="Arial" w:eastAsia="Arial" w:hAnsi="Arial"/>
                <w:sz w:val="18"/>
                <w:szCs w:val="18"/>
                <w:color w:val="auto"/>
              </w:rPr>
              <w:t>cast</w:t>
            </w:r>
          </w:p>
        </w:tc>
        <w:tc>
          <w:tcPr>
            <w:tcW w:w="1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r>
      <w:tr>
        <w:trPr>
          <w:trHeight w:val="630"/>
        </w:trPr>
        <w:tc>
          <w:tcPr>
            <w:tcW w:w="1620" w:type="dxa"/>
            <w:vAlign w:val="bottom"/>
          </w:tcPr>
          <w:p>
            <w:pPr>
              <w:jc w:val="center"/>
              <w:ind w:right="230"/>
              <w:spacing w:after="0"/>
              <w:rPr>
                <w:sz w:val="20"/>
                <w:szCs w:val="20"/>
                <w:color w:val="auto"/>
              </w:rPr>
            </w:pPr>
            <w:r>
              <w:rPr>
                <w:rFonts w:ascii="Arial" w:cs="Arial" w:eastAsia="Arial" w:hAnsi="Arial"/>
                <w:sz w:val="18"/>
                <w:szCs w:val="18"/>
                <w:color w:val="auto"/>
                <w:w w:val="99"/>
              </w:rPr>
              <w:t>Majority of votes</w:t>
            </w:r>
          </w:p>
        </w:tc>
        <w:tc>
          <w:tcPr>
            <w:tcW w:w="1820" w:type="dxa"/>
            <w:vAlign w:val="bottom"/>
          </w:tcPr>
          <w:p>
            <w:pPr>
              <w:ind w:left="340"/>
              <w:spacing w:after="0"/>
              <w:rPr>
                <w:sz w:val="20"/>
                <w:szCs w:val="20"/>
                <w:color w:val="auto"/>
              </w:rPr>
            </w:pPr>
            <w:r>
              <w:rPr>
                <w:rFonts w:ascii="Arial" w:cs="Arial" w:eastAsia="Arial" w:hAnsi="Arial"/>
                <w:sz w:val="18"/>
                <w:szCs w:val="18"/>
                <w:color w:val="auto"/>
              </w:rPr>
              <w:t>AGAINST</w:t>
            </w:r>
          </w:p>
        </w:tc>
        <w:tc>
          <w:tcPr>
            <w:tcW w:w="3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102</w:t>
            </w:r>
          </w:p>
        </w:tc>
      </w:tr>
      <w:tr>
        <w:trPr>
          <w:trHeight w:val="240"/>
        </w:trPr>
        <w:tc>
          <w:tcPr>
            <w:tcW w:w="1620" w:type="dxa"/>
            <w:vAlign w:val="bottom"/>
          </w:tcPr>
          <w:p>
            <w:pPr>
              <w:jc w:val="center"/>
              <w:ind w:right="230"/>
              <w:spacing w:after="0"/>
              <w:rPr>
                <w:sz w:val="20"/>
                <w:szCs w:val="20"/>
                <w:color w:val="auto"/>
              </w:rPr>
            </w:pPr>
            <w:r>
              <w:rPr>
                <w:rFonts w:ascii="Arial" w:cs="Arial" w:eastAsia="Arial" w:hAnsi="Arial"/>
                <w:sz w:val="18"/>
                <w:szCs w:val="18"/>
                <w:color w:val="auto"/>
              </w:rPr>
              <w:t>cast</w:t>
            </w:r>
          </w:p>
        </w:tc>
        <w:tc>
          <w:tcPr>
            <w:tcW w:w="1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644"/>
        </w:trPr>
        <w:tc>
          <w:tcPr>
            <w:tcW w:w="1620" w:type="dxa"/>
            <w:vAlign w:val="bottom"/>
          </w:tcPr>
          <w:p>
            <w:pPr>
              <w:jc w:val="center"/>
              <w:ind w:right="230"/>
              <w:spacing w:after="0"/>
              <w:rPr>
                <w:sz w:val="20"/>
                <w:szCs w:val="20"/>
                <w:color w:val="auto"/>
              </w:rPr>
            </w:pPr>
            <w:r>
              <w:rPr>
                <w:rFonts w:ascii="Arial" w:cs="Arial" w:eastAsia="Arial" w:hAnsi="Arial"/>
                <w:sz w:val="18"/>
                <w:szCs w:val="18"/>
                <w:color w:val="auto"/>
                <w:w w:val="99"/>
              </w:rPr>
              <w:t>Majority of votes</w:t>
            </w:r>
          </w:p>
        </w:tc>
        <w:tc>
          <w:tcPr>
            <w:tcW w:w="1820" w:type="dxa"/>
            <w:vAlign w:val="bottom"/>
          </w:tcPr>
          <w:p>
            <w:pPr>
              <w:ind w:left="340"/>
              <w:spacing w:after="0"/>
              <w:rPr>
                <w:sz w:val="20"/>
                <w:szCs w:val="20"/>
                <w:color w:val="auto"/>
              </w:rPr>
            </w:pPr>
            <w:r>
              <w:rPr>
                <w:rFonts w:ascii="Arial" w:cs="Arial" w:eastAsia="Arial" w:hAnsi="Arial"/>
                <w:sz w:val="18"/>
                <w:szCs w:val="18"/>
                <w:color w:val="auto"/>
              </w:rPr>
              <w:t>AGAINST</w:t>
            </w:r>
          </w:p>
        </w:tc>
        <w:tc>
          <w:tcPr>
            <w:tcW w:w="3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104</w:t>
            </w:r>
          </w:p>
        </w:tc>
      </w:tr>
      <w:tr>
        <w:trPr>
          <w:trHeight w:val="240"/>
        </w:trPr>
        <w:tc>
          <w:tcPr>
            <w:tcW w:w="1620" w:type="dxa"/>
            <w:vAlign w:val="bottom"/>
          </w:tcPr>
          <w:p>
            <w:pPr>
              <w:jc w:val="center"/>
              <w:ind w:right="230"/>
              <w:spacing w:after="0"/>
              <w:rPr>
                <w:sz w:val="20"/>
                <w:szCs w:val="20"/>
                <w:color w:val="auto"/>
              </w:rPr>
            </w:pPr>
            <w:r>
              <w:rPr>
                <w:rFonts w:ascii="Arial" w:cs="Arial" w:eastAsia="Arial" w:hAnsi="Arial"/>
                <w:sz w:val="18"/>
                <w:szCs w:val="18"/>
                <w:color w:val="auto"/>
              </w:rPr>
              <w:t>cast</w:t>
            </w:r>
          </w:p>
        </w:tc>
        <w:tc>
          <w:tcPr>
            <w:tcW w:w="1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645" w:lineRule="exact"/>
        <w:rPr>
          <w:sz w:val="20"/>
          <w:szCs w:val="20"/>
          <w:color w:val="auto"/>
        </w:rPr>
      </w:pPr>
    </w:p>
    <w:p>
      <w:pPr>
        <w:sectPr>
          <w:pgSz w:w="11900" w:h="16838" w:orient="portrait"/>
          <w:cols w:equalWidth="0" w:num="2">
            <w:col w:w="4800" w:space="320"/>
            <w:col w:w="5019"/>
          </w:cols>
          <w:pgMar w:left="320" w:top="1052" w:right="1440"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52" w:right="1440"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52"/>
          <w:szCs w:val="52"/>
          <w:b w:val="1"/>
          <w:bCs w:val="1"/>
          <w:color w:val="auto"/>
        </w:rPr>
        <w:t>Governance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How We Build an Effective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205740</wp:posOffset>
            </wp:positionV>
            <wp:extent cx="2811780" cy="18942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11780" cy="1894205"/>
                    </a:xfrm>
                    <a:prstGeom prst="rect">
                      <a:avLst/>
                    </a:prstGeom>
                    <a:noFill/>
                  </pic:spPr>
                </pic:pic>
              </a:graphicData>
            </a:graphic>
          </wp:anchor>
        </w:drawing>
      </w:r>
    </w:p>
    <w:p>
      <w:pPr>
        <w:spacing w:after="0" w:line="393" w:lineRule="exact"/>
        <w:rPr>
          <w:sz w:val="20"/>
          <w:szCs w:val="20"/>
          <w:color w:val="auto"/>
        </w:rPr>
      </w:pPr>
    </w:p>
    <w:p>
      <w:pPr>
        <w:ind w:left="20" w:right="6740"/>
        <w:spacing w:after="0" w:line="253" w:lineRule="auto"/>
        <w:rPr>
          <w:sz w:val="20"/>
          <w:szCs w:val="20"/>
          <w:color w:val="auto"/>
        </w:rPr>
      </w:pPr>
      <w:r>
        <w:rPr>
          <w:rFonts w:ascii="Arial" w:cs="Arial" w:eastAsia="Arial" w:hAnsi="Arial"/>
          <w:sz w:val="18"/>
          <w:szCs w:val="18"/>
          <w:color w:val="auto"/>
        </w:rPr>
        <w:t>Our directors are elected by the company’s shareholders to oversee the actions and results of the company’s management. The Directors and Corporate Governance Committee, together with our lead independent director, regularly assesses the effectiveness of the board to ensure that directors reflect the skill sets, experiences, diverse viewpoints and characteristics necessary to lead our complex and evolving business. Execution of our robust assessment and refreshment process, guided by key governance guidelines, has resulted in a mix of directors that balance experienced institutional knowledge and fresh perspectives, and reflect a broad range of backgrounds and viewpoints.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Director Qualifications</w:t>
      </w:r>
    </w:p>
    <w:p>
      <w:pPr>
        <w:spacing w:after="0" w:line="235" w:lineRule="exact"/>
        <w:rPr>
          <w:sz w:val="20"/>
          <w:szCs w:val="20"/>
          <w:color w:val="auto"/>
        </w:rPr>
      </w:pPr>
    </w:p>
    <w:p>
      <w:pPr>
        <w:ind w:right="420"/>
        <w:spacing w:after="0" w:line="233" w:lineRule="auto"/>
        <w:rPr>
          <w:sz w:val="20"/>
          <w:szCs w:val="20"/>
          <w:color w:val="auto"/>
        </w:rPr>
      </w:pPr>
      <w:r>
        <w:rPr>
          <w:rFonts w:ascii="Arial" w:cs="Arial" w:eastAsia="Arial" w:hAnsi="Arial"/>
          <w:sz w:val="22"/>
          <w:szCs w:val="22"/>
          <w:b w:val="1"/>
          <w:bCs w:val="1"/>
          <w:color w:val="auto"/>
        </w:rPr>
        <w:t xml:space="preserve">Character: </w:t>
      </w:r>
      <w:r>
        <w:rPr>
          <w:rFonts w:ascii="Arial" w:cs="Arial" w:eastAsia="Arial" w:hAnsi="Arial"/>
          <w:sz w:val="17"/>
          <w:szCs w:val="17"/>
          <w:color w:val="auto"/>
        </w:rPr>
        <w:t>Our board members should possess the personal attributes necessary to be an effective director, including unquestioned</w:t>
      </w:r>
      <w:r>
        <w:rPr>
          <w:rFonts w:ascii="Arial" w:cs="Arial" w:eastAsia="Arial" w:hAnsi="Arial"/>
          <w:sz w:val="22"/>
          <w:szCs w:val="22"/>
          <w:b w:val="1"/>
          <w:bCs w:val="1"/>
          <w:color w:val="auto"/>
        </w:rPr>
        <w:t xml:space="preserve"> </w:t>
      </w:r>
      <w:r>
        <w:rPr>
          <w:rFonts w:ascii="Arial" w:cs="Arial" w:eastAsia="Arial" w:hAnsi="Arial"/>
          <w:sz w:val="17"/>
          <w:szCs w:val="17"/>
          <w:color w:val="auto"/>
        </w:rPr>
        <w:t>integrity, sound judgment, a collaborative spirit, and commitment to our company, our shareholders, and other constituencies.</w:t>
      </w:r>
    </w:p>
    <w:p>
      <w:pPr>
        <w:spacing w:after="0" w:line="197" w:lineRule="exact"/>
        <w:rPr>
          <w:sz w:val="20"/>
          <w:szCs w:val="20"/>
          <w:color w:val="auto"/>
        </w:rPr>
      </w:pPr>
    </w:p>
    <w:p>
      <w:pPr>
        <w:ind w:right="80"/>
        <w:spacing w:after="0" w:line="270" w:lineRule="auto"/>
        <w:rPr>
          <w:sz w:val="20"/>
          <w:szCs w:val="20"/>
          <w:color w:val="auto"/>
        </w:rPr>
      </w:pPr>
      <w:r>
        <w:rPr>
          <w:rFonts w:ascii="Arial" w:cs="Arial" w:eastAsia="Arial" w:hAnsi="Arial"/>
          <w:sz w:val="22"/>
          <w:szCs w:val="22"/>
          <w:b w:val="1"/>
          <w:bCs w:val="1"/>
          <w:color w:val="auto"/>
        </w:rPr>
        <w:t xml:space="preserve">Independence: </w:t>
      </w:r>
      <w:r>
        <w:rPr>
          <w:rFonts w:ascii="Arial" w:cs="Arial" w:eastAsia="Arial" w:hAnsi="Arial"/>
          <w:sz w:val="17"/>
          <w:szCs w:val="17"/>
          <w:color w:val="auto"/>
        </w:rPr>
        <w:t>We believe there should always be a substantial majority (75 percent or more) of independent directors. The board</w:t>
      </w:r>
      <w:r>
        <w:rPr>
          <w:rFonts w:ascii="Arial" w:cs="Arial" w:eastAsia="Arial" w:hAnsi="Arial"/>
          <w:sz w:val="22"/>
          <w:szCs w:val="22"/>
          <w:b w:val="1"/>
          <w:bCs w:val="1"/>
          <w:color w:val="auto"/>
        </w:rPr>
        <w:t xml:space="preserve"> </w:t>
      </w:r>
      <w:r>
        <w:rPr>
          <w:rFonts w:ascii="Arial" w:cs="Arial" w:eastAsia="Arial" w:hAnsi="Arial"/>
          <w:sz w:val="17"/>
          <w:szCs w:val="17"/>
          <w:color w:val="auto"/>
        </w:rPr>
        <w:t>annually determines the independence of directors based on a review and recommendation by the Directors and Corporate Governance Committee. No director is considered independent unless the board has affirmatively determined that he or she has no material relationship with the company, either directly or as a partner, shareholder, or officer of an organization that has a relationship with the company. In assessing whether a director has no material relationship with Lilly, the board of directors also considers any persons or organizations with which the director has an affiliation. Material relationships can include commercial, industrial, banking, consulting, legal, accounting, charitable, and familial relationships, among others. To evaluate the materiality of any such relationship, the board has adopted categorical independence standards consistent with the New York Stock Exchange (NYSE) listing standards.</w:t>
      </w:r>
    </w:p>
    <w:p>
      <w:pPr>
        <w:spacing w:after="0" w:line="116"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 xml:space="preserve">Lilly’s process for determining director independence is set forth in our Standards for Director Independence, which can be found on our website at </w:t>
      </w:r>
      <w:r>
        <w:rPr>
          <w:rFonts w:ascii="Arial" w:cs="Arial" w:eastAsia="Arial" w:hAnsi="Arial"/>
          <w:sz w:val="18"/>
          <w:szCs w:val="18"/>
          <w:color w:val="D52B1E"/>
        </w:rPr>
        <w:t>lilly.com/leadership/governance</w:t>
      </w:r>
      <w:r>
        <w:rPr>
          <w:rFonts w:ascii="Arial" w:cs="Arial" w:eastAsia="Arial" w:hAnsi="Arial"/>
          <w:sz w:val="18"/>
          <w:szCs w:val="18"/>
          <w:color w:val="auto"/>
        </w:rPr>
        <w:t>, along with our corporate governance guidelines.</w:t>
      </w:r>
    </w:p>
    <w:p>
      <w:pPr>
        <w:spacing w:after="0" w:line="99"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On the recommendation of the Directors and Corporate Governance Committee, the board determined that each current non-employee director is independent. The board also determined that the members of our Audit and Talent and Compensation Committees meet the heightened independence standards applicable to those committees. The board determined that none of the current non-employee directors has had during the last three years (i) any of the relationships identified in the company’s categorical independence standards or (ii) any other material relationship with the company that would compromise his or her independence.</w:t>
      </w:r>
    </w:p>
    <w:p>
      <w:pPr>
        <w:spacing w:after="0" w:line="231" w:lineRule="exact"/>
        <w:rPr>
          <w:sz w:val="20"/>
          <w:szCs w:val="20"/>
          <w:color w:val="auto"/>
        </w:rPr>
      </w:pPr>
    </w:p>
    <w:p>
      <w:pPr>
        <w:ind w:left="2500" w:right="2160"/>
        <w:spacing w:after="0" w:line="268" w:lineRule="auto"/>
        <w:rPr>
          <w:sz w:val="20"/>
          <w:szCs w:val="20"/>
          <w:color w:val="auto"/>
        </w:rPr>
      </w:pPr>
      <w:r>
        <w:rPr>
          <w:rFonts w:ascii="Arial" w:cs="Arial" w:eastAsia="Arial" w:hAnsi="Arial"/>
          <w:sz w:val="18"/>
          <w:szCs w:val="18"/>
          <w:color w:val="auto"/>
        </w:rPr>
        <w:t>In making its independence determinations, the board considered that Ms. Walker is affiliated with the Goldman Sachs Group, which the company may use for advisory, investment banking or similar services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-427990</wp:posOffset>
            </wp:positionV>
            <wp:extent cx="1499870" cy="11398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99870" cy="1139825"/>
                    </a:xfrm>
                    <a:prstGeom prst="rect">
                      <a:avLst/>
                    </a:prstGeom>
                    <a:noFill/>
                  </pic:spPr>
                </pic:pic>
              </a:graphicData>
            </a:graphic>
          </wp:anchor>
        </w:drawing>
      </w:r>
    </w:p>
    <w:p>
      <w:pPr>
        <w:spacing w:after="0" w:line="97" w:lineRule="exact"/>
        <w:rPr>
          <w:sz w:val="20"/>
          <w:szCs w:val="20"/>
          <w:color w:val="auto"/>
        </w:rPr>
      </w:pPr>
    </w:p>
    <w:p>
      <w:pPr>
        <w:ind w:left="2500" w:right="2160"/>
        <w:spacing w:after="0" w:line="278" w:lineRule="auto"/>
        <w:rPr>
          <w:sz w:val="20"/>
          <w:szCs w:val="20"/>
          <w:color w:val="auto"/>
        </w:rPr>
      </w:pPr>
      <w:r>
        <w:rPr>
          <w:rFonts w:ascii="Arial" w:cs="Arial" w:eastAsia="Arial" w:hAnsi="Arial"/>
          <w:sz w:val="17"/>
          <w:szCs w:val="17"/>
          <w:color w:val="auto"/>
        </w:rPr>
        <w:t>In addition, the board considered that some of the current non -employee directors are affiliated with companies or entities to which the company sold products or made payments, or from which the company purchased products or services during the year. Drs. Baicker, Kaelin, Hedley, and Runge are employed at medical or academic institutions with which the company engages in clinical research,</w:t>
      </w:r>
    </w:p>
    <w:p>
      <w:pPr>
        <w:sectPr>
          <w:pgSz w:w="11900" w:h="16838" w:orient="portrait"/>
          <w:cols w:equalWidth="0" w:num="1">
            <w:col w:w="11160"/>
          </w:cols>
          <w:pgMar w:left="320" w:top="1233" w:right="41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33" w:right="419" w:bottom="1440" w:gutter="0" w:footer="0" w:header="0"/>
          <w:type w:val="continuous"/>
        </w:sectPr>
      </w:pPr>
    </w:p>
    <w:bookmarkStart w:id="16" w:name="page17"/>
    <w:bookmarkEnd w:id="16"/>
    <w:p>
      <w:pPr>
        <w:spacing w:after="0" w:line="266" w:lineRule="auto"/>
        <w:rPr>
          <w:sz w:val="20"/>
          <w:szCs w:val="20"/>
          <w:color w:val="auto"/>
        </w:rPr>
      </w:pPr>
      <w:r>
        <w:rPr>
          <w:rFonts w:ascii="Arial" w:cs="Arial" w:eastAsia="Arial" w:hAnsi="Arial"/>
          <w:sz w:val="17"/>
          <w:szCs w:val="17"/>
          <w:color w:val="auto"/>
        </w:rPr>
        <w:t>provides research grants, and/or engages in commercial transactions in the ordinary course of business. Mr. Luciano is employed by Archer-Daniels-Midland Company. The company engages in routine business transactions with these organizations. Aggregate payments to or from each such organization, in each of the last three fiscal years, did not exceed the greater of $1 million or 2 percent of that organization’s consolidated gross revenues in a single fiscal year. In reviewing these relationships, the board considered all relevant factors, including:</w:t>
      </w:r>
    </w:p>
    <w:p>
      <w:pPr>
        <w:spacing w:after="0" w:line="65" w:lineRule="exact"/>
        <w:rPr>
          <w:sz w:val="20"/>
          <w:szCs w:val="20"/>
          <w:color w:val="auto"/>
        </w:rPr>
      </w:pPr>
    </w:p>
    <w:p>
      <w:pPr>
        <w:ind w:left="660" w:right="320" w:hanging="328"/>
        <w:spacing w:after="0" w:line="281"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8"/>
          <w:szCs w:val="18"/>
          <w:color w:val="auto"/>
        </w:rPr>
        <w:t>whether transactions were entered into at arm’s length in the normal course of business and, to the extent they were commercial relationships, had standard commercial terms; and</w:t>
      </w:r>
    </w:p>
    <w:p>
      <w:pPr>
        <w:spacing w:after="0" w:line="1" w:lineRule="exact"/>
        <w:rPr>
          <w:rFonts w:ascii="Arial" w:cs="Arial" w:eastAsia="Arial" w:hAnsi="Arial"/>
          <w:sz w:val="16"/>
          <w:szCs w:val="16"/>
          <w:color w:val="auto"/>
        </w:rPr>
      </w:pPr>
    </w:p>
    <w:p>
      <w:pPr>
        <w:ind w:left="660" w:right="400" w:hanging="328"/>
        <w:spacing w:after="0" w:line="287"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8"/>
          <w:szCs w:val="18"/>
          <w:color w:val="auto"/>
        </w:rPr>
        <w:t>whether any director had any direct business relationships with the company or received any direct personal benefit from any of these transactions, relationships, or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40640</wp:posOffset>
            </wp:positionV>
            <wp:extent cx="1868805" cy="1543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68805" cy="1543050"/>
                    </a:xfrm>
                    <a:prstGeom prst="rect">
                      <a:avLst/>
                    </a:prstGeom>
                    <a:noFill/>
                  </pic:spPr>
                </pic:pic>
              </a:graphicData>
            </a:graphic>
          </wp:anchor>
        </w:drawing>
      </w:r>
    </w:p>
    <w:p>
      <w:pPr>
        <w:spacing w:after="0" w:line="299" w:lineRule="exact"/>
        <w:rPr>
          <w:sz w:val="20"/>
          <w:szCs w:val="20"/>
          <w:color w:val="auto"/>
        </w:rPr>
      </w:pPr>
    </w:p>
    <w:p>
      <w:pPr>
        <w:ind w:left="20" w:right="5320"/>
        <w:spacing w:after="0" w:line="259" w:lineRule="auto"/>
        <w:rPr>
          <w:sz w:val="20"/>
          <w:szCs w:val="20"/>
          <w:color w:val="auto"/>
        </w:rPr>
      </w:pPr>
      <w:r>
        <w:rPr>
          <w:rFonts w:ascii="Arial" w:cs="Arial" w:eastAsia="Arial" w:hAnsi="Arial"/>
          <w:sz w:val="22"/>
          <w:szCs w:val="22"/>
          <w:b w:val="1"/>
          <w:bCs w:val="1"/>
          <w:color w:val="auto"/>
        </w:rPr>
        <w:t xml:space="preserve">Diversity: </w:t>
      </w:r>
      <w:r>
        <w:rPr>
          <w:rFonts w:ascii="Arial" w:cs="Arial" w:eastAsia="Arial" w:hAnsi="Arial"/>
          <w:sz w:val="17"/>
          <w:szCs w:val="17"/>
          <w:color w:val="auto"/>
        </w:rPr>
        <w:t>The board strives to achieve diversity in the broadest sense,</w:t>
      </w:r>
      <w:r>
        <w:rPr>
          <w:rFonts w:ascii="Arial" w:cs="Arial" w:eastAsia="Arial" w:hAnsi="Arial"/>
          <w:sz w:val="22"/>
          <w:szCs w:val="22"/>
          <w:b w:val="1"/>
          <w:bCs w:val="1"/>
          <w:color w:val="auto"/>
        </w:rPr>
        <w:t xml:space="preserve"> </w:t>
      </w:r>
      <w:r>
        <w:rPr>
          <w:rFonts w:ascii="Arial" w:cs="Arial" w:eastAsia="Arial" w:hAnsi="Arial"/>
          <w:sz w:val="17"/>
          <w:szCs w:val="17"/>
          <w:color w:val="auto"/>
        </w:rPr>
        <w:t>including persons diverse in geography, gender, ethnicity, age, and experience. Although the board does not establish specific diversity goals or have a standalone diversity policy, the board’s overall diversity is an important consideration in the director selection and nomination process. The Directors and Corporate Governance Committee assesses the effectiveness of board diversity efforts in connection with the annual nomination process as well as in new director searches. The company’s current 13 directors range in age from 50 to 72 and include five women and six minority group members (MGM).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116840</wp:posOffset>
            </wp:positionV>
            <wp:extent cx="1268730" cy="9004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68730" cy="90043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80" w:type="dxa"/>
        <w:tblCellMar>
          <w:top w:w="0" w:type="dxa"/>
          <w:left w:w="0" w:type="dxa"/>
          <w:bottom w:w="0" w:type="dxa"/>
          <w:right w:w="0" w:type="dxa"/>
        </w:tblCellMar>
      </w:tblPr>
      <w:tr>
        <w:trPr>
          <w:trHeight w:val="266"/>
        </w:trPr>
        <w:tc>
          <w:tcPr>
            <w:tcW w:w="2460" w:type="dxa"/>
            <w:vAlign w:val="bottom"/>
            <w:vMerge w:val="restart"/>
          </w:tcPr>
          <w:p>
            <w:pPr>
              <w:jc w:val="center"/>
              <w:ind w:right="1079"/>
              <w:spacing w:after="0"/>
              <w:rPr>
                <w:sz w:val="20"/>
                <w:szCs w:val="20"/>
                <w:color w:val="auto"/>
              </w:rPr>
            </w:pPr>
            <w:r>
              <w:rPr>
                <w:rFonts w:ascii="Arial" w:cs="Arial" w:eastAsia="Arial" w:hAnsi="Arial"/>
                <w:sz w:val="16"/>
                <w:szCs w:val="16"/>
                <w:b w:val="1"/>
                <w:bCs w:val="1"/>
                <w:color w:val="D52B1E"/>
                <w:w w:val="99"/>
              </w:rPr>
              <w:t>7.8 Years</w:t>
            </w:r>
          </w:p>
        </w:tc>
        <w:tc>
          <w:tcPr>
            <w:tcW w:w="6480" w:type="dxa"/>
            <w:vAlign w:val="bottom"/>
          </w:tcPr>
          <w:p>
            <w:pPr>
              <w:ind w:left="1160"/>
              <w:spacing w:after="0"/>
              <w:rPr>
                <w:sz w:val="20"/>
                <w:szCs w:val="20"/>
                <w:color w:val="auto"/>
              </w:rPr>
            </w:pPr>
            <w:r>
              <w:rPr>
                <w:rFonts w:ascii="Arial" w:cs="Arial" w:eastAsia="Arial" w:hAnsi="Arial"/>
                <w:sz w:val="22"/>
                <w:szCs w:val="22"/>
                <w:b w:val="1"/>
                <w:bCs w:val="1"/>
                <w:color w:val="auto"/>
              </w:rPr>
              <w:t xml:space="preserve">Tenure: </w:t>
            </w:r>
            <w:r>
              <w:rPr>
                <w:rFonts w:ascii="Arial" w:cs="Arial" w:eastAsia="Arial" w:hAnsi="Arial"/>
                <w:sz w:val="17"/>
                <w:szCs w:val="17"/>
                <w:color w:val="auto"/>
              </w:rPr>
              <w:t>Our director composition reflects a mix of tenure on the</w:t>
            </w:r>
          </w:p>
        </w:tc>
        <w:tc>
          <w:tcPr>
            <w:tcW w:w="0" w:type="dxa"/>
            <w:vAlign w:val="bottom"/>
          </w:tcPr>
          <w:p>
            <w:pPr>
              <w:spacing w:after="0"/>
              <w:rPr>
                <w:sz w:val="1"/>
                <w:szCs w:val="1"/>
                <w:color w:val="auto"/>
              </w:rPr>
            </w:pPr>
          </w:p>
        </w:tc>
      </w:tr>
      <w:tr>
        <w:trPr>
          <w:trHeight w:val="86"/>
        </w:trPr>
        <w:tc>
          <w:tcPr>
            <w:tcW w:w="2460" w:type="dxa"/>
            <w:vAlign w:val="bottom"/>
            <w:vMerge w:val="continue"/>
          </w:tcPr>
          <w:p>
            <w:pPr>
              <w:spacing w:after="0"/>
              <w:rPr>
                <w:sz w:val="7"/>
                <w:szCs w:val="7"/>
                <w:color w:val="auto"/>
              </w:rPr>
            </w:pPr>
          </w:p>
        </w:tc>
        <w:tc>
          <w:tcPr>
            <w:tcW w:w="6480" w:type="dxa"/>
            <w:vAlign w:val="bottom"/>
            <w:vMerge w:val="restart"/>
          </w:tcPr>
          <w:p>
            <w:pPr>
              <w:ind w:left="1160"/>
              <w:spacing w:after="0"/>
              <w:rPr>
                <w:sz w:val="20"/>
                <w:szCs w:val="20"/>
                <w:color w:val="auto"/>
              </w:rPr>
            </w:pPr>
            <w:r>
              <w:rPr>
                <w:rFonts w:ascii="Arial" w:cs="Arial" w:eastAsia="Arial" w:hAnsi="Arial"/>
                <w:sz w:val="18"/>
                <w:szCs w:val="18"/>
                <w:color w:val="auto"/>
                <w:w w:val="99"/>
              </w:rPr>
              <w:t>board, which provides an effective balance of historical perspective</w:t>
            </w:r>
          </w:p>
        </w:tc>
        <w:tc>
          <w:tcPr>
            <w:tcW w:w="0" w:type="dxa"/>
            <w:vAlign w:val="bottom"/>
          </w:tcPr>
          <w:p>
            <w:pPr>
              <w:spacing w:after="0"/>
              <w:rPr>
                <w:sz w:val="1"/>
                <w:szCs w:val="1"/>
                <w:color w:val="auto"/>
              </w:rPr>
            </w:pPr>
          </w:p>
        </w:tc>
      </w:tr>
      <w:tr>
        <w:trPr>
          <w:trHeight w:val="130"/>
        </w:trPr>
        <w:tc>
          <w:tcPr>
            <w:tcW w:w="2460" w:type="dxa"/>
            <w:vAlign w:val="bottom"/>
            <w:vMerge w:val="restart"/>
          </w:tcPr>
          <w:p>
            <w:pPr>
              <w:jc w:val="center"/>
              <w:ind w:right="1079"/>
              <w:spacing w:after="0"/>
              <w:rPr>
                <w:sz w:val="20"/>
                <w:szCs w:val="20"/>
                <w:color w:val="auto"/>
              </w:rPr>
            </w:pPr>
            <w:r>
              <w:rPr>
                <w:rFonts w:ascii="Arial" w:cs="Arial" w:eastAsia="Arial" w:hAnsi="Arial"/>
                <w:sz w:val="16"/>
                <w:szCs w:val="16"/>
                <w:b w:val="1"/>
                <w:bCs w:val="1"/>
                <w:color w:val="auto"/>
              </w:rPr>
              <w:t>Average Director</w:t>
            </w:r>
          </w:p>
        </w:tc>
        <w:tc>
          <w:tcPr>
            <w:tcW w:w="6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9"/>
        </w:trPr>
        <w:tc>
          <w:tcPr>
            <w:tcW w:w="2460" w:type="dxa"/>
            <w:vAlign w:val="bottom"/>
            <w:vMerge w:val="continue"/>
          </w:tcPr>
          <w:p>
            <w:pPr>
              <w:spacing w:after="0"/>
              <w:rPr>
                <w:sz w:val="5"/>
                <w:szCs w:val="5"/>
                <w:color w:val="auto"/>
              </w:rPr>
            </w:pPr>
          </w:p>
        </w:tc>
        <w:tc>
          <w:tcPr>
            <w:tcW w:w="6480" w:type="dxa"/>
            <w:vAlign w:val="bottom"/>
            <w:vMerge w:val="restart"/>
          </w:tcPr>
          <w:p>
            <w:pPr>
              <w:ind w:left="1160"/>
              <w:spacing w:after="0"/>
              <w:rPr>
                <w:sz w:val="20"/>
                <w:szCs w:val="20"/>
                <w:color w:val="auto"/>
              </w:rPr>
            </w:pPr>
            <w:r>
              <w:rPr>
                <w:rFonts w:ascii="Arial" w:cs="Arial" w:eastAsia="Arial" w:hAnsi="Arial"/>
                <w:sz w:val="18"/>
                <w:szCs w:val="18"/>
                <w:color w:val="auto"/>
              </w:rPr>
              <w:t>and an understanding of the evolution of our business with fresh</w:t>
            </w:r>
          </w:p>
        </w:tc>
        <w:tc>
          <w:tcPr>
            <w:tcW w:w="0" w:type="dxa"/>
            <w:vAlign w:val="bottom"/>
          </w:tcPr>
          <w:p>
            <w:pPr>
              <w:spacing w:after="0"/>
              <w:rPr>
                <w:sz w:val="1"/>
                <w:szCs w:val="1"/>
                <w:color w:val="auto"/>
              </w:rPr>
            </w:pPr>
          </w:p>
        </w:tc>
      </w:tr>
      <w:tr>
        <w:trPr>
          <w:trHeight w:val="163"/>
        </w:trPr>
        <w:tc>
          <w:tcPr>
            <w:tcW w:w="2460" w:type="dxa"/>
            <w:vAlign w:val="bottom"/>
          </w:tcPr>
          <w:p>
            <w:pPr>
              <w:jc w:val="center"/>
              <w:ind w:right="1099"/>
              <w:spacing w:after="0" w:line="163" w:lineRule="exact"/>
              <w:rPr>
                <w:sz w:val="20"/>
                <w:szCs w:val="20"/>
                <w:color w:val="auto"/>
              </w:rPr>
            </w:pPr>
            <w:r>
              <w:rPr>
                <w:rFonts w:ascii="Arial" w:cs="Arial" w:eastAsia="Arial" w:hAnsi="Arial"/>
                <w:sz w:val="16"/>
                <w:szCs w:val="16"/>
                <w:b w:val="1"/>
                <w:bCs w:val="1"/>
                <w:color w:val="auto"/>
                <w:w w:val="97"/>
              </w:rPr>
              <w:t>Tenure</w:t>
            </w:r>
          </w:p>
        </w:tc>
        <w:tc>
          <w:tcPr>
            <w:tcW w:w="6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460" w:type="dxa"/>
            <w:vAlign w:val="bottom"/>
          </w:tcPr>
          <w:p>
            <w:pPr>
              <w:spacing w:after="0"/>
              <w:rPr>
                <w:sz w:val="18"/>
                <w:szCs w:val="18"/>
                <w:color w:val="auto"/>
              </w:rPr>
            </w:pPr>
          </w:p>
        </w:tc>
        <w:tc>
          <w:tcPr>
            <w:tcW w:w="6480" w:type="dxa"/>
            <w:vAlign w:val="bottom"/>
          </w:tcPr>
          <w:p>
            <w:pPr>
              <w:ind w:left="1160"/>
              <w:spacing w:after="0"/>
              <w:rPr>
                <w:sz w:val="20"/>
                <w:szCs w:val="20"/>
                <w:color w:val="auto"/>
              </w:rPr>
            </w:pPr>
            <w:r>
              <w:rPr>
                <w:rFonts w:ascii="Arial" w:cs="Arial" w:eastAsia="Arial" w:hAnsi="Arial"/>
                <w:sz w:val="18"/>
                <w:szCs w:val="18"/>
                <w:color w:val="auto"/>
              </w:rPr>
              <w:t>perspectives and insights. Mr. Tai, who joined the board in 2013,</w:t>
            </w:r>
          </w:p>
        </w:tc>
        <w:tc>
          <w:tcPr>
            <w:tcW w:w="0" w:type="dxa"/>
            <w:vAlign w:val="bottom"/>
          </w:tcPr>
          <w:p>
            <w:pPr>
              <w:spacing w:after="0"/>
              <w:rPr>
                <w:sz w:val="1"/>
                <w:szCs w:val="1"/>
                <w:color w:val="auto"/>
              </w:rPr>
            </w:pPr>
          </w:p>
        </w:tc>
      </w:tr>
      <w:tr>
        <w:trPr>
          <w:trHeight w:val="239"/>
        </w:trPr>
        <w:tc>
          <w:tcPr>
            <w:tcW w:w="2460" w:type="dxa"/>
            <w:vAlign w:val="bottom"/>
          </w:tcPr>
          <w:p>
            <w:pPr>
              <w:spacing w:after="0"/>
              <w:rPr>
                <w:sz w:val="20"/>
                <w:szCs w:val="20"/>
                <w:color w:val="auto"/>
              </w:rPr>
            </w:pPr>
          </w:p>
        </w:tc>
        <w:tc>
          <w:tcPr>
            <w:tcW w:w="6480" w:type="dxa"/>
            <w:vAlign w:val="bottom"/>
          </w:tcPr>
          <w:p>
            <w:pPr>
              <w:ind w:left="1160"/>
              <w:spacing w:after="0"/>
              <w:rPr>
                <w:sz w:val="20"/>
                <w:szCs w:val="20"/>
                <w:color w:val="auto"/>
              </w:rPr>
            </w:pPr>
            <w:r>
              <w:rPr>
                <w:rFonts w:ascii="Arial" w:cs="Arial" w:eastAsia="Arial" w:hAnsi="Arial"/>
                <w:sz w:val="18"/>
                <w:szCs w:val="18"/>
                <w:color w:val="auto"/>
              </w:rPr>
              <w:t>will retire from the board following the Annual Meeting.</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D52B1E"/>
        </w:rPr>
        <w:t>Director Governance Spotlight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5768975" cy="37973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68975" cy="3797300"/>
                    </a:xfrm>
                    <a:prstGeom prst="rect">
                      <a:avLst/>
                    </a:prstGeom>
                    <a:noFill/>
                  </pic:spPr>
                </pic:pic>
              </a:graphicData>
            </a:graphic>
          </wp:anchor>
        </w:drawing>
      </w:r>
    </w:p>
    <w:p>
      <w:pPr>
        <w:spacing w:after="0" w:line="79" w:lineRule="exact"/>
        <w:rPr>
          <w:sz w:val="20"/>
          <w:szCs w:val="20"/>
          <w:color w:val="auto"/>
        </w:rPr>
      </w:pPr>
    </w:p>
    <w:p>
      <w:pPr>
        <w:ind w:left="640" w:right="2400" w:hanging="342"/>
        <w:spacing w:after="0" w:line="220" w:lineRule="auto"/>
        <w:tabs>
          <w:tab w:leader="none" w:pos="640" w:val="left"/>
        </w:tabs>
        <w:numPr>
          <w:ilvl w:val="0"/>
          <w:numId w:val="17"/>
        </w:numPr>
        <w:rPr>
          <w:rFonts w:ascii="MS PGothic" w:cs="MS PGothic" w:eastAsia="MS PGothic" w:hAnsi="MS PGothic"/>
          <w:sz w:val="25"/>
          <w:szCs w:val="25"/>
          <w:color w:val="auto"/>
          <w:shd w:val="clear" w:color="auto" w:fill="00A1DE"/>
        </w:rPr>
      </w:pPr>
      <w:r>
        <w:rPr>
          <w:rFonts w:ascii="Arial" w:cs="Arial" w:eastAsia="Arial" w:hAnsi="Arial"/>
          <w:sz w:val="19"/>
          <w:szCs w:val="19"/>
          <w:b w:val="1"/>
          <w:bCs w:val="1"/>
          <w:color w:val="auto"/>
        </w:rPr>
        <w:t xml:space="preserve">Resignation Policy </w:t>
      </w:r>
      <w:r>
        <w:rPr>
          <w:rFonts w:ascii="Arial" w:cs="Arial" w:eastAsia="Arial" w:hAnsi="Arial"/>
          <w:sz w:val="17"/>
          <w:szCs w:val="17"/>
          <w:color w:val="auto"/>
        </w:rPr>
        <w:t>- In an uncontested election, directors are elected by a majority of votes cast. An</w:t>
      </w:r>
      <w:r>
        <w:rPr>
          <w:rFonts w:ascii="Arial" w:cs="Arial" w:eastAsia="Arial" w:hAnsi="Arial"/>
          <w:sz w:val="19"/>
          <w:szCs w:val="19"/>
          <w:b w:val="1"/>
          <w:bCs w:val="1"/>
          <w:color w:val="auto"/>
        </w:rPr>
        <w:t xml:space="preserve"> </w:t>
      </w:r>
      <w:r>
        <w:rPr>
          <w:rFonts w:ascii="Arial" w:cs="Arial" w:eastAsia="Arial" w:hAnsi="Arial"/>
          <w:sz w:val="17"/>
          <w:szCs w:val="17"/>
          <w:color w:val="auto"/>
        </w:rPr>
        <w:t>incumbent nominee who fails to receive a greater number of votes “for” than “against” his or her election will tender his or her resignation from the board following the certification of the shareholder vote. The board, on recommendation of the Directors and Corporate Governance Committee, will decide whether to accept the resignation. The company will promptly disclose the board’s decision, including, if applicable, the reasons the board rejected the resignation.</w:t>
      </w:r>
    </w:p>
    <w:p>
      <w:pPr>
        <w:spacing w:after="0" w:line="91" w:lineRule="exact"/>
        <w:rPr>
          <w:rFonts w:ascii="MS PGothic" w:cs="MS PGothic" w:eastAsia="MS PGothic" w:hAnsi="MS PGothic"/>
          <w:sz w:val="25"/>
          <w:szCs w:val="25"/>
          <w:color w:val="auto"/>
          <w:shd w:val="clear" w:color="auto" w:fill="00A1DE"/>
        </w:rPr>
      </w:pPr>
    </w:p>
    <w:p>
      <w:pPr>
        <w:ind w:left="640" w:right="2360" w:hanging="342"/>
        <w:spacing w:after="0"/>
        <w:tabs>
          <w:tab w:leader="none" w:pos="640" w:val="left"/>
        </w:tabs>
        <w:numPr>
          <w:ilvl w:val="0"/>
          <w:numId w:val="17"/>
        </w:numPr>
        <w:rPr>
          <w:rFonts w:ascii="MS PGothic" w:cs="MS PGothic" w:eastAsia="MS PGothic" w:hAnsi="MS PGothic"/>
          <w:sz w:val="25"/>
          <w:szCs w:val="25"/>
          <w:color w:val="auto"/>
          <w:shd w:val="clear" w:color="auto" w:fill="00A1DE"/>
        </w:rPr>
      </w:pPr>
      <w:r>
        <w:rPr>
          <w:rFonts w:ascii="Arial" w:cs="Arial" w:eastAsia="Arial" w:hAnsi="Arial"/>
          <w:sz w:val="19"/>
          <w:szCs w:val="19"/>
          <w:b w:val="1"/>
          <w:bCs w:val="1"/>
          <w:color w:val="auto"/>
        </w:rPr>
        <w:t xml:space="preserve">Director Retirement Policy </w:t>
      </w:r>
      <w:r>
        <w:rPr>
          <w:rFonts w:ascii="Arial" w:cs="Arial" w:eastAsia="Arial" w:hAnsi="Arial"/>
          <w:sz w:val="17"/>
          <w:szCs w:val="17"/>
          <w:color w:val="auto"/>
        </w:rPr>
        <w:t>- Non-employee directors must retire from the board no later than the</w:t>
      </w:r>
      <w:r>
        <w:rPr>
          <w:rFonts w:ascii="Arial" w:cs="Arial" w:eastAsia="Arial" w:hAnsi="Arial"/>
          <w:sz w:val="19"/>
          <w:szCs w:val="19"/>
          <w:b w:val="1"/>
          <w:bCs w:val="1"/>
          <w:color w:val="auto"/>
        </w:rPr>
        <w:t xml:space="preserve"> </w:t>
      </w:r>
      <w:r>
        <w:rPr>
          <w:rFonts w:ascii="Arial" w:cs="Arial" w:eastAsia="Arial" w:hAnsi="Arial"/>
          <w:sz w:val="17"/>
          <w:szCs w:val="17"/>
          <w:color w:val="auto"/>
        </w:rPr>
        <w:t>date of the annual meeting that follows their seventy-second birthday, although the Directors and Corporate Governance Committee may recommend exceptions to this policy. The Directors and Corporate Governance Committee, with input from all board members, also considers the contributions of the individual directors annually, with a more robust assessment at least every three years when considering whether to nominate directors to new three-year terms. The company has not adopted term limits because the board believes that the company benefits from having a mix of longer- and shorter-tenured members of the board.</w:t>
      </w:r>
    </w:p>
    <w:p>
      <w:pPr>
        <w:spacing w:after="0" w:line="219" w:lineRule="exact"/>
        <w:rPr>
          <w:rFonts w:ascii="MS PGothic" w:cs="MS PGothic" w:eastAsia="MS PGothic" w:hAnsi="MS PGothic"/>
          <w:sz w:val="25"/>
          <w:szCs w:val="25"/>
          <w:color w:val="auto"/>
          <w:shd w:val="clear" w:color="auto" w:fill="00A1DE"/>
        </w:rPr>
      </w:pPr>
    </w:p>
    <w:p>
      <w:pPr>
        <w:ind w:left="640" w:right="2500" w:hanging="342"/>
        <w:spacing w:after="0" w:line="220" w:lineRule="auto"/>
        <w:tabs>
          <w:tab w:leader="none" w:pos="640" w:val="left"/>
        </w:tabs>
        <w:numPr>
          <w:ilvl w:val="0"/>
          <w:numId w:val="17"/>
        </w:numPr>
        <w:rPr>
          <w:rFonts w:ascii="MS PGothic" w:cs="MS PGothic" w:eastAsia="MS PGothic" w:hAnsi="MS PGothic"/>
          <w:sz w:val="25"/>
          <w:szCs w:val="25"/>
          <w:color w:val="auto"/>
          <w:shd w:val="clear" w:color="auto" w:fill="00A1DE"/>
        </w:rPr>
      </w:pPr>
      <w:r>
        <w:rPr>
          <w:rFonts w:ascii="Arial" w:cs="Arial" w:eastAsia="Arial" w:hAnsi="Arial"/>
          <w:sz w:val="19"/>
          <w:szCs w:val="19"/>
          <w:b w:val="1"/>
          <w:bCs w:val="1"/>
          <w:color w:val="auto"/>
        </w:rPr>
        <w:t xml:space="preserve">Other Board Service Policy </w:t>
      </w:r>
      <w:r>
        <w:rPr>
          <w:rFonts w:ascii="Arial" w:cs="Arial" w:eastAsia="Arial" w:hAnsi="Arial"/>
          <w:sz w:val="17"/>
          <w:szCs w:val="17"/>
          <w:color w:val="auto"/>
        </w:rPr>
        <w:t>- To ensure proper engagement from our directors and effective</w:t>
      </w:r>
      <w:r>
        <w:rPr>
          <w:rFonts w:ascii="Arial" w:cs="Arial" w:eastAsia="Arial" w:hAnsi="Arial"/>
          <w:sz w:val="19"/>
          <w:szCs w:val="19"/>
          <w:b w:val="1"/>
          <w:bCs w:val="1"/>
          <w:color w:val="auto"/>
        </w:rPr>
        <w:t xml:space="preserve"> </w:t>
      </w:r>
      <w:r>
        <w:rPr>
          <w:rFonts w:ascii="Arial" w:cs="Arial" w:eastAsia="Arial" w:hAnsi="Arial"/>
          <w:sz w:val="17"/>
          <w:szCs w:val="17"/>
          <w:color w:val="auto"/>
        </w:rPr>
        <w:t>functioning of our board, we have instituted certain limitations on service on the boards of other companies. In general, no director may serve on more than three other public company boards. No director that is an executive officer of a public company may serve on more than two public company boards (inclusive of Lilly). The Directors and Corporate Governance Committee may approve exceptions if it determines that the additional service will not impair the director’s effectiveness on the Lilly board. In addition, no director serving on the Audit Committee may serve simultaneously on the audit committee of more than two other public companies without the prior approval of the board.</w:t>
      </w:r>
    </w:p>
    <w:p>
      <w:pPr>
        <w:spacing w:after="0" w:line="124" w:lineRule="exact"/>
        <w:rPr>
          <w:rFonts w:ascii="MS PGothic" w:cs="MS PGothic" w:eastAsia="MS PGothic" w:hAnsi="MS PGothic"/>
          <w:sz w:val="25"/>
          <w:szCs w:val="25"/>
          <w:color w:val="auto"/>
          <w:shd w:val="clear" w:color="auto" w:fill="00A1DE"/>
        </w:rPr>
      </w:pPr>
    </w:p>
    <w:p>
      <w:pPr>
        <w:ind w:left="640" w:right="2400" w:hanging="342"/>
        <w:spacing w:after="0" w:line="251" w:lineRule="auto"/>
        <w:tabs>
          <w:tab w:leader="none" w:pos="640" w:val="left"/>
        </w:tabs>
        <w:numPr>
          <w:ilvl w:val="0"/>
          <w:numId w:val="17"/>
        </w:numPr>
        <w:rPr>
          <w:rFonts w:ascii="MS PGothic" w:cs="MS PGothic" w:eastAsia="MS PGothic" w:hAnsi="MS PGothic"/>
          <w:sz w:val="25"/>
          <w:szCs w:val="25"/>
          <w:color w:val="auto"/>
          <w:shd w:val="clear" w:color="auto" w:fill="00A1DE"/>
        </w:rPr>
      </w:pPr>
      <w:r>
        <w:rPr>
          <w:rFonts w:ascii="Arial" w:cs="Arial" w:eastAsia="Arial" w:hAnsi="Arial"/>
          <w:sz w:val="19"/>
          <w:szCs w:val="19"/>
          <w:b w:val="1"/>
          <w:bCs w:val="1"/>
          <w:color w:val="auto"/>
        </w:rPr>
        <w:t xml:space="preserve">Confidentiality Policy </w:t>
      </w:r>
      <w:r>
        <w:rPr>
          <w:rFonts w:ascii="Arial" w:cs="Arial" w:eastAsia="Arial" w:hAnsi="Arial"/>
          <w:sz w:val="17"/>
          <w:szCs w:val="17"/>
          <w:b w:val="1"/>
          <w:bCs w:val="1"/>
          <w:color w:val="auto"/>
        </w:rPr>
        <w:t>-</w:t>
      </w:r>
      <w:r>
        <w:rPr>
          <w:rFonts w:ascii="Arial" w:cs="Arial" w:eastAsia="Arial" w:hAnsi="Arial"/>
          <w:sz w:val="19"/>
          <w:szCs w:val="19"/>
          <w:b w:val="1"/>
          <w:bCs w:val="1"/>
          <w:color w:val="auto"/>
        </w:rPr>
        <w:t xml:space="preserve"> </w:t>
      </w:r>
      <w:r>
        <w:rPr>
          <w:rFonts w:ascii="Arial" w:cs="Arial" w:eastAsia="Arial" w:hAnsi="Arial"/>
          <w:sz w:val="17"/>
          <w:szCs w:val="17"/>
          <w:color w:val="auto"/>
        </w:rPr>
        <w:t>The board has adopted a Confidentiality Policy, applicable to all members of</w:t>
      </w:r>
      <w:r>
        <w:rPr>
          <w:rFonts w:ascii="Arial" w:cs="Arial" w:eastAsia="Arial" w:hAnsi="Arial"/>
          <w:sz w:val="19"/>
          <w:szCs w:val="19"/>
          <w:b w:val="1"/>
          <w:bCs w:val="1"/>
          <w:color w:val="auto"/>
        </w:rPr>
        <w:t xml:space="preserve"> </w:t>
      </w:r>
      <w:r>
        <w:rPr>
          <w:rFonts w:ascii="Arial" w:cs="Arial" w:eastAsia="Arial" w:hAnsi="Arial"/>
          <w:sz w:val="17"/>
          <w:szCs w:val="17"/>
          <w:color w:val="auto"/>
        </w:rPr>
        <w:t>the board. The policy prohibits a director from sharing confidential information obtained in his or her role as a director with any third party except under limited circumstances where the director is seeking legal advice or is required by law to disclose information. The Confidentiality Policy can be viewed on the company’s website at</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color w:val="D52B1E"/>
        </w:rPr>
        <w:t>lilly.com/leadership/governance</w:t>
      </w:r>
      <w:r>
        <w:rPr>
          <w:rFonts w:ascii="Arial" w:cs="Arial" w:eastAsia="Arial" w:hAnsi="Arial"/>
          <w:sz w:val="17"/>
          <w:szCs w:val="17"/>
          <w:b w:val="1"/>
          <w:bCs w:val="1"/>
          <w:color w:val="auto"/>
        </w:rPr>
        <w:t>.</w:t>
      </w:r>
    </w:p>
    <w:p>
      <w:pPr>
        <w:sectPr>
          <w:pgSz w:w="11900" w:h="16838" w:orient="portrait"/>
          <w:cols w:equalWidth="0" w:num="1">
            <w:col w:w="11180"/>
          </w:cols>
          <w:pgMar w:left="320" w:top="971" w:right="39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71" w:right="39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22"/>
          <w:szCs w:val="22"/>
          <w:b w:val="1"/>
          <w:bCs w:val="1"/>
          <w:color w:val="auto"/>
        </w:rPr>
        <w:t>Director Skills:</w:t>
      </w:r>
    </w:p>
    <w:p>
      <w:pPr>
        <w:spacing w:after="0" w:line="18"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Our directors are responsible for overseeing the company’s business consistent with their fiduciary duties. This significant responsibility requires highly skilled individuals with various qualities, attributes, and professional experiences. We believe the board is well-rounded, with a balance of relevant perspectives and experience, as illustrated in the following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5760720" cy="5974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60720" cy="5974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Experience:</w:t>
      </w:r>
    </w:p>
    <w:p>
      <w:pPr>
        <w:spacing w:after="0" w:line="18"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Set forth below is information, as of February 21, 2023, regarding our directors and director nominees. We have provided the most relevant experiences, qualifications, attributes, and skills that led to the conclusion that each director or director nominee should serve as a director in light of our business and operations.</w:t>
      </w:r>
    </w:p>
    <w:p>
      <w:pPr>
        <w:spacing w:after="0" w:line="12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No family relationship exists among any of our directors, director nominees, or executive officers. To the best of our knowledge, there are no pending material legal proceedings in which any of our directors or nominees for director, or any of their associates, is a party adverse to us or any of our affiliates, or has a material interest adverse to us or any of our affiliates. Additionally, to the best of our knowledge, there have been no events under</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8" w:name="page19"/>
    <w:bookmarkEnd w:id="18"/>
    <w:p>
      <w:pPr>
        <w:jc w:val="both"/>
        <w:ind w:right="20"/>
        <w:spacing w:after="0" w:line="291" w:lineRule="auto"/>
        <w:rPr>
          <w:sz w:val="20"/>
          <w:szCs w:val="20"/>
          <w:color w:val="auto"/>
        </w:rPr>
      </w:pPr>
      <w:r>
        <w:rPr>
          <w:rFonts w:ascii="Arial" w:cs="Arial" w:eastAsia="Arial" w:hAnsi="Arial"/>
          <w:sz w:val="17"/>
          <w:szCs w:val="17"/>
          <w:color w:val="auto"/>
        </w:rPr>
        <w:t>any bankruptcy laws, no criminal proceedings and no judgments, sanctions, or injunctions during the past 10 years that are material to the evaluation of the ability or integrity of any of our directors or nominees for director. There is no arrangement or understanding between any director or director nominee and any other person pursuant to which he or she was or is to be selected as a director or director nominee.</w:t>
      </w:r>
    </w:p>
    <w:p>
      <w:pPr>
        <w:spacing w:after="0" w:line="9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Under our articles of incorporation, the board is divided into three classes with approximately one-third of the directors standing for election each year.</w:t>
      </w:r>
    </w:p>
    <w:p>
      <w:pPr>
        <w:sectPr>
          <w:pgSz w:w="11900" w:h="16838" w:orient="portrait"/>
          <w:cols w:equalWidth="0" w:num="1">
            <w:col w:w="11020"/>
          </w:cols>
          <w:pgMar w:left="320" w:top="985" w:right="559" w:bottom="1440" w:gutter="0" w:footer="0" w:header="0"/>
        </w:sectPr>
      </w:pP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Class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109220</wp:posOffset>
            </wp:positionV>
            <wp:extent cx="1311275" cy="131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11275"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line="247" w:lineRule="auto"/>
        <w:rPr>
          <w:sz w:val="20"/>
          <w:szCs w:val="20"/>
          <w:color w:val="auto"/>
        </w:rPr>
      </w:pPr>
      <w:r>
        <w:rPr>
          <w:rFonts w:ascii="Arial" w:cs="Arial" w:eastAsia="Arial" w:hAnsi="Arial"/>
          <w:sz w:val="22"/>
          <w:szCs w:val="22"/>
          <w:b w:val="1"/>
          <w:bCs w:val="1"/>
          <w:color w:val="EF3729"/>
        </w:rPr>
        <w:t>William G. Kaelin, Jr.,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4312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5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65</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2012</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Board Committees:</w:t>
      </w:r>
    </w:p>
    <w:p>
      <w:pPr>
        <w:spacing w:after="0" w:line="73" w:lineRule="exact"/>
        <w:rPr>
          <w:sz w:val="20"/>
          <w:szCs w:val="20"/>
          <w:color w:val="auto"/>
        </w:rPr>
      </w:pPr>
    </w:p>
    <w:p>
      <w:pPr>
        <w:ind w:left="360" w:right="120" w:hanging="162"/>
        <w:spacing w:after="0" w:line="286" w:lineRule="auto"/>
        <w:rPr>
          <w:sz w:val="20"/>
          <w:szCs w:val="20"/>
          <w:color w:val="auto"/>
        </w:rPr>
      </w:pPr>
      <w:r>
        <w:rPr>
          <w:rFonts w:ascii="Arial" w:cs="Arial" w:eastAsia="Arial" w:hAnsi="Arial"/>
          <w:sz w:val="16"/>
          <w:szCs w:val="16"/>
          <w:color w:val="auto"/>
        </w:rPr>
        <w:t>– Directors and Corporate Governance</w:t>
      </w:r>
    </w:p>
    <w:p>
      <w:pPr>
        <w:spacing w:after="0" w:line="7" w:lineRule="exact"/>
        <w:rPr>
          <w:sz w:val="20"/>
          <w:szCs w:val="20"/>
          <w:color w:val="auto"/>
        </w:rPr>
      </w:pPr>
    </w:p>
    <w:p>
      <w:pPr>
        <w:ind w:left="360" w:right="100" w:hanging="162"/>
        <w:spacing w:after="0" w:line="281" w:lineRule="auto"/>
        <w:rPr>
          <w:sz w:val="20"/>
          <w:szCs w:val="20"/>
          <w:color w:val="auto"/>
        </w:rPr>
      </w:pPr>
      <w:r>
        <w:rPr>
          <w:rFonts w:ascii="Arial" w:cs="Arial" w:eastAsia="Arial" w:hAnsi="Arial"/>
          <w:sz w:val="16"/>
          <w:szCs w:val="16"/>
          <w:color w:val="auto"/>
        </w:rPr>
        <w:t>– Science and Technology (Chair)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Public Boards: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None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Recent Prior Public Boards: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None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46355</wp:posOffset>
            </wp:positionV>
            <wp:extent cx="600075" cy="3003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0075"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FFFFFF"/>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-127635</wp:posOffset>
            </wp:positionV>
            <wp:extent cx="4260215" cy="25203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260215" cy="2520315"/>
                    </a:xfrm>
                    <a:prstGeom prst="rect">
                      <a:avLst/>
                    </a:prstGeom>
                    <a:noFill/>
                  </pic:spPr>
                </pic:pic>
              </a:graphicData>
            </a:graphic>
          </wp:anchor>
        </w:drawing>
      </w:r>
    </w:p>
    <w:p>
      <w:pPr>
        <w:spacing w:after="0" w:line="23" w:lineRule="exact"/>
        <w:rPr>
          <w:sz w:val="20"/>
          <w:szCs w:val="20"/>
          <w:color w:val="auto"/>
        </w:rPr>
      </w:pPr>
    </w:p>
    <w:p>
      <w:pPr>
        <w:ind w:right="1940"/>
        <w:spacing w:after="0" w:line="260" w:lineRule="auto"/>
        <w:rPr>
          <w:sz w:val="20"/>
          <w:szCs w:val="20"/>
          <w:color w:val="auto"/>
        </w:rPr>
      </w:pPr>
      <w:r>
        <w:rPr>
          <w:rFonts w:ascii="Arial" w:cs="Arial" w:eastAsia="Arial" w:hAnsi="Arial"/>
          <w:sz w:val="16"/>
          <w:szCs w:val="16"/>
          <w:i w:val="1"/>
          <w:iCs w:val="1"/>
          <w:color w:val="auto"/>
        </w:rPr>
        <w:t>Dr. Kaelin is a world-renowned Nobel Laureate, scientist, academician, and physician who provides valuable leadership to the board’s oversight of Lilly’s discovery and development programs. His groundbreaking research and discovery talents provide an important resource to management, including in his role as the Chair of the board’s Science and Technology Committee.</w:t>
      </w:r>
    </w:p>
    <w:p>
      <w:pPr>
        <w:spacing w:after="0" w:line="27" w:lineRule="exact"/>
        <w:rPr>
          <w:sz w:val="20"/>
          <w:szCs w:val="20"/>
          <w:color w:val="auto"/>
        </w:rPr>
      </w:pPr>
    </w:p>
    <w:p>
      <w:pPr>
        <w:ind w:left="640" w:right="2000" w:hanging="325"/>
        <w:spacing w:after="0" w:line="266" w:lineRule="auto"/>
        <w:tabs>
          <w:tab w:leader="none" w:pos="629" w:val="left"/>
        </w:tabs>
        <w:numPr>
          <w:ilvl w:val="0"/>
          <w:numId w:val="20"/>
        </w:numPr>
        <w:rPr>
          <w:rFonts w:ascii="Arial" w:cs="Arial" w:eastAsia="Arial" w:hAnsi="Arial"/>
          <w:sz w:val="16"/>
          <w:szCs w:val="16"/>
          <w:color w:val="auto"/>
        </w:rPr>
      </w:pPr>
      <w:r>
        <w:rPr>
          <w:rFonts w:ascii="Arial" w:cs="Arial" w:eastAsia="Arial" w:hAnsi="Arial"/>
          <w:sz w:val="16"/>
          <w:szCs w:val="16"/>
          <w:color w:val="auto"/>
        </w:rPr>
        <w:t>With decades of preeminent medical research experience, particularly within oncology, Dr. Kaelin offers a valuable perspective to the board and management in pharmaceutical research and discovery in key therapeutic areas.</w:t>
      </w:r>
    </w:p>
    <w:p>
      <w:pPr>
        <w:spacing w:after="0" w:line="22" w:lineRule="exact"/>
        <w:rPr>
          <w:rFonts w:ascii="Arial" w:cs="Arial" w:eastAsia="Arial" w:hAnsi="Arial"/>
          <w:sz w:val="16"/>
          <w:szCs w:val="16"/>
          <w:color w:val="auto"/>
        </w:rPr>
      </w:pPr>
    </w:p>
    <w:p>
      <w:pPr>
        <w:jc w:val="both"/>
        <w:ind w:left="640" w:right="2460" w:hanging="325"/>
        <w:spacing w:after="0" w:line="286" w:lineRule="auto"/>
        <w:tabs>
          <w:tab w:leader="none" w:pos="629" w:val="left"/>
        </w:tabs>
        <w:numPr>
          <w:ilvl w:val="0"/>
          <w:numId w:val="20"/>
        </w:numPr>
        <w:rPr>
          <w:rFonts w:ascii="Arial" w:cs="Arial" w:eastAsia="Arial" w:hAnsi="Arial"/>
          <w:sz w:val="16"/>
          <w:szCs w:val="16"/>
          <w:color w:val="auto"/>
        </w:rPr>
      </w:pPr>
      <w:r>
        <w:rPr>
          <w:rFonts w:ascii="Arial" w:cs="Arial" w:eastAsia="Arial" w:hAnsi="Arial"/>
          <w:sz w:val="16"/>
          <w:szCs w:val="16"/>
          <w:color w:val="auto"/>
        </w:rPr>
        <w:t>Dr. Kaelin has extensive experience as a professor and mentor to medical professionals who are key constituents for Lilly’s business and workforce.</w:t>
      </w:r>
    </w:p>
    <w:p>
      <w:pPr>
        <w:spacing w:after="0" w:line="7" w:lineRule="exact"/>
        <w:rPr>
          <w:rFonts w:ascii="Arial" w:cs="Arial" w:eastAsia="Arial" w:hAnsi="Arial"/>
          <w:sz w:val="16"/>
          <w:szCs w:val="16"/>
          <w:color w:val="auto"/>
        </w:rPr>
      </w:pPr>
    </w:p>
    <w:p>
      <w:pPr>
        <w:jc w:val="both"/>
        <w:ind w:left="640" w:right="2220" w:hanging="325"/>
        <w:spacing w:after="0" w:line="266" w:lineRule="auto"/>
        <w:tabs>
          <w:tab w:leader="none" w:pos="629" w:val="left"/>
        </w:tabs>
        <w:numPr>
          <w:ilvl w:val="0"/>
          <w:numId w:val="20"/>
        </w:numPr>
        <w:rPr>
          <w:rFonts w:ascii="Arial" w:cs="Arial" w:eastAsia="Arial" w:hAnsi="Arial"/>
          <w:sz w:val="16"/>
          <w:szCs w:val="16"/>
          <w:color w:val="auto"/>
        </w:rPr>
      </w:pPr>
      <w:r>
        <w:rPr>
          <w:rFonts w:ascii="Arial" w:cs="Arial" w:eastAsia="Arial" w:hAnsi="Arial"/>
          <w:sz w:val="16"/>
          <w:szCs w:val="16"/>
          <w:color w:val="auto"/>
        </w:rPr>
        <w:t>As an investigator at Howard Hughes Medical Institute, Dr. Kaelin has a deep understanding of the challenges, perspectives, and opportunities for medical researchers.</w:t>
      </w:r>
    </w:p>
    <w:p>
      <w:pPr>
        <w:spacing w:after="0" w:line="22" w:lineRule="exact"/>
        <w:rPr>
          <w:rFonts w:ascii="Arial" w:cs="Arial" w:eastAsia="Arial" w:hAnsi="Arial"/>
          <w:sz w:val="16"/>
          <w:szCs w:val="16"/>
          <w:color w:val="auto"/>
        </w:rPr>
      </w:pPr>
    </w:p>
    <w:p>
      <w:pPr>
        <w:ind w:left="640" w:right="2280" w:hanging="325"/>
        <w:spacing w:after="0" w:line="281" w:lineRule="auto"/>
        <w:tabs>
          <w:tab w:leader="none" w:pos="629" w:val="left"/>
        </w:tabs>
        <w:numPr>
          <w:ilvl w:val="0"/>
          <w:numId w:val="20"/>
        </w:numPr>
        <w:rPr>
          <w:rFonts w:ascii="Arial" w:cs="Arial" w:eastAsia="Arial" w:hAnsi="Arial"/>
          <w:sz w:val="16"/>
          <w:szCs w:val="16"/>
          <w:color w:val="auto"/>
        </w:rPr>
      </w:pPr>
      <w:r>
        <w:rPr>
          <w:rFonts w:ascii="Arial" w:cs="Arial" w:eastAsia="Arial" w:hAnsi="Arial"/>
          <w:sz w:val="16"/>
          <w:szCs w:val="16"/>
          <w:color w:val="auto"/>
        </w:rPr>
        <w:t>Dr. Kaelin also brings commercialization experience to the board through his work with venture capital funds and biotech companies.</w:t>
      </w:r>
    </w:p>
    <w:p>
      <w:pPr>
        <w:spacing w:after="0" w:line="1" w:lineRule="exact"/>
        <w:rPr>
          <w:rFonts w:ascii="Arial" w:cs="Arial" w:eastAsia="Arial" w:hAnsi="Arial"/>
          <w:sz w:val="16"/>
          <w:szCs w:val="16"/>
          <w:color w:val="auto"/>
        </w:rPr>
      </w:pPr>
    </w:p>
    <w:p>
      <w:pPr>
        <w:ind w:left="640" w:right="2560" w:hanging="325"/>
        <w:spacing w:after="0" w:line="304" w:lineRule="auto"/>
        <w:tabs>
          <w:tab w:leader="none" w:pos="629" w:val="left"/>
        </w:tabs>
        <w:numPr>
          <w:ilvl w:val="0"/>
          <w:numId w:val="20"/>
        </w:numPr>
        <w:rPr>
          <w:rFonts w:ascii="Arial" w:cs="Arial" w:eastAsia="Arial" w:hAnsi="Arial"/>
          <w:sz w:val="16"/>
          <w:szCs w:val="16"/>
          <w:color w:val="auto"/>
        </w:rPr>
      </w:pPr>
      <w:r>
        <w:rPr>
          <w:rFonts w:ascii="Arial" w:cs="Arial" w:eastAsia="Arial" w:hAnsi="Arial"/>
          <w:sz w:val="16"/>
          <w:szCs w:val="16"/>
          <w:color w:val="auto"/>
        </w:rPr>
        <w:t>Dr. Kaelin’s passion for improving the lives of patients drives his ongoing research and is core to Lilly’s mission.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CAREER HIGHLIGHTS</w:t>
      </w:r>
    </w:p>
    <w:p>
      <w:pPr>
        <w:spacing w:after="0" w:line="90" w:lineRule="exact"/>
        <w:rPr>
          <w:sz w:val="20"/>
          <w:szCs w:val="20"/>
          <w:color w:val="auto"/>
        </w:rPr>
      </w:pPr>
    </w:p>
    <w:p>
      <w:pPr>
        <w:ind w:left="640" w:hanging="325"/>
        <w:spacing w:after="0"/>
        <w:tabs>
          <w:tab w:leader="none" w:pos="6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Harvard Medical School</w:t>
      </w:r>
    </w:p>
    <w:p>
      <w:pPr>
        <w:spacing w:after="0" w:line="67"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   Sidney Farber Professor of Medicine (2018 - present)</w:t>
      </w:r>
    </w:p>
    <w:p>
      <w:pPr>
        <w:spacing w:after="0" w:line="5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   Professor of Medicine (2002 - 2018)</w:t>
      </w:r>
    </w:p>
    <w:p>
      <w:pPr>
        <w:spacing w:after="0" w:line="67" w:lineRule="exact"/>
        <w:rPr>
          <w:rFonts w:ascii="Arial" w:cs="Arial" w:eastAsia="Arial" w:hAnsi="Arial"/>
          <w:sz w:val="18"/>
          <w:szCs w:val="18"/>
          <w:b w:val="1"/>
          <w:bCs w:val="1"/>
          <w:color w:val="auto"/>
        </w:rPr>
      </w:pPr>
    </w:p>
    <w:p>
      <w:pPr>
        <w:ind w:left="640" w:hanging="325"/>
        <w:spacing w:after="0"/>
        <w:tabs>
          <w:tab w:leader="none" w:pos="6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Dana-Farber Cancer Institute and Brigham and Women’s Hospital</w:t>
      </w:r>
    </w:p>
    <w:p>
      <w:pPr>
        <w:spacing w:after="0" w:line="67"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   Professor (2002 - present)</w:t>
      </w:r>
    </w:p>
    <w:p>
      <w:pPr>
        <w:spacing w:after="0" w:line="54" w:lineRule="exact"/>
        <w:rPr>
          <w:rFonts w:ascii="Arial" w:cs="Arial" w:eastAsia="Arial" w:hAnsi="Arial"/>
          <w:sz w:val="18"/>
          <w:szCs w:val="18"/>
          <w:b w:val="1"/>
          <w:bCs w:val="1"/>
          <w:color w:val="auto"/>
        </w:rPr>
      </w:pPr>
    </w:p>
    <w:p>
      <w:pPr>
        <w:ind w:left="640" w:hanging="325"/>
        <w:spacing w:after="0"/>
        <w:tabs>
          <w:tab w:leader="none" w:pos="6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Howard Hughes Medical Institute</w:t>
      </w:r>
    </w:p>
    <w:p>
      <w:pPr>
        <w:spacing w:after="0" w:line="67"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   Investigator (2002 - present)</w:t>
      </w:r>
    </w:p>
    <w:p>
      <w:pPr>
        <w:spacing w:after="0" w:line="5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   Assistant Investigator (1998 - 2002)</w:t>
      </w:r>
    </w:p>
    <w:p>
      <w:pPr>
        <w:spacing w:after="0" w:line="200" w:lineRule="exact"/>
        <w:rPr>
          <w:sz w:val="20"/>
          <w:szCs w:val="20"/>
          <w:color w:val="auto"/>
        </w:rPr>
      </w:pPr>
    </w:p>
    <w:p>
      <w:pPr>
        <w:sectPr>
          <w:pgSz w:w="11900" w:h="16838" w:orient="portrait"/>
          <w:cols w:equalWidth="0" w:num="2">
            <w:col w:w="2200" w:space="440"/>
            <w:col w:w="8380"/>
          </w:cols>
          <w:pgMar w:left="320" w:top="985" w:right="559" w:bottom="1440" w:gutter="0" w:footer="0" w:header="0"/>
          <w:type w:val="continuous"/>
        </w:sectPr>
      </w:pPr>
    </w:p>
    <w:p>
      <w:pPr>
        <w:spacing w:after="0" w:line="1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00A1DE"/>
        </w:rPr>
        <w:t>OTHER HIGHLIGHTS</w:t>
      </w:r>
    </w:p>
    <w:p>
      <w:pPr>
        <w:spacing w:after="0" w:line="95" w:lineRule="exact"/>
        <w:rPr>
          <w:sz w:val="20"/>
          <w:szCs w:val="20"/>
          <w:color w:val="auto"/>
        </w:rPr>
      </w:pPr>
    </w:p>
    <w:p>
      <w:pPr>
        <w:ind w:left="3260" w:hanging="305"/>
        <w:spacing w:after="0"/>
        <w:tabs>
          <w:tab w:leader="none" w:pos="32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Recipient of numerous prizes and honors, including:</w:t>
      </w:r>
    </w:p>
    <w:p>
      <w:pPr>
        <w:spacing w:after="0" w:line="59" w:lineRule="exact"/>
        <w:rPr>
          <w:rFonts w:ascii="Arial" w:cs="Arial" w:eastAsia="Arial" w:hAnsi="Arial"/>
          <w:sz w:val="16"/>
          <w:szCs w:val="16"/>
          <w:color w:val="auto"/>
        </w:rPr>
      </w:pPr>
    </w:p>
    <w:p>
      <w:pPr>
        <w:ind w:left="3280"/>
        <w:spacing w:after="0"/>
        <w:rPr>
          <w:rFonts w:ascii="Arial" w:cs="Arial" w:eastAsia="Arial" w:hAnsi="Arial"/>
          <w:sz w:val="16"/>
          <w:szCs w:val="16"/>
          <w:color w:val="auto"/>
        </w:rPr>
      </w:pPr>
      <w:r>
        <w:rPr>
          <w:rFonts w:ascii="Arial" w:cs="Arial" w:eastAsia="Arial" w:hAnsi="Arial"/>
          <w:sz w:val="16"/>
          <w:szCs w:val="16"/>
          <w:color w:val="auto"/>
        </w:rPr>
        <w:t>–   Nobel Prize in Physiology or Medicine</w:t>
      </w:r>
    </w:p>
    <w:p>
      <w:pPr>
        <w:spacing w:after="0" w:line="72" w:lineRule="exact"/>
        <w:rPr>
          <w:rFonts w:ascii="Arial" w:cs="Arial" w:eastAsia="Arial" w:hAnsi="Arial"/>
          <w:sz w:val="16"/>
          <w:szCs w:val="16"/>
          <w:color w:val="auto"/>
        </w:rPr>
      </w:pPr>
    </w:p>
    <w:p>
      <w:pPr>
        <w:ind w:left="3280"/>
        <w:spacing w:after="0"/>
        <w:rPr>
          <w:rFonts w:ascii="Arial" w:cs="Arial" w:eastAsia="Arial" w:hAnsi="Arial"/>
          <w:sz w:val="16"/>
          <w:szCs w:val="16"/>
          <w:color w:val="auto"/>
        </w:rPr>
      </w:pPr>
      <w:r>
        <w:rPr>
          <w:rFonts w:ascii="Arial" w:cs="Arial" w:eastAsia="Arial" w:hAnsi="Arial"/>
          <w:sz w:val="16"/>
          <w:szCs w:val="16"/>
          <w:color w:val="auto"/>
        </w:rPr>
        <w:t>–   Albert Lasker Basic Medical Research Award</w:t>
      </w:r>
    </w:p>
    <w:p>
      <w:pPr>
        <w:spacing w:after="0" w:line="59" w:lineRule="exact"/>
        <w:rPr>
          <w:rFonts w:ascii="Arial" w:cs="Arial" w:eastAsia="Arial" w:hAnsi="Arial"/>
          <w:sz w:val="16"/>
          <w:szCs w:val="16"/>
          <w:color w:val="auto"/>
        </w:rPr>
      </w:pPr>
    </w:p>
    <w:p>
      <w:pPr>
        <w:ind w:left="3280"/>
        <w:spacing w:after="0"/>
        <w:rPr>
          <w:rFonts w:ascii="Arial" w:cs="Arial" w:eastAsia="Arial" w:hAnsi="Arial"/>
          <w:sz w:val="16"/>
          <w:szCs w:val="16"/>
          <w:color w:val="auto"/>
        </w:rPr>
      </w:pPr>
      <w:r>
        <w:rPr>
          <w:rFonts w:ascii="Arial" w:cs="Arial" w:eastAsia="Arial" w:hAnsi="Arial"/>
          <w:sz w:val="16"/>
          <w:szCs w:val="16"/>
          <w:color w:val="auto"/>
        </w:rPr>
        <w:t>–   Canada Gairdner International Award</w:t>
      </w:r>
    </w:p>
    <w:p>
      <w:pPr>
        <w:spacing w:after="0" w:line="59" w:lineRule="exact"/>
        <w:rPr>
          <w:rFonts w:ascii="Arial" w:cs="Arial" w:eastAsia="Arial" w:hAnsi="Arial"/>
          <w:sz w:val="16"/>
          <w:szCs w:val="16"/>
          <w:color w:val="auto"/>
        </w:rPr>
      </w:pPr>
    </w:p>
    <w:p>
      <w:pPr>
        <w:ind w:left="3280"/>
        <w:spacing w:after="0"/>
        <w:rPr>
          <w:rFonts w:ascii="Arial" w:cs="Arial" w:eastAsia="Arial" w:hAnsi="Arial"/>
          <w:sz w:val="16"/>
          <w:szCs w:val="16"/>
          <w:color w:val="auto"/>
        </w:rPr>
      </w:pPr>
      <w:r>
        <w:rPr>
          <w:rFonts w:ascii="Arial" w:cs="Arial" w:eastAsia="Arial" w:hAnsi="Arial"/>
          <w:sz w:val="16"/>
          <w:szCs w:val="16"/>
          <w:color w:val="auto"/>
        </w:rPr>
        <w:t>–   Wiley Prize in Biomedical Sciences from the Rockefeller University</w:t>
      </w:r>
    </w:p>
    <w:p>
      <w:pPr>
        <w:spacing w:after="0" w:line="72" w:lineRule="exact"/>
        <w:rPr>
          <w:rFonts w:ascii="Arial" w:cs="Arial" w:eastAsia="Arial" w:hAnsi="Arial"/>
          <w:sz w:val="16"/>
          <w:szCs w:val="16"/>
          <w:color w:val="auto"/>
        </w:rPr>
      </w:pPr>
    </w:p>
    <w:p>
      <w:pPr>
        <w:ind w:left="3600" w:right="2160" w:hanging="324"/>
        <w:spacing w:after="0" w:line="286" w:lineRule="auto"/>
        <w:rPr>
          <w:rFonts w:ascii="Arial" w:cs="Arial" w:eastAsia="Arial" w:hAnsi="Arial"/>
          <w:sz w:val="16"/>
          <w:szCs w:val="16"/>
          <w:color w:val="auto"/>
        </w:rPr>
      </w:pPr>
      <w:r>
        <w:rPr>
          <w:rFonts w:ascii="Arial" w:cs="Arial" w:eastAsia="Arial" w:hAnsi="Arial"/>
          <w:sz w:val="16"/>
          <w:szCs w:val="16"/>
          <w:color w:val="auto"/>
        </w:rPr>
        <w:t>– Paul Marks Prize for Cancer Research from the Memorial Sloan Kettering Cancer Center</w:t>
      </w:r>
    </w:p>
    <w:p>
      <w:pPr>
        <w:spacing w:after="0" w:line="7" w:lineRule="exact"/>
        <w:rPr>
          <w:rFonts w:ascii="Arial" w:cs="Arial" w:eastAsia="Arial" w:hAnsi="Arial"/>
          <w:sz w:val="16"/>
          <w:szCs w:val="16"/>
          <w:color w:val="auto"/>
        </w:rPr>
      </w:pPr>
    </w:p>
    <w:p>
      <w:pPr>
        <w:ind w:left="3280" w:right="1960" w:hanging="325"/>
        <w:spacing w:after="0" w:line="266" w:lineRule="auto"/>
        <w:tabs>
          <w:tab w:leader="none" w:pos="3269" w:val="left"/>
        </w:tabs>
        <w:numPr>
          <w:ilvl w:val="0"/>
          <w:numId w:val="22"/>
        </w:numPr>
        <w:rPr>
          <w:rFonts w:ascii="Arial" w:cs="Arial" w:eastAsia="Arial" w:hAnsi="Arial"/>
          <w:sz w:val="16"/>
          <w:szCs w:val="16"/>
          <w:color w:val="auto"/>
        </w:rPr>
      </w:pPr>
      <w:r>
        <w:rPr>
          <w:rFonts w:ascii="Arial" w:cs="Arial" w:eastAsia="Arial" w:hAnsi="Arial"/>
          <w:sz w:val="16"/>
          <w:szCs w:val="16"/>
          <w:color w:val="auto"/>
        </w:rPr>
        <w:t>Member, National Academy of Medicine; National Academy of Sciences; American College of Physicians; Association of American Physicians; American Society of Clinical Investigation (ASCI); American Academy of Arts and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520700</wp:posOffset>
            </wp:positionV>
            <wp:extent cx="214630" cy="2146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520700</wp:posOffset>
            </wp:positionV>
            <wp:extent cx="213995" cy="2146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3995" cy="21463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520700</wp:posOffset>
            </wp:positionV>
            <wp:extent cx="214630" cy="2146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520700</wp:posOffset>
            </wp:positionV>
            <wp:extent cx="214630" cy="2146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520700</wp:posOffset>
            </wp:positionV>
            <wp:extent cx="214630" cy="2146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w w:val="98"/>
              </w:rPr>
              <w:t>CEO</w:t>
            </w:r>
          </w:p>
        </w:tc>
        <w:tc>
          <w:tcPr>
            <w:tcW w:w="80" w:type="dxa"/>
            <w:vAlign w:val="bottom"/>
          </w:tcPr>
          <w:p>
            <w:pPr>
              <w:spacing w:after="0"/>
              <w:rPr>
                <w:sz w:val="14"/>
                <w:szCs w:val="14"/>
                <w:color w:val="auto"/>
              </w:rPr>
            </w:pPr>
          </w:p>
        </w:tc>
        <w:tc>
          <w:tcPr>
            <w:tcW w:w="1300" w:type="dxa"/>
            <w:vAlign w:val="bottom"/>
          </w:tcPr>
          <w:p>
            <w:pPr>
              <w:jc w:val="center"/>
              <w:ind w:right="528"/>
              <w:spacing w:after="0"/>
              <w:rPr>
                <w:sz w:val="20"/>
                <w:szCs w:val="20"/>
                <w:color w:val="auto"/>
              </w:rPr>
            </w:pPr>
            <w:r>
              <w:rPr>
                <w:rFonts w:ascii="Arial" w:cs="Arial" w:eastAsia="Arial" w:hAnsi="Arial"/>
                <w:sz w:val="14"/>
                <w:szCs w:val="14"/>
                <w:b w:val="1"/>
                <w:bCs w:val="1"/>
                <w:color w:val="auto"/>
              </w:rPr>
              <w:t>Finance /</w:t>
            </w:r>
          </w:p>
        </w:tc>
        <w:tc>
          <w:tcPr>
            <w:tcW w:w="1320" w:type="dxa"/>
            <w:vAlign w:val="bottom"/>
          </w:tcPr>
          <w:p>
            <w:pPr>
              <w:jc w:val="center"/>
              <w:ind w:right="308"/>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rPr>
              <w:t>Healthcare</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Science /</w:t>
            </w:r>
          </w:p>
        </w:tc>
        <w:tc>
          <w:tcPr>
            <w:tcW w:w="0" w:type="dxa"/>
            <w:vAlign w:val="bottom"/>
          </w:tcPr>
          <w:p>
            <w:pPr>
              <w:spacing w:after="0"/>
              <w:rPr>
                <w:sz w:val="1"/>
                <w:szCs w:val="1"/>
                <w:color w:val="auto"/>
              </w:rPr>
            </w:pPr>
          </w:p>
        </w:tc>
      </w:tr>
      <w:tr>
        <w:trPr>
          <w:trHeight w:val="196"/>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rPr>
              <w:t>Leadership</w:t>
            </w:r>
          </w:p>
        </w:tc>
        <w:tc>
          <w:tcPr>
            <w:tcW w:w="1380" w:type="dxa"/>
            <w:vAlign w:val="bottom"/>
            <w:gridSpan w:val="2"/>
          </w:tcPr>
          <w:p>
            <w:pPr>
              <w:jc w:val="center"/>
              <w:ind w:right="468"/>
              <w:spacing w:after="0"/>
              <w:rPr>
                <w:sz w:val="20"/>
                <w:szCs w:val="20"/>
                <w:color w:val="auto"/>
              </w:rPr>
            </w:pPr>
            <w:r>
              <w:rPr>
                <w:rFonts w:ascii="Arial" w:cs="Arial" w:eastAsia="Arial" w:hAnsi="Arial"/>
                <w:sz w:val="14"/>
                <w:szCs w:val="14"/>
                <w:b w:val="1"/>
                <w:bCs w:val="1"/>
                <w:color w:val="auto"/>
              </w:rPr>
              <w:t>Accounting</w:t>
            </w:r>
          </w:p>
        </w:tc>
        <w:tc>
          <w:tcPr>
            <w:tcW w:w="1320" w:type="dxa"/>
            <w:vAlign w:val="bottom"/>
          </w:tcPr>
          <w:p>
            <w:pPr>
              <w:jc w:val="center"/>
              <w:ind w:right="328"/>
              <w:spacing w:after="0"/>
              <w:rPr>
                <w:sz w:val="20"/>
                <w:szCs w:val="20"/>
                <w:color w:val="auto"/>
              </w:rPr>
            </w:pPr>
            <w:r>
              <w:rPr>
                <w:rFonts w:ascii="Arial" w:cs="Arial" w:eastAsia="Arial" w:hAnsi="Arial"/>
                <w:sz w:val="14"/>
                <w:szCs w:val="14"/>
                <w:b w:val="1"/>
                <w:bCs w:val="1"/>
                <w:color w:val="auto"/>
              </w:rPr>
              <w:t>Business</w:t>
            </w:r>
          </w:p>
        </w:tc>
        <w:tc>
          <w:tcPr>
            <w:tcW w:w="260" w:type="dxa"/>
            <w:vAlign w:val="bottom"/>
          </w:tcPr>
          <w:p>
            <w:pPr>
              <w:spacing w:after="0"/>
              <w:rPr>
                <w:sz w:val="17"/>
                <w:szCs w:val="17"/>
                <w:color w:val="auto"/>
              </w:rPr>
            </w:pPr>
          </w:p>
        </w:tc>
        <w:tc>
          <w:tcPr>
            <w:tcW w:w="1220" w:type="dxa"/>
            <w:vAlign w:val="bottom"/>
          </w:tcPr>
          <w:p>
            <w:pPr>
              <w:jc w:val="center"/>
              <w:ind w:right="568"/>
              <w:spacing w:after="0"/>
              <w:rPr>
                <w:sz w:val="20"/>
                <w:szCs w:val="20"/>
                <w:color w:val="auto"/>
              </w:rPr>
            </w:pPr>
            <w:r>
              <w:rPr>
                <w:rFonts w:ascii="Arial" w:cs="Arial" w:eastAsia="Arial" w:hAnsi="Arial"/>
                <w:sz w:val="14"/>
                <w:szCs w:val="14"/>
                <w:b w:val="1"/>
                <w:bCs w:val="1"/>
                <w:color w:val="auto"/>
              </w:rPr>
              <w:t>Industry</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w w:val="99"/>
              </w:rPr>
              <w:t>Academia</w:t>
            </w:r>
          </w:p>
        </w:tc>
        <w:tc>
          <w:tcPr>
            <w:tcW w:w="0" w:type="dxa"/>
            <w:vAlign w:val="bottom"/>
          </w:tcPr>
          <w:p>
            <w:pPr>
              <w:spacing w:after="0"/>
              <w:rPr>
                <w:sz w:val="1"/>
                <w:szCs w:val="1"/>
                <w:color w:val="auto"/>
              </w:rPr>
            </w:pPr>
          </w:p>
        </w:tc>
      </w:tr>
      <w:tr>
        <w:trPr>
          <w:trHeight w:val="438"/>
        </w:trPr>
        <w:tc>
          <w:tcPr>
            <w:tcW w:w="1340" w:type="dxa"/>
            <w:vAlign w:val="bottom"/>
          </w:tcPr>
          <w:p>
            <w:pPr>
              <w:ind w:left="480"/>
              <w:spacing w:after="0"/>
              <w:rPr>
                <w:sz w:val="20"/>
                <w:szCs w:val="20"/>
                <w:color w:val="auto"/>
              </w:rPr>
            </w:pPr>
            <w:r>
              <w:rPr>
                <w:rFonts w:ascii="Arial" w:cs="Arial" w:eastAsia="Arial" w:hAnsi="Arial"/>
                <w:sz w:val="14"/>
                <w:szCs w:val="14"/>
                <w:b w:val="1"/>
                <w:bCs w:val="1"/>
                <w:color w:val="auto"/>
              </w:rPr>
              <w:t>Government</w:t>
            </w:r>
          </w:p>
        </w:tc>
        <w:tc>
          <w:tcPr>
            <w:tcW w:w="80" w:type="dxa"/>
            <w:vAlign w:val="bottom"/>
          </w:tcPr>
          <w:p>
            <w:pPr>
              <w:spacing w:after="0"/>
              <w:rPr>
                <w:sz w:val="24"/>
                <w:szCs w:val="24"/>
                <w:color w:val="auto"/>
              </w:rPr>
            </w:pPr>
          </w:p>
        </w:tc>
        <w:tc>
          <w:tcPr>
            <w:tcW w:w="13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Sales /</w:t>
            </w:r>
          </w:p>
        </w:tc>
        <w:tc>
          <w:tcPr>
            <w:tcW w:w="15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w w:val="99"/>
              </w:rPr>
              <w:t>Technology /</w:t>
            </w:r>
          </w:p>
        </w:tc>
        <w:tc>
          <w:tcPr>
            <w:tcW w:w="192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Operations /</w:t>
            </w:r>
          </w:p>
        </w:tc>
        <w:tc>
          <w:tcPr>
            <w:tcW w:w="0" w:type="dxa"/>
            <w:vAlign w:val="bottom"/>
          </w:tcPr>
          <w:p>
            <w:pPr>
              <w:spacing w:after="0"/>
              <w:rPr>
                <w:sz w:val="1"/>
                <w:szCs w:val="1"/>
                <w:color w:val="auto"/>
              </w:rPr>
            </w:pPr>
          </w:p>
        </w:tc>
      </w:tr>
      <w:tr>
        <w:trPr>
          <w:trHeight w:val="144"/>
        </w:trPr>
        <w:tc>
          <w:tcPr>
            <w:tcW w:w="1340" w:type="dxa"/>
            <w:vAlign w:val="bottom"/>
          </w:tcPr>
          <w:p>
            <w:pPr>
              <w:ind w:left="480"/>
              <w:spacing w:after="0" w:line="145" w:lineRule="exact"/>
              <w:rPr>
                <w:sz w:val="20"/>
                <w:szCs w:val="20"/>
                <w:color w:val="auto"/>
              </w:rPr>
            </w:pPr>
            <w:r>
              <w:rPr>
                <w:rFonts w:ascii="Arial" w:cs="Arial" w:eastAsia="Arial" w:hAnsi="Arial"/>
                <w:sz w:val="14"/>
                <w:szCs w:val="14"/>
                <w:b w:val="1"/>
                <w:bCs w:val="1"/>
                <w:color w:val="auto"/>
              </w:rPr>
              <w:t>Relations /</w:t>
            </w:r>
          </w:p>
        </w:tc>
        <w:tc>
          <w:tcPr>
            <w:tcW w:w="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420" w:type="dxa"/>
            <w:vAlign w:val="bottom"/>
            <w:gridSpan w:val="2"/>
          </w:tcPr>
          <w:p>
            <w:pPr>
              <w:ind w:left="480"/>
              <w:spacing w:after="0"/>
              <w:rPr>
                <w:sz w:val="20"/>
                <w:szCs w:val="20"/>
                <w:color w:val="auto"/>
              </w:rPr>
            </w:pPr>
            <w:r>
              <w:rPr>
                <w:rFonts w:ascii="Arial" w:cs="Arial" w:eastAsia="Arial" w:hAnsi="Arial"/>
                <w:sz w:val="14"/>
                <w:szCs w:val="14"/>
                <w:b w:val="1"/>
                <w:bCs w:val="1"/>
                <w:color w:val="auto"/>
              </w:rPr>
              <w:t>Public Policy</w:t>
            </w:r>
          </w:p>
        </w:tc>
        <w:tc>
          <w:tcPr>
            <w:tcW w:w="1300" w:type="dxa"/>
            <w:vAlign w:val="bottom"/>
          </w:tcPr>
          <w:p>
            <w:pPr>
              <w:ind w:left="600"/>
              <w:spacing w:after="0"/>
              <w:rPr>
                <w:sz w:val="20"/>
                <w:szCs w:val="20"/>
                <w:color w:val="auto"/>
              </w:rPr>
            </w:pPr>
            <w:r>
              <w:rPr>
                <w:rFonts w:ascii="Arial" w:cs="Arial" w:eastAsia="Arial" w:hAnsi="Arial"/>
                <w:sz w:val="14"/>
                <w:szCs w:val="14"/>
                <w:b w:val="1"/>
                <w:bCs w:val="1"/>
                <w:color w:val="auto"/>
              </w:rPr>
              <w:t>Marketing</w:t>
            </w:r>
          </w:p>
        </w:tc>
        <w:tc>
          <w:tcPr>
            <w:tcW w:w="1320" w:type="dxa"/>
            <w:vAlign w:val="bottom"/>
          </w:tcPr>
          <w:p>
            <w:pPr>
              <w:ind w:left="700"/>
              <w:spacing w:after="0"/>
              <w:rPr>
                <w:sz w:val="20"/>
                <w:szCs w:val="20"/>
                <w:color w:val="auto"/>
              </w:rPr>
            </w:pPr>
            <w:r>
              <w:rPr>
                <w:rFonts w:ascii="Arial" w:cs="Arial" w:eastAsia="Arial" w:hAnsi="Arial"/>
                <w:sz w:val="14"/>
                <w:szCs w:val="14"/>
                <w:b w:val="1"/>
                <w:bCs w:val="1"/>
                <w:color w:val="auto"/>
              </w:rPr>
              <w:t>Digital</w:t>
            </w:r>
          </w:p>
        </w:tc>
        <w:tc>
          <w:tcPr>
            <w:tcW w:w="260" w:type="dxa"/>
            <w:vAlign w:val="bottom"/>
          </w:tcPr>
          <w:p>
            <w:pPr>
              <w:spacing w:after="0"/>
              <w:rPr>
                <w:sz w:val="17"/>
                <w:szCs w:val="17"/>
                <w:color w:val="auto"/>
              </w:rPr>
            </w:pP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Strategy</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-263525</wp:posOffset>
            </wp:positionV>
            <wp:extent cx="214630" cy="2146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-263525</wp:posOffset>
            </wp:positionV>
            <wp:extent cx="214630" cy="2146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-263525</wp:posOffset>
            </wp:positionV>
            <wp:extent cx="214630" cy="2146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-263525</wp:posOffset>
            </wp:positionV>
            <wp:extent cx="214630" cy="2146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ectPr>
          <w:pgSz w:w="11900" w:h="16838" w:orient="portrait"/>
          <w:cols w:equalWidth="0" w:num="1">
            <w:col w:w="11020"/>
          </w:cols>
          <w:pgMar w:left="320" w:top="985" w:right="559"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985" w:right="559" w:bottom="1440" w:gutter="0" w:footer="0" w:header="0"/>
          <w:type w:val="continuous"/>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620395</wp:posOffset>
            </wp:positionV>
            <wp:extent cx="1311275" cy="131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1311275"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EF3729"/>
        </w:rPr>
        <w:t>David A. Ricks</w:t>
      </w:r>
    </w:p>
    <w:p>
      <w:pPr>
        <w:spacing w:after="0"/>
        <w:rPr>
          <w:sz w:val="20"/>
          <w:szCs w:val="20"/>
          <w:color w:val="auto"/>
        </w:rPr>
      </w:pPr>
      <w:r>
        <w:rPr>
          <w:rFonts w:ascii="Arial" w:cs="Arial" w:eastAsia="Arial" w:hAnsi="Arial"/>
          <w:sz w:val="16"/>
          <w:szCs w:val="16"/>
          <w:color w:val="auto"/>
        </w:rPr>
        <w:t>Chair,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14312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55</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2017</w:t>
      </w:r>
    </w:p>
    <w:p>
      <w:pPr>
        <w:spacing w:after="0" w:line="73" w:lineRule="exact"/>
        <w:rPr>
          <w:sz w:val="20"/>
          <w:szCs w:val="20"/>
          <w:color w:val="auto"/>
        </w:rPr>
      </w:pPr>
    </w:p>
    <w:p>
      <w:pPr>
        <w:ind w:right="240"/>
        <w:spacing w:after="0" w:line="325" w:lineRule="auto"/>
        <w:rPr>
          <w:sz w:val="20"/>
          <w:szCs w:val="20"/>
          <w:color w:val="auto"/>
        </w:rPr>
      </w:pPr>
      <w:r>
        <w:rPr>
          <w:rFonts w:ascii="Arial" w:cs="Arial" w:eastAsia="Arial" w:hAnsi="Arial"/>
          <w:sz w:val="16"/>
          <w:szCs w:val="16"/>
          <w:b w:val="1"/>
          <w:bCs w:val="1"/>
          <w:color w:val="auto"/>
        </w:rPr>
        <w:t xml:space="preserve">Board Committees: </w:t>
      </w:r>
      <w:r>
        <w:rPr>
          <w:rFonts w:ascii="Arial" w:cs="Arial" w:eastAsia="Arial" w:hAnsi="Arial"/>
          <w:sz w:val="16"/>
          <w:szCs w:val="16"/>
          <w:color w:val="auto"/>
        </w:rPr>
        <w:t>None</w:t>
      </w:r>
      <w:r>
        <w:rPr>
          <w:rFonts w:ascii="Arial" w:cs="Arial" w:eastAsia="Arial" w:hAnsi="Arial"/>
          <w:sz w:val="16"/>
          <w:szCs w:val="16"/>
          <w:b w:val="1"/>
          <w:bCs w:val="1"/>
          <w:color w:val="auto"/>
        </w:rPr>
        <w:t xml:space="preserve"> Other Public Boards: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Adobe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Prior Public Boards: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Elanco Animal Health Inc.</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1234440" cy="677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34440" cy="677545"/>
                    </a:xfrm>
                    <a:prstGeom prst="rect">
                      <a:avLst/>
                    </a:prstGeom>
                    <a:noFill/>
                  </pic:spPr>
                </pic:pic>
              </a:graphicData>
            </a:graphic>
          </wp:anchor>
        </w:drawing>
        <w:drawing>
          <wp:anchor simplePos="0" relativeHeight="251657728" behindDoc="1" locked="0" layoutInCell="0" allowOverlap="1">
            <wp:simplePos x="0" y="0"/>
            <wp:positionH relativeFrom="column">
              <wp:posOffset>746760</wp:posOffset>
            </wp:positionH>
            <wp:positionV relativeFrom="paragraph">
              <wp:posOffset>4598670</wp:posOffset>
            </wp:positionV>
            <wp:extent cx="214630" cy="2146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FFFFFF"/>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-127635</wp:posOffset>
            </wp:positionV>
            <wp:extent cx="4260215" cy="28975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260215" cy="2897505"/>
                    </a:xfrm>
                    <a:prstGeom prst="rect">
                      <a:avLst/>
                    </a:prstGeom>
                    <a:noFill/>
                  </pic:spPr>
                </pic:pic>
              </a:graphicData>
            </a:graphic>
          </wp:anchor>
        </w:drawing>
      </w:r>
    </w:p>
    <w:p>
      <w:pPr>
        <w:spacing w:after="0" w:line="23" w:lineRule="exact"/>
        <w:rPr>
          <w:sz w:val="20"/>
          <w:szCs w:val="20"/>
          <w:color w:val="auto"/>
        </w:rPr>
      </w:pPr>
    </w:p>
    <w:p>
      <w:pPr>
        <w:ind w:right="1019"/>
        <w:spacing w:after="0" w:line="261" w:lineRule="auto"/>
        <w:rPr>
          <w:sz w:val="20"/>
          <w:szCs w:val="20"/>
          <w:color w:val="auto"/>
        </w:rPr>
      </w:pPr>
      <w:r>
        <w:rPr>
          <w:rFonts w:ascii="Arial" w:cs="Arial" w:eastAsia="Arial" w:hAnsi="Arial"/>
          <w:sz w:val="16"/>
          <w:szCs w:val="16"/>
          <w:i w:val="1"/>
          <w:iCs w:val="1"/>
          <w:color w:val="auto"/>
        </w:rPr>
        <w:t>Mr. Ricks has 25 years of experience at Lilly, leading and shaping large-scale operations across the world. He has overseen some of the most transformative growth in the company’s history; since assuming the role as CEO, Lilly has (i) experienced revenue growth of approximately 34%, (ii) experienced a five-year total shareholder return of 377%, and (iii) taken important steps to increase the affordability and accessibility of our products around the globe.</w:t>
      </w:r>
    </w:p>
    <w:p>
      <w:pPr>
        <w:spacing w:after="0" w:line="12" w:lineRule="exact"/>
        <w:rPr>
          <w:sz w:val="20"/>
          <w:szCs w:val="20"/>
          <w:color w:val="auto"/>
        </w:rPr>
      </w:pPr>
    </w:p>
    <w:p>
      <w:pPr>
        <w:ind w:left="640" w:right="1119" w:hanging="325"/>
        <w:spacing w:after="0" w:line="275" w:lineRule="auto"/>
        <w:tabs>
          <w:tab w:leader="none" w:pos="629" w:val="left"/>
        </w:tabs>
        <w:numPr>
          <w:ilvl w:val="0"/>
          <w:numId w:val="24"/>
        </w:numPr>
        <w:rPr>
          <w:rFonts w:ascii="Arial" w:cs="Arial" w:eastAsia="Arial" w:hAnsi="Arial"/>
          <w:sz w:val="16"/>
          <w:szCs w:val="16"/>
          <w:color w:val="auto"/>
        </w:rPr>
      </w:pPr>
      <w:r>
        <w:rPr>
          <w:rFonts w:ascii="Arial" w:cs="Arial" w:eastAsia="Arial" w:hAnsi="Arial"/>
          <w:sz w:val="16"/>
          <w:szCs w:val="16"/>
          <w:color w:val="auto"/>
        </w:rPr>
        <w:t>Mr. Ricks embodies the “tone at the top” that strengthens the company’s culture, including through his commitment to compliance, talent development, and the expansion of our diverse workforce.</w:t>
      </w:r>
    </w:p>
    <w:p>
      <w:pPr>
        <w:spacing w:after="0" w:line="15" w:lineRule="exact"/>
        <w:rPr>
          <w:rFonts w:ascii="Arial" w:cs="Arial" w:eastAsia="Arial" w:hAnsi="Arial"/>
          <w:sz w:val="16"/>
          <w:szCs w:val="16"/>
          <w:color w:val="auto"/>
        </w:rPr>
      </w:pPr>
    </w:p>
    <w:p>
      <w:pPr>
        <w:ind w:left="640" w:right="1019" w:hanging="325"/>
        <w:spacing w:after="0" w:line="265" w:lineRule="auto"/>
        <w:tabs>
          <w:tab w:leader="none" w:pos="629" w:val="left"/>
        </w:tabs>
        <w:numPr>
          <w:ilvl w:val="0"/>
          <w:numId w:val="24"/>
        </w:numPr>
        <w:rPr>
          <w:rFonts w:ascii="Arial" w:cs="Arial" w:eastAsia="Arial" w:hAnsi="Arial"/>
          <w:sz w:val="16"/>
          <w:szCs w:val="16"/>
          <w:color w:val="auto"/>
        </w:rPr>
      </w:pPr>
      <w:r>
        <w:rPr>
          <w:rFonts w:ascii="Arial" w:cs="Arial" w:eastAsia="Arial" w:hAnsi="Arial"/>
          <w:sz w:val="16"/>
          <w:szCs w:val="16"/>
          <w:color w:val="auto"/>
        </w:rPr>
        <w:t>Mr. Ricks has combined his company-specific and industry knowledge to grow, articulate and implement Lilly’s strategic plan, as reflected by the growth in revenue, robust pipeline, and progressive approach on leveraging technology into the business.</w:t>
      </w:r>
    </w:p>
    <w:p>
      <w:pPr>
        <w:spacing w:after="0" w:line="10" w:lineRule="exact"/>
        <w:rPr>
          <w:rFonts w:ascii="Arial" w:cs="Arial" w:eastAsia="Arial" w:hAnsi="Arial"/>
          <w:sz w:val="16"/>
          <w:szCs w:val="16"/>
          <w:color w:val="auto"/>
        </w:rPr>
      </w:pPr>
    </w:p>
    <w:p>
      <w:pPr>
        <w:ind w:left="640" w:right="1099" w:hanging="325"/>
        <w:spacing w:after="0" w:line="265" w:lineRule="auto"/>
        <w:tabs>
          <w:tab w:leader="none" w:pos="629" w:val="left"/>
        </w:tabs>
        <w:numPr>
          <w:ilvl w:val="0"/>
          <w:numId w:val="24"/>
        </w:numPr>
        <w:rPr>
          <w:rFonts w:ascii="Arial" w:cs="Arial" w:eastAsia="Arial" w:hAnsi="Arial"/>
          <w:sz w:val="16"/>
          <w:szCs w:val="16"/>
          <w:color w:val="auto"/>
        </w:rPr>
      </w:pPr>
      <w:r>
        <w:rPr>
          <w:rFonts w:ascii="Arial" w:cs="Arial" w:eastAsia="Arial" w:hAnsi="Arial"/>
          <w:sz w:val="16"/>
          <w:szCs w:val="16"/>
          <w:color w:val="auto"/>
        </w:rPr>
        <w:t>As the primary face for Lilly, Mr. Ricks is able to draw on his extensive interactions with various stakeholders to apprise the board of significant developments in our business and industry, as well as to communicate feedback to the board and offer insights.</w:t>
      </w:r>
    </w:p>
    <w:p>
      <w:pPr>
        <w:spacing w:after="0" w:line="24" w:lineRule="exact"/>
        <w:rPr>
          <w:rFonts w:ascii="Arial" w:cs="Arial" w:eastAsia="Arial" w:hAnsi="Arial"/>
          <w:sz w:val="16"/>
          <w:szCs w:val="16"/>
          <w:color w:val="auto"/>
        </w:rPr>
      </w:pPr>
    </w:p>
    <w:p>
      <w:pPr>
        <w:ind w:left="640" w:right="1159" w:hanging="325"/>
        <w:spacing w:after="0" w:line="266" w:lineRule="auto"/>
        <w:tabs>
          <w:tab w:leader="none" w:pos="629" w:val="left"/>
        </w:tabs>
        <w:numPr>
          <w:ilvl w:val="0"/>
          <w:numId w:val="24"/>
        </w:numPr>
        <w:rPr>
          <w:rFonts w:ascii="Arial" w:cs="Arial" w:eastAsia="Arial" w:hAnsi="Arial"/>
          <w:sz w:val="16"/>
          <w:szCs w:val="16"/>
          <w:color w:val="auto"/>
        </w:rPr>
      </w:pPr>
      <w:r>
        <w:rPr>
          <w:rFonts w:ascii="Arial" w:cs="Arial" w:eastAsia="Arial" w:hAnsi="Arial"/>
          <w:sz w:val="16"/>
          <w:szCs w:val="16"/>
          <w:color w:val="auto"/>
        </w:rPr>
        <w:t>Mr. Ricks’ multi-faceted leadership approach is derived from his experience in marketing, sales, drug development, and international operations, as well as his significant experience in public policy.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CAREER HIGHLIGHTS</w:t>
      </w:r>
    </w:p>
    <w:p>
      <w:pPr>
        <w:spacing w:after="0" w:line="40" w:lineRule="exact"/>
        <w:rPr>
          <w:sz w:val="20"/>
          <w:szCs w:val="20"/>
          <w:color w:val="auto"/>
        </w:rPr>
      </w:pPr>
    </w:p>
    <w:p>
      <w:pPr>
        <w:ind w:left="620" w:hanging="305"/>
        <w:spacing w:after="0"/>
        <w:tabs>
          <w:tab w:leader="none" w:pos="620" w:val="left"/>
        </w:tabs>
        <w:numPr>
          <w:ilvl w:val="0"/>
          <w:numId w:val="25"/>
        </w:numPr>
        <w:rPr>
          <w:rFonts w:ascii="Arial" w:cs="Arial" w:eastAsia="Arial" w:hAnsi="Arial"/>
          <w:sz w:val="16"/>
          <w:szCs w:val="16"/>
          <w:color w:val="auto"/>
        </w:rPr>
      </w:pPr>
      <w:r>
        <w:rPr>
          <w:rFonts w:ascii="Arial" w:cs="Arial" w:eastAsia="Arial" w:hAnsi="Arial"/>
          <w:sz w:val="18"/>
          <w:szCs w:val="18"/>
          <w:b w:val="1"/>
          <w:bCs w:val="1"/>
          <w:color w:val="auto"/>
        </w:rPr>
        <w:t>Eli Lilly and Company</w:t>
      </w:r>
    </w:p>
    <w:p>
      <w:pPr>
        <w:spacing w:after="0" w:line="50"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Chair, President, and Chief Executive Officer (2017 - present)</w:t>
      </w:r>
    </w:p>
    <w:p>
      <w:pPr>
        <w:spacing w:after="0" w:line="32"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Senior Vice President and President, Lilly Bio-Medicines (2012 - 2016)</w:t>
      </w:r>
    </w:p>
    <w:p>
      <w:pPr>
        <w:spacing w:after="0" w:line="45"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President, Lilly USA (2009 - 2012)</w:t>
      </w:r>
    </w:p>
    <w:p>
      <w:pPr>
        <w:spacing w:after="0" w:line="45"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Served in various marketing, sales and international leadership roles (1996 -</w:t>
      </w:r>
    </w:p>
    <w:p>
      <w:pPr>
        <w:spacing w:after="0" w:line="32" w:lineRule="exact"/>
        <w:rPr>
          <w:rFonts w:ascii="Arial" w:cs="Arial" w:eastAsia="Arial" w:hAnsi="Arial"/>
          <w:sz w:val="16"/>
          <w:szCs w:val="16"/>
          <w:color w:val="auto"/>
        </w:rPr>
      </w:pPr>
    </w:p>
    <w:p>
      <w:pPr>
        <w:ind w:left="940"/>
        <w:spacing w:after="0"/>
        <w:rPr>
          <w:rFonts w:ascii="Arial" w:cs="Arial" w:eastAsia="Arial" w:hAnsi="Arial"/>
          <w:sz w:val="16"/>
          <w:szCs w:val="16"/>
          <w:color w:val="auto"/>
        </w:rPr>
      </w:pPr>
      <w:r>
        <w:rPr>
          <w:rFonts w:ascii="Arial" w:cs="Arial" w:eastAsia="Arial" w:hAnsi="Arial"/>
          <w:sz w:val="16"/>
          <w:szCs w:val="16"/>
          <w:color w:val="auto"/>
        </w:rPr>
        <w:t>2009), including:</w:t>
      </w:r>
    </w:p>
    <w:p>
      <w:pPr>
        <w:spacing w:after="0" w:line="55" w:lineRule="exact"/>
        <w:rPr>
          <w:rFonts w:ascii="Arial" w:cs="Arial" w:eastAsia="Arial" w:hAnsi="Arial"/>
          <w:sz w:val="16"/>
          <w:szCs w:val="16"/>
          <w:color w:val="auto"/>
        </w:rPr>
      </w:pPr>
    </w:p>
    <w:p>
      <w:pPr>
        <w:ind w:left="1200" w:hanging="237"/>
        <w:spacing w:after="0"/>
        <w:tabs>
          <w:tab w:leader="none" w:pos="1200" w:val="left"/>
        </w:tabs>
        <w:numPr>
          <w:ilvl w:val="2"/>
          <w:numId w:val="25"/>
        </w:numPr>
        <w:rPr>
          <w:rFonts w:ascii="Arial" w:cs="Arial" w:eastAsia="Arial" w:hAnsi="Arial"/>
          <w:sz w:val="19"/>
          <w:szCs w:val="19"/>
          <w:color w:val="auto"/>
        </w:rPr>
      </w:pPr>
      <w:r>
        <w:rPr>
          <w:rFonts w:ascii="Arial" w:cs="Arial" w:eastAsia="Arial" w:hAnsi="Arial"/>
          <w:sz w:val="16"/>
          <w:szCs w:val="16"/>
          <w:color w:val="auto"/>
        </w:rPr>
        <w:t>As president and general manager of Lilly China</w:t>
      </w:r>
    </w:p>
    <w:p>
      <w:pPr>
        <w:spacing w:after="0" w:line="24" w:lineRule="exact"/>
        <w:rPr>
          <w:rFonts w:ascii="Arial" w:cs="Arial" w:eastAsia="Arial" w:hAnsi="Arial"/>
          <w:sz w:val="19"/>
          <w:szCs w:val="19"/>
          <w:color w:val="auto"/>
        </w:rPr>
      </w:pPr>
    </w:p>
    <w:p>
      <w:pPr>
        <w:ind w:left="1200" w:hanging="237"/>
        <w:spacing w:after="0"/>
        <w:tabs>
          <w:tab w:leader="none" w:pos="1200" w:val="left"/>
        </w:tabs>
        <w:numPr>
          <w:ilvl w:val="2"/>
          <w:numId w:val="25"/>
        </w:numPr>
        <w:rPr>
          <w:rFonts w:ascii="Arial" w:cs="Arial" w:eastAsia="Arial" w:hAnsi="Arial"/>
          <w:sz w:val="19"/>
          <w:szCs w:val="19"/>
          <w:color w:val="auto"/>
        </w:rPr>
      </w:pPr>
      <w:r>
        <w:rPr>
          <w:rFonts w:ascii="Arial" w:cs="Arial" w:eastAsia="Arial" w:hAnsi="Arial"/>
          <w:sz w:val="16"/>
          <w:szCs w:val="16"/>
          <w:color w:val="auto"/>
        </w:rPr>
        <w:t>As general manager of Lilly Canada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OTHER HIGHLIGHTS</w:t>
      </w:r>
    </w:p>
    <w:p>
      <w:pPr>
        <w:spacing w:after="0" w:line="68" w:lineRule="exact"/>
        <w:rPr>
          <w:sz w:val="20"/>
          <w:szCs w:val="20"/>
          <w:color w:val="auto"/>
        </w:rPr>
      </w:pPr>
    </w:p>
    <w:p>
      <w:pPr>
        <w:ind w:left="640" w:right="1619" w:hanging="325"/>
        <w:spacing w:after="0" w:line="260" w:lineRule="auto"/>
        <w:tabs>
          <w:tab w:leader="none" w:pos="631" w:val="left"/>
        </w:tabs>
        <w:numPr>
          <w:ilvl w:val="0"/>
          <w:numId w:val="26"/>
        </w:numPr>
        <w:rPr>
          <w:rFonts w:ascii="Cambria" w:cs="Cambria" w:eastAsia="Cambria" w:hAnsi="Cambria"/>
          <w:sz w:val="16"/>
          <w:szCs w:val="16"/>
          <w:b w:val="1"/>
          <w:bCs w:val="1"/>
          <w:color w:val="auto"/>
        </w:rPr>
      </w:pPr>
      <w:r>
        <w:rPr>
          <w:rFonts w:ascii="Arial" w:cs="Arial" w:eastAsia="Arial" w:hAnsi="Arial"/>
          <w:sz w:val="16"/>
          <w:szCs w:val="16"/>
          <w:color w:val="auto"/>
        </w:rPr>
        <w:t>International Federation of Pharmaceutical Manufacturers &amp; Associations (IFPMA), CEO Steering Committee</w:t>
      </w:r>
    </w:p>
    <w:p>
      <w:pPr>
        <w:spacing w:after="0" w:line="1" w:lineRule="exact"/>
        <w:rPr>
          <w:rFonts w:ascii="Cambria" w:cs="Cambria" w:eastAsia="Cambria" w:hAnsi="Cambria"/>
          <w:sz w:val="16"/>
          <w:szCs w:val="16"/>
          <w:b w:val="1"/>
          <w:bCs w:val="1"/>
          <w:color w:val="auto"/>
        </w:rPr>
      </w:pPr>
    </w:p>
    <w:p>
      <w:pPr>
        <w:ind w:left="640" w:right="1139" w:hanging="325"/>
        <w:spacing w:after="0" w:line="252" w:lineRule="auto"/>
        <w:tabs>
          <w:tab w:leader="none" w:pos="631" w:val="left"/>
        </w:tabs>
        <w:numPr>
          <w:ilvl w:val="0"/>
          <w:numId w:val="26"/>
        </w:numPr>
        <w:rPr>
          <w:rFonts w:ascii="Cambria" w:cs="Cambria" w:eastAsia="Cambria" w:hAnsi="Cambria"/>
          <w:sz w:val="16"/>
          <w:szCs w:val="16"/>
          <w:b w:val="1"/>
          <w:bCs w:val="1"/>
          <w:color w:val="auto"/>
        </w:rPr>
      </w:pPr>
      <w:r>
        <w:rPr>
          <w:rFonts w:ascii="Arial" w:cs="Arial" w:eastAsia="Arial" w:hAnsi="Arial"/>
          <w:sz w:val="16"/>
          <w:szCs w:val="16"/>
          <w:color w:val="auto"/>
        </w:rPr>
        <w:t>Pharmaceutical Research and Manufacturers of America (PhRMA), Board (Past Chair)</w:t>
      </w:r>
    </w:p>
    <w:p>
      <w:pPr>
        <w:spacing w:after="0" w:line="1" w:lineRule="exact"/>
        <w:rPr>
          <w:rFonts w:ascii="Cambria" w:cs="Cambria" w:eastAsia="Cambria" w:hAnsi="Cambria"/>
          <w:sz w:val="16"/>
          <w:szCs w:val="16"/>
          <w:b w:val="1"/>
          <w:bCs w:val="1"/>
          <w:color w:val="auto"/>
        </w:rPr>
      </w:pPr>
    </w:p>
    <w:p>
      <w:pPr>
        <w:ind w:left="640" w:hanging="325"/>
        <w:spacing w:after="0"/>
        <w:tabs>
          <w:tab w:leader="none" w:pos="640" w:val="left"/>
        </w:tabs>
        <w:numPr>
          <w:ilvl w:val="0"/>
          <w:numId w:val="26"/>
        </w:numPr>
        <w:rPr>
          <w:rFonts w:ascii="Cambria" w:cs="Cambria" w:eastAsia="Cambria" w:hAnsi="Cambria"/>
          <w:sz w:val="16"/>
          <w:szCs w:val="16"/>
          <w:b w:val="1"/>
          <w:bCs w:val="1"/>
          <w:color w:val="auto"/>
        </w:rPr>
      </w:pPr>
      <w:r>
        <w:rPr>
          <w:rFonts w:ascii="Arial" w:cs="Arial" w:eastAsia="Arial" w:hAnsi="Arial"/>
          <w:sz w:val="16"/>
          <w:szCs w:val="16"/>
          <w:color w:val="auto"/>
        </w:rPr>
        <w:t>U.S. Patent and Trademark Office, Council for Inclusive Innovation</w:t>
      </w:r>
    </w:p>
    <w:p>
      <w:pPr>
        <w:spacing w:after="0" w:line="5" w:lineRule="exact"/>
        <w:rPr>
          <w:rFonts w:ascii="Cambria" w:cs="Cambria" w:eastAsia="Cambria" w:hAnsi="Cambria"/>
          <w:sz w:val="16"/>
          <w:szCs w:val="16"/>
          <w:b w:val="1"/>
          <w:bCs w:val="1"/>
          <w:color w:val="auto"/>
        </w:rPr>
      </w:pPr>
    </w:p>
    <w:p>
      <w:pPr>
        <w:ind w:left="640" w:hanging="325"/>
        <w:spacing w:after="0"/>
        <w:tabs>
          <w:tab w:leader="none" w:pos="640" w:val="left"/>
        </w:tabs>
        <w:numPr>
          <w:ilvl w:val="0"/>
          <w:numId w:val="26"/>
        </w:numPr>
        <w:rPr>
          <w:rFonts w:ascii="Cambria" w:cs="Cambria" w:eastAsia="Cambria" w:hAnsi="Cambria"/>
          <w:sz w:val="16"/>
          <w:szCs w:val="16"/>
          <w:b w:val="1"/>
          <w:bCs w:val="1"/>
          <w:color w:val="auto"/>
        </w:rPr>
      </w:pPr>
      <w:r>
        <w:rPr>
          <w:rFonts w:ascii="Arial" w:cs="Arial" w:eastAsia="Arial" w:hAnsi="Arial"/>
          <w:sz w:val="16"/>
          <w:szCs w:val="16"/>
          <w:color w:val="auto"/>
        </w:rPr>
        <w:t>Riley Children's Foundation</w:t>
      </w:r>
    </w:p>
    <w:p>
      <w:pPr>
        <w:spacing w:after="0" w:line="1" w:lineRule="exact"/>
        <w:rPr>
          <w:rFonts w:ascii="Cambria" w:cs="Cambria" w:eastAsia="Cambria" w:hAnsi="Cambria"/>
          <w:sz w:val="16"/>
          <w:szCs w:val="16"/>
          <w:b w:val="1"/>
          <w:bCs w:val="1"/>
          <w:color w:val="auto"/>
        </w:rPr>
      </w:pPr>
    </w:p>
    <w:p>
      <w:pPr>
        <w:ind w:left="640" w:hanging="325"/>
        <w:spacing w:after="0"/>
        <w:tabs>
          <w:tab w:leader="none" w:pos="640" w:val="left"/>
        </w:tabs>
        <w:numPr>
          <w:ilvl w:val="0"/>
          <w:numId w:val="26"/>
        </w:numPr>
        <w:rPr>
          <w:rFonts w:ascii="Cambria" w:cs="Cambria" w:eastAsia="Cambria" w:hAnsi="Cambria"/>
          <w:sz w:val="16"/>
          <w:szCs w:val="16"/>
          <w:b w:val="1"/>
          <w:bCs w:val="1"/>
          <w:color w:val="auto"/>
        </w:rPr>
      </w:pPr>
      <w:r>
        <w:rPr>
          <w:rFonts w:ascii="Arial" w:cs="Arial" w:eastAsia="Arial" w:hAnsi="Arial"/>
          <w:sz w:val="16"/>
          <w:szCs w:val="16"/>
          <w:color w:val="auto"/>
        </w:rPr>
        <w:t>Central Indiana Corporate Partnership,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2177415</wp:posOffset>
            </wp:positionV>
            <wp:extent cx="213995" cy="2146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3995" cy="214630"/>
                    </a:xfrm>
                    <a:prstGeom prst="rect">
                      <a:avLst/>
                    </a:prstGeom>
                    <a:noFill/>
                  </pic:spPr>
                </pic:pic>
              </a:graphicData>
            </a:graphic>
          </wp:anchor>
        </w:drawing>
        <w:drawing>
          <wp:anchor simplePos="0" relativeHeight="251657728" behindDoc="1" locked="0" layoutInCell="0" allowOverlap="1">
            <wp:simplePos x="0" y="0"/>
            <wp:positionH relativeFrom="column">
              <wp:posOffset>805815</wp:posOffset>
            </wp:positionH>
            <wp:positionV relativeFrom="paragraph">
              <wp:posOffset>2177415</wp:posOffset>
            </wp:positionV>
            <wp:extent cx="214630" cy="2146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1731645</wp:posOffset>
            </wp:positionH>
            <wp:positionV relativeFrom="paragraph">
              <wp:posOffset>2177415</wp:posOffset>
            </wp:positionV>
            <wp:extent cx="214630" cy="2146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2177415</wp:posOffset>
            </wp:positionV>
            <wp:extent cx="214630" cy="2146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80" w:space="440"/>
            <w:col w:w="7499"/>
          </w:cols>
          <w:pgMar w:left="340" w:top="9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600" w:type="dxa"/>
        <w:tblCellMar>
          <w:top w:w="0" w:type="dxa"/>
          <w:left w:w="0" w:type="dxa"/>
          <w:bottom w:w="0" w:type="dxa"/>
          <w:right w:w="0" w:type="dxa"/>
        </w:tblCellMar>
      </w:tblPr>
      <w:tr>
        <w:trPr>
          <w:trHeight w:val="162"/>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w w:val="98"/>
              </w:rPr>
              <w:t>CEO</w:t>
            </w:r>
          </w:p>
        </w:tc>
        <w:tc>
          <w:tcPr>
            <w:tcW w:w="80" w:type="dxa"/>
            <w:vAlign w:val="bottom"/>
          </w:tcPr>
          <w:p>
            <w:pPr>
              <w:spacing w:after="0"/>
              <w:rPr>
                <w:sz w:val="14"/>
                <w:szCs w:val="14"/>
                <w:color w:val="auto"/>
              </w:rPr>
            </w:pPr>
          </w:p>
        </w:tc>
        <w:tc>
          <w:tcPr>
            <w:tcW w:w="1300" w:type="dxa"/>
            <w:vAlign w:val="bottom"/>
          </w:tcPr>
          <w:p>
            <w:pPr>
              <w:jc w:val="center"/>
              <w:ind w:right="528"/>
              <w:spacing w:after="0"/>
              <w:rPr>
                <w:sz w:val="20"/>
                <w:szCs w:val="20"/>
                <w:color w:val="auto"/>
              </w:rPr>
            </w:pPr>
            <w:r>
              <w:rPr>
                <w:rFonts w:ascii="Arial" w:cs="Arial" w:eastAsia="Arial" w:hAnsi="Arial"/>
                <w:sz w:val="14"/>
                <w:szCs w:val="14"/>
                <w:b w:val="1"/>
                <w:bCs w:val="1"/>
                <w:color w:val="auto"/>
              </w:rPr>
              <w:t>Finance /</w:t>
            </w:r>
          </w:p>
        </w:tc>
        <w:tc>
          <w:tcPr>
            <w:tcW w:w="1320" w:type="dxa"/>
            <w:vAlign w:val="bottom"/>
          </w:tcPr>
          <w:p>
            <w:pPr>
              <w:jc w:val="center"/>
              <w:ind w:right="308"/>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rPr>
              <w:t>Healthcare</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Science /</w:t>
            </w:r>
          </w:p>
        </w:tc>
        <w:tc>
          <w:tcPr>
            <w:tcW w:w="0" w:type="dxa"/>
            <w:vAlign w:val="bottom"/>
          </w:tcPr>
          <w:p>
            <w:pPr>
              <w:spacing w:after="0"/>
              <w:rPr>
                <w:sz w:val="1"/>
                <w:szCs w:val="1"/>
                <w:color w:val="auto"/>
              </w:rPr>
            </w:pPr>
          </w:p>
        </w:tc>
      </w:tr>
      <w:tr>
        <w:trPr>
          <w:trHeight w:val="196"/>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rPr>
              <w:t>Leadership</w:t>
            </w:r>
          </w:p>
        </w:tc>
        <w:tc>
          <w:tcPr>
            <w:tcW w:w="1380" w:type="dxa"/>
            <w:vAlign w:val="bottom"/>
            <w:gridSpan w:val="2"/>
          </w:tcPr>
          <w:p>
            <w:pPr>
              <w:jc w:val="center"/>
              <w:ind w:right="468"/>
              <w:spacing w:after="0"/>
              <w:rPr>
                <w:sz w:val="20"/>
                <w:szCs w:val="20"/>
                <w:color w:val="auto"/>
              </w:rPr>
            </w:pPr>
            <w:r>
              <w:rPr>
                <w:rFonts w:ascii="Arial" w:cs="Arial" w:eastAsia="Arial" w:hAnsi="Arial"/>
                <w:sz w:val="14"/>
                <w:szCs w:val="14"/>
                <w:b w:val="1"/>
                <w:bCs w:val="1"/>
                <w:color w:val="auto"/>
              </w:rPr>
              <w:t>Accounting</w:t>
            </w:r>
          </w:p>
        </w:tc>
        <w:tc>
          <w:tcPr>
            <w:tcW w:w="1320" w:type="dxa"/>
            <w:vAlign w:val="bottom"/>
          </w:tcPr>
          <w:p>
            <w:pPr>
              <w:jc w:val="center"/>
              <w:ind w:right="328"/>
              <w:spacing w:after="0"/>
              <w:rPr>
                <w:sz w:val="20"/>
                <w:szCs w:val="20"/>
                <w:color w:val="auto"/>
              </w:rPr>
            </w:pPr>
            <w:r>
              <w:rPr>
                <w:rFonts w:ascii="Arial" w:cs="Arial" w:eastAsia="Arial" w:hAnsi="Arial"/>
                <w:sz w:val="14"/>
                <w:szCs w:val="14"/>
                <w:b w:val="1"/>
                <w:bCs w:val="1"/>
                <w:color w:val="auto"/>
              </w:rPr>
              <w:t>Business</w:t>
            </w:r>
          </w:p>
        </w:tc>
        <w:tc>
          <w:tcPr>
            <w:tcW w:w="260" w:type="dxa"/>
            <w:vAlign w:val="bottom"/>
          </w:tcPr>
          <w:p>
            <w:pPr>
              <w:spacing w:after="0"/>
              <w:rPr>
                <w:sz w:val="17"/>
                <w:szCs w:val="17"/>
                <w:color w:val="auto"/>
              </w:rPr>
            </w:pPr>
          </w:p>
        </w:tc>
        <w:tc>
          <w:tcPr>
            <w:tcW w:w="1220" w:type="dxa"/>
            <w:vAlign w:val="bottom"/>
          </w:tcPr>
          <w:p>
            <w:pPr>
              <w:jc w:val="center"/>
              <w:ind w:right="568"/>
              <w:spacing w:after="0"/>
              <w:rPr>
                <w:sz w:val="20"/>
                <w:szCs w:val="20"/>
                <w:color w:val="auto"/>
              </w:rPr>
            </w:pPr>
            <w:r>
              <w:rPr>
                <w:rFonts w:ascii="Arial" w:cs="Arial" w:eastAsia="Arial" w:hAnsi="Arial"/>
                <w:sz w:val="14"/>
                <w:szCs w:val="14"/>
                <w:b w:val="1"/>
                <w:bCs w:val="1"/>
                <w:color w:val="auto"/>
              </w:rPr>
              <w:t>Industry</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w w:val="99"/>
              </w:rPr>
              <w:t>Academia</w:t>
            </w:r>
          </w:p>
        </w:tc>
        <w:tc>
          <w:tcPr>
            <w:tcW w:w="0" w:type="dxa"/>
            <w:vAlign w:val="bottom"/>
          </w:tcPr>
          <w:p>
            <w:pPr>
              <w:spacing w:after="0"/>
              <w:rPr>
                <w:sz w:val="1"/>
                <w:szCs w:val="1"/>
                <w:color w:val="auto"/>
              </w:rPr>
            </w:pPr>
          </w:p>
        </w:tc>
      </w:tr>
      <w:tr>
        <w:trPr>
          <w:trHeight w:val="438"/>
        </w:trPr>
        <w:tc>
          <w:tcPr>
            <w:tcW w:w="1340" w:type="dxa"/>
            <w:vAlign w:val="bottom"/>
          </w:tcPr>
          <w:p>
            <w:pPr>
              <w:ind w:left="480"/>
              <w:spacing w:after="0"/>
              <w:rPr>
                <w:sz w:val="20"/>
                <w:szCs w:val="20"/>
                <w:color w:val="auto"/>
              </w:rPr>
            </w:pPr>
            <w:r>
              <w:rPr>
                <w:rFonts w:ascii="Arial" w:cs="Arial" w:eastAsia="Arial" w:hAnsi="Arial"/>
                <w:sz w:val="14"/>
                <w:szCs w:val="14"/>
                <w:b w:val="1"/>
                <w:bCs w:val="1"/>
                <w:color w:val="auto"/>
              </w:rPr>
              <w:t>Government</w:t>
            </w:r>
          </w:p>
        </w:tc>
        <w:tc>
          <w:tcPr>
            <w:tcW w:w="80" w:type="dxa"/>
            <w:vAlign w:val="bottom"/>
          </w:tcPr>
          <w:p>
            <w:pPr>
              <w:spacing w:after="0"/>
              <w:rPr>
                <w:sz w:val="24"/>
                <w:szCs w:val="24"/>
                <w:color w:val="auto"/>
              </w:rPr>
            </w:pPr>
          </w:p>
        </w:tc>
        <w:tc>
          <w:tcPr>
            <w:tcW w:w="13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Sales /</w:t>
            </w:r>
          </w:p>
        </w:tc>
        <w:tc>
          <w:tcPr>
            <w:tcW w:w="15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w w:val="99"/>
              </w:rPr>
              <w:t>Technology /</w:t>
            </w:r>
          </w:p>
        </w:tc>
        <w:tc>
          <w:tcPr>
            <w:tcW w:w="192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Operations /</w:t>
            </w:r>
          </w:p>
        </w:tc>
        <w:tc>
          <w:tcPr>
            <w:tcW w:w="0" w:type="dxa"/>
            <w:vAlign w:val="bottom"/>
          </w:tcPr>
          <w:p>
            <w:pPr>
              <w:spacing w:after="0"/>
              <w:rPr>
                <w:sz w:val="1"/>
                <w:szCs w:val="1"/>
                <w:color w:val="auto"/>
              </w:rPr>
            </w:pPr>
          </w:p>
        </w:tc>
      </w:tr>
      <w:tr>
        <w:trPr>
          <w:trHeight w:val="144"/>
        </w:trPr>
        <w:tc>
          <w:tcPr>
            <w:tcW w:w="1340" w:type="dxa"/>
            <w:vAlign w:val="bottom"/>
          </w:tcPr>
          <w:p>
            <w:pPr>
              <w:ind w:left="480"/>
              <w:spacing w:after="0" w:line="145" w:lineRule="exact"/>
              <w:rPr>
                <w:sz w:val="20"/>
                <w:szCs w:val="20"/>
                <w:color w:val="auto"/>
              </w:rPr>
            </w:pPr>
            <w:r>
              <w:rPr>
                <w:rFonts w:ascii="Arial" w:cs="Arial" w:eastAsia="Arial" w:hAnsi="Arial"/>
                <w:sz w:val="14"/>
                <w:szCs w:val="14"/>
                <w:b w:val="1"/>
                <w:bCs w:val="1"/>
                <w:color w:val="auto"/>
              </w:rPr>
              <w:t>Relations /</w:t>
            </w:r>
          </w:p>
        </w:tc>
        <w:tc>
          <w:tcPr>
            <w:tcW w:w="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420" w:type="dxa"/>
            <w:vAlign w:val="bottom"/>
            <w:gridSpan w:val="2"/>
          </w:tcPr>
          <w:p>
            <w:pPr>
              <w:ind w:left="480"/>
              <w:spacing w:after="0"/>
              <w:rPr>
                <w:sz w:val="20"/>
                <w:szCs w:val="20"/>
                <w:color w:val="auto"/>
              </w:rPr>
            </w:pPr>
            <w:r>
              <w:rPr>
                <w:rFonts w:ascii="Arial" w:cs="Arial" w:eastAsia="Arial" w:hAnsi="Arial"/>
                <w:sz w:val="14"/>
                <w:szCs w:val="14"/>
                <w:b w:val="1"/>
                <w:bCs w:val="1"/>
                <w:color w:val="auto"/>
              </w:rPr>
              <w:t>Public Policy</w:t>
            </w:r>
          </w:p>
        </w:tc>
        <w:tc>
          <w:tcPr>
            <w:tcW w:w="1300" w:type="dxa"/>
            <w:vAlign w:val="bottom"/>
          </w:tcPr>
          <w:p>
            <w:pPr>
              <w:ind w:left="600"/>
              <w:spacing w:after="0"/>
              <w:rPr>
                <w:sz w:val="20"/>
                <w:szCs w:val="20"/>
                <w:color w:val="auto"/>
              </w:rPr>
            </w:pPr>
            <w:r>
              <w:rPr>
                <w:rFonts w:ascii="Arial" w:cs="Arial" w:eastAsia="Arial" w:hAnsi="Arial"/>
                <w:sz w:val="14"/>
                <w:szCs w:val="14"/>
                <w:b w:val="1"/>
                <w:bCs w:val="1"/>
                <w:color w:val="auto"/>
              </w:rPr>
              <w:t>Marketing</w:t>
            </w:r>
          </w:p>
        </w:tc>
        <w:tc>
          <w:tcPr>
            <w:tcW w:w="1320" w:type="dxa"/>
            <w:vAlign w:val="bottom"/>
          </w:tcPr>
          <w:p>
            <w:pPr>
              <w:ind w:left="700"/>
              <w:spacing w:after="0"/>
              <w:rPr>
                <w:sz w:val="20"/>
                <w:szCs w:val="20"/>
                <w:color w:val="auto"/>
              </w:rPr>
            </w:pPr>
            <w:r>
              <w:rPr>
                <w:rFonts w:ascii="Arial" w:cs="Arial" w:eastAsia="Arial" w:hAnsi="Arial"/>
                <w:sz w:val="14"/>
                <w:szCs w:val="14"/>
                <w:b w:val="1"/>
                <w:bCs w:val="1"/>
                <w:color w:val="auto"/>
              </w:rPr>
              <w:t>Digital</w:t>
            </w:r>
          </w:p>
        </w:tc>
        <w:tc>
          <w:tcPr>
            <w:tcW w:w="260" w:type="dxa"/>
            <w:vAlign w:val="bottom"/>
          </w:tcPr>
          <w:p>
            <w:pPr>
              <w:spacing w:after="0"/>
              <w:rPr>
                <w:sz w:val="17"/>
                <w:szCs w:val="17"/>
                <w:color w:val="auto"/>
              </w:rPr>
            </w:pP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Strategy</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1029335</wp:posOffset>
            </wp:positionH>
            <wp:positionV relativeFrom="paragraph">
              <wp:posOffset>-264160</wp:posOffset>
            </wp:positionV>
            <wp:extent cx="214630" cy="2146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-264160</wp:posOffset>
            </wp:positionV>
            <wp:extent cx="214630" cy="2146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-264160</wp:posOffset>
            </wp:positionV>
            <wp:extent cx="214630" cy="2146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-264160</wp:posOffset>
            </wp:positionV>
            <wp:extent cx="214630" cy="2146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ectPr>
          <w:pgSz w:w="11900" w:h="16838" w:orient="portrait"/>
          <w:cols w:equalWidth="0" w:num="1">
            <w:col w:w="10119"/>
          </w:cols>
          <w:pgMar w:left="340" w:top="917" w:right="1440"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154940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917" w:right="1440" w:bottom="1440"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551815</wp:posOffset>
            </wp:positionV>
            <wp:extent cx="1311275" cy="13112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131127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00"/>
        <w:spacing w:after="0" w:line="247" w:lineRule="auto"/>
        <w:rPr>
          <w:sz w:val="20"/>
          <w:szCs w:val="20"/>
          <w:color w:val="auto"/>
        </w:rPr>
      </w:pPr>
      <w:r>
        <w:rPr>
          <w:rFonts w:ascii="Arial" w:cs="Arial" w:eastAsia="Arial" w:hAnsi="Arial"/>
          <w:sz w:val="22"/>
          <w:szCs w:val="22"/>
          <w:b w:val="1"/>
          <w:bCs w:val="1"/>
          <w:color w:val="EF3729"/>
        </w:rPr>
        <w:t>Marschall S. Runge,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14312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68</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2013</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Ethics and Compliance</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Science and Technology</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Boards: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None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Prior Public Boards: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None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925830" cy="3086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2583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FFFFFF"/>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-135890</wp:posOffset>
            </wp:positionV>
            <wp:extent cx="4260215" cy="28460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260215" cy="2846070"/>
                    </a:xfrm>
                    <a:prstGeom prst="rect">
                      <a:avLst/>
                    </a:prstGeom>
                    <a:noFill/>
                  </pic:spPr>
                </pic:pic>
              </a:graphicData>
            </a:graphic>
          </wp:anchor>
        </w:drawing>
      </w:r>
    </w:p>
    <w:p>
      <w:pPr>
        <w:spacing w:after="0" w:line="36" w:lineRule="exact"/>
        <w:rPr>
          <w:sz w:val="20"/>
          <w:szCs w:val="20"/>
          <w:color w:val="auto"/>
        </w:rPr>
      </w:pPr>
    </w:p>
    <w:p>
      <w:pPr>
        <w:ind w:right="1119"/>
        <w:spacing w:after="0" w:line="264" w:lineRule="auto"/>
        <w:rPr>
          <w:sz w:val="20"/>
          <w:szCs w:val="20"/>
          <w:color w:val="auto"/>
        </w:rPr>
      </w:pPr>
      <w:r>
        <w:rPr>
          <w:rFonts w:ascii="Arial" w:cs="Arial" w:eastAsia="Arial" w:hAnsi="Arial"/>
          <w:sz w:val="16"/>
          <w:szCs w:val="16"/>
          <w:i w:val="1"/>
          <w:iCs w:val="1"/>
          <w:color w:val="auto"/>
        </w:rPr>
        <w:t>Dr. Runge’s extensive experience as a physician and scientist contributes a unique depth of understanding to the board’s risk oversight and advice on scientific matters involving Lilly’s discovery and development programs, including a strong understanding of healthcare facility systems, biomedical research and training, innovation, clinical trial design and patient safety.</w:t>
      </w:r>
    </w:p>
    <w:p>
      <w:pPr>
        <w:spacing w:after="0" w:line="12" w:lineRule="exact"/>
        <w:rPr>
          <w:sz w:val="20"/>
          <w:szCs w:val="20"/>
          <w:color w:val="auto"/>
        </w:rPr>
      </w:pPr>
    </w:p>
    <w:p>
      <w:pPr>
        <w:ind w:left="640" w:right="1079" w:hanging="326"/>
        <w:spacing w:after="0" w:line="261" w:lineRule="auto"/>
        <w:tabs>
          <w:tab w:leader="none" w:pos="629" w:val="left"/>
        </w:tabs>
        <w:numPr>
          <w:ilvl w:val="0"/>
          <w:numId w:val="29"/>
        </w:numPr>
        <w:rPr>
          <w:rFonts w:ascii="Arial" w:cs="Arial" w:eastAsia="Arial" w:hAnsi="Arial"/>
          <w:sz w:val="16"/>
          <w:szCs w:val="16"/>
          <w:color w:val="auto"/>
        </w:rPr>
      </w:pPr>
      <w:r>
        <w:rPr>
          <w:rFonts w:ascii="Arial" w:cs="Arial" w:eastAsia="Arial" w:hAnsi="Arial"/>
          <w:sz w:val="16"/>
          <w:szCs w:val="16"/>
          <w:color w:val="auto"/>
        </w:rPr>
        <w:t>As CEO of one of the largest hospitals in Michigan that is committed to high-quality care to under-resourced communities and is also a premier academic medical center, Dr. Runge brings to the board first-hand knowledge of healthcare services delivery, including hospital procurement and in-patient experiences with pharmaceuticals. Dr. Runge is committed to providing high-quality, low-cost healthcare for the underserved populations – locally and across the state.</w:t>
      </w:r>
    </w:p>
    <w:p>
      <w:pPr>
        <w:spacing w:after="0" w:line="14" w:lineRule="exact"/>
        <w:rPr>
          <w:rFonts w:ascii="Arial" w:cs="Arial" w:eastAsia="Arial" w:hAnsi="Arial"/>
          <w:sz w:val="16"/>
          <w:szCs w:val="16"/>
          <w:color w:val="auto"/>
        </w:rPr>
      </w:pPr>
    </w:p>
    <w:p>
      <w:pPr>
        <w:ind w:left="640" w:right="1139" w:hanging="326"/>
        <w:spacing w:after="0" w:line="275" w:lineRule="auto"/>
        <w:tabs>
          <w:tab w:leader="none" w:pos="629" w:val="left"/>
        </w:tabs>
        <w:numPr>
          <w:ilvl w:val="0"/>
          <w:numId w:val="29"/>
        </w:numPr>
        <w:rPr>
          <w:rFonts w:ascii="Arial" w:cs="Arial" w:eastAsia="Arial" w:hAnsi="Arial"/>
          <w:sz w:val="16"/>
          <w:szCs w:val="16"/>
          <w:color w:val="auto"/>
        </w:rPr>
      </w:pPr>
      <w:r>
        <w:rPr>
          <w:rFonts w:ascii="Arial" w:cs="Arial" w:eastAsia="Arial" w:hAnsi="Arial"/>
          <w:sz w:val="16"/>
          <w:szCs w:val="16"/>
          <w:color w:val="auto"/>
        </w:rPr>
        <w:t>With over three decades of academic experience across the United States, Dr. Runge provides a distinctive perspective on how future healthcare professionals are trained.</w:t>
      </w:r>
    </w:p>
    <w:p>
      <w:pPr>
        <w:spacing w:after="0" w:line="2" w:lineRule="exact"/>
        <w:rPr>
          <w:rFonts w:ascii="Arial" w:cs="Arial" w:eastAsia="Arial" w:hAnsi="Arial"/>
          <w:sz w:val="16"/>
          <w:szCs w:val="16"/>
          <w:color w:val="auto"/>
        </w:rPr>
      </w:pPr>
    </w:p>
    <w:p>
      <w:pPr>
        <w:ind w:left="640" w:right="1239" w:hanging="326"/>
        <w:spacing w:after="0" w:line="271" w:lineRule="auto"/>
        <w:tabs>
          <w:tab w:leader="none" w:pos="629" w:val="left"/>
        </w:tabs>
        <w:numPr>
          <w:ilvl w:val="0"/>
          <w:numId w:val="29"/>
        </w:numPr>
        <w:rPr>
          <w:rFonts w:ascii="Arial" w:cs="Arial" w:eastAsia="Arial" w:hAnsi="Arial"/>
          <w:sz w:val="16"/>
          <w:szCs w:val="16"/>
          <w:color w:val="auto"/>
        </w:rPr>
      </w:pPr>
      <w:r>
        <w:rPr>
          <w:rFonts w:ascii="Arial" w:cs="Arial" w:eastAsia="Arial" w:hAnsi="Arial"/>
          <w:sz w:val="16"/>
          <w:szCs w:val="16"/>
          <w:color w:val="auto"/>
        </w:rPr>
        <w:t>Dr. Runge’s service as a principal investigator and director of an institution that was part of a national consortium to improve the way biomedical research is conducted across the country, as well as his own research efforts, provide valuable insights into the medical research process.</w:t>
      </w:r>
    </w:p>
    <w:p>
      <w:pPr>
        <w:spacing w:after="0" w:line="5" w:lineRule="exact"/>
        <w:rPr>
          <w:rFonts w:ascii="Arial" w:cs="Arial" w:eastAsia="Arial" w:hAnsi="Arial"/>
          <w:sz w:val="16"/>
          <w:szCs w:val="16"/>
          <w:color w:val="auto"/>
        </w:rPr>
      </w:pPr>
    </w:p>
    <w:p>
      <w:pPr>
        <w:ind w:left="640" w:right="1119" w:hanging="326"/>
        <w:spacing w:after="0" w:line="286" w:lineRule="auto"/>
        <w:tabs>
          <w:tab w:leader="none" w:pos="629" w:val="left"/>
        </w:tabs>
        <w:numPr>
          <w:ilvl w:val="0"/>
          <w:numId w:val="29"/>
        </w:numPr>
        <w:rPr>
          <w:rFonts w:ascii="Arial" w:cs="Arial" w:eastAsia="Arial" w:hAnsi="Arial"/>
          <w:sz w:val="16"/>
          <w:szCs w:val="16"/>
          <w:color w:val="auto"/>
        </w:rPr>
      </w:pPr>
      <w:r>
        <w:rPr>
          <w:rFonts w:ascii="Arial" w:cs="Arial" w:eastAsia="Arial" w:hAnsi="Arial"/>
          <w:sz w:val="16"/>
          <w:szCs w:val="16"/>
          <w:color w:val="auto"/>
        </w:rPr>
        <w:t>Dr. Runge’s practical experience obtained at some of nation’s renowned medical institutions offers a valuable perspective on diabetes and obesity treatment.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CAREER HIGHLIGHTS</w:t>
      </w:r>
    </w:p>
    <w:p>
      <w:pPr>
        <w:spacing w:after="0" w:line="77" w:lineRule="exact"/>
        <w:rPr>
          <w:sz w:val="20"/>
          <w:szCs w:val="20"/>
          <w:color w:val="auto"/>
        </w:rPr>
      </w:pPr>
    </w:p>
    <w:p>
      <w:pPr>
        <w:ind w:left="620" w:hanging="305"/>
        <w:spacing w:after="0"/>
        <w:tabs>
          <w:tab w:leader="none" w:pos="620" w:val="left"/>
        </w:tabs>
        <w:numPr>
          <w:ilvl w:val="0"/>
          <w:numId w:val="30"/>
        </w:numPr>
        <w:rPr>
          <w:rFonts w:ascii="Arial" w:cs="Arial" w:eastAsia="Arial" w:hAnsi="Arial"/>
          <w:sz w:val="16"/>
          <w:szCs w:val="16"/>
          <w:color w:val="auto"/>
        </w:rPr>
      </w:pPr>
      <w:r>
        <w:rPr>
          <w:rFonts w:ascii="Arial" w:cs="Arial" w:eastAsia="Arial" w:hAnsi="Arial"/>
          <w:sz w:val="18"/>
          <w:szCs w:val="18"/>
          <w:b w:val="1"/>
          <w:bCs w:val="1"/>
          <w:color w:val="auto"/>
        </w:rPr>
        <w:t>University of Michigan</w:t>
      </w:r>
    </w:p>
    <w:p>
      <w:pPr>
        <w:spacing w:after="0" w:line="6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CEO, Michigan Medicine (2015 - present)</w:t>
      </w:r>
    </w:p>
    <w:p>
      <w:pPr>
        <w:spacing w:after="0" w:line="32"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Executive Vice President for Medical Affairs (2015 - present)</w:t>
      </w:r>
    </w:p>
    <w:p>
      <w:pPr>
        <w:spacing w:after="0" w:line="45"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Dean, Medical School (2015 - present)</w:t>
      </w:r>
    </w:p>
    <w:p>
      <w:pPr>
        <w:spacing w:after="0" w:line="67" w:lineRule="exact"/>
        <w:rPr>
          <w:rFonts w:ascii="Arial" w:cs="Arial" w:eastAsia="Arial" w:hAnsi="Arial"/>
          <w:sz w:val="16"/>
          <w:szCs w:val="16"/>
          <w:color w:val="auto"/>
        </w:rPr>
      </w:pPr>
    </w:p>
    <w:p>
      <w:pPr>
        <w:ind w:left="620" w:hanging="305"/>
        <w:spacing w:after="0"/>
        <w:tabs>
          <w:tab w:leader="none" w:pos="620" w:val="left"/>
        </w:tabs>
        <w:numPr>
          <w:ilvl w:val="0"/>
          <w:numId w:val="30"/>
        </w:numPr>
        <w:rPr>
          <w:rFonts w:ascii="Arial" w:cs="Arial" w:eastAsia="Arial" w:hAnsi="Arial"/>
          <w:sz w:val="16"/>
          <w:szCs w:val="16"/>
          <w:color w:val="auto"/>
        </w:rPr>
      </w:pPr>
      <w:r>
        <w:rPr>
          <w:rFonts w:ascii="Arial" w:cs="Arial" w:eastAsia="Arial" w:hAnsi="Arial"/>
          <w:sz w:val="18"/>
          <w:szCs w:val="18"/>
          <w:b w:val="1"/>
          <w:bCs w:val="1"/>
          <w:color w:val="auto"/>
        </w:rPr>
        <w:t>University of North Carolina School of Medicine</w:t>
      </w:r>
    </w:p>
    <w:p>
      <w:pPr>
        <w:spacing w:after="0" w:line="54"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Executive Dean (2010 - 2015)</w:t>
      </w:r>
    </w:p>
    <w:p>
      <w:pPr>
        <w:spacing w:after="0" w:line="45"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Chair of the Department of Medicine (2000 - 2015)</w:t>
      </w:r>
    </w:p>
    <w:p>
      <w:pPr>
        <w:spacing w:after="0" w:line="21" w:lineRule="exact"/>
        <w:rPr>
          <w:rFonts w:ascii="Arial" w:cs="Arial" w:eastAsia="Arial" w:hAnsi="Arial"/>
          <w:sz w:val="16"/>
          <w:szCs w:val="16"/>
          <w:color w:val="auto"/>
        </w:rPr>
      </w:pPr>
    </w:p>
    <w:p>
      <w:pPr>
        <w:ind w:left="960" w:right="1279" w:hanging="324"/>
        <w:spacing w:after="0" w:line="235" w:lineRule="auto"/>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Principal Investigator and Director of the North Carolina Translational and</w:t>
      </w:r>
      <w:r>
        <w:rPr>
          <w:rFonts w:ascii="Arial" w:cs="Arial" w:eastAsia="Arial" w:hAnsi="Arial"/>
          <w:sz w:val="14"/>
          <w:szCs w:val="14"/>
          <w:color w:val="auto"/>
        </w:rPr>
        <w:t xml:space="preserve"> </w:t>
      </w:r>
      <w:r>
        <w:rPr>
          <w:rFonts w:ascii="Arial" w:cs="Arial" w:eastAsia="Arial" w:hAnsi="Arial"/>
          <w:sz w:val="16"/>
          <w:szCs w:val="16"/>
          <w:color w:val="auto"/>
        </w:rPr>
        <w:t>Clinical Sciences Institute (2010 - 2015)</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OTHER HIGHLIGHTS</w:t>
      </w:r>
    </w:p>
    <w:p>
      <w:pPr>
        <w:spacing w:after="0" w:line="122" w:lineRule="exact"/>
        <w:rPr>
          <w:sz w:val="20"/>
          <w:szCs w:val="20"/>
          <w:color w:val="auto"/>
        </w:rPr>
      </w:pPr>
    </w:p>
    <w:p>
      <w:pPr>
        <w:ind w:left="620" w:hanging="305"/>
        <w:spacing w:after="0"/>
        <w:tabs>
          <w:tab w:leader="none" w:pos="6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Vice Chair, the University of Michigan Health Board</w:t>
      </w:r>
    </w:p>
    <w:p>
      <w:pPr>
        <w:spacing w:after="0" w:line="59" w:lineRule="exact"/>
        <w:rPr>
          <w:rFonts w:ascii="Arial" w:cs="Arial" w:eastAsia="Arial" w:hAnsi="Arial"/>
          <w:sz w:val="16"/>
          <w:szCs w:val="16"/>
          <w:color w:val="auto"/>
        </w:rPr>
      </w:pPr>
    </w:p>
    <w:p>
      <w:pPr>
        <w:ind w:left="640" w:right="1599" w:hanging="325"/>
        <w:spacing w:after="0" w:line="290" w:lineRule="auto"/>
        <w:tabs>
          <w:tab w:leader="none" w:pos="629" w:val="left"/>
        </w:tabs>
        <w:numPr>
          <w:ilvl w:val="0"/>
          <w:numId w:val="31"/>
        </w:numPr>
        <w:rPr>
          <w:rFonts w:ascii="Arial" w:cs="Arial" w:eastAsia="Arial" w:hAnsi="Arial"/>
          <w:sz w:val="16"/>
          <w:szCs w:val="16"/>
          <w:color w:val="auto"/>
        </w:rPr>
      </w:pPr>
      <w:r>
        <w:rPr>
          <w:rFonts w:ascii="Arial" w:cs="Arial" w:eastAsia="Arial" w:hAnsi="Arial"/>
          <w:sz w:val="16"/>
          <w:szCs w:val="16"/>
          <w:color w:val="auto"/>
        </w:rPr>
        <w:t>Chair, the Michigan Health Corp. Board (the governing board for business partnerships)</w:t>
      </w:r>
    </w:p>
    <w:p>
      <w:pPr>
        <w:ind w:left="640" w:right="1639" w:hanging="325"/>
        <w:spacing w:after="0" w:line="290" w:lineRule="auto"/>
        <w:tabs>
          <w:tab w:leader="none" w:pos="629" w:val="left"/>
        </w:tabs>
        <w:numPr>
          <w:ilvl w:val="0"/>
          <w:numId w:val="31"/>
        </w:numPr>
        <w:rPr>
          <w:rFonts w:ascii="Arial" w:cs="Arial" w:eastAsia="Arial" w:hAnsi="Arial"/>
          <w:sz w:val="16"/>
          <w:szCs w:val="16"/>
          <w:color w:val="auto"/>
        </w:rPr>
      </w:pPr>
      <w:r>
        <w:rPr>
          <w:rFonts w:ascii="Arial" w:cs="Arial" w:eastAsia="Arial" w:hAnsi="Arial"/>
          <w:sz w:val="16"/>
          <w:szCs w:val="16"/>
          <w:color w:val="auto"/>
        </w:rPr>
        <w:t>Member, American Association of Medical Colleges, American College of Cardiology, and American Medical Association</w:t>
      </w:r>
    </w:p>
    <w:p>
      <w:pPr>
        <w:ind w:left="640" w:right="1399" w:hanging="325"/>
        <w:spacing w:after="0" w:line="286" w:lineRule="auto"/>
        <w:tabs>
          <w:tab w:leader="none" w:pos="629" w:val="left"/>
        </w:tabs>
        <w:numPr>
          <w:ilvl w:val="0"/>
          <w:numId w:val="31"/>
        </w:numPr>
        <w:rPr>
          <w:rFonts w:ascii="Arial" w:cs="Arial" w:eastAsia="Arial" w:hAnsi="Arial"/>
          <w:sz w:val="16"/>
          <w:szCs w:val="16"/>
          <w:color w:val="auto"/>
        </w:rPr>
      </w:pPr>
      <w:r>
        <w:rPr>
          <w:rFonts w:ascii="Arial" w:cs="Arial" w:eastAsia="Arial" w:hAnsi="Arial"/>
          <w:sz w:val="16"/>
          <w:szCs w:val="16"/>
          <w:color w:val="auto"/>
        </w:rPr>
        <w:t>Cardiology Fellow and Faculty Member at Harvard’s Massachusetts General Hospital</w:t>
      </w:r>
    </w:p>
    <w:p>
      <w:pPr>
        <w:spacing w:after="0" w:line="7" w:lineRule="exact"/>
        <w:rPr>
          <w:rFonts w:ascii="Arial" w:cs="Arial" w:eastAsia="Arial" w:hAnsi="Arial"/>
          <w:sz w:val="16"/>
          <w:szCs w:val="16"/>
          <w:color w:val="auto"/>
        </w:rPr>
      </w:pPr>
    </w:p>
    <w:p>
      <w:pPr>
        <w:ind w:left="620" w:hanging="305"/>
        <w:spacing w:after="0"/>
        <w:tabs>
          <w:tab w:leader="none" w:pos="6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Associate Professor of Medicine at Emory University</w:t>
      </w:r>
    </w:p>
    <w:p>
      <w:pPr>
        <w:spacing w:after="0" w:line="59" w:lineRule="exact"/>
        <w:rPr>
          <w:rFonts w:ascii="Arial" w:cs="Arial" w:eastAsia="Arial" w:hAnsi="Arial"/>
          <w:sz w:val="16"/>
          <w:szCs w:val="16"/>
          <w:color w:val="auto"/>
        </w:rPr>
      </w:pPr>
    </w:p>
    <w:p>
      <w:pPr>
        <w:ind w:left="620" w:hanging="305"/>
        <w:spacing w:after="0"/>
        <w:tabs>
          <w:tab w:leader="none" w:pos="6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John Sealy Distinguished Centennial Chair in Internal Medicine and Director of</w:t>
      </w:r>
    </w:p>
    <w:p>
      <w:pPr>
        <w:spacing w:after="0" w:line="31" w:lineRule="exact"/>
        <w:rPr>
          <w:sz w:val="20"/>
          <w:szCs w:val="20"/>
          <w:color w:val="auto"/>
        </w:rPr>
      </w:pPr>
    </w:p>
    <w:p>
      <w:pPr>
        <w:sectPr>
          <w:pgSz w:w="11900" w:h="16838" w:orient="portrait"/>
          <w:cols w:equalWidth="0" w:num="2">
            <w:col w:w="2160" w:space="460"/>
            <w:col w:w="7499"/>
          </w:cols>
          <w:pgMar w:left="340" w:top="823" w:right="1440" w:bottom="1440" w:gutter="0" w:footer="0" w:header="0"/>
        </w:sectPr>
      </w:pPr>
    </w:p>
    <w:p>
      <w:pPr>
        <w:ind w:left="3260" w:right="1199"/>
        <w:spacing w:after="0" w:line="270" w:lineRule="auto"/>
        <w:rPr>
          <w:sz w:val="20"/>
          <w:szCs w:val="20"/>
          <w:color w:val="auto"/>
        </w:rPr>
      </w:pPr>
      <w:r>
        <w:rPr>
          <w:rFonts w:ascii="Arial" w:cs="Arial" w:eastAsia="Arial" w:hAnsi="Arial"/>
          <w:sz w:val="16"/>
          <w:szCs w:val="16"/>
          <w:color w:val="auto"/>
        </w:rPr>
        <w:t>the Division of Cardiology and the Sealy Center for Molecular Cardiology at the University of Texas Medical Branch at Galveston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1187450</wp:posOffset>
            </wp:positionV>
            <wp:extent cx="214630" cy="2146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1586865</wp:posOffset>
            </wp:positionH>
            <wp:positionV relativeFrom="paragraph">
              <wp:posOffset>1187450</wp:posOffset>
            </wp:positionV>
            <wp:extent cx="213995" cy="2146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3995" cy="214630"/>
                    </a:xfrm>
                    <a:prstGeom prst="rect">
                      <a:avLst/>
                    </a:prstGeom>
                    <a:noFill/>
                  </pic:spPr>
                </pic:pic>
              </a:graphicData>
            </a:graphic>
          </wp:anchor>
        </w:drawing>
        <w:drawing>
          <wp:anchor simplePos="0" relativeHeight="251657728" behindDoc="1" locked="0" layoutInCell="0" allowOverlap="1">
            <wp:simplePos x="0" y="0"/>
            <wp:positionH relativeFrom="column">
              <wp:posOffset>2469515</wp:posOffset>
            </wp:positionH>
            <wp:positionV relativeFrom="paragraph">
              <wp:posOffset>1187450</wp:posOffset>
            </wp:positionV>
            <wp:extent cx="214630" cy="2146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3395345</wp:posOffset>
            </wp:positionH>
            <wp:positionV relativeFrom="paragraph">
              <wp:posOffset>1187450</wp:posOffset>
            </wp:positionV>
            <wp:extent cx="214630" cy="2146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4261485</wp:posOffset>
            </wp:positionH>
            <wp:positionV relativeFrom="paragraph">
              <wp:posOffset>1187450</wp:posOffset>
            </wp:positionV>
            <wp:extent cx="214630" cy="2146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1600" w:type="dxa"/>
        <w:tblCellMar>
          <w:top w:w="0" w:type="dxa"/>
          <w:left w:w="0" w:type="dxa"/>
          <w:bottom w:w="0" w:type="dxa"/>
          <w:right w:w="0" w:type="dxa"/>
        </w:tblCellMar>
      </w:tblPr>
      <w:tr>
        <w:trPr>
          <w:trHeight w:val="175"/>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w w:val="98"/>
              </w:rPr>
              <w:t>CEO</w:t>
            </w:r>
          </w:p>
        </w:tc>
        <w:tc>
          <w:tcPr>
            <w:tcW w:w="80" w:type="dxa"/>
            <w:vAlign w:val="bottom"/>
          </w:tcPr>
          <w:p>
            <w:pPr>
              <w:spacing w:after="0"/>
              <w:rPr>
                <w:sz w:val="15"/>
                <w:szCs w:val="15"/>
                <w:color w:val="auto"/>
              </w:rPr>
            </w:pPr>
          </w:p>
        </w:tc>
        <w:tc>
          <w:tcPr>
            <w:tcW w:w="1300" w:type="dxa"/>
            <w:vAlign w:val="bottom"/>
          </w:tcPr>
          <w:p>
            <w:pPr>
              <w:jc w:val="center"/>
              <w:ind w:right="528"/>
              <w:spacing w:after="0"/>
              <w:rPr>
                <w:sz w:val="20"/>
                <w:szCs w:val="20"/>
                <w:color w:val="auto"/>
              </w:rPr>
            </w:pPr>
            <w:r>
              <w:rPr>
                <w:rFonts w:ascii="Arial" w:cs="Arial" w:eastAsia="Arial" w:hAnsi="Arial"/>
                <w:sz w:val="14"/>
                <w:szCs w:val="14"/>
                <w:b w:val="1"/>
                <w:bCs w:val="1"/>
                <w:color w:val="auto"/>
              </w:rPr>
              <w:t>Finance /</w:t>
            </w:r>
          </w:p>
        </w:tc>
        <w:tc>
          <w:tcPr>
            <w:tcW w:w="1320" w:type="dxa"/>
            <w:vAlign w:val="bottom"/>
          </w:tcPr>
          <w:p>
            <w:pPr>
              <w:jc w:val="center"/>
              <w:ind w:right="308"/>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rPr>
              <w:t>Healthcare</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Science /</w:t>
            </w:r>
          </w:p>
        </w:tc>
        <w:tc>
          <w:tcPr>
            <w:tcW w:w="0" w:type="dxa"/>
            <w:vAlign w:val="bottom"/>
          </w:tcPr>
          <w:p>
            <w:pPr>
              <w:spacing w:after="0"/>
              <w:rPr>
                <w:sz w:val="1"/>
                <w:szCs w:val="1"/>
                <w:color w:val="auto"/>
              </w:rPr>
            </w:pPr>
          </w:p>
        </w:tc>
      </w:tr>
      <w:tr>
        <w:trPr>
          <w:trHeight w:val="196"/>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rPr>
              <w:t>Leadership</w:t>
            </w:r>
          </w:p>
        </w:tc>
        <w:tc>
          <w:tcPr>
            <w:tcW w:w="1380" w:type="dxa"/>
            <w:vAlign w:val="bottom"/>
            <w:gridSpan w:val="2"/>
          </w:tcPr>
          <w:p>
            <w:pPr>
              <w:jc w:val="center"/>
              <w:ind w:right="468"/>
              <w:spacing w:after="0"/>
              <w:rPr>
                <w:sz w:val="20"/>
                <w:szCs w:val="20"/>
                <w:color w:val="auto"/>
              </w:rPr>
            </w:pPr>
            <w:r>
              <w:rPr>
                <w:rFonts w:ascii="Arial" w:cs="Arial" w:eastAsia="Arial" w:hAnsi="Arial"/>
                <w:sz w:val="14"/>
                <w:szCs w:val="14"/>
                <w:b w:val="1"/>
                <w:bCs w:val="1"/>
                <w:color w:val="auto"/>
              </w:rPr>
              <w:t>Accounting</w:t>
            </w:r>
          </w:p>
        </w:tc>
        <w:tc>
          <w:tcPr>
            <w:tcW w:w="1320" w:type="dxa"/>
            <w:vAlign w:val="bottom"/>
          </w:tcPr>
          <w:p>
            <w:pPr>
              <w:jc w:val="center"/>
              <w:ind w:right="328"/>
              <w:spacing w:after="0"/>
              <w:rPr>
                <w:sz w:val="20"/>
                <w:szCs w:val="20"/>
                <w:color w:val="auto"/>
              </w:rPr>
            </w:pPr>
            <w:r>
              <w:rPr>
                <w:rFonts w:ascii="Arial" w:cs="Arial" w:eastAsia="Arial" w:hAnsi="Arial"/>
                <w:sz w:val="14"/>
                <w:szCs w:val="14"/>
                <w:b w:val="1"/>
                <w:bCs w:val="1"/>
                <w:color w:val="auto"/>
              </w:rPr>
              <w:t>Business</w:t>
            </w:r>
          </w:p>
        </w:tc>
        <w:tc>
          <w:tcPr>
            <w:tcW w:w="260" w:type="dxa"/>
            <w:vAlign w:val="bottom"/>
          </w:tcPr>
          <w:p>
            <w:pPr>
              <w:spacing w:after="0"/>
              <w:rPr>
                <w:sz w:val="17"/>
                <w:szCs w:val="17"/>
                <w:color w:val="auto"/>
              </w:rPr>
            </w:pPr>
          </w:p>
        </w:tc>
        <w:tc>
          <w:tcPr>
            <w:tcW w:w="1220" w:type="dxa"/>
            <w:vAlign w:val="bottom"/>
          </w:tcPr>
          <w:p>
            <w:pPr>
              <w:jc w:val="center"/>
              <w:ind w:right="568"/>
              <w:spacing w:after="0"/>
              <w:rPr>
                <w:sz w:val="20"/>
                <w:szCs w:val="20"/>
                <w:color w:val="auto"/>
              </w:rPr>
            </w:pPr>
            <w:r>
              <w:rPr>
                <w:rFonts w:ascii="Arial" w:cs="Arial" w:eastAsia="Arial" w:hAnsi="Arial"/>
                <w:sz w:val="14"/>
                <w:szCs w:val="14"/>
                <w:b w:val="1"/>
                <w:bCs w:val="1"/>
                <w:color w:val="auto"/>
              </w:rPr>
              <w:t>Industry</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w w:val="99"/>
              </w:rPr>
              <w:t>Academia</w:t>
            </w:r>
          </w:p>
        </w:tc>
        <w:tc>
          <w:tcPr>
            <w:tcW w:w="0" w:type="dxa"/>
            <w:vAlign w:val="bottom"/>
          </w:tcPr>
          <w:p>
            <w:pPr>
              <w:spacing w:after="0"/>
              <w:rPr>
                <w:sz w:val="1"/>
                <w:szCs w:val="1"/>
                <w:color w:val="auto"/>
              </w:rPr>
            </w:pPr>
          </w:p>
        </w:tc>
      </w:tr>
      <w:tr>
        <w:trPr>
          <w:trHeight w:val="438"/>
        </w:trPr>
        <w:tc>
          <w:tcPr>
            <w:tcW w:w="1340" w:type="dxa"/>
            <w:vAlign w:val="bottom"/>
          </w:tcPr>
          <w:p>
            <w:pPr>
              <w:ind w:left="480"/>
              <w:spacing w:after="0"/>
              <w:rPr>
                <w:sz w:val="20"/>
                <w:szCs w:val="20"/>
                <w:color w:val="auto"/>
              </w:rPr>
            </w:pPr>
            <w:r>
              <w:rPr>
                <w:rFonts w:ascii="Arial" w:cs="Arial" w:eastAsia="Arial" w:hAnsi="Arial"/>
                <w:sz w:val="14"/>
                <w:szCs w:val="14"/>
                <w:b w:val="1"/>
                <w:bCs w:val="1"/>
                <w:color w:val="auto"/>
              </w:rPr>
              <w:t>Government</w:t>
            </w:r>
          </w:p>
        </w:tc>
        <w:tc>
          <w:tcPr>
            <w:tcW w:w="80" w:type="dxa"/>
            <w:vAlign w:val="bottom"/>
          </w:tcPr>
          <w:p>
            <w:pPr>
              <w:spacing w:after="0"/>
              <w:rPr>
                <w:sz w:val="24"/>
                <w:szCs w:val="24"/>
                <w:color w:val="auto"/>
              </w:rPr>
            </w:pPr>
          </w:p>
        </w:tc>
        <w:tc>
          <w:tcPr>
            <w:tcW w:w="13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Sales /</w:t>
            </w:r>
          </w:p>
        </w:tc>
        <w:tc>
          <w:tcPr>
            <w:tcW w:w="15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w w:val="99"/>
              </w:rPr>
              <w:t>Technology /</w:t>
            </w:r>
          </w:p>
        </w:tc>
        <w:tc>
          <w:tcPr>
            <w:tcW w:w="192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Operations /</w:t>
            </w:r>
          </w:p>
        </w:tc>
        <w:tc>
          <w:tcPr>
            <w:tcW w:w="0" w:type="dxa"/>
            <w:vAlign w:val="bottom"/>
          </w:tcPr>
          <w:p>
            <w:pPr>
              <w:spacing w:after="0"/>
              <w:rPr>
                <w:sz w:val="1"/>
                <w:szCs w:val="1"/>
                <w:color w:val="auto"/>
              </w:rPr>
            </w:pPr>
          </w:p>
        </w:tc>
      </w:tr>
      <w:tr>
        <w:trPr>
          <w:trHeight w:val="144"/>
        </w:trPr>
        <w:tc>
          <w:tcPr>
            <w:tcW w:w="1340" w:type="dxa"/>
            <w:vAlign w:val="bottom"/>
          </w:tcPr>
          <w:p>
            <w:pPr>
              <w:ind w:left="480"/>
              <w:spacing w:after="0" w:line="145" w:lineRule="exact"/>
              <w:rPr>
                <w:sz w:val="20"/>
                <w:szCs w:val="20"/>
                <w:color w:val="auto"/>
              </w:rPr>
            </w:pPr>
            <w:r>
              <w:rPr>
                <w:rFonts w:ascii="Arial" w:cs="Arial" w:eastAsia="Arial" w:hAnsi="Arial"/>
                <w:sz w:val="14"/>
                <w:szCs w:val="14"/>
                <w:b w:val="1"/>
                <w:bCs w:val="1"/>
                <w:color w:val="auto"/>
              </w:rPr>
              <w:t>Relations /</w:t>
            </w:r>
          </w:p>
        </w:tc>
        <w:tc>
          <w:tcPr>
            <w:tcW w:w="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420" w:type="dxa"/>
            <w:vAlign w:val="bottom"/>
            <w:gridSpan w:val="2"/>
          </w:tcPr>
          <w:p>
            <w:pPr>
              <w:ind w:left="480"/>
              <w:spacing w:after="0"/>
              <w:rPr>
                <w:sz w:val="20"/>
                <w:szCs w:val="20"/>
                <w:color w:val="auto"/>
              </w:rPr>
            </w:pPr>
            <w:r>
              <w:rPr>
                <w:rFonts w:ascii="Arial" w:cs="Arial" w:eastAsia="Arial" w:hAnsi="Arial"/>
                <w:sz w:val="14"/>
                <w:szCs w:val="14"/>
                <w:b w:val="1"/>
                <w:bCs w:val="1"/>
                <w:color w:val="auto"/>
              </w:rPr>
              <w:t>Public Policy</w:t>
            </w:r>
          </w:p>
        </w:tc>
        <w:tc>
          <w:tcPr>
            <w:tcW w:w="1300" w:type="dxa"/>
            <w:vAlign w:val="bottom"/>
          </w:tcPr>
          <w:p>
            <w:pPr>
              <w:ind w:left="600"/>
              <w:spacing w:after="0"/>
              <w:rPr>
                <w:sz w:val="20"/>
                <w:szCs w:val="20"/>
                <w:color w:val="auto"/>
              </w:rPr>
            </w:pPr>
            <w:r>
              <w:rPr>
                <w:rFonts w:ascii="Arial" w:cs="Arial" w:eastAsia="Arial" w:hAnsi="Arial"/>
                <w:sz w:val="14"/>
                <w:szCs w:val="14"/>
                <w:b w:val="1"/>
                <w:bCs w:val="1"/>
                <w:color w:val="auto"/>
              </w:rPr>
              <w:t>Marketing</w:t>
            </w:r>
          </w:p>
        </w:tc>
        <w:tc>
          <w:tcPr>
            <w:tcW w:w="1320" w:type="dxa"/>
            <w:vAlign w:val="bottom"/>
          </w:tcPr>
          <w:p>
            <w:pPr>
              <w:ind w:left="700"/>
              <w:spacing w:after="0"/>
              <w:rPr>
                <w:sz w:val="20"/>
                <w:szCs w:val="20"/>
                <w:color w:val="auto"/>
              </w:rPr>
            </w:pPr>
            <w:r>
              <w:rPr>
                <w:rFonts w:ascii="Arial" w:cs="Arial" w:eastAsia="Arial" w:hAnsi="Arial"/>
                <w:sz w:val="14"/>
                <w:szCs w:val="14"/>
                <w:b w:val="1"/>
                <w:bCs w:val="1"/>
                <w:color w:val="auto"/>
              </w:rPr>
              <w:t>Digital</w:t>
            </w:r>
          </w:p>
        </w:tc>
        <w:tc>
          <w:tcPr>
            <w:tcW w:w="260" w:type="dxa"/>
            <w:vAlign w:val="bottom"/>
          </w:tcPr>
          <w:p>
            <w:pPr>
              <w:spacing w:after="0"/>
              <w:rPr>
                <w:sz w:val="17"/>
                <w:szCs w:val="17"/>
                <w:color w:val="auto"/>
              </w:rPr>
            </w:pP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Strategy</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1029335</wp:posOffset>
            </wp:positionH>
            <wp:positionV relativeFrom="paragraph">
              <wp:posOffset>-264160</wp:posOffset>
            </wp:positionV>
            <wp:extent cx="214630" cy="2146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-264160</wp:posOffset>
            </wp:positionV>
            <wp:extent cx="214630" cy="2146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-264160</wp:posOffset>
            </wp:positionV>
            <wp:extent cx="214630" cy="2146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-264160</wp:posOffset>
            </wp:positionV>
            <wp:extent cx="214630" cy="2146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ectPr>
          <w:pgSz w:w="11900" w:h="16838" w:orient="portrait"/>
          <w:cols w:equalWidth="0" w:num="1">
            <w:col w:w="10119"/>
          </w:cols>
          <w:pgMar w:left="340" w:top="823" w:right="1440"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154940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823" w:right="1440" w:bottom="1440" w:gutter="0" w:footer="0" w:header="0"/>
          <w:type w:val="continuous"/>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620395</wp:posOffset>
            </wp:positionV>
            <wp:extent cx="1311275" cy="131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1311275"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b w:val="1"/>
          <w:bCs w:val="1"/>
          <w:color w:val="EF3729"/>
        </w:rPr>
        <w:t>Karen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14312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16"/>
          <w:szCs w:val="16"/>
          <w:color w:val="auto"/>
        </w:rPr>
        <w:t>: 61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w:t>
      </w:r>
      <w:r>
        <w:rPr>
          <w:rFonts w:ascii="Arial" w:cs="Arial" w:eastAsia="Arial" w:hAnsi="Arial"/>
          <w:sz w:val="16"/>
          <w:szCs w:val="16"/>
          <w:color w:val="auto"/>
        </w:rPr>
        <w:t>: 2018</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Audit</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Talent and Compensation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Boards: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Sprout Social, Inc.</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Prior Public Boards:</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None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1234440" cy="3086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34440" cy="308610"/>
                    </a:xfrm>
                    <a:prstGeom prst="rect">
                      <a:avLst/>
                    </a:prstGeom>
                    <a:noFill/>
                  </pic:spPr>
                </pic:pic>
              </a:graphicData>
            </a:graphic>
          </wp:anchor>
        </w:drawing>
        <w:drawing>
          <wp:anchor simplePos="0" relativeHeight="251657728" behindDoc="1" locked="0" layoutInCell="0" allowOverlap="1">
            <wp:simplePos x="0" y="0"/>
            <wp:positionH relativeFrom="column">
              <wp:posOffset>746760</wp:posOffset>
            </wp:positionH>
            <wp:positionV relativeFrom="paragraph">
              <wp:posOffset>4427220</wp:posOffset>
            </wp:positionV>
            <wp:extent cx="214630" cy="2146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FFFFFF"/>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-135890</wp:posOffset>
            </wp:positionV>
            <wp:extent cx="4260215" cy="2322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260215" cy="2322830"/>
                    </a:xfrm>
                    <a:prstGeom prst="rect">
                      <a:avLst/>
                    </a:prstGeom>
                    <a:noFill/>
                  </pic:spPr>
                </pic:pic>
              </a:graphicData>
            </a:graphic>
          </wp:anchor>
        </w:drawing>
      </w:r>
    </w:p>
    <w:p>
      <w:pPr>
        <w:spacing w:after="0" w:line="36" w:lineRule="exact"/>
        <w:rPr>
          <w:sz w:val="20"/>
          <w:szCs w:val="20"/>
          <w:color w:val="auto"/>
        </w:rPr>
      </w:pPr>
    </w:p>
    <w:p>
      <w:pPr>
        <w:ind w:right="1039"/>
        <w:spacing w:after="0" w:line="264" w:lineRule="auto"/>
        <w:rPr>
          <w:sz w:val="20"/>
          <w:szCs w:val="20"/>
          <w:color w:val="auto"/>
        </w:rPr>
      </w:pPr>
      <w:r>
        <w:rPr>
          <w:rFonts w:ascii="Arial" w:cs="Arial" w:eastAsia="Arial" w:hAnsi="Arial"/>
          <w:sz w:val="16"/>
          <w:szCs w:val="16"/>
          <w:i w:val="1"/>
          <w:iCs w:val="1"/>
          <w:color w:val="auto"/>
        </w:rPr>
        <w:t>Ms. Walker brings to the board extensive experience in building and strengthening brands, cultivating opportunities in new and existing markets, scaling organizations, and demonstrating accountability for results. She has an acute understanding of technology’s importance in organizational success.</w:t>
      </w:r>
    </w:p>
    <w:p>
      <w:pPr>
        <w:spacing w:after="0" w:line="25" w:lineRule="exact"/>
        <w:rPr>
          <w:sz w:val="20"/>
          <w:szCs w:val="20"/>
          <w:color w:val="auto"/>
        </w:rPr>
      </w:pPr>
    </w:p>
    <w:p>
      <w:pPr>
        <w:ind w:left="640" w:right="1359" w:hanging="326"/>
        <w:spacing w:after="0" w:line="266" w:lineRule="auto"/>
        <w:tabs>
          <w:tab w:leader="none" w:pos="629" w:val="left"/>
        </w:tabs>
        <w:numPr>
          <w:ilvl w:val="0"/>
          <w:numId w:val="33"/>
        </w:numPr>
        <w:rPr>
          <w:rFonts w:ascii="Arial" w:cs="Arial" w:eastAsia="Arial" w:hAnsi="Arial"/>
          <w:sz w:val="16"/>
          <w:szCs w:val="16"/>
          <w:color w:val="auto"/>
        </w:rPr>
      </w:pPr>
      <w:r>
        <w:rPr>
          <w:rFonts w:ascii="Arial" w:cs="Arial" w:eastAsia="Arial" w:hAnsi="Arial"/>
          <w:sz w:val="16"/>
          <w:szCs w:val="16"/>
          <w:color w:val="auto"/>
        </w:rPr>
        <w:t>Ms. Walker has spent more than three decades in the information technology industry, building strong technology acumen and strategic insight through business and consumer leadership positions.</w:t>
      </w:r>
    </w:p>
    <w:p>
      <w:pPr>
        <w:spacing w:after="0" w:line="22" w:lineRule="exact"/>
        <w:rPr>
          <w:rFonts w:ascii="Arial" w:cs="Arial" w:eastAsia="Arial" w:hAnsi="Arial"/>
          <w:sz w:val="16"/>
          <w:szCs w:val="16"/>
          <w:color w:val="auto"/>
        </w:rPr>
      </w:pPr>
    </w:p>
    <w:p>
      <w:pPr>
        <w:ind w:left="640" w:right="1279" w:hanging="326"/>
        <w:spacing w:after="0" w:line="260" w:lineRule="auto"/>
        <w:tabs>
          <w:tab w:leader="none" w:pos="629" w:val="left"/>
        </w:tabs>
        <w:numPr>
          <w:ilvl w:val="0"/>
          <w:numId w:val="33"/>
        </w:numPr>
        <w:rPr>
          <w:rFonts w:ascii="Arial" w:cs="Arial" w:eastAsia="Arial" w:hAnsi="Arial"/>
          <w:sz w:val="16"/>
          <w:szCs w:val="16"/>
          <w:color w:val="auto"/>
        </w:rPr>
      </w:pPr>
      <w:r>
        <w:rPr>
          <w:rFonts w:ascii="Arial" w:cs="Arial" w:eastAsia="Arial" w:hAnsi="Arial"/>
          <w:sz w:val="16"/>
          <w:szCs w:val="16"/>
          <w:color w:val="auto"/>
        </w:rPr>
        <w:t>Ms. Walker has been a key leader in international organizations applying new strategies to achieve transformative change, including transforming the Intel brand, and an award-winning integrated marketing and communications approach using digital and social media to engage customers and partners on their purchase journey.</w:t>
      </w:r>
    </w:p>
    <w:p>
      <w:pPr>
        <w:spacing w:after="0" w:line="29" w:lineRule="exact"/>
        <w:rPr>
          <w:rFonts w:ascii="Arial" w:cs="Arial" w:eastAsia="Arial" w:hAnsi="Arial"/>
          <w:sz w:val="16"/>
          <w:szCs w:val="16"/>
          <w:color w:val="auto"/>
        </w:rPr>
      </w:pPr>
    </w:p>
    <w:p>
      <w:pPr>
        <w:ind w:left="640" w:right="1339" w:hanging="326"/>
        <w:spacing w:after="0" w:line="265" w:lineRule="auto"/>
        <w:tabs>
          <w:tab w:leader="none" w:pos="629" w:val="left"/>
        </w:tabs>
        <w:numPr>
          <w:ilvl w:val="0"/>
          <w:numId w:val="33"/>
        </w:numPr>
        <w:rPr>
          <w:rFonts w:ascii="Arial" w:cs="Arial" w:eastAsia="Arial" w:hAnsi="Arial"/>
          <w:sz w:val="16"/>
          <w:szCs w:val="16"/>
          <w:color w:val="auto"/>
        </w:rPr>
      </w:pPr>
      <w:r>
        <w:rPr>
          <w:rFonts w:ascii="Arial" w:cs="Arial" w:eastAsia="Arial" w:hAnsi="Arial"/>
          <w:sz w:val="16"/>
          <w:szCs w:val="16"/>
          <w:color w:val="auto"/>
        </w:rPr>
        <w:t>During her career at Cisco, Ms. Walker led a complete transformation of the company’s marketing function to become a leader in real-time marketing and communications while also spearheading transformation to a hybrid business model selling hardware, services, software as a service (SaaS) and software.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CAREER HIGHLIGHTS</w:t>
      </w:r>
    </w:p>
    <w:p>
      <w:pPr>
        <w:spacing w:after="0" w:line="117" w:lineRule="exact"/>
        <w:rPr>
          <w:sz w:val="20"/>
          <w:szCs w:val="20"/>
          <w:color w:val="auto"/>
        </w:rPr>
      </w:pPr>
    </w:p>
    <w:p>
      <w:pPr>
        <w:ind w:left="640" w:right="1219" w:hanging="325"/>
        <w:spacing w:after="0" w:line="264" w:lineRule="auto"/>
        <w:tabs>
          <w:tab w:leader="none" w:pos="635"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Goldman Sachs Group, Inc., </w:t>
      </w:r>
      <w:r>
        <w:rPr>
          <w:rFonts w:ascii="Arial" w:cs="Arial" w:eastAsia="Arial" w:hAnsi="Arial"/>
          <w:sz w:val="16"/>
          <w:szCs w:val="16"/>
          <w:color w:val="auto"/>
        </w:rPr>
        <w:t>a leading global financial institution that</w:t>
      </w:r>
      <w:r>
        <w:rPr>
          <w:rFonts w:ascii="Arial" w:cs="Arial" w:eastAsia="Arial" w:hAnsi="Arial"/>
          <w:sz w:val="18"/>
          <w:szCs w:val="18"/>
          <w:b w:val="1"/>
          <w:bCs w:val="1"/>
          <w:color w:val="auto"/>
        </w:rPr>
        <w:t xml:space="preserve"> </w:t>
      </w:r>
      <w:r>
        <w:rPr>
          <w:rFonts w:ascii="Arial" w:cs="Arial" w:eastAsia="Arial" w:hAnsi="Arial"/>
          <w:sz w:val="16"/>
          <w:szCs w:val="16"/>
          <w:color w:val="auto"/>
        </w:rPr>
        <w:t>delivers a broad range of financial services</w:t>
      </w:r>
    </w:p>
    <w:p>
      <w:pPr>
        <w:spacing w:after="0" w:line="8"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   Operating Partner (2023 – present)</w:t>
      </w:r>
    </w:p>
    <w:p>
      <w:pPr>
        <w:spacing w:after="0" w:line="67" w:lineRule="exact"/>
        <w:rPr>
          <w:rFonts w:ascii="Arial" w:cs="Arial" w:eastAsia="Arial" w:hAnsi="Arial"/>
          <w:sz w:val="18"/>
          <w:szCs w:val="18"/>
          <w:b w:val="1"/>
          <w:bCs w:val="1"/>
          <w:color w:val="auto"/>
        </w:rPr>
      </w:pPr>
    </w:p>
    <w:p>
      <w:pPr>
        <w:ind w:left="640" w:hanging="325"/>
        <w:spacing w:after="0"/>
        <w:tabs>
          <w:tab w:leader="none" w:pos="6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Intel Corporation, </w:t>
      </w:r>
      <w:r>
        <w:rPr>
          <w:rFonts w:ascii="Arial" w:cs="Arial" w:eastAsia="Arial" w:hAnsi="Arial"/>
          <w:sz w:val="16"/>
          <w:szCs w:val="16"/>
          <w:color w:val="auto"/>
        </w:rPr>
        <w:t>a leader in the semiconductor industry</w:t>
      </w:r>
    </w:p>
    <w:p>
      <w:pPr>
        <w:spacing w:after="0" w:line="2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   Senior Vice President and Chief Marketing Officer (2019 - 2022)</w:t>
      </w:r>
    </w:p>
    <w:p>
      <w:pPr>
        <w:spacing w:after="0" w:line="38" w:lineRule="exact"/>
        <w:rPr>
          <w:rFonts w:ascii="Arial" w:cs="Arial" w:eastAsia="Arial" w:hAnsi="Arial"/>
          <w:sz w:val="18"/>
          <w:szCs w:val="18"/>
          <w:b w:val="1"/>
          <w:bCs w:val="1"/>
          <w:color w:val="auto"/>
        </w:rPr>
      </w:pPr>
    </w:p>
    <w:p>
      <w:pPr>
        <w:ind w:left="640" w:right="1059" w:hanging="325"/>
        <w:spacing w:after="0" w:line="264" w:lineRule="auto"/>
        <w:tabs>
          <w:tab w:leader="none" w:pos="629" w:val="left"/>
        </w:tabs>
        <w:numPr>
          <w:ilvl w:val="0"/>
          <w:numId w:val="34"/>
        </w:numPr>
        <w:rPr>
          <w:rFonts w:ascii="Arial" w:cs="Arial" w:eastAsia="Arial" w:hAnsi="Arial"/>
          <w:sz w:val="16"/>
          <w:szCs w:val="16"/>
          <w:color w:val="auto"/>
        </w:rPr>
      </w:pPr>
      <w:r>
        <w:rPr>
          <w:rFonts w:ascii="Arial" w:cs="Arial" w:eastAsia="Arial" w:hAnsi="Arial"/>
          <w:sz w:val="18"/>
          <w:szCs w:val="18"/>
          <w:b w:val="1"/>
          <w:bCs w:val="1"/>
          <w:color w:val="auto"/>
        </w:rPr>
        <w:t xml:space="preserve">Cisco Systems, Inc., </w:t>
      </w:r>
      <w:r>
        <w:rPr>
          <w:rFonts w:ascii="Arial" w:cs="Arial" w:eastAsia="Arial" w:hAnsi="Arial"/>
          <w:sz w:val="16"/>
          <w:szCs w:val="16"/>
          <w:color w:val="auto"/>
        </w:rPr>
        <w:t>a provider of communications technologies and services</w:t>
      </w:r>
      <w:r>
        <w:rPr>
          <w:rFonts w:ascii="Arial" w:cs="Arial" w:eastAsia="Arial" w:hAnsi="Arial"/>
          <w:sz w:val="18"/>
          <w:szCs w:val="18"/>
          <w:b w:val="1"/>
          <w:bCs w:val="1"/>
          <w:color w:val="auto"/>
        </w:rPr>
        <w:t xml:space="preserve"> </w:t>
      </w:r>
      <w:r>
        <w:rPr>
          <w:rFonts w:ascii="Arial" w:cs="Arial" w:eastAsia="Arial" w:hAnsi="Arial"/>
          <w:sz w:val="16"/>
          <w:szCs w:val="16"/>
          <w:color w:val="auto"/>
        </w:rPr>
        <w:t>to commercial and governmental customers</w:t>
      </w:r>
    </w:p>
    <w:p>
      <w:pPr>
        <w:spacing w:after="0" w:line="21"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   Senior Vice President and Chief Marketing Officer (2015 - 2019)</w:t>
      </w:r>
    </w:p>
    <w:p>
      <w:pPr>
        <w:spacing w:after="0" w:line="59"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   Senior Vice President, Marketing (2013 - 2015)</w:t>
      </w:r>
    </w:p>
    <w:p>
      <w:pPr>
        <w:spacing w:after="0" w:line="59" w:lineRule="exact"/>
        <w:rPr>
          <w:rFonts w:ascii="Arial" w:cs="Arial" w:eastAsia="Arial" w:hAnsi="Arial"/>
          <w:sz w:val="16"/>
          <w:szCs w:val="16"/>
          <w:color w:val="auto"/>
        </w:rPr>
      </w:pPr>
    </w:p>
    <w:p>
      <w:pPr>
        <w:ind w:left="960" w:right="1199" w:hanging="324"/>
        <w:spacing w:after="0" w:line="287" w:lineRule="auto"/>
        <w:rPr>
          <w:rFonts w:ascii="Arial" w:cs="Arial" w:eastAsia="Arial" w:hAnsi="Arial"/>
          <w:sz w:val="16"/>
          <w:szCs w:val="16"/>
          <w:color w:val="auto"/>
        </w:rPr>
      </w:pPr>
      <w:r>
        <w:rPr>
          <w:rFonts w:ascii="Arial" w:cs="Arial" w:eastAsia="Arial" w:hAnsi="Arial"/>
          <w:sz w:val="16"/>
          <w:szCs w:val="16"/>
          <w:color w:val="auto"/>
        </w:rPr>
        <w:t>– Senior Vice President of Segment, Services and Marketing Partner (2012 - 2013)</w:t>
      </w:r>
    </w:p>
    <w:p>
      <w:pPr>
        <w:ind w:left="640" w:right="1539" w:hanging="325"/>
        <w:spacing w:after="0" w:line="264" w:lineRule="auto"/>
        <w:tabs>
          <w:tab w:leader="none" w:pos="629" w:val="left"/>
        </w:tabs>
        <w:numPr>
          <w:ilvl w:val="0"/>
          <w:numId w:val="34"/>
        </w:numPr>
        <w:rPr>
          <w:rFonts w:ascii="Arial" w:cs="Arial" w:eastAsia="Arial" w:hAnsi="Arial"/>
          <w:sz w:val="16"/>
          <w:szCs w:val="16"/>
          <w:color w:val="auto"/>
        </w:rPr>
      </w:pPr>
      <w:r>
        <w:rPr>
          <w:rFonts w:ascii="Arial" w:cs="Arial" w:eastAsia="Arial" w:hAnsi="Arial"/>
          <w:sz w:val="18"/>
          <w:szCs w:val="18"/>
          <w:b w:val="1"/>
          <w:bCs w:val="1"/>
          <w:color w:val="auto"/>
        </w:rPr>
        <w:t>Hewlett-Packard Company</w:t>
      </w:r>
      <w:r>
        <w:rPr>
          <w:rFonts w:ascii="Arial" w:cs="Arial" w:eastAsia="Arial" w:hAnsi="Arial"/>
          <w:sz w:val="16"/>
          <w:szCs w:val="16"/>
          <w:b w:val="1"/>
          <w:bCs w:val="1"/>
          <w:color w:val="auto"/>
        </w:rPr>
        <w:t>,</w:t>
      </w:r>
      <w:r>
        <w:rPr>
          <w:rFonts w:ascii="Arial" w:cs="Arial" w:eastAsia="Arial" w:hAnsi="Arial"/>
          <w:sz w:val="18"/>
          <w:szCs w:val="18"/>
          <w:b w:val="1"/>
          <w:bCs w:val="1"/>
          <w:color w:val="auto"/>
        </w:rPr>
        <w:t xml:space="preserve"> </w:t>
      </w:r>
      <w:r>
        <w:rPr>
          <w:rFonts w:ascii="Arial" w:cs="Arial" w:eastAsia="Arial" w:hAnsi="Arial"/>
          <w:sz w:val="16"/>
          <w:szCs w:val="16"/>
          <w:color w:val="auto"/>
        </w:rPr>
        <w:t>a manufacturer of software and computer</w:t>
      </w:r>
      <w:r>
        <w:rPr>
          <w:rFonts w:ascii="Arial" w:cs="Arial" w:eastAsia="Arial" w:hAnsi="Arial"/>
          <w:sz w:val="18"/>
          <w:szCs w:val="18"/>
          <w:b w:val="1"/>
          <w:bCs w:val="1"/>
          <w:color w:val="auto"/>
        </w:rPr>
        <w:t xml:space="preserve"> </w:t>
      </w:r>
      <w:r>
        <w:rPr>
          <w:rFonts w:ascii="Arial" w:cs="Arial" w:eastAsia="Arial" w:hAnsi="Arial"/>
          <w:sz w:val="16"/>
          <w:szCs w:val="16"/>
          <w:color w:val="auto"/>
        </w:rPr>
        <w:t>services</w:t>
      </w:r>
    </w:p>
    <w:p>
      <w:pPr>
        <w:spacing w:after="0" w:line="21" w:lineRule="exact"/>
        <w:rPr>
          <w:rFonts w:ascii="Arial" w:cs="Arial" w:eastAsia="Arial" w:hAnsi="Arial"/>
          <w:sz w:val="16"/>
          <w:szCs w:val="16"/>
          <w:color w:val="auto"/>
        </w:rPr>
      </w:pPr>
    </w:p>
    <w:p>
      <w:pPr>
        <w:ind w:left="960" w:right="1199" w:hanging="324"/>
        <w:spacing w:after="0" w:line="286" w:lineRule="auto"/>
        <w:rPr>
          <w:rFonts w:ascii="Arial" w:cs="Arial" w:eastAsia="Arial" w:hAnsi="Arial"/>
          <w:sz w:val="16"/>
          <w:szCs w:val="16"/>
          <w:color w:val="auto"/>
        </w:rPr>
      </w:pPr>
      <w:r>
        <w:rPr>
          <w:rFonts w:ascii="Arial" w:cs="Arial" w:eastAsia="Arial" w:hAnsi="Arial"/>
          <w:sz w:val="16"/>
          <w:szCs w:val="16"/>
          <w:color w:val="auto"/>
        </w:rPr>
        <w:t>– Various marketing, strategy and operations roles in Europe, North America and Asia-Pacific (1984 - 2009)</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OTHER HIGHLIGHTS</w:t>
      </w:r>
    </w:p>
    <w:p>
      <w:pPr>
        <w:spacing w:after="0" w:line="135" w:lineRule="exact"/>
        <w:rPr>
          <w:sz w:val="20"/>
          <w:szCs w:val="20"/>
          <w:color w:val="auto"/>
        </w:rPr>
      </w:pPr>
    </w:p>
    <w:p>
      <w:pPr>
        <w:ind w:left="640" w:hanging="325"/>
        <w:spacing w:after="0"/>
        <w:tabs>
          <w:tab w:leader="none" w:pos="640" w:val="left"/>
        </w:tabs>
        <w:numPr>
          <w:ilvl w:val="0"/>
          <w:numId w:val="35"/>
        </w:numPr>
        <w:rPr>
          <w:rFonts w:ascii="Cambria" w:cs="Cambria" w:eastAsia="Cambria" w:hAnsi="Cambria"/>
          <w:sz w:val="16"/>
          <w:szCs w:val="16"/>
          <w:b w:val="1"/>
          <w:bCs w:val="1"/>
          <w:color w:val="auto"/>
        </w:rPr>
      </w:pPr>
      <w:r>
        <w:rPr>
          <w:rFonts w:ascii="Arial" w:cs="Arial" w:eastAsia="Arial" w:hAnsi="Arial"/>
          <w:sz w:val="16"/>
          <w:szCs w:val="16"/>
          <w:color w:val="auto"/>
        </w:rPr>
        <w:t>Advisory Board, Salvation Army of Silicon Valley</w:t>
      </w:r>
    </w:p>
    <w:p>
      <w:pPr>
        <w:spacing w:after="0" w:line="41" w:lineRule="exact"/>
        <w:rPr>
          <w:rFonts w:ascii="Cambria" w:cs="Cambria" w:eastAsia="Cambria" w:hAnsi="Cambria"/>
          <w:sz w:val="16"/>
          <w:szCs w:val="16"/>
          <w:b w:val="1"/>
          <w:bCs w:val="1"/>
          <w:color w:val="auto"/>
        </w:rPr>
      </w:pPr>
    </w:p>
    <w:p>
      <w:pPr>
        <w:ind w:left="640" w:hanging="325"/>
        <w:spacing w:after="0"/>
        <w:tabs>
          <w:tab w:leader="none" w:pos="640" w:val="left"/>
        </w:tabs>
        <w:numPr>
          <w:ilvl w:val="0"/>
          <w:numId w:val="35"/>
        </w:numPr>
        <w:rPr>
          <w:rFonts w:ascii="Cambria" w:cs="Cambria" w:eastAsia="Cambria" w:hAnsi="Cambria"/>
          <w:sz w:val="16"/>
          <w:szCs w:val="16"/>
          <w:b w:val="1"/>
          <w:bCs w:val="1"/>
          <w:color w:val="auto"/>
        </w:rPr>
      </w:pPr>
      <w:r>
        <w:rPr>
          <w:rFonts w:ascii="Arial" w:cs="Arial" w:eastAsia="Arial" w:hAnsi="Arial"/>
          <w:sz w:val="16"/>
          <w:szCs w:val="16"/>
          <w:color w:val="auto"/>
        </w:rPr>
        <w:t>Forbes Top 10 Most Influential CMOs in the World (2017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2359025</wp:posOffset>
            </wp:positionV>
            <wp:extent cx="213995" cy="2146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3995" cy="214630"/>
                    </a:xfrm>
                    <a:prstGeom prst="rect">
                      <a:avLst/>
                    </a:prstGeom>
                    <a:noFill/>
                  </pic:spPr>
                </pic:pic>
              </a:graphicData>
            </a:graphic>
          </wp:anchor>
        </w:drawing>
        <w:drawing>
          <wp:anchor simplePos="0" relativeHeight="251657728" behindDoc="1" locked="0" layoutInCell="0" allowOverlap="1">
            <wp:simplePos x="0" y="0"/>
            <wp:positionH relativeFrom="column">
              <wp:posOffset>805815</wp:posOffset>
            </wp:positionH>
            <wp:positionV relativeFrom="paragraph">
              <wp:posOffset>2359025</wp:posOffset>
            </wp:positionV>
            <wp:extent cx="214630" cy="2146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1731645</wp:posOffset>
            </wp:positionH>
            <wp:positionV relativeFrom="paragraph">
              <wp:posOffset>2359025</wp:posOffset>
            </wp:positionV>
            <wp:extent cx="214630" cy="2146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2359025</wp:posOffset>
            </wp:positionV>
            <wp:extent cx="214630" cy="2146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460"/>
            <w:col w:w="7499"/>
          </w:cols>
          <w:pgMar w:left="340" w:top="9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1600" w:type="dxa"/>
        <w:tblCellMar>
          <w:top w:w="0" w:type="dxa"/>
          <w:left w:w="0" w:type="dxa"/>
          <w:bottom w:w="0" w:type="dxa"/>
          <w:right w:w="0" w:type="dxa"/>
        </w:tblCellMar>
      </w:tblPr>
      <w:tr>
        <w:trPr>
          <w:trHeight w:val="175"/>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w w:val="98"/>
              </w:rPr>
              <w:t>CEO</w:t>
            </w:r>
          </w:p>
        </w:tc>
        <w:tc>
          <w:tcPr>
            <w:tcW w:w="80" w:type="dxa"/>
            <w:vAlign w:val="bottom"/>
          </w:tcPr>
          <w:p>
            <w:pPr>
              <w:spacing w:after="0"/>
              <w:rPr>
                <w:sz w:val="15"/>
                <w:szCs w:val="15"/>
                <w:color w:val="auto"/>
              </w:rPr>
            </w:pPr>
          </w:p>
        </w:tc>
        <w:tc>
          <w:tcPr>
            <w:tcW w:w="1300" w:type="dxa"/>
            <w:vAlign w:val="bottom"/>
          </w:tcPr>
          <w:p>
            <w:pPr>
              <w:jc w:val="center"/>
              <w:ind w:right="528"/>
              <w:spacing w:after="0"/>
              <w:rPr>
                <w:sz w:val="20"/>
                <w:szCs w:val="20"/>
                <w:color w:val="auto"/>
              </w:rPr>
            </w:pPr>
            <w:r>
              <w:rPr>
                <w:rFonts w:ascii="Arial" w:cs="Arial" w:eastAsia="Arial" w:hAnsi="Arial"/>
                <w:sz w:val="14"/>
                <w:szCs w:val="14"/>
                <w:b w:val="1"/>
                <w:bCs w:val="1"/>
                <w:color w:val="auto"/>
              </w:rPr>
              <w:t>Finance /</w:t>
            </w:r>
          </w:p>
        </w:tc>
        <w:tc>
          <w:tcPr>
            <w:tcW w:w="1320" w:type="dxa"/>
            <w:vAlign w:val="bottom"/>
          </w:tcPr>
          <w:p>
            <w:pPr>
              <w:jc w:val="center"/>
              <w:ind w:right="308"/>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rPr>
              <w:t>Healthcare</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Science /</w:t>
            </w:r>
          </w:p>
        </w:tc>
        <w:tc>
          <w:tcPr>
            <w:tcW w:w="0" w:type="dxa"/>
            <w:vAlign w:val="bottom"/>
          </w:tcPr>
          <w:p>
            <w:pPr>
              <w:spacing w:after="0"/>
              <w:rPr>
                <w:sz w:val="1"/>
                <w:szCs w:val="1"/>
                <w:color w:val="auto"/>
              </w:rPr>
            </w:pPr>
          </w:p>
        </w:tc>
      </w:tr>
      <w:tr>
        <w:trPr>
          <w:trHeight w:val="196"/>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rPr>
              <w:t>Leadership</w:t>
            </w:r>
          </w:p>
        </w:tc>
        <w:tc>
          <w:tcPr>
            <w:tcW w:w="1380" w:type="dxa"/>
            <w:vAlign w:val="bottom"/>
            <w:gridSpan w:val="2"/>
          </w:tcPr>
          <w:p>
            <w:pPr>
              <w:jc w:val="center"/>
              <w:ind w:right="468"/>
              <w:spacing w:after="0"/>
              <w:rPr>
                <w:sz w:val="20"/>
                <w:szCs w:val="20"/>
                <w:color w:val="auto"/>
              </w:rPr>
            </w:pPr>
            <w:r>
              <w:rPr>
                <w:rFonts w:ascii="Arial" w:cs="Arial" w:eastAsia="Arial" w:hAnsi="Arial"/>
                <w:sz w:val="14"/>
                <w:szCs w:val="14"/>
                <w:b w:val="1"/>
                <w:bCs w:val="1"/>
                <w:color w:val="auto"/>
              </w:rPr>
              <w:t>Accounting</w:t>
            </w:r>
          </w:p>
        </w:tc>
        <w:tc>
          <w:tcPr>
            <w:tcW w:w="1320" w:type="dxa"/>
            <w:vAlign w:val="bottom"/>
          </w:tcPr>
          <w:p>
            <w:pPr>
              <w:jc w:val="center"/>
              <w:ind w:right="328"/>
              <w:spacing w:after="0"/>
              <w:rPr>
                <w:sz w:val="20"/>
                <w:szCs w:val="20"/>
                <w:color w:val="auto"/>
              </w:rPr>
            </w:pPr>
            <w:r>
              <w:rPr>
                <w:rFonts w:ascii="Arial" w:cs="Arial" w:eastAsia="Arial" w:hAnsi="Arial"/>
                <w:sz w:val="14"/>
                <w:szCs w:val="14"/>
                <w:b w:val="1"/>
                <w:bCs w:val="1"/>
                <w:color w:val="auto"/>
              </w:rPr>
              <w:t>Business</w:t>
            </w:r>
          </w:p>
        </w:tc>
        <w:tc>
          <w:tcPr>
            <w:tcW w:w="260" w:type="dxa"/>
            <w:vAlign w:val="bottom"/>
          </w:tcPr>
          <w:p>
            <w:pPr>
              <w:spacing w:after="0"/>
              <w:rPr>
                <w:sz w:val="17"/>
                <w:szCs w:val="17"/>
                <w:color w:val="auto"/>
              </w:rPr>
            </w:pPr>
          </w:p>
        </w:tc>
        <w:tc>
          <w:tcPr>
            <w:tcW w:w="1220" w:type="dxa"/>
            <w:vAlign w:val="bottom"/>
          </w:tcPr>
          <w:p>
            <w:pPr>
              <w:jc w:val="center"/>
              <w:ind w:right="568"/>
              <w:spacing w:after="0"/>
              <w:rPr>
                <w:sz w:val="20"/>
                <w:szCs w:val="20"/>
                <w:color w:val="auto"/>
              </w:rPr>
            </w:pPr>
            <w:r>
              <w:rPr>
                <w:rFonts w:ascii="Arial" w:cs="Arial" w:eastAsia="Arial" w:hAnsi="Arial"/>
                <w:sz w:val="14"/>
                <w:szCs w:val="14"/>
                <w:b w:val="1"/>
                <w:bCs w:val="1"/>
                <w:color w:val="auto"/>
              </w:rPr>
              <w:t>Industry</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w w:val="99"/>
              </w:rPr>
              <w:t>Academia</w:t>
            </w:r>
          </w:p>
        </w:tc>
        <w:tc>
          <w:tcPr>
            <w:tcW w:w="0" w:type="dxa"/>
            <w:vAlign w:val="bottom"/>
          </w:tcPr>
          <w:p>
            <w:pPr>
              <w:spacing w:after="0"/>
              <w:rPr>
                <w:sz w:val="1"/>
                <w:szCs w:val="1"/>
                <w:color w:val="auto"/>
              </w:rPr>
            </w:pPr>
          </w:p>
        </w:tc>
      </w:tr>
      <w:tr>
        <w:trPr>
          <w:trHeight w:val="434"/>
        </w:trPr>
        <w:tc>
          <w:tcPr>
            <w:tcW w:w="1340" w:type="dxa"/>
            <w:vAlign w:val="bottom"/>
          </w:tcPr>
          <w:p>
            <w:pPr>
              <w:ind w:left="480"/>
              <w:spacing w:after="0"/>
              <w:rPr>
                <w:sz w:val="20"/>
                <w:szCs w:val="20"/>
                <w:color w:val="auto"/>
              </w:rPr>
            </w:pPr>
            <w:r>
              <w:rPr>
                <w:rFonts w:ascii="Arial" w:cs="Arial" w:eastAsia="Arial" w:hAnsi="Arial"/>
                <w:sz w:val="14"/>
                <w:szCs w:val="14"/>
                <w:b w:val="1"/>
                <w:bCs w:val="1"/>
                <w:color w:val="auto"/>
              </w:rPr>
              <w:t>Government</w:t>
            </w:r>
          </w:p>
        </w:tc>
        <w:tc>
          <w:tcPr>
            <w:tcW w:w="80" w:type="dxa"/>
            <w:vAlign w:val="bottom"/>
          </w:tcPr>
          <w:p>
            <w:pPr>
              <w:spacing w:after="0"/>
              <w:rPr>
                <w:sz w:val="24"/>
                <w:szCs w:val="24"/>
                <w:color w:val="auto"/>
              </w:rPr>
            </w:pPr>
          </w:p>
        </w:tc>
        <w:tc>
          <w:tcPr>
            <w:tcW w:w="13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Sales /</w:t>
            </w:r>
          </w:p>
        </w:tc>
        <w:tc>
          <w:tcPr>
            <w:tcW w:w="15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w w:val="99"/>
              </w:rPr>
              <w:t>Technology /</w:t>
            </w:r>
          </w:p>
        </w:tc>
        <w:tc>
          <w:tcPr>
            <w:tcW w:w="192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Operations /</w:t>
            </w:r>
          </w:p>
        </w:tc>
        <w:tc>
          <w:tcPr>
            <w:tcW w:w="0" w:type="dxa"/>
            <w:vAlign w:val="bottom"/>
          </w:tcPr>
          <w:p>
            <w:pPr>
              <w:spacing w:after="0"/>
              <w:rPr>
                <w:sz w:val="1"/>
                <w:szCs w:val="1"/>
                <w:color w:val="auto"/>
              </w:rPr>
            </w:pPr>
          </w:p>
        </w:tc>
      </w:tr>
      <w:tr>
        <w:trPr>
          <w:trHeight w:val="135"/>
        </w:trPr>
        <w:tc>
          <w:tcPr>
            <w:tcW w:w="1340" w:type="dxa"/>
            <w:vAlign w:val="bottom"/>
          </w:tcPr>
          <w:p>
            <w:pPr>
              <w:ind w:left="480"/>
              <w:spacing w:after="0" w:line="135" w:lineRule="exact"/>
              <w:rPr>
                <w:sz w:val="20"/>
                <w:szCs w:val="20"/>
                <w:color w:val="auto"/>
              </w:rPr>
            </w:pPr>
            <w:r>
              <w:rPr>
                <w:rFonts w:ascii="Arial" w:cs="Arial" w:eastAsia="Arial" w:hAnsi="Arial"/>
                <w:sz w:val="14"/>
                <w:szCs w:val="14"/>
                <w:b w:val="1"/>
                <w:bCs w:val="1"/>
                <w:color w:val="auto"/>
              </w:rPr>
              <w:t>Relations /</w:t>
            </w:r>
          </w:p>
        </w:tc>
        <w:tc>
          <w:tcPr>
            <w:tcW w:w="8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1420" w:type="dxa"/>
            <w:vAlign w:val="bottom"/>
            <w:gridSpan w:val="2"/>
          </w:tcPr>
          <w:p>
            <w:pPr>
              <w:ind w:left="480"/>
              <w:spacing w:after="0"/>
              <w:rPr>
                <w:sz w:val="20"/>
                <w:szCs w:val="20"/>
                <w:color w:val="auto"/>
              </w:rPr>
            </w:pPr>
            <w:r>
              <w:rPr>
                <w:rFonts w:ascii="Arial" w:cs="Arial" w:eastAsia="Arial" w:hAnsi="Arial"/>
                <w:sz w:val="14"/>
                <w:szCs w:val="14"/>
                <w:b w:val="1"/>
                <w:bCs w:val="1"/>
                <w:color w:val="auto"/>
              </w:rPr>
              <w:t>Public Policy</w:t>
            </w:r>
          </w:p>
        </w:tc>
        <w:tc>
          <w:tcPr>
            <w:tcW w:w="1300" w:type="dxa"/>
            <w:vAlign w:val="bottom"/>
          </w:tcPr>
          <w:p>
            <w:pPr>
              <w:ind w:left="600"/>
              <w:spacing w:after="0"/>
              <w:rPr>
                <w:sz w:val="20"/>
                <w:szCs w:val="20"/>
                <w:color w:val="auto"/>
              </w:rPr>
            </w:pPr>
            <w:r>
              <w:rPr>
                <w:rFonts w:ascii="Arial" w:cs="Arial" w:eastAsia="Arial" w:hAnsi="Arial"/>
                <w:sz w:val="14"/>
                <w:szCs w:val="14"/>
                <w:b w:val="1"/>
                <w:bCs w:val="1"/>
                <w:color w:val="auto"/>
              </w:rPr>
              <w:t>Marketing</w:t>
            </w:r>
          </w:p>
        </w:tc>
        <w:tc>
          <w:tcPr>
            <w:tcW w:w="1320" w:type="dxa"/>
            <w:vAlign w:val="bottom"/>
          </w:tcPr>
          <w:p>
            <w:pPr>
              <w:ind w:left="700"/>
              <w:spacing w:after="0"/>
              <w:rPr>
                <w:sz w:val="20"/>
                <w:szCs w:val="20"/>
                <w:color w:val="auto"/>
              </w:rPr>
            </w:pPr>
            <w:r>
              <w:rPr>
                <w:rFonts w:ascii="Arial" w:cs="Arial" w:eastAsia="Arial" w:hAnsi="Arial"/>
                <w:sz w:val="14"/>
                <w:szCs w:val="14"/>
                <w:b w:val="1"/>
                <w:bCs w:val="1"/>
                <w:color w:val="auto"/>
              </w:rPr>
              <w:t>Digital</w:t>
            </w:r>
          </w:p>
        </w:tc>
        <w:tc>
          <w:tcPr>
            <w:tcW w:w="260" w:type="dxa"/>
            <w:vAlign w:val="bottom"/>
          </w:tcPr>
          <w:p>
            <w:pPr>
              <w:spacing w:after="0"/>
              <w:rPr>
                <w:sz w:val="17"/>
                <w:szCs w:val="17"/>
                <w:color w:val="auto"/>
              </w:rPr>
            </w:pP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Strategy</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1029335</wp:posOffset>
            </wp:positionH>
            <wp:positionV relativeFrom="paragraph">
              <wp:posOffset>-255270</wp:posOffset>
            </wp:positionV>
            <wp:extent cx="214630" cy="2146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-255270</wp:posOffset>
            </wp:positionV>
            <wp:extent cx="214630" cy="2146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-255270</wp:posOffset>
            </wp:positionV>
            <wp:extent cx="214630" cy="2146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-255270</wp:posOffset>
            </wp:positionV>
            <wp:extent cx="214630" cy="2146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ectPr>
          <w:pgSz w:w="11900" w:h="16838" w:orient="portrait"/>
          <w:cols w:equalWidth="0" w:num="1">
            <w:col w:w="10119"/>
          </w:cols>
          <w:pgMar w:left="340" w:top="931" w:right="1440"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154940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931" w:right="1440"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20"/>
          <w:szCs w:val="20"/>
          <w:b w:val="1"/>
          <w:bCs w:val="1"/>
          <w:color w:val="D52B1E"/>
        </w:rPr>
        <w:t>Class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143510</wp:posOffset>
            </wp:positionV>
            <wp:extent cx="1311275" cy="13112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1127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right="260"/>
        <w:spacing w:after="0" w:line="247" w:lineRule="auto"/>
        <w:rPr>
          <w:sz w:val="20"/>
          <w:szCs w:val="20"/>
          <w:color w:val="auto"/>
        </w:rPr>
      </w:pPr>
      <w:r>
        <w:rPr>
          <w:rFonts w:ascii="Arial" w:cs="Arial" w:eastAsia="Arial" w:hAnsi="Arial"/>
          <w:sz w:val="22"/>
          <w:szCs w:val="22"/>
          <w:b w:val="1"/>
          <w:bCs w:val="1"/>
          <w:color w:val="EF3729"/>
        </w:rPr>
        <w:t>Katherine Baicker,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4312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51</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2011</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Board Committees:</w:t>
      </w:r>
    </w:p>
    <w:p>
      <w:pPr>
        <w:spacing w:after="0" w:line="73" w:lineRule="exact"/>
        <w:rPr>
          <w:sz w:val="20"/>
          <w:szCs w:val="20"/>
          <w:color w:val="auto"/>
        </w:rPr>
      </w:pPr>
    </w:p>
    <w:p>
      <w:pPr>
        <w:ind w:left="360" w:right="180" w:hanging="162"/>
        <w:spacing w:after="0" w:line="286" w:lineRule="auto"/>
        <w:rPr>
          <w:sz w:val="20"/>
          <w:szCs w:val="20"/>
          <w:color w:val="auto"/>
        </w:rPr>
      </w:pPr>
      <w:r>
        <w:rPr>
          <w:rFonts w:ascii="Arial" w:cs="Arial" w:eastAsia="Arial" w:hAnsi="Arial"/>
          <w:sz w:val="16"/>
          <w:szCs w:val="16"/>
          <w:color w:val="auto"/>
        </w:rPr>
        <w:t>– Ethics and Compliance (Chair)</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Science and Technology</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Public Boards:</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None</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Recent Prior Public Boards:</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HMS Holdings Corp.</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46355</wp:posOffset>
            </wp:positionV>
            <wp:extent cx="925830" cy="3086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2583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FFFFFF"/>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-135890</wp:posOffset>
            </wp:positionV>
            <wp:extent cx="4260215" cy="26314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260215" cy="2631440"/>
                    </a:xfrm>
                    <a:prstGeom prst="rect">
                      <a:avLst/>
                    </a:prstGeom>
                    <a:noFill/>
                  </pic:spPr>
                </pic:pic>
              </a:graphicData>
            </a:graphic>
          </wp:anchor>
        </w:drawing>
      </w:r>
    </w:p>
    <w:p>
      <w:pPr>
        <w:spacing w:after="0" w:line="36" w:lineRule="exact"/>
        <w:rPr>
          <w:sz w:val="20"/>
          <w:szCs w:val="20"/>
          <w:color w:val="auto"/>
        </w:rPr>
      </w:pPr>
    </w:p>
    <w:p>
      <w:pPr>
        <w:ind w:right="1039"/>
        <w:spacing w:after="0" w:line="261" w:lineRule="auto"/>
        <w:rPr>
          <w:sz w:val="20"/>
          <w:szCs w:val="20"/>
          <w:color w:val="auto"/>
        </w:rPr>
      </w:pPr>
      <w:r>
        <w:rPr>
          <w:rFonts w:ascii="Arial" w:cs="Arial" w:eastAsia="Arial" w:hAnsi="Arial"/>
          <w:sz w:val="16"/>
          <w:szCs w:val="16"/>
          <w:i w:val="1"/>
          <w:iCs w:val="1"/>
          <w:color w:val="auto"/>
        </w:rPr>
        <w:t>Dr. Baicker’s experience in health economics research and policy at the highest levels, including as a former economic advisor to the White House and a current health advisor to the Congressional Budget Office, provides an invaluable perspective to the board. In addition to Dr. Baicker’s own high-impact research, her leadership of a preeminent research and educational institution gives her both insight into and influence over the future of health policy.</w:t>
      </w:r>
    </w:p>
    <w:p>
      <w:pPr>
        <w:spacing w:after="0" w:line="12" w:lineRule="exact"/>
        <w:rPr>
          <w:sz w:val="20"/>
          <w:szCs w:val="20"/>
          <w:color w:val="auto"/>
        </w:rPr>
      </w:pPr>
    </w:p>
    <w:p>
      <w:pPr>
        <w:ind w:left="640" w:right="1079" w:hanging="325"/>
        <w:spacing w:after="0" w:line="265" w:lineRule="auto"/>
        <w:tabs>
          <w:tab w:leader="none" w:pos="629"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Through Dr. Baicker’s decades of research and policy engagement, including with respect to the effects of health system reforms of public and private insurance coverage and payment policy, she brings to the board insight and context as it oversees the company’s navigation of the complex environment of government regulation, insurance reimbursement, and access to affordable care.</w:t>
      </w:r>
    </w:p>
    <w:p>
      <w:pPr>
        <w:spacing w:after="0" w:line="10" w:lineRule="exact"/>
        <w:rPr>
          <w:rFonts w:ascii="Arial" w:cs="Arial" w:eastAsia="Arial" w:hAnsi="Arial"/>
          <w:sz w:val="16"/>
          <w:szCs w:val="16"/>
          <w:color w:val="auto"/>
        </w:rPr>
      </w:pPr>
    </w:p>
    <w:p>
      <w:pPr>
        <w:ind w:left="640" w:right="1119" w:hanging="325"/>
        <w:spacing w:after="0" w:line="265" w:lineRule="auto"/>
        <w:tabs>
          <w:tab w:leader="none" w:pos="629" w:val="left"/>
        </w:tabs>
        <w:numPr>
          <w:ilvl w:val="0"/>
          <w:numId w:val="38"/>
        </w:numPr>
        <w:rPr>
          <w:rFonts w:ascii="Arial" w:cs="Arial" w:eastAsia="Arial" w:hAnsi="Arial"/>
          <w:sz w:val="16"/>
          <w:szCs w:val="16"/>
          <w:color w:val="auto"/>
        </w:rPr>
      </w:pPr>
      <w:r>
        <w:rPr>
          <w:rFonts w:ascii="Arial" w:cs="Arial" w:eastAsia="Arial" w:hAnsi="Arial"/>
          <w:sz w:val="16"/>
          <w:szCs w:val="16"/>
          <w:color w:val="auto"/>
        </w:rPr>
        <w:t>Drawing on Dr. Baicker’s experience as an advisor to both the executive and legislative branches of the U.S. government, state governments, and numerous healthcare-related commissions and committees provides a keen understanding of government perspectives in our highly regulated industry.</w:t>
      </w:r>
    </w:p>
    <w:p>
      <w:pPr>
        <w:spacing w:after="0" w:line="10" w:lineRule="exact"/>
        <w:rPr>
          <w:rFonts w:ascii="Arial" w:cs="Arial" w:eastAsia="Arial" w:hAnsi="Arial"/>
          <w:sz w:val="16"/>
          <w:szCs w:val="16"/>
          <w:color w:val="auto"/>
        </w:rPr>
      </w:pPr>
    </w:p>
    <w:p>
      <w:pPr>
        <w:ind w:left="640" w:right="1099" w:hanging="325"/>
        <w:spacing w:after="0" w:line="275" w:lineRule="auto"/>
        <w:tabs>
          <w:tab w:leader="none" w:pos="629" w:val="left"/>
        </w:tabs>
        <w:numPr>
          <w:ilvl w:val="0"/>
          <w:numId w:val="38"/>
        </w:numPr>
        <w:rPr>
          <w:rFonts w:ascii="Arial" w:cs="Arial" w:eastAsia="Arial" w:hAnsi="Arial"/>
          <w:sz w:val="16"/>
          <w:szCs w:val="16"/>
          <w:color w:val="auto"/>
        </w:rPr>
      </w:pPr>
      <w:r>
        <w:rPr>
          <w:rFonts w:ascii="Arial" w:cs="Arial" w:eastAsia="Arial" w:hAnsi="Arial"/>
          <w:sz w:val="16"/>
          <w:szCs w:val="16"/>
          <w:color w:val="auto"/>
        </w:rPr>
        <w:t>Dr. Baicker, with extensive involvement with medical and health system research organizations, adds valuable input on the research and development landscape within the pharmaceutical industry.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CAREER HIGHLIGHTS</w:t>
      </w:r>
    </w:p>
    <w:p>
      <w:pPr>
        <w:spacing w:after="0" w:line="40" w:lineRule="exact"/>
        <w:rPr>
          <w:sz w:val="20"/>
          <w:szCs w:val="20"/>
          <w:color w:val="auto"/>
        </w:rPr>
      </w:pPr>
    </w:p>
    <w:p>
      <w:pPr>
        <w:ind w:left="620" w:hanging="305"/>
        <w:spacing w:after="0"/>
        <w:tabs>
          <w:tab w:leader="none" w:pos="620" w:val="left"/>
        </w:tabs>
        <w:numPr>
          <w:ilvl w:val="0"/>
          <w:numId w:val="39"/>
        </w:numPr>
        <w:rPr>
          <w:rFonts w:ascii="Arial" w:cs="Arial" w:eastAsia="Arial" w:hAnsi="Arial"/>
          <w:sz w:val="16"/>
          <w:szCs w:val="16"/>
          <w:color w:val="auto"/>
        </w:rPr>
      </w:pPr>
      <w:r>
        <w:rPr>
          <w:rFonts w:ascii="Arial" w:cs="Arial" w:eastAsia="Arial" w:hAnsi="Arial"/>
          <w:sz w:val="18"/>
          <w:szCs w:val="18"/>
          <w:b w:val="1"/>
          <w:bCs w:val="1"/>
          <w:color w:val="auto"/>
        </w:rPr>
        <w:t>University of Chicago</w:t>
      </w:r>
    </w:p>
    <w:p>
      <w:pPr>
        <w:spacing w:after="0" w:line="23"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   Provost (Effective March 2023)</w:t>
      </w:r>
    </w:p>
    <w:p>
      <w:pPr>
        <w:spacing w:after="0" w:line="30" w:lineRule="exact"/>
        <w:rPr>
          <w:rFonts w:ascii="Arial" w:cs="Arial" w:eastAsia="Arial" w:hAnsi="Arial"/>
          <w:sz w:val="16"/>
          <w:szCs w:val="16"/>
          <w:color w:val="auto"/>
        </w:rPr>
      </w:pPr>
    </w:p>
    <w:p>
      <w:pPr>
        <w:ind w:left="960" w:right="1379" w:hanging="324"/>
        <w:spacing w:after="0" w:line="245" w:lineRule="auto"/>
        <w:rPr>
          <w:rFonts w:ascii="Arial" w:cs="Arial" w:eastAsia="Arial" w:hAnsi="Arial"/>
          <w:sz w:val="16"/>
          <w:szCs w:val="16"/>
          <w:color w:val="auto"/>
        </w:rPr>
      </w:pPr>
      <w:r>
        <w:rPr>
          <w:rFonts w:ascii="Arial" w:cs="Arial" w:eastAsia="Arial" w:hAnsi="Arial"/>
          <w:sz w:val="18"/>
          <w:szCs w:val="18"/>
          <w:color w:val="auto"/>
        </w:rPr>
        <w:t xml:space="preserve">– </w:t>
      </w:r>
      <w:r>
        <w:rPr>
          <w:rFonts w:ascii="Arial" w:cs="Arial" w:eastAsia="Arial" w:hAnsi="Arial"/>
          <w:sz w:val="16"/>
          <w:szCs w:val="16"/>
          <w:color w:val="auto"/>
        </w:rPr>
        <w:t>Dean and the Emmett Dedmon Professor, Harris School of Public Policy</w:t>
      </w:r>
      <w:r>
        <w:rPr>
          <w:rFonts w:ascii="Arial" w:cs="Arial" w:eastAsia="Arial" w:hAnsi="Arial"/>
          <w:sz w:val="18"/>
          <w:szCs w:val="18"/>
          <w:color w:val="auto"/>
        </w:rPr>
        <w:t xml:space="preserve"> </w:t>
      </w:r>
      <w:r>
        <w:rPr>
          <w:rFonts w:ascii="Arial" w:cs="Arial" w:eastAsia="Arial" w:hAnsi="Arial"/>
          <w:sz w:val="16"/>
          <w:szCs w:val="16"/>
          <w:color w:val="auto"/>
        </w:rPr>
        <w:t>(2017 - present)</w:t>
      </w:r>
    </w:p>
    <w:p>
      <w:pPr>
        <w:spacing w:after="0" w:line="60" w:lineRule="exact"/>
        <w:rPr>
          <w:rFonts w:ascii="Arial" w:cs="Arial" w:eastAsia="Arial" w:hAnsi="Arial"/>
          <w:sz w:val="16"/>
          <w:szCs w:val="16"/>
          <w:color w:val="auto"/>
        </w:rPr>
      </w:pPr>
    </w:p>
    <w:p>
      <w:pPr>
        <w:ind w:left="620" w:hanging="305"/>
        <w:spacing w:after="0"/>
        <w:tabs>
          <w:tab w:leader="none" w:pos="620" w:val="left"/>
        </w:tabs>
        <w:numPr>
          <w:ilvl w:val="0"/>
          <w:numId w:val="39"/>
        </w:numPr>
        <w:rPr>
          <w:rFonts w:ascii="Arial" w:cs="Arial" w:eastAsia="Arial" w:hAnsi="Arial"/>
          <w:sz w:val="16"/>
          <w:szCs w:val="16"/>
          <w:color w:val="auto"/>
        </w:rPr>
      </w:pPr>
      <w:r>
        <w:rPr>
          <w:rFonts w:ascii="Arial" w:cs="Arial" w:eastAsia="Arial" w:hAnsi="Arial"/>
          <w:sz w:val="18"/>
          <w:szCs w:val="18"/>
          <w:b w:val="1"/>
          <w:bCs w:val="1"/>
          <w:color w:val="auto"/>
        </w:rPr>
        <w:t>Harvard University</w:t>
      </w:r>
    </w:p>
    <w:p>
      <w:pPr>
        <w:spacing w:after="0" w:line="54"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C. Boyden Gray Professor of Health Economics (2014 - 2017)</w:t>
      </w:r>
    </w:p>
    <w:p>
      <w:pPr>
        <w:spacing w:after="0" w:line="4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Department of Health Policy and Management, Chair (2014 - 2016)</w:t>
      </w:r>
    </w:p>
    <w:p>
      <w:pPr>
        <w:spacing w:after="0" w:line="4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Adjunct Professor (2017 - present)</w:t>
      </w:r>
    </w:p>
    <w:p>
      <w:pPr>
        <w:spacing w:after="0" w:line="3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Harvard T.H. Chan School of Public Health (primary)</w:t>
      </w:r>
    </w:p>
    <w:p>
      <w:pPr>
        <w:spacing w:after="0" w:line="4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Harvard Kennedy School of Government (secondary</w:t>
      </w:r>
      <w:r>
        <w:rPr>
          <w:rFonts w:ascii="Arial" w:cs="Arial" w:eastAsia="Arial" w:hAnsi="Arial"/>
          <w:sz w:val="14"/>
          <w:szCs w:val="14"/>
          <w:color w:val="auto"/>
        </w:rPr>
        <w:t>)</w:t>
      </w:r>
    </w:p>
    <w:p>
      <w:pPr>
        <w:spacing w:after="0" w:line="67" w:lineRule="exact"/>
        <w:rPr>
          <w:rFonts w:ascii="Arial" w:cs="Arial" w:eastAsia="Arial" w:hAnsi="Arial"/>
          <w:sz w:val="16"/>
          <w:szCs w:val="16"/>
          <w:color w:val="auto"/>
        </w:rPr>
      </w:pPr>
    </w:p>
    <w:p>
      <w:pPr>
        <w:ind w:left="620" w:hanging="305"/>
        <w:spacing w:after="0"/>
        <w:tabs>
          <w:tab w:leader="none" w:pos="620" w:val="left"/>
        </w:tabs>
        <w:numPr>
          <w:ilvl w:val="0"/>
          <w:numId w:val="39"/>
        </w:numPr>
        <w:rPr>
          <w:rFonts w:ascii="Arial" w:cs="Arial" w:eastAsia="Arial" w:hAnsi="Arial"/>
          <w:sz w:val="16"/>
          <w:szCs w:val="16"/>
          <w:color w:val="auto"/>
        </w:rPr>
      </w:pPr>
      <w:r>
        <w:rPr>
          <w:rFonts w:ascii="Arial" w:cs="Arial" w:eastAsia="Arial" w:hAnsi="Arial"/>
          <w:sz w:val="18"/>
          <w:szCs w:val="18"/>
          <w:b w:val="1"/>
          <w:bCs w:val="1"/>
          <w:color w:val="auto"/>
        </w:rPr>
        <w:t>National Bureau of Economic Research</w:t>
      </w:r>
    </w:p>
    <w:p>
      <w:pPr>
        <w:spacing w:after="0" w:line="39" w:lineRule="exact"/>
        <w:rPr>
          <w:rFonts w:ascii="Arial" w:cs="Arial" w:eastAsia="Arial" w:hAnsi="Arial"/>
          <w:sz w:val="16"/>
          <w:szCs w:val="16"/>
          <w:color w:val="auto"/>
        </w:rPr>
      </w:pPr>
    </w:p>
    <w:p>
      <w:pPr>
        <w:ind w:left="980" w:right="1179" w:hanging="324"/>
        <w:spacing w:after="0" w:line="237" w:lineRule="auto"/>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Research Associate, Health Care and Public Economics Programs (2007 -</w:t>
      </w:r>
      <w:r>
        <w:rPr>
          <w:rFonts w:ascii="Arial" w:cs="Arial" w:eastAsia="Arial" w:hAnsi="Arial"/>
          <w:sz w:val="14"/>
          <w:szCs w:val="14"/>
          <w:color w:val="auto"/>
        </w:rPr>
        <w:t xml:space="preserve"> </w:t>
      </w:r>
      <w:r>
        <w:rPr>
          <w:rFonts w:ascii="Arial" w:cs="Arial" w:eastAsia="Arial" w:hAnsi="Arial"/>
          <w:sz w:val="16"/>
          <w:szCs w:val="16"/>
          <w:color w:val="auto"/>
        </w:rPr>
        <w:t>present)</w:t>
      </w:r>
    </w:p>
    <w:p>
      <w:pPr>
        <w:spacing w:after="0" w:line="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Faculty Research Fellow, Public Economics Program (2001 - 2005)</w:t>
      </w:r>
    </w:p>
    <w:p>
      <w:pPr>
        <w:spacing w:after="0" w:line="30" w:lineRule="exact"/>
        <w:rPr>
          <w:rFonts w:ascii="Arial" w:cs="Arial" w:eastAsia="Arial" w:hAnsi="Arial"/>
          <w:sz w:val="16"/>
          <w:szCs w:val="16"/>
          <w:color w:val="auto"/>
        </w:rPr>
      </w:pPr>
    </w:p>
    <w:p>
      <w:pPr>
        <w:ind w:left="620" w:hanging="305"/>
        <w:spacing w:after="0"/>
        <w:tabs>
          <w:tab w:leader="none" w:pos="620" w:val="left"/>
        </w:tabs>
        <w:numPr>
          <w:ilvl w:val="0"/>
          <w:numId w:val="39"/>
        </w:numPr>
        <w:rPr>
          <w:rFonts w:ascii="Arial" w:cs="Arial" w:eastAsia="Arial" w:hAnsi="Arial"/>
          <w:sz w:val="16"/>
          <w:szCs w:val="16"/>
          <w:color w:val="auto"/>
        </w:rPr>
      </w:pPr>
      <w:r>
        <w:rPr>
          <w:rFonts w:ascii="Arial" w:cs="Arial" w:eastAsia="Arial" w:hAnsi="Arial"/>
          <w:sz w:val="18"/>
          <w:szCs w:val="18"/>
          <w:b w:val="1"/>
          <w:bCs w:val="1"/>
          <w:color w:val="auto"/>
        </w:rPr>
        <w:t>Council of Economic Advisers, Executive Office of the President</w:t>
      </w:r>
    </w:p>
    <w:p>
      <w:pPr>
        <w:spacing w:after="0" w:line="50"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Member, confirmed by U.S. Senate (2005 - 2007)</w:t>
      </w:r>
    </w:p>
    <w:p>
      <w:pPr>
        <w:spacing w:after="0" w:line="4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Senior Economist (2001 - 2002)</w:t>
      </w:r>
    </w:p>
    <w:p>
      <w:pPr>
        <w:spacing w:after="0" w:line="176" w:lineRule="exact"/>
        <w:rPr>
          <w:sz w:val="20"/>
          <w:szCs w:val="20"/>
          <w:color w:val="auto"/>
        </w:rPr>
      </w:pPr>
    </w:p>
    <w:p>
      <w:pPr>
        <w:sectPr>
          <w:pgSz w:w="11900" w:h="16838" w:orient="portrait"/>
          <w:cols w:equalWidth="0" w:num="2">
            <w:col w:w="2180" w:space="460"/>
            <w:col w:w="7499"/>
          </w:cols>
          <w:pgMar w:left="320" w:top="980" w:right="1440" w:bottom="1440" w:gutter="0" w:footer="0" w:header="0"/>
        </w:sectPr>
      </w:pPr>
    </w:p>
    <w:p>
      <w:pPr>
        <w:ind w:left="2640"/>
        <w:spacing w:after="0"/>
        <w:rPr>
          <w:sz w:val="20"/>
          <w:szCs w:val="20"/>
          <w:color w:val="auto"/>
        </w:rPr>
      </w:pPr>
      <w:r>
        <w:rPr>
          <w:rFonts w:ascii="Arial" w:cs="Arial" w:eastAsia="Arial" w:hAnsi="Arial"/>
          <w:sz w:val="18"/>
          <w:szCs w:val="18"/>
          <w:b w:val="1"/>
          <w:bCs w:val="1"/>
          <w:color w:val="00A1DE"/>
        </w:rPr>
        <w:t>OTHER HIGHLIGHTS</w:t>
      </w:r>
    </w:p>
    <w:p>
      <w:pPr>
        <w:spacing w:after="0" w:line="54" w:lineRule="exact"/>
        <w:rPr>
          <w:sz w:val="20"/>
          <w:szCs w:val="20"/>
          <w:color w:val="auto"/>
        </w:rPr>
      </w:pPr>
    </w:p>
    <w:p>
      <w:pPr>
        <w:ind w:left="3280" w:hanging="325"/>
        <w:spacing w:after="0"/>
        <w:tabs>
          <w:tab w:leader="none" w:pos="3280" w:val="left"/>
        </w:tabs>
        <w:numPr>
          <w:ilvl w:val="0"/>
          <w:numId w:val="40"/>
        </w:numPr>
        <w:rPr>
          <w:rFonts w:ascii="Cambria" w:cs="Cambria" w:eastAsia="Cambria" w:hAnsi="Cambria"/>
          <w:sz w:val="16"/>
          <w:szCs w:val="16"/>
          <w:b w:val="1"/>
          <w:bCs w:val="1"/>
          <w:color w:val="auto"/>
        </w:rPr>
      </w:pPr>
      <w:r>
        <w:rPr>
          <w:rFonts w:ascii="Arial" w:cs="Arial" w:eastAsia="Arial" w:hAnsi="Arial"/>
          <w:sz w:val="16"/>
          <w:szCs w:val="16"/>
          <w:color w:val="auto"/>
        </w:rPr>
        <w:t>Panel of Health Advisers to the Congressional Budget Office</w:t>
      </w:r>
    </w:p>
    <w:p>
      <w:pPr>
        <w:spacing w:after="0" w:line="41" w:lineRule="exact"/>
        <w:rPr>
          <w:rFonts w:ascii="Cambria" w:cs="Cambria" w:eastAsia="Cambria" w:hAnsi="Cambria"/>
          <w:sz w:val="16"/>
          <w:szCs w:val="16"/>
          <w:b w:val="1"/>
          <w:bCs w:val="1"/>
          <w:color w:val="auto"/>
        </w:rPr>
      </w:pPr>
    </w:p>
    <w:p>
      <w:pPr>
        <w:ind w:left="3280" w:hanging="325"/>
        <w:spacing w:after="0"/>
        <w:tabs>
          <w:tab w:leader="none" w:pos="3280" w:val="left"/>
        </w:tabs>
        <w:numPr>
          <w:ilvl w:val="0"/>
          <w:numId w:val="40"/>
        </w:numPr>
        <w:rPr>
          <w:rFonts w:ascii="Cambria" w:cs="Cambria" w:eastAsia="Cambria" w:hAnsi="Cambria"/>
          <w:sz w:val="16"/>
          <w:szCs w:val="16"/>
          <w:b w:val="1"/>
          <w:bCs w:val="1"/>
          <w:color w:val="auto"/>
        </w:rPr>
      </w:pPr>
      <w:r>
        <w:rPr>
          <w:rFonts w:ascii="Arial" w:cs="Arial" w:eastAsia="Arial" w:hAnsi="Arial"/>
          <w:sz w:val="16"/>
          <w:szCs w:val="16"/>
          <w:color w:val="auto"/>
        </w:rPr>
        <w:t>Advisory Board of the National Institute for Health Care Management</w:t>
      </w:r>
    </w:p>
    <w:p>
      <w:pPr>
        <w:spacing w:after="0" w:line="28" w:lineRule="exact"/>
        <w:rPr>
          <w:rFonts w:ascii="Cambria" w:cs="Cambria" w:eastAsia="Cambria" w:hAnsi="Cambria"/>
          <w:sz w:val="16"/>
          <w:szCs w:val="16"/>
          <w:b w:val="1"/>
          <w:bCs w:val="1"/>
          <w:color w:val="auto"/>
        </w:rPr>
      </w:pPr>
    </w:p>
    <w:p>
      <w:pPr>
        <w:ind w:left="3280" w:hanging="325"/>
        <w:spacing w:after="0"/>
        <w:tabs>
          <w:tab w:leader="none" w:pos="3280" w:val="left"/>
        </w:tabs>
        <w:numPr>
          <w:ilvl w:val="0"/>
          <w:numId w:val="40"/>
        </w:numPr>
        <w:rPr>
          <w:rFonts w:ascii="Cambria" w:cs="Cambria" w:eastAsia="Cambria" w:hAnsi="Cambria"/>
          <w:sz w:val="16"/>
          <w:szCs w:val="16"/>
          <w:b w:val="1"/>
          <w:bCs w:val="1"/>
          <w:color w:val="auto"/>
        </w:rPr>
      </w:pPr>
      <w:r>
        <w:rPr>
          <w:rFonts w:ascii="Arial" w:cs="Arial" w:eastAsia="Arial" w:hAnsi="Arial"/>
          <w:sz w:val="16"/>
          <w:szCs w:val="16"/>
          <w:color w:val="auto"/>
        </w:rPr>
        <w:t>Editorial Board of Health Affairs, JAMA Health Forum</w:t>
      </w:r>
    </w:p>
    <w:p>
      <w:pPr>
        <w:spacing w:after="0" w:line="41" w:lineRule="exact"/>
        <w:rPr>
          <w:rFonts w:ascii="Cambria" w:cs="Cambria" w:eastAsia="Cambria" w:hAnsi="Cambria"/>
          <w:sz w:val="16"/>
          <w:szCs w:val="16"/>
          <w:b w:val="1"/>
          <w:bCs w:val="1"/>
          <w:color w:val="auto"/>
        </w:rPr>
      </w:pPr>
    </w:p>
    <w:p>
      <w:pPr>
        <w:ind w:left="3280" w:hanging="325"/>
        <w:spacing w:after="0"/>
        <w:tabs>
          <w:tab w:leader="none" w:pos="3280" w:val="left"/>
        </w:tabs>
        <w:numPr>
          <w:ilvl w:val="0"/>
          <w:numId w:val="40"/>
        </w:numPr>
        <w:rPr>
          <w:rFonts w:ascii="Cambria" w:cs="Cambria" w:eastAsia="Cambria" w:hAnsi="Cambria"/>
          <w:sz w:val="16"/>
          <w:szCs w:val="16"/>
          <w:b w:val="1"/>
          <w:bCs w:val="1"/>
          <w:color w:val="auto"/>
        </w:rPr>
      </w:pPr>
      <w:r>
        <w:rPr>
          <w:rFonts w:ascii="Arial" w:cs="Arial" w:eastAsia="Arial" w:hAnsi="Arial"/>
          <w:sz w:val="16"/>
          <w:szCs w:val="16"/>
          <w:color w:val="auto"/>
        </w:rPr>
        <w:t>Trustee of the Mayo Clinic</w:t>
      </w:r>
    </w:p>
    <w:p>
      <w:pPr>
        <w:spacing w:after="0" w:line="41" w:lineRule="exact"/>
        <w:rPr>
          <w:rFonts w:ascii="Cambria" w:cs="Cambria" w:eastAsia="Cambria" w:hAnsi="Cambria"/>
          <w:sz w:val="16"/>
          <w:szCs w:val="16"/>
          <w:b w:val="1"/>
          <w:bCs w:val="1"/>
          <w:color w:val="auto"/>
        </w:rPr>
      </w:pPr>
    </w:p>
    <w:p>
      <w:pPr>
        <w:ind w:left="3280" w:right="1079" w:hanging="325"/>
        <w:spacing w:after="0" w:line="307" w:lineRule="auto"/>
        <w:tabs>
          <w:tab w:leader="none" w:pos="3271" w:val="left"/>
        </w:tabs>
        <w:numPr>
          <w:ilvl w:val="0"/>
          <w:numId w:val="40"/>
        </w:numPr>
        <w:rPr>
          <w:rFonts w:ascii="Cambria" w:cs="Cambria" w:eastAsia="Cambria" w:hAnsi="Cambria"/>
          <w:sz w:val="16"/>
          <w:szCs w:val="16"/>
          <w:b w:val="1"/>
          <w:bCs w:val="1"/>
          <w:color w:val="auto"/>
        </w:rPr>
      </w:pPr>
      <w:r>
        <w:rPr>
          <w:rFonts w:ascii="Arial" w:cs="Arial" w:eastAsia="Arial" w:hAnsi="Arial"/>
          <w:sz w:val="16"/>
          <w:szCs w:val="16"/>
          <w:color w:val="auto"/>
        </w:rPr>
        <w:t>Member of the National Academy of Medicine, the National Academy of Social Insurance, and the Council on Foreign Relations, American Academy of Arts and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654685</wp:posOffset>
            </wp:positionV>
            <wp:extent cx="214630" cy="2146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654685</wp:posOffset>
            </wp:positionV>
            <wp:extent cx="213995" cy="2146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3995" cy="21463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654685</wp:posOffset>
            </wp:positionV>
            <wp:extent cx="214630" cy="2146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654685</wp:posOffset>
            </wp:positionV>
            <wp:extent cx="214630" cy="2146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654685</wp:posOffset>
            </wp:positionV>
            <wp:extent cx="214630" cy="2146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1620" w:type="dxa"/>
        <w:tblCellMar>
          <w:top w:w="0" w:type="dxa"/>
          <w:left w:w="0" w:type="dxa"/>
          <w:bottom w:w="0" w:type="dxa"/>
          <w:right w:w="0" w:type="dxa"/>
        </w:tblCellMar>
      </w:tblPr>
      <w:tr>
        <w:trPr>
          <w:trHeight w:val="175"/>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w w:val="98"/>
              </w:rPr>
              <w:t>CEO</w:t>
            </w:r>
          </w:p>
        </w:tc>
        <w:tc>
          <w:tcPr>
            <w:tcW w:w="80" w:type="dxa"/>
            <w:vAlign w:val="bottom"/>
          </w:tcPr>
          <w:p>
            <w:pPr>
              <w:spacing w:after="0"/>
              <w:rPr>
                <w:sz w:val="15"/>
                <w:szCs w:val="15"/>
                <w:color w:val="auto"/>
              </w:rPr>
            </w:pPr>
          </w:p>
        </w:tc>
        <w:tc>
          <w:tcPr>
            <w:tcW w:w="1300" w:type="dxa"/>
            <w:vAlign w:val="bottom"/>
          </w:tcPr>
          <w:p>
            <w:pPr>
              <w:jc w:val="center"/>
              <w:ind w:right="528"/>
              <w:spacing w:after="0"/>
              <w:rPr>
                <w:sz w:val="20"/>
                <w:szCs w:val="20"/>
                <w:color w:val="auto"/>
              </w:rPr>
            </w:pPr>
            <w:r>
              <w:rPr>
                <w:rFonts w:ascii="Arial" w:cs="Arial" w:eastAsia="Arial" w:hAnsi="Arial"/>
                <w:sz w:val="14"/>
                <w:szCs w:val="14"/>
                <w:b w:val="1"/>
                <w:bCs w:val="1"/>
                <w:color w:val="auto"/>
              </w:rPr>
              <w:t>Finance /</w:t>
            </w:r>
          </w:p>
        </w:tc>
        <w:tc>
          <w:tcPr>
            <w:tcW w:w="1320" w:type="dxa"/>
            <w:vAlign w:val="bottom"/>
          </w:tcPr>
          <w:p>
            <w:pPr>
              <w:jc w:val="center"/>
              <w:ind w:right="308"/>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rPr>
              <w:t>Healthcare</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Science /</w:t>
            </w:r>
          </w:p>
        </w:tc>
        <w:tc>
          <w:tcPr>
            <w:tcW w:w="0" w:type="dxa"/>
            <w:vAlign w:val="bottom"/>
          </w:tcPr>
          <w:p>
            <w:pPr>
              <w:spacing w:after="0"/>
              <w:rPr>
                <w:sz w:val="1"/>
                <w:szCs w:val="1"/>
                <w:color w:val="auto"/>
              </w:rPr>
            </w:pPr>
          </w:p>
        </w:tc>
      </w:tr>
      <w:tr>
        <w:trPr>
          <w:trHeight w:val="196"/>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rPr>
              <w:t>Leadership</w:t>
            </w:r>
          </w:p>
        </w:tc>
        <w:tc>
          <w:tcPr>
            <w:tcW w:w="1380" w:type="dxa"/>
            <w:vAlign w:val="bottom"/>
            <w:gridSpan w:val="2"/>
          </w:tcPr>
          <w:p>
            <w:pPr>
              <w:jc w:val="center"/>
              <w:ind w:right="468"/>
              <w:spacing w:after="0"/>
              <w:rPr>
                <w:sz w:val="20"/>
                <w:szCs w:val="20"/>
                <w:color w:val="auto"/>
              </w:rPr>
            </w:pPr>
            <w:r>
              <w:rPr>
                <w:rFonts w:ascii="Arial" w:cs="Arial" w:eastAsia="Arial" w:hAnsi="Arial"/>
                <w:sz w:val="14"/>
                <w:szCs w:val="14"/>
                <w:b w:val="1"/>
                <w:bCs w:val="1"/>
                <w:color w:val="auto"/>
              </w:rPr>
              <w:t>Accounting</w:t>
            </w:r>
          </w:p>
        </w:tc>
        <w:tc>
          <w:tcPr>
            <w:tcW w:w="1320" w:type="dxa"/>
            <w:vAlign w:val="bottom"/>
          </w:tcPr>
          <w:p>
            <w:pPr>
              <w:jc w:val="center"/>
              <w:ind w:right="328"/>
              <w:spacing w:after="0"/>
              <w:rPr>
                <w:sz w:val="20"/>
                <w:szCs w:val="20"/>
                <w:color w:val="auto"/>
              </w:rPr>
            </w:pPr>
            <w:r>
              <w:rPr>
                <w:rFonts w:ascii="Arial" w:cs="Arial" w:eastAsia="Arial" w:hAnsi="Arial"/>
                <w:sz w:val="14"/>
                <w:szCs w:val="14"/>
                <w:b w:val="1"/>
                <w:bCs w:val="1"/>
                <w:color w:val="auto"/>
              </w:rPr>
              <w:t>Business</w:t>
            </w:r>
          </w:p>
        </w:tc>
        <w:tc>
          <w:tcPr>
            <w:tcW w:w="260" w:type="dxa"/>
            <w:vAlign w:val="bottom"/>
          </w:tcPr>
          <w:p>
            <w:pPr>
              <w:spacing w:after="0"/>
              <w:rPr>
                <w:sz w:val="17"/>
                <w:szCs w:val="17"/>
                <w:color w:val="auto"/>
              </w:rPr>
            </w:pPr>
          </w:p>
        </w:tc>
        <w:tc>
          <w:tcPr>
            <w:tcW w:w="1220" w:type="dxa"/>
            <w:vAlign w:val="bottom"/>
          </w:tcPr>
          <w:p>
            <w:pPr>
              <w:jc w:val="center"/>
              <w:ind w:right="568"/>
              <w:spacing w:after="0"/>
              <w:rPr>
                <w:sz w:val="20"/>
                <w:szCs w:val="20"/>
                <w:color w:val="auto"/>
              </w:rPr>
            </w:pPr>
            <w:r>
              <w:rPr>
                <w:rFonts w:ascii="Arial" w:cs="Arial" w:eastAsia="Arial" w:hAnsi="Arial"/>
                <w:sz w:val="14"/>
                <w:szCs w:val="14"/>
                <w:b w:val="1"/>
                <w:bCs w:val="1"/>
                <w:color w:val="auto"/>
              </w:rPr>
              <w:t>Industry</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w w:val="99"/>
              </w:rPr>
              <w:t>Academia</w:t>
            </w:r>
          </w:p>
        </w:tc>
        <w:tc>
          <w:tcPr>
            <w:tcW w:w="0" w:type="dxa"/>
            <w:vAlign w:val="bottom"/>
          </w:tcPr>
          <w:p>
            <w:pPr>
              <w:spacing w:after="0"/>
              <w:rPr>
                <w:sz w:val="1"/>
                <w:szCs w:val="1"/>
                <w:color w:val="auto"/>
              </w:rPr>
            </w:pPr>
          </w:p>
        </w:tc>
      </w:tr>
      <w:tr>
        <w:trPr>
          <w:trHeight w:val="434"/>
        </w:trPr>
        <w:tc>
          <w:tcPr>
            <w:tcW w:w="1340" w:type="dxa"/>
            <w:vAlign w:val="bottom"/>
          </w:tcPr>
          <w:p>
            <w:pPr>
              <w:ind w:left="480"/>
              <w:spacing w:after="0"/>
              <w:rPr>
                <w:sz w:val="20"/>
                <w:szCs w:val="20"/>
                <w:color w:val="auto"/>
              </w:rPr>
            </w:pPr>
            <w:r>
              <w:rPr>
                <w:rFonts w:ascii="Arial" w:cs="Arial" w:eastAsia="Arial" w:hAnsi="Arial"/>
                <w:sz w:val="14"/>
                <w:szCs w:val="14"/>
                <w:b w:val="1"/>
                <w:bCs w:val="1"/>
                <w:color w:val="auto"/>
              </w:rPr>
              <w:t>Government</w:t>
            </w:r>
          </w:p>
        </w:tc>
        <w:tc>
          <w:tcPr>
            <w:tcW w:w="80" w:type="dxa"/>
            <w:vAlign w:val="bottom"/>
          </w:tcPr>
          <w:p>
            <w:pPr>
              <w:spacing w:after="0"/>
              <w:rPr>
                <w:sz w:val="24"/>
                <w:szCs w:val="24"/>
                <w:color w:val="auto"/>
              </w:rPr>
            </w:pPr>
          </w:p>
        </w:tc>
        <w:tc>
          <w:tcPr>
            <w:tcW w:w="13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Sales /</w:t>
            </w:r>
          </w:p>
        </w:tc>
        <w:tc>
          <w:tcPr>
            <w:tcW w:w="15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w w:val="99"/>
              </w:rPr>
              <w:t>Technology /</w:t>
            </w:r>
          </w:p>
        </w:tc>
        <w:tc>
          <w:tcPr>
            <w:tcW w:w="192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Operations /</w:t>
            </w:r>
          </w:p>
        </w:tc>
        <w:tc>
          <w:tcPr>
            <w:tcW w:w="0" w:type="dxa"/>
            <w:vAlign w:val="bottom"/>
          </w:tcPr>
          <w:p>
            <w:pPr>
              <w:spacing w:after="0"/>
              <w:rPr>
                <w:sz w:val="1"/>
                <w:szCs w:val="1"/>
                <w:color w:val="auto"/>
              </w:rPr>
            </w:pPr>
          </w:p>
        </w:tc>
      </w:tr>
      <w:tr>
        <w:trPr>
          <w:trHeight w:val="135"/>
        </w:trPr>
        <w:tc>
          <w:tcPr>
            <w:tcW w:w="1340" w:type="dxa"/>
            <w:vAlign w:val="bottom"/>
          </w:tcPr>
          <w:p>
            <w:pPr>
              <w:ind w:left="480"/>
              <w:spacing w:after="0" w:line="135" w:lineRule="exact"/>
              <w:rPr>
                <w:sz w:val="20"/>
                <w:szCs w:val="20"/>
                <w:color w:val="auto"/>
              </w:rPr>
            </w:pPr>
            <w:r>
              <w:rPr>
                <w:rFonts w:ascii="Arial" w:cs="Arial" w:eastAsia="Arial" w:hAnsi="Arial"/>
                <w:sz w:val="14"/>
                <w:szCs w:val="14"/>
                <w:b w:val="1"/>
                <w:bCs w:val="1"/>
                <w:color w:val="auto"/>
              </w:rPr>
              <w:t>Relations /</w:t>
            </w:r>
          </w:p>
        </w:tc>
        <w:tc>
          <w:tcPr>
            <w:tcW w:w="8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1420" w:type="dxa"/>
            <w:vAlign w:val="bottom"/>
            <w:gridSpan w:val="2"/>
          </w:tcPr>
          <w:p>
            <w:pPr>
              <w:ind w:left="480"/>
              <w:spacing w:after="0"/>
              <w:rPr>
                <w:sz w:val="20"/>
                <w:szCs w:val="20"/>
                <w:color w:val="auto"/>
              </w:rPr>
            </w:pPr>
            <w:r>
              <w:rPr>
                <w:rFonts w:ascii="Arial" w:cs="Arial" w:eastAsia="Arial" w:hAnsi="Arial"/>
                <w:sz w:val="14"/>
                <w:szCs w:val="14"/>
                <w:b w:val="1"/>
                <w:bCs w:val="1"/>
                <w:color w:val="auto"/>
              </w:rPr>
              <w:t>Public Policy</w:t>
            </w:r>
          </w:p>
        </w:tc>
        <w:tc>
          <w:tcPr>
            <w:tcW w:w="1300" w:type="dxa"/>
            <w:vAlign w:val="bottom"/>
          </w:tcPr>
          <w:p>
            <w:pPr>
              <w:ind w:left="600"/>
              <w:spacing w:after="0"/>
              <w:rPr>
                <w:sz w:val="20"/>
                <w:szCs w:val="20"/>
                <w:color w:val="auto"/>
              </w:rPr>
            </w:pPr>
            <w:r>
              <w:rPr>
                <w:rFonts w:ascii="Arial" w:cs="Arial" w:eastAsia="Arial" w:hAnsi="Arial"/>
                <w:sz w:val="14"/>
                <w:szCs w:val="14"/>
                <w:b w:val="1"/>
                <w:bCs w:val="1"/>
                <w:color w:val="auto"/>
              </w:rPr>
              <w:t>Marketing</w:t>
            </w:r>
          </w:p>
        </w:tc>
        <w:tc>
          <w:tcPr>
            <w:tcW w:w="1320" w:type="dxa"/>
            <w:vAlign w:val="bottom"/>
          </w:tcPr>
          <w:p>
            <w:pPr>
              <w:ind w:left="700"/>
              <w:spacing w:after="0"/>
              <w:rPr>
                <w:sz w:val="20"/>
                <w:szCs w:val="20"/>
                <w:color w:val="auto"/>
              </w:rPr>
            </w:pPr>
            <w:r>
              <w:rPr>
                <w:rFonts w:ascii="Arial" w:cs="Arial" w:eastAsia="Arial" w:hAnsi="Arial"/>
                <w:sz w:val="14"/>
                <w:szCs w:val="14"/>
                <w:b w:val="1"/>
                <w:bCs w:val="1"/>
                <w:color w:val="auto"/>
              </w:rPr>
              <w:t>Digital</w:t>
            </w:r>
          </w:p>
        </w:tc>
        <w:tc>
          <w:tcPr>
            <w:tcW w:w="260" w:type="dxa"/>
            <w:vAlign w:val="bottom"/>
          </w:tcPr>
          <w:p>
            <w:pPr>
              <w:spacing w:after="0"/>
              <w:rPr>
                <w:sz w:val="17"/>
                <w:szCs w:val="17"/>
                <w:color w:val="auto"/>
              </w:rPr>
            </w:pP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Strategy</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-255270</wp:posOffset>
            </wp:positionV>
            <wp:extent cx="214630" cy="2146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-255270</wp:posOffset>
            </wp:positionV>
            <wp:extent cx="214630" cy="2146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-255270</wp:posOffset>
            </wp:positionV>
            <wp:extent cx="214630" cy="2146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-255270</wp:posOffset>
            </wp:positionV>
            <wp:extent cx="214630" cy="2146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ectPr>
          <w:pgSz w:w="11900" w:h="16838" w:orient="portrait"/>
          <w:cols w:equalWidth="0" w:num="1">
            <w:col w:w="10139"/>
          </w:cols>
          <w:pgMar w:left="320" w:top="980" w:right="1440"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0" w:right="1440" w:bottom="1440" w:gutter="0" w:footer="0" w:header="0"/>
          <w:type w:val="continuous"/>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654685</wp:posOffset>
            </wp:positionV>
            <wp:extent cx="1311275" cy="13112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131127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EF3729"/>
        </w:rPr>
        <w:t>J. Erik Fyrwald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123190</wp:posOffset>
            </wp:positionV>
            <wp:extent cx="14312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63</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w:t>
      </w:r>
      <w:r>
        <w:rPr>
          <w:rFonts w:ascii="Arial" w:cs="Arial" w:eastAsia="Arial" w:hAnsi="Arial"/>
          <w:sz w:val="16"/>
          <w:szCs w:val="16"/>
          <w:color w:val="auto"/>
        </w:rPr>
        <w:t>: 2005</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r>
        <w:rPr>
          <w:rFonts w:ascii="Arial" w:cs="Arial" w:eastAsia="Arial" w:hAnsi="Arial"/>
          <w:sz w:val="16"/>
          <w:szCs w:val="16"/>
          <w:color w:val="auto"/>
        </w:rPr>
        <w:t>:</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Talent and Compensation</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Science and Technology</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Boards: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Bunge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Prior Public Boards: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None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1234440" cy="676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34440" cy="676910"/>
                    </a:xfrm>
                    <a:prstGeom prst="rect">
                      <a:avLst/>
                    </a:prstGeom>
                    <a:noFill/>
                  </pic:spPr>
                </pic:pic>
              </a:graphicData>
            </a:graphic>
          </wp:anchor>
        </w:drawing>
        <w:drawing>
          <wp:anchor simplePos="0" relativeHeight="251657728" behindDoc="1" locked="0" layoutInCell="0" allowOverlap="1">
            <wp:simplePos x="0" y="0"/>
            <wp:positionH relativeFrom="column">
              <wp:posOffset>746760</wp:posOffset>
            </wp:positionH>
            <wp:positionV relativeFrom="paragraph">
              <wp:posOffset>4281170</wp:posOffset>
            </wp:positionV>
            <wp:extent cx="214630" cy="2146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FFFFFF"/>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-161925</wp:posOffset>
            </wp:positionV>
            <wp:extent cx="4260215" cy="19456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260215" cy="1945640"/>
                    </a:xfrm>
                    <a:prstGeom prst="rect">
                      <a:avLst/>
                    </a:prstGeom>
                    <a:noFill/>
                  </pic:spPr>
                </pic:pic>
              </a:graphicData>
            </a:graphic>
          </wp:anchor>
        </w:drawing>
      </w:r>
    </w:p>
    <w:p>
      <w:pPr>
        <w:spacing w:after="0" w:line="198" w:lineRule="exact"/>
        <w:rPr>
          <w:sz w:val="20"/>
          <w:szCs w:val="20"/>
          <w:color w:val="auto"/>
        </w:rPr>
      </w:pPr>
    </w:p>
    <w:p>
      <w:pPr>
        <w:ind w:right="1659"/>
        <w:spacing w:after="0" w:line="283" w:lineRule="auto"/>
        <w:rPr>
          <w:sz w:val="20"/>
          <w:szCs w:val="20"/>
          <w:color w:val="auto"/>
        </w:rPr>
      </w:pPr>
      <w:r>
        <w:rPr>
          <w:rFonts w:ascii="Arial" w:cs="Arial" w:eastAsia="Arial" w:hAnsi="Arial"/>
          <w:sz w:val="16"/>
          <w:szCs w:val="16"/>
          <w:i w:val="1"/>
          <w:iCs w:val="1"/>
          <w:color w:val="auto"/>
        </w:rPr>
        <w:t>Mr. Fyrwald brings to the board a deep understanding of operational and strategic leadership and international business.</w:t>
      </w:r>
    </w:p>
    <w:p>
      <w:pPr>
        <w:spacing w:after="0" w:line="10" w:lineRule="exact"/>
        <w:rPr>
          <w:sz w:val="20"/>
          <w:szCs w:val="20"/>
          <w:color w:val="auto"/>
        </w:rPr>
      </w:pPr>
    </w:p>
    <w:p>
      <w:pPr>
        <w:ind w:left="640" w:right="1119" w:hanging="325"/>
        <w:spacing w:after="0" w:line="275" w:lineRule="auto"/>
        <w:tabs>
          <w:tab w:leader="none" w:pos="629" w:val="left"/>
        </w:tabs>
        <w:numPr>
          <w:ilvl w:val="0"/>
          <w:numId w:val="43"/>
        </w:numPr>
        <w:rPr>
          <w:rFonts w:ascii="Arial" w:cs="Arial" w:eastAsia="Arial" w:hAnsi="Arial"/>
          <w:sz w:val="16"/>
          <w:szCs w:val="16"/>
          <w:color w:val="auto"/>
        </w:rPr>
      </w:pPr>
      <w:r>
        <w:rPr>
          <w:rFonts w:ascii="Arial" w:cs="Arial" w:eastAsia="Arial" w:hAnsi="Arial"/>
          <w:sz w:val="16"/>
          <w:szCs w:val="16"/>
          <w:color w:val="auto"/>
        </w:rPr>
        <w:t>Mr. Fyrwald’s substantial experience in leading international companies provides valuable perspectives relating to international operations, manufacturing, logistics, and sustainability.</w:t>
      </w:r>
    </w:p>
    <w:p>
      <w:pPr>
        <w:spacing w:after="0" w:line="2" w:lineRule="exact"/>
        <w:rPr>
          <w:rFonts w:ascii="Arial" w:cs="Arial" w:eastAsia="Arial" w:hAnsi="Arial"/>
          <w:sz w:val="16"/>
          <w:szCs w:val="16"/>
          <w:color w:val="auto"/>
        </w:rPr>
      </w:pPr>
    </w:p>
    <w:p>
      <w:pPr>
        <w:ind w:left="640" w:right="1079" w:hanging="325"/>
        <w:spacing w:after="0" w:line="265" w:lineRule="auto"/>
        <w:tabs>
          <w:tab w:leader="none" w:pos="629" w:val="left"/>
        </w:tabs>
        <w:numPr>
          <w:ilvl w:val="0"/>
          <w:numId w:val="43"/>
        </w:numPr>
        <w:rPr>
          <w:rFonts w:ascii="Arial" w:cs="Arial" w:eastAsia="Arial" w:hAnsi="Arial"/>
          <w:sz w:val="16"/>
          <w:szCs w:val="16"/>
          <w:color w:val="auto"/>
        </w:rPr>
      </w:pPr>
      <w:r>
        <w:rPr>
          <w:rFonts w:ascii="Arial" w:cs="Arial" w:eastAsia="Arial" w:hAnsi="Arial"/>
          <w:sz w:val="16"/>
          <w:szCs w:val="16"/>
          <w:color w:val="auto"/>
        </w:rPr>
        <w:t>Mr. Fyrwald has a demonstrated focus on technology and a deep understanding of the challenges of developing and commercializing the results of innovation, as he has worked to align Syngenta to digital innovation and new agricultural technologies in the fight against climate change.</w:t>
      </w:r>
    </w:p>
    <w:p>
      <w:pPr>
        <w:spacing w:after="0" w:line="24" w:lineRule="exact"/>
        <w:rPr>
          <w:rFonts w:ascii="Arial" w:cs="Arial" w:eastAsia="Arial" w:hAnsi="Arial"/>
          <w:sz w:val="16"/>
          <w:szCs w:val="16"/>
          <w:color w:val="auto"/>
        </w:rPr>
      </w:pPr>
    </w:p>
    <w:p>
      <w:pPr>
        <w:ind w:left="640" w:right="1279" w:hanging="325"/>
        <w:spacing w:after="0" w:line="266" w:lineRule="auto"/>
        <w:tabs>
          <w:tab w:leader="none" w:pos="629" w:val="left"/>
        </w:tabs>
        <w:numPr>
          <w:ilvl w:val="0"/>
          <w:numId w:val="43"/>
        </w:numPr>
        <w:rPr>
          <w:rFonts w:ascii="Arial" w:cs="Arial" w:eastAsia="Arial" w:hAnsi="Arial"/>
          <w:sz w:val="16"/>
          <w:szCs w:val="16"/>
          <w:color w:val="auto"/>
        </w:rPr>
      </w:pPr>
      <w:r>
        <w:rPr>
          <w:rFonts w:ascii="Arial" w:cs="Arial" w:eastAsia="Arial" w:hAnsi="Arial"/>
          <w:sz w:val="16"/>
          <w:szCs w:val="16"/>
          <w:color w:val="auto"/>
        </w:rPr>
        <w:t>Mr. Fyrwald has also developed significant corporate governance experience through his current and prior service on the boards of directors of international companies and not-for-profit entities.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CAREER HIGHLIGHTS</w:t>
      </w:r>
    </w:p>
    <w:p>
      <w:pPr>
        <w:spacing w:after="0" w:line="63" w:lineRule="exact"/>
        <w:rPr>
          <w:sz w:val="20"/>
          <w:szCs w:val="20"/>
          <w:color w:val="auto"/>
        </w:rPr>
      </w:pPr>
    </w:p>
    <w:p>
      <w:pPr>
        <w:ind w:left="640" w:right="1199" w:hanging="325"/>
        <w:spacing w:after="0" w:line="264" w:lineRule="auto"/>
        <w:tabs>
          <w:tab w:leader="none" w:pos="629" w:val="left"/>
        </w:tabs>
        <w:numPr>
          <w:ilvl w:val="0"/>
          <w:numId w:val="44"/>
        </w:numPr>
        <w:rPr>
          <w:rFonts w:ascii="Arial" w:cs="Arial" w:eastAsia="Arial" w:hAnsi="Arial"/>
          <w:sz w:val="16"/>
          <w:szCs w:val="16"/>
          <w:color w:val="auto"/>
        </w:rPr>
      </w:pPr>
      <w:r>
        <w:rPr>
          <w:rFonts w:ascii="Arial" w:cs="Arial" w:eastAsia="Arial" w:hAnsi="Arial"/>
          <w:sz w:val="18"/>
          <w:szCs w:val="18"/>
          <w:b w:val="1"/>
          <w:bCs w:val="1"/>
          <w:color w:val="auto"/>
        </w:rPr>
        <w:t>Syngenta Group</w:t>
      </w:r>
      <w:r>
        <w:rPr>
          <w:rFonts w:ascii="Arial" w:cs="Arial" w:eastAsia="Arial" w:hAnsi="Arial"/>
          <w:sz w:val="17"/>
          <w:szCs w:val="17"/>
          <w:b w:val="1"/>
          <w:bCs w:val="1"/>
          <w:color w:val="auto"/>
        </w:rPr>
        <w:t>,</w:t>
      </w:r>
      <w:r>
        <w:rPr>
          <w:rFonts w:ascii="Arial" w:cs="Arial" w:eastAsia="Arial" w:hAnsi="Arial"/>
          <w:sz w:val="18"/>
          <w:szCs w:val="18"/>
          <w:b w:val="1"/>
          <w:bCs w:val="1"/>
          <w:color w:val="auto"/>
        </w:rPr>
        <w:t xml:space="preserve"> </w:t>
      </w:r>
      <w:r>
        <w:rPr>
          <w:rFonts w:ascii="Arial" w:cs="Arial" w:eastAsia="Arial" w:hAnsi="Arial"/>
          <w:sz w:val="16"/>
          <w:szCs w:val="16"/>
          <w:color w:val="auto"/>
        </w:rPr>
        <w:t>a global Swiss-based agriculture technology company that</w:t>
      </w:r>
      <w:r>
        <w:rPr>
          <w:rFonts w:ascii="Arial" w:cs="Arial" w:eastAsia="Arial" w:hAnsi="Arial"/>
          <w:sz w:val="18"/>
          <w:szCs w:val="18"/>
          <w:b w:val="1"/>
          <w:bCs w:val="1"/>
          <w:color w:val="auto"/>
        </w:rPr>
        <w:t xml:space="preserve"> </w:t>
      </w:r>
      <w:r>
        <w:rPr>
          <w:rFonts w:ascii="Arial" w:cs="Arial" w:eastAsia="Arial" w:hAnsi="Arial"/>
          <w:sz w:val="16"/>
          <w:szCs w:val="16"/>
          <w:color w:val="auto"/>
        </w:rPr>
        <w:t>produces agrochemicals and seeds</w:t>
      </w:r>
    </w:p>
    <w:p>
      <w:pPr>
        <w:spacing w:after="0" w:line="21"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President and Chief Executive Officer (2016 - present)</w:t>
      </w:r>
    </w:p>
    <w:p>
      <w:pPr>
        <w:spacing w:after="0" w:line="59"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Member of the Board of Directors</w:t>
      </w:r>
    </w:p>
    <w:p>
      <w:pPr>
        <w:spacing w:after="0" w:line="59"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Member of the Sustainability Committee</w:t>
      </w:r>
    </w:p>
    <w:p>
      <w:pPr>
        <w:spacing w:after="0" w:line="67" w:lineRule="exact"/>
        <w:rPr>
          <w:rFonts w:ascii="Arial" w:cs="Arial" w:eastAsia="Arial" w:hAnsi="Arial"/>
          <w:sz w:val="16"/>
          <w:szCs w:val="16"/>
          <w:color w:val="auto"/>
        </w:rPr>
      </w:pPr>
    </w:p>
    <w:p>
      <w:pPr>
        <w:ind w:left="620" w:hanging="305"/>
        <w:spacing w:after="0"/>
        <w:tabs>
          <w:tab w:leader="none" w:pos="620" w:val="left"/>
        </w:tabs>
        <w:numPr>
          <w:ilvl w:val="0"/>
          <w:numId w:val="44"/>
        </w:numPr>
        <w:rPr>
          <w:rFonts w:ascii="Arial" w:cs="Arial" w:eastAsia="Arial" w:hAnsi="Arial"/>
          <w:sz w:val="16"/>
          <w:szCs w:val="16"/>
          <w:color w:val="auto"/>
        </w:rPr>
      </w:pPr>
      <w:r>
        <w:rPr>
          <w:rFonts w:ascii="Arial" w:cs="Arial" w:eastAsia="Arial" w:hAnsi="Arial"/>
          <w:sz w:val="18"/>
          <w:szCs w:val="18"/>
          <w:b w:val="1"/>
          <w:bCs w:val="1"/>
          <w:color w:val="auto"/>
        </w:rPr>
        <w:t xml:space="preserve">Univar, Inc., </w:t>
      </w:r>
      <w:r>
        <w:rPr>
          <w:rFonts w:ascii="Arial" w:cs="Arial" w:eastAsia="Arial" w:hAnsi="Arial"/>
          <w:sz w:val="16"/>
          <w:szCs w:val="16"/>
          <w:color w:val="auto"/>
        </w:rPr>
        <w:t>a leading distributor of chemicals and provider of related services</w:t>
      </w:r>
    </w:p>
    <w:p>
      <w:pPr>
        <w:spacing w:after="0" w:line="6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President and Chief Executive Officer (2012 - 2016)</w:t>
      </w:r>
    </w:p>
    <w:p>
      <w:pPr>
        <w:spacing w:after="0" w:line="54" w:lineRule="exact"/>
        <w:rPr>
          <w:rFonts w:ascii="Arial" w:cs="Arial" w:eastAsia="Arial" w:hAnsi="Arial"/>
          <w:sz w:val="16"/>
          <w:szCs w:val="16"/>
          <w:color w:val="auto"/>
        </w:rPr>
      </w:pPr>
    </w:p>
    <w:p>
      <w:pPr>
        <w:ind w:left="640" w:right="1139" w:hanging="325"/>
        <w:spacing w:after="0" w:line="264" w:lineRule="auto"/>
        <w:tabs>
          <w:tab w:leader="none" w:pos="629" w:val="left"/>
        </w:tabs>
        <w:numPr>
          <w:ilvl w:val="0"/>
          <w:numId w:val="44"/>
        </w:numPr>
        <w:rPr>
          <w:rFonts w:ascii="Arial" w:cs="Arial" w:eastAsia="Arial" w:hAnsi="Arial"/>
          <w:sz w:val="16"/>
          <w:szCs w:val="16"/>
          <w:color w:val="auto"/>
        </w:rPr>
      </w:pPr>
      <w:r>
        <w:rPr>
          <w:rFonts w:ascii="Arial" w:cs="Arial" w:eastAsia="Arial" w:hAnsi="Arial"/>
          <w:sz w:val="18"/>
          <w:szCs w:val="18"/>
          <w:b w:val="1"/>
          <w:bCs w:val="1"/>
          <w:color w:val="auto"/>
        </w:rPr>
        <w:t xml:space="preserve">Ecolab, Inc., </w:t>
      </w:r>
      <w:r>
        <w:rPr>
          <w:rFonts w:ascii="Arial" w:cs="Arial" w:eastAsia="Arial" w:hAnsi="Arial"/>
          <w:sz w:val="16"/>
          <w:szCs w:val="16"/>
          <w:color w:val="auto"/>
        </w:rPr>
        <w:t>a leading provider of cleaning, sanitation and water products and</w:t>
      </w:r>
      <w:r>
        <w:rPr>
          <w:rFonts w:ascii="Arial" w:cs="Arial" w:eastAsia="Arial" w:hAnsi="Arial"/>
          <w:sz w:val="18"/>
          <w:szCs w:val="18"/>
          <w:b w:val="1"/>
          <w:bCs w:val="1"/>
          <w:color w:val="auto"/>
        </w:rPr>
        <w:t xml:space="preserve"> </w:t>
      </w:r>
      <w:r>
        <w:rPr>
          <w:rFonts w:ascii="Arial" w:cs="Arial" w:eastAsia="Arial" w:hAnsi="Arial"/>
          <w:sz w:val="16"/>
          <w:szCs w:val="16"/>
          <w:color w:val="auto"/>
        </w:rPr>
        <w:t>services</w:t>
      </w:r>
    </w:p>
    <w:p>
      <w:pPr>
        <w:spacing w:after="0" w:line="21"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President (2011-2012)</w:t>
      </w:r>
    </w:p>
    <w:p>
      <w:pPr>
        <w:spacing w:after="0" w:line="54" w:lineRule="exact"/>
        <w:rPr>
          <w:rFonts w:ascii="Arial" w:cs="Arial" w:eastAsia="Arial" w:hAnsi="Arial"/>
          <w:sz w:val="16"/>
          <w:szCs w:val="16"/>
          <w:color w:val="auto"/>
        </w:rPr>
      </w:pPr>
    </w:p>
    <w:p>
      <w:pPr>
        <w:ind w:left="620" w:hanging="305"/>
        <w:spacing w:after="0"/>
        <w:tabs>
          <w:tab w:leader="none" w:pos="620" w:val="left"/>
        </w:tabs>
        <w:numPr>
          <w:ilvl w:val="0"/>
          <w:numId w:val="44"/>
        </w:numPr>
        <w:rPr>
          <w:rFonts w:ascii="Arial" w:cs="Arial" w:eastAsia="Arial" w:hAnsi="Arial"/>
          <w:sz w:val="16"/>
          <w:szCs w:val="16"/>
          <w:color w:val="auto"/>
        </w:rPr>
      </w:pPr>
      <w:r>
        <w:rPr>
          <w:rFonts w:ascii="Arial" w:cs="Arial" w:eastAsia="Arial" w:hAnsi="Arial"/>
          <w:sz w:val="18"/>
          <w:szCs w:val="18"/>
          <w:b w:val="1"/>
          <w:bCs w:val="1"/>
          <w:color w:val="auto"/>
        </w:rPr>
        <w:t xml:space="preserve">Nalco Company, </w:t>
      </w:r>
      <w:r>
        <w:rPr>
          <w:rFonts w:ascii="Arial" w:cs="Arial" w:eastAsia="Arial" w:hAnsi="Arial"/>
          <w:sz w:val="16"/>
          <w:szCs w:val="16"/>
          <w:color w:val="auto"/>
        </w:rPr>
        <w:t>a leading provider of water treatment products and services</w:t>
      </w:r>
    </w:p>
    <w:p>
      <w:pPr>
        <w:spacing w:after="0" w:line="6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Chairman and Chief Executive Officer (2008 – 2011)</w:t>
      </w:r>
    </w:p>
    <w:p>
      <w:pPr>
        <w:spacing w:after="0" w:line="54" w:lineRule="exact"/>
        <w:rPr>
          <w:rFonts w:ascii="Arial" w:cs="Arial" w:eastAsia="Arial" w:hAnsi="Arial"/>
          <w:sz w:val="16"/>
          <w:szCs w:val="16"/>
          <w:color w:val="auto"/>
        </w:rPr>
      </w:pPr>
    </w:p>
    <w:p>
      <w:pPr>
        <w:ind w:left="620" w:hanging="305"/>
        <w:spacing w:after="0"/>
        <w:tabs>
          <w:tab w:leader="none" w:pos="620" w:val="left"/>
        </w:tabs>
        <w:numPr>
          <w:ilvl w:val="0"/>
          <w:numId w:val="44"/>
        </w:numPr>
        <w:rPr>
          <w:rFonts w:ascii="Arial" w:cs="Arial" w:eastAsia="Arial" w:hAnsi="Arial"/>
          <w:sz w:val="16"/>
          <w:szCs w:val="16"/>
          <w:color w:val="auto"/>
        </w:rPr>
      </w:pPr>
      <w:r>
        <w:rPr>
          <w:rFonts w:ascii="Arial" w:cs="Arial" w:eastAsia="Arial" w:hAnsi="Arial"/>
          <w:sz w:val="18"/>
          <w:szCs w:val="18"/>
          <w:b w:val="1"/>
          <w:bCs w:val="1"/>
          <w:color w:val="auto"/>
        </w:rPr>
        <w:t xml:space="preserve">E.I. du Pont de Nemours and Company, </w:t>
      </w:r>
      <w:r>
        <w:rPr>
          <w:rFonts w:ascii="Arial" w:cs="Arial" w:eastAsia="Arial" w:hAnsi="Arial"/>
          <w:sz w:val="16"/>
          <w:szCs w:val="16"/>
          <w:color w:val="auto"/>
        </w:rPr>
        <w:t>a global chemical company</w:t>
      </w:r>
    </w:p>
    <w:p>
      <w:pPr>
        <w:spacing w:after="0" w:line="67" w:lineRule="exact"/>
        <w:rPr>
          <w:rFonts w:ascii="Arial" w:cs="Arial" w:eastAsia="Arial" w:hAnsi="Arial"/>
          <w:sz w:val="16"/>
          <w:szCs w:val="16"/>
          <w:color w:val="auto"/>
        </w:rPr>
      </w:pPr>
    </w:p>
    <w:p>
      <w:pPr>
        <w:ind w:left="960" w:right="1179" w:hanging="324"/>
        <w:spacing w:after="0" w:line="275" w:lineRule="auto"/>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Various management positions from 1980 to 2008 in production, sales, and</w:t>
      </w:r>
      <w:r>
        <w:rPr>
          <w:rFonts w:ascii="Arial" w:cs="Arial" w:eastAsia="Arial" w:hAnsi="Arial"/>
          <w:sz w:val="14"/>
          <w:szCs w:val="14"/>
          <w:color w:val="auto"/>
        </w:rPr>
        <w:t xml:space="preserve"> </w:t>
      </w:r>
      <w:r>
        <w:rPr>
          <w:rFonts w:ascii="Arial" w:cs="Arial" w:eastAsia="Arial" w:hAnsi="Arial"/>
          <w:sz w:val="16"/>
          <w:szCs w:val="16"/>
          <w:color w:val="auto"/>
        </w:rPr>
        <w:t>marketing, including most recently Group vice president, agriculture and nutrition (2003 – 2008)</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OTHER HIGHLIGHTS</w:t>
      </w:r>
    </w:p>
    <w:p>
      <w:pPr>
        <w:spacing w:after="0" w:line="40" w:lineRule="exact"/>
        <w:rPr>
          <w:sz w:val="20"/>
          <w:szCs w:val="20"/>
          <w:color w:val="auto"/>
        </w:rPr>
      </w:pPr>
    </w:p>
    <w:p>
      <w:pPr>
        <w:ind w:left="620" w:hanging="305"/>
        <w:spacing w:after="0"/>
        <w:tabs>
          <w:tab w:leader="none" w:pos="6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Not-for-profit boards of directors:</w:t>
      </w:r>
    </w:p>
    <w:p>
      <w:pPr>
        <w:spacing w:after="0" w:line="19"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   UN World Food Program Farm to Market Alliance</w:t>
      </w:r>
    </w:p>
    <w:p>
      <w:pPr>
        <w:spacing w:after="0" w:line="32"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   CropLife International (chair)</w:t>
      </w:r>
    </w:p>
    <w:p>
      <w:pPr>
        <w:spacing w:after="0" w:line="32"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   Syngenta Foundation for Sustainable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2181225</wp:posOffset>
            </wp:positionV>
            <wp:extent cx="213995" cy="2146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3995" cy="214630"/>
                    </a:xfrm>
                    <a:prstGeom prst="rect">
                      <a:avLst/>
                    </a:prstGeom>
                    <a:noFill/>
                  </pic:spPr>
                </pic:pic>
              </a:graphicData>
            </a:graphic>
          </wp:anchor>
        </w:drawing>
        <w:drawing>
          <wp:anchor simplePos="0" relativeHeight="251657728" behindDoc="1" locked="0" layoutInCell="0" allowOverlap="1">
            <wp:simplePos x="0" y="0"/>
            <wp:positionH relativeFrom="column">
              <wp:posOffset>805815</wp:posOffset>
            </wp:positionH>
            <wp:positionV relativeFrom="paragraph">
              <wp:posOffset>2181225</wp:posOffset>
            </wp:positionV>
            <wp:extent cx="214630" cy="2146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1731645</wp:posOffset>
            </wp:positionH>
            <wp:positionV relativeFrom="paragraph">
              <wp:posOffset>2181225</wp:posOffset>
            </wp:positionV>
            <wp:extent cx="214630" cy="2146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2181225</wp:posOffset>
            </wp:positionV>
            <wp:extent cx="214630" cy="2146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460"/>
            <w:col w:w="7499"/>
          </w:cols>
          <w:pgMar w:left="340" w:top="9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600" w:type="dxa"/>
        <w:tblCellMar>
          <w:top w:w="0" w:type="dxa"/>
          <w:left w:w="0" w:type="dxa"/>
          <w:bottom w:w="0" w:type="dxa"/>
          <w:right w:w="0" w:type="dxa"/>
        </w:tblCellMar>
      </w:tblPr>
      <w:tr>
        <w:trPr>
          <w:trHeight w:val="162"/>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w w:val="98"/>
              </w:rPr>
              <w:t>CEO</w:t>
            </w:r>
          </w:p>
        </w:tc>
        <w:tc>
          <w:tcPr>
            <w:tcW w:w="80" w:type="dxa"/>
            <w:vAlign w:val="bottom"/>
          </w:tcPr>
          <w:p>
            <w:pPr>
              <w:spacing w:after="0"/>
              <w:rPr>
                <w:sz w:val="14"/>
                <w:szCs w:val="14"/>
                <w:color w:val="auto"/>
              </w:rPr>
            </w:pPr>
          </w:p>
        </w:tc>
        <w:tc>
          <w:tcPr>
            <w:tcW w:w="1300" w:type="dxa"/>
            <w:vAlign w:val="bottom"/>
          </w:tcPr>
          <w:p>
            <w:pPr>
              <w:jc w:val="center"/>
              <w:ind w:right="528"/>
              <w:spacing w:after="0"/>
              <w:rPr>
                <w:sz w:val="20"/>
                <w:szCs w:val="20"/>
                <w:color w:val="auto"/>
              </w:rPr>
            </w:pPr>
            <w:r>
              <w:rPr>
                <w:rFonts w:ascii="Arial" w:cs="Arial" w:eastAsia="Arial" w:hAnsi="Arial"/>
                <w:sz w:val="14"/>
                <w:szCs w:val="14"/>
                <w:b w:val="1"/>
                <w:bCs w:val="1"/>
                <w:color w:val="auto"/>
              </w:rPr>
              <w:t>Finance /</w:t>
            </w:r>
          </w:p>
        </w:tc>
        <w:tc>
          <w:tcPr>
            <w:tcW w:w="1320" w:type="dxa"/>
            <w:vAlign w:val="bottom"/>
          </w:tcPr>
          <w:p>
            <w:pPr>
              <w:jc w:val="center"/>
              <w:ind w:right="308"/>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rPr>
              <w:t>Healthcare</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Science /</w:t>
            </w:r>
          </w:p>
        </w:tc>
        <w:tc>
          <w:tcPr>
            <w:tcW w:w="0" w:type="dxa"/>
            <w:vAlign w:val="bottom"/>
          </w:tcPr>
          <w:p>
            <w:pPr>
              <w:spacing w:after="0"/>
              <w:rPr>
                <w:sz w:val="1"/>
                <w:szCs w:val="1"/>
                <w:color w:val="auto"/>
              </w:rPr>
            </w:pPr>
          </w:p>
        </w:tc>
      </w:tr>
      <w:tr>
        <w:trPr>
          <w:trHeight w:val="196"/>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rPr>
              <w:t>Leadership</w:t>
            </w:r>
          </w:p>
        </w:tc>
        <w:tc>
          <w:tcPr>
            <w:tcW w:w="1380" w:type="dxa"/>
            <w:vAlign w:val="bottom"/>
            <w:gridSpan w:val="2"/>
          </w:tcPr>
          <w:p>
            <w:pPr>
              <w:jc w:val="center"/>
              <w:ind w:right="468"/>
              <w:spacing w:after="0"/>
              <w:rPr>
                <w:sz w:val="20"/>
                <w:szCs w:val="20"/>
                <w:color w:val="auto"/>
              </w:rPr>
            </w:pPr>
            <w:r>
              <w:rPr>
                <w:rFonts w:ascii="Arial" w:cs="Arial" w:eastAsia="Arial" w:hAnsi="Arial"/>
                <w:sz w:val="14"/>
                <w:szCs w:val="14"/>
                <w:b w:val="1"/>
                <w:bCs w:val="1"/>
                <w:color w:val="auto"/>
              </w:rPr>
              <w:t>Accounting</w:t>
            </w:r>
          </w:p>
        </w:tc>
        <w:tc>
          <w:tcPr>
            <w:tcW w:w="1320" w:type="dxa"/>
            <w:vAlign w:val="bottom"/>
          </w:tcPr>
          <w:p>
            <w:pPr>
              <w:jc w:val="center"/>
              <w:ind w:right="328"/>
              <w:spacing w:after="0"/>
              <w:rPr>
                <w:sz w:val="20"/>
                <w:szCs w:val="20"/>
                <w:color w:val="auto"/>
              </w:rPr>
            </w:pPr>
            <w:r>
              <w:rPr>
                <w:rFonts w:ascii="Arial" w:cs="Arial" w:eastAsia="Arial" w:hAnsi="Arial"/>
                <w:sz w:val="14"/>
                <w:szCs w:val="14"/>
                <w:b w:val="1"/>
                <w:bCs w:val="1"/>
                <w:color w:val="auto"/>
              </w:rPr>
              <w:t>Business</w:t>
            </w:r>
          </w:p>
        </w:tc>
        <w:tc>
          <w:tcPr>
            <w:tcW w:w="260" w:type="dxa"/>
            <w:vAlign w:val="bottom"/>
          </w:tcPr>
          <w:p>
            <w:pPr>
              <w:spacing w:after="0"/>
              <w:rPr>
                <w:sz w:val="17"/>
                <w:szCs w:val="17"/>
                <w:color w:val="auto"/>
              </w:rPr>
            </w:pPr>
          </w:p>
        </w:tc>
        <w:tc>
          <w:tcPr>
            <w:tcW w:w="1220" w:type="dxa"/>
            <w:vAlign w:val="bottom"/>
          </w:tcPr>
          <w:p>
            <w:pPr>
              <w:jc w:val="center"/>
              <w:ind w:right="568"/>
              <w:spacing w:after="0"/>
              <w:rPr>
                <w:sz w:val="20"/>
                <w:szCs w:val="20"/>
                <w:color w:val="auto"/>
              </w:rPr>
            </w:pPr>
            <w:r>
              <w:rPr>
                <w:rFonts w:ascii="Arial" w:cs="Arial" w:eastAsia="Arial" w:hAnsi="Arial"/>
                <w:sz w:val="14"/>
                <w:szCs w:val="14"/>
                <w:b w:val="1"/>
                <w:bCs w:val="1"/>
                <w:color w:val="auto"/>
              </w:rPr>
              <w:t>Industry</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w w:val="99"/>
              </w:rPr>
              <w:t>Academia</w:t>
            </w:r>
          </w:p>
        </w:tc>
        <w:tc>
          <w:tcPr>
            <w:tcW w:w="0" w:type="dxa"/>
            <w:vAlign w:val="bottom"/>
          </w:tcPr>
          <w:p>
            <w:pPr>
              <w:spacing w:after="0"/>
              <w:rPr>
                <w:sz w:val="1"/>
                <w:szCs w:val="1"/>
                <w:color w:val="auto"/>
              </w:rPr>
            </w:pPr>
          </w:p>
        </w:tc>
      </w:tr>
      <w:tr>
        <w:trPr>
          <w:trHeight w:val="438"/>
        </w:trPr>
        <w:tc>
          <w:tcPr>
            <w:tcW w:w="1340" w:type="dxa"/>
            <w:vAlign w:val="bottom"/>
          </w:tcPr>
          <w:p>
            <w:pPr>
              <w:ind w:left="480"/>
              <w:spacing w:after="0"/>
              <w:rPr>
                <w:sz w:val="20"/>
                <w:szCs w:val="20"/>
                <w:color w:val="auto"/>
              </w:rPr>
            </w:pPr>
            <w:r>
              <w:rPr>
                <w:rFonts w:ascii="Arial" w:cs="Arial" w:eastAsia="Arial" w:hAnsi="Arial"/>
                <w:sz w:val="14"/>
                <w:szCs w:val="14"/>
                <w:b w:val="1"/>
                <w:bCs w:val="1"/>
                <w:color w:val="auto"/>
              </w:rPr>
              <w:t>Government</w:t>
            </w:r>
          </w:p>
        </w:tc>
        <w:tc>
          <w:tcPr>
            <w:tcW w:w="80" w:type="dxa"/>
            <w:vAlign w:val="bottom"/>
          </w:tcPr>
          <w:p>
            <w:pPr>
              <w:spacing w:after="0"/>
              <w:rPr>
                <w:sz w:val="24"/>
                <w:szCs w:val="24"/>
                <w:color w:val="auto"/>
              </w:rPr>
            </w:pPr>
          </w:p>
        </w:tc>
        <w:tc>
          <w:tcPr>
            <w:tcW w:w="13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Sales /</w:t>
            </w:r>
          </w:p>
        </w:tc>
        <w:tc>
          <w:tcPr>
            <w:tcW w:w="15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w w:val="99"/>
              </w:rPr>
              <w:t>Technology /</w:t>
            </w:r>
          </w:p>
        </w:tc>
        <w:tc>
          <w:tcPr>
            <w:tcW w:w="192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Operations /</w:t>
            </w:r>
          </w:p>
        </w:tc>
        <w:tc>
          <w:tcPr>
            <w:tcW w:w="0" w:type="dxa"/>
            <w:vAlign w:val="bottom"/>
          </w:tcPr>
          <w:p>
            <w:pPr>
              <w:spacing w:after="0"/>
              <w:rPr>
                <w:sz w:val="1"/>
                <w:szCs w:val="1"/>
                <w:color w:val="auto"/>
              </w:rPr>
            </w:pPr>
          </w:p>
        </w:tc>
      </w:tr>
      <w:tr>
        <w:trPr>
          <w:trHeight w:val="144"/>
        </w:trPr>
        <w:tc>
          <w:tcPr>
            <w:tcW w:w="1340" w:type="dxa"/>
            <w:vAlign w:val="bottom"/>
          </w:tcPr>
          <w:p>
            <w:pPr>
              <w:ind w:left="480"/>
              <w:spacing w:after="0" w:line="145" w:lineRule="exact"/>
              <w:rPr>
                <w:sz w:val="20"/>
                <w:szCs w:val="20"/>
                <w:color w:val="auto"/>
              </w:rPr>
            </w:pPr>
            <w:r>
              <w:rPr>
                <w:rFonts w:ascii="Arial" w:cs="Arial" w:eastAsia="Arial" w:hAnsi="Arial"/>
                <w:sz w:val="14"/>
                <w:szCs w:val="14"/>
                <w:b w:val="1"/>
                <w:bCs w:val="1"/>
                <w:color w:val="auto"/>
              </w:rPr>
              <w:t>Relations /</w:t>
            </w:r>
          </w:p>
        </w:tc>
        <w:tc>
          <w:tcPr>
            <w:tcW w:w="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420" w:type="dxa"/>
            <w:vAlign w:val="bottom"/>
            <w:gridSpan w:val="2"/>
          </w:tcPr>
          <w:p>
            <w:pPr>
              <w:ind w:left="480"/>
              <w:spacing w:after="0"/>
              <w:rPr>
                <w:sz w:val="20"/>
                <w:szCs w:val="20"/>
                <w:color w:val="auto"/>
              </w:rPr>
            </w:pPr>
            <w:r>
              <w:rPr>
                <w:rFonts w:ascii="Arial" w:cs="Arial" w:eastAsia="Arial" w:hAnsi="Arial"/>
                <w:sz w:val="14"/>
                <w:szCs w:val="14"/>
                <w:b w:val="1"/>
                <w:bCs w:val="1"/>
                <w:color w:val="auto"/>
              </w:rPr>
              <w:t>Public Policy</w:t>
            </w:r>
          </w:p>
        </w:tc>
        <w:tc>
          <w:tcPr>
            <w:tcW w:w="1300" w:type="dxa"/>
            <w:vAlign w:val="bottom"/>
          </w:tcPr>
          <w:p>
            <w:pPr>
              <w:ind w:left="600"/>
              <w:spacing w:after="0"/>
              <w:rPr>
                <w:sz w:val="20"/>
                <w:szCs w:val="20"/>
                <w:color w:val="auto"/>
              </w:rPr>
            </w:pPr>
            <w:r>
              <w:rPr>
                <w:rFonts w:ascii="Arial" w:cs="Arial" w:eastAsia="Arial" w:hAnsi="Arial"/>
                <w:sz w:val="14"/>
                <w:szCs w:val="14"/>
                <w:b w:val="1"/>
                <w:bCs w:val="1"/>
                <w:color w:val="auto"/>
              </w:rPr>
              <w:t>Marketing</w:t>
            </w:r>
          </w:p>
        </w:tc>
        <w:tc>
          <w:tcPr>
            <w:tcW w:w="1320" w:type="dxa"/>
            <w:vAlign w:val="bottom"/>
          </w:tcPr>
          <w:p>
            <w:pPr>
              <w:ind w:left="700"/>
              <w:spacing w:after="0"/>
              <w:rPr>
                <w:sz w:val="20"/>
                <w:szCs w:val="20"/>
                <w:color w:val="auto"/>
              </w:rPr>
            </w:pPr>
            <w:r>
              <w:rPr>
                <w:rFonts w:ascii="Arial" w:cs="Arial" w:eastAsia="Arial" w:hAnsi="Arial"/>
                <w:sz w:val="14"/>
                <w:szCs w:val="14"/>
                <w:b w:val="1"/>
                <w:bCs w:val="1"/>
                <w:color w:val="auto"/>
              </w:rPr>
              <w:t>Digital</w:t>
            </w:r>
          </w:p>
        </w:tc>
        <w:tc>
          <w:tcPr>
            <w:tcW w:w="260" w:type="dxa"/>
            <w:vAlign w:val="bottom"/>
          </w:tcPr>
          <w:p>
            <w:pPr>
              <w:spacing w:after="0"/>
              <w:rPr>
                <w:sz w:val="17"/>
                <w:szCs w:val="17"/>
                <w:color w:val="auto"/>
              </w:rPr>
            </w:pP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Strategy</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1029335</wp:posOffset>
            </wp:positionH>
            <wp:positionV relativeFrom="paragraph">
              <wp:posOffset>-264160</wp:posOffset>
            </wp:positionV>
            <wp:extent cx="214630" cy="2146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-264160</wp:posOffset>
            </wp:positionV>
            <wp:extent cx="214630" cy="2146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-264160</wp:posOffset>
            </wp:positionV>
            <wp:extent cx="214630" cy="2146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-264160</wp:posOffset>
            </wp:positionV>
            <wp:extent cx="214630" cy="2146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ectPr>
          <w:pgSz w:w="11900" w:h="16838" w:orient="portrait"/>
          <w:cols w:equalWidth="0" w:num="1">
            <w:col w:w="10119"/>
          </w:cols>
          <w:pgMar w:left="340" w:top="971" w:right="1440"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154940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971" w:right="1440" w:bottom="1440" w:gutter="0" w:footer="0" w:header="0"/>
          <w:type w:val="continuous"/>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688975</wp:posOffset>
            </wp:positionV>
            <wp:extent cx="1303020" cy="13030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EF3729"/>
        </w:rPr>
        <w:t>Jamere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138874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54</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2016</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Audit (Chair)</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Ethics and Compliance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Boards: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None</w:t>
      </w:r>
    </w:p>
    <w:p>
      <w:pPr>
        <w:spacing w:after="0" w:line="73" w:lineRule="exact"/>
        <w:rPr>
          <w:sz w:val="20"/>
          <w:szCs w:val="20"/>
          <w:color w:val="auto"/>
        </w:rPr>
      </w:pPr>
    </w:p>
    <w:p>
      <w:pPr>
        <w:ind w:right="480"/>
        <w:spacing w:after="0" w:line="290" w:lineRule="auto"/>
        <w:rPr>
          <w:sz w:val="20"/>
          <w:szCs w:val="20"/>
          <w:color w:val="auto"/>
        </w:rPr>
      </w:pPr>
      <w:r>
        <w:rPr>
          <w:rFonts w:ascii="Arial" w:cs="Arial" w:eastAsia="Arial" w:hAnsi="Arial"/>
          <w:sz w:val="16"/>
          <w:szCs w:val="16"/>
          <w:b w:val="1"/>
          <w:bCs w:val="1"/>
          <w:color w:val="auto"/>
        </w:rPr>
        <w:t>Recent Prior Public Boards: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Hibbett,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925830" cy="3086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925830" cy="308610"/>
                    </a:xfrm>
                    <a:prstGeom prst="rect">
                      <a:avLst/>
                    </a:prstGeom>
                    <a:noFill/>
                  </pic:spPr>
                </pic:pic>
              </a:graphicData>
            </a:graphic>
          </wp:anchor>
        </w:drawing>
        <w:drawing>
          <wp:anchor simplePos="0" relativeHeight="251657728" behindDoc="1" locked="0" layoutInCell="0" allowOverlap="1">
            <wp:simplePos x="0" y="0"/>
            <wp:positionH relativeFrom="column">
              <wp:posOffset>746760</wp:posOffset>
            </wp:positionH>
            <wp:positionV relativeFrom="paragraph">
              <wp:posOffset>4135755</wp:posOffset>
            </wp:positionV>
            <wp:extent cx="214630" cy="2146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FFFFFF"/>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-135890</wp:posOffset>
            </wp:positionV>
            <wp:extent cx="4260215" cy="18688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260215" cy="1868805"/>
                    </a:xfrm>
                    <a:prstGeom prst="rect">
                      <a:avLst/>
                    </a:prstGeom>
                    <a:noFill/>
                  </pic:spPr>
                </pic:pic>
              </a:graphicData>
            </a:graphic>
          </wp:anchor>
        </w:drawing>
      </w:r>
    </w:p>
    <w:p>
      <w:pPr>
        <w:spacing w:after="0" w:line="50" w:lineRule="exact"/>
        <w:rPr>
          <w:sz w:val="20"/>
          <w:szCs w:val="20"/>
          <w:color w:val="auto"/>
        </w:rPr>
      </w:pPr>
    </w:p>
    <w:p>
      <w:pPr>
        <w:ind w:right="1639"/>
        <w:spacing w:after="0" w:line="283" w:lineRule="auto"/>
        <w:rPr>
          <w:sz w:val="20"/>
          <w:szCs w:val="20"/>
          <w:color w:val="auto"/>
        </w:rPr>
      </w:pPr>
      <w:r>
        <w:rPr>
          <w:rFonts w:ascii="Arial" w:cs="Arial" w:eastAsia="Arial" w:hAnsi="Arial"/>
          <w:sz w:val="16"/>
          <w:szCs w:val="16"/>
          <w:i w:val="1"/>
          <w:iCs w:val="1"/>
          <w:color w:val="auto"/>
        </w:rPr>
        <w:t>Mr. Jackson brings to the board significant global financial experience and a strong background in strategic planning.</w:t>
      </w:r>
    </w:p>
    <w:p>
      <w:pPr>
        <w:spacing w:after="0" w:line="10" w:lineRule="exact"/>
        <w:rPr>
          <w:sz w:val="20"/>
          <w:szCs w:val="20"/>
          <w:color w:val="auto"/>
        </w:rPr>
      </w:pPr>
    </w:p>
    <w:p>
      <w:pPr>
        <w:ind w:left="660" w:right="1259" w:hanging="332"/>
        <w:spacing w:after="0" w:line="275" w:lineRule="auto"/>
        <w:tabs>
          <w:tab w:leader="none" w:pos="649" w:val="left"/>
        </w:tabs>
        <w:numPr>
          <w:ilvl w:val="0"/>
          <w:numId w:val="48"/>
        </w:numPr>
        <w:rPr>
          <w:rFonts w:ascii="Arial" w:cs="Arial" w:eastAsia="Arial" w:hAnsi="Arial"/>
          <w:sz w:val="16"/>
          <w:szCs w:val="16"/>
          <w:color w:val="auto"/>
        </w:rPr>
      </w:pPr>
      <w:r>
        <w:rPr>
          <w:rFonts w:ascii="Arial" w:cs="Arial" w:eastAsia="Arial" w:hAnsi="Arial"/>
          <w:sz w:val="16"/>
          <w:szCs w:val="16"/>
          <w:color w:val="auto"/>
        </w:rPr>
        <w:t>Mr. Jackson’s global finance experience, including as chief financial officer at multiple Fortune 500 companies, provides extensive knowledge of international business operations and their associated financial complexities.</w:t>
      </w:r>
    </w:p>
    <w:p>
      <w:pPr>
        <w:spacing w:after="0" w:line="2" w:lineRule="exact"/>
        <w:rPr>
          <w:rFonts w:ascii="Arial" w:cs="Arial" w:eastAsia="Arial" w:hAnsi="Arial"/>
          <w:sz w:val="16"/>
          <w:szCs w:val="16"/>
          <w:color w:val="auto"/>
        </w:rPr>
      </w:pPr>
    </w:p>
    <w:p>
      <w:pPr>
        <w:ind w:left="660" w:right="1199" w:hanging="332"/>
        <w:spacing w:after="0" w:line="275" w:lineRule="auto"/>
        <w:tabs>
          <w:tab w:leader="none" w:pos="649" w:val="left"/>
        </w:tabs>
        <w:numPr>
          <w:ilvl w:val="0"/>
          <w:numId w:val="48"/>
        </w:numPr>
        <w:rPr>
          <w:rFonts w:ascii="Arial" w:cs="Arial" w:eastAsia="Arial" w:hAnsi="Arial"/>
          <w:sz w:val="16"/>
          <w:szCs w:val="16"/>
          <w:color w:val="auto"/>
        </w:rPr>
      </w:pPr>
      <w:r>
        <w:rPr>
          <w:rFonts w:ascii="Arial" w:cs="Arial" w:eastAsia="Arial" w:hAnsi="Arial"/>
          <w:sz w:val="16"/>
          <w:szCs w:val="16"/>
          <w:color w:val="auto"/>
        </w:rPr>
        <w:t>Mr. Jackson brings a valuable perspective on the management of complex financial risks and wide-ranging knowledge of finance and accounting matters to his role as Audit Committee Chair.</w:t>
      </w:r>
    </w:p>
    <w:p>
      <w:pPr>
        <w:spacing w:after="0" w:line="2" w:lineRule="exact"/>
        <w:rPr>
          <w:rFonts w:ascii="Arial" w:cs="Arial" w:eastAsia="Arial" w:hAnsi="Arial"/>
          <w:sz w:val="16"/>
          <w:szCs w:val="16"/>
          <w:color w:val="auto"/>
        </w:rPr>
      </w:pPr>
    </w:p>
    <w:p>
      <w:pPr>
        <w:ind w:left="660" w:right="1119" w:hanging="332"/>
        <w:spacing w:after="0" w:line="275" w:lineRule="auto"/>
        <w:tabs>
          <w:tab w:leader="none" w:pos="649" w:val="left"/>
        </w:tabs>
        <w:numPr>
          <w:ilvl w:val="0"/>
          <w:numId w:val="48"/>
        </w:numPr>
        <w:rPr>
          <w:rFonts w:ascii="Arial" w:cs="Arial" w:eastAsia="Arial" w:hAnsi="Arial"/>
          <w:sz w:val="16"/>
          <w:szCs w:val="16"/>
          <w:color w:val="auto"/>
        </w:rPr>
      </w:pPr>
      <w:r>
        <w:rPr>
          <w:rFonts w:ascii="Arial" w:cs="Arial" w:eastAsia="Arial" w:hAnsi="Arial"/>
          <w:sz w:val="16"/>
          <w:szCs w:val="16"/>
          <w:color w:val="auto"/>
        </w:rPr>
        <w:t>Mr. Jackson has also held roles in strategic planning and mergers and acquisitions, including responsibility for driving financial rigor, developing strategy and implementing change.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CAREER HIGHLIGHTS</w:t>
      </w:r>
    </w:p>
    <w:p>
      <w:pPr>
        <w:spacing w:after="0" w:line="40" w:lineRule="exact"/>
        <w:rPr>
          <w:sz w:val="20"/>
          <w:szCs w:val="20"/>
          <w:color w:val="auto"/>
        </w:rPr>
      </w:pPr>
    </w:p>
    <w:p>
      <w:pPr>
        <w:ind w:left="660" w:right="1359" w:hanging="332"/>
        <w:spacing w:after="0" w:line="226" w:lineRule="auto"/>
        <w:tabs>
          <w:tab w:leader="none" w:pos="649" w:val="left"/>
        </w:tabs>
        <w:numPr>
          <w:ilvl w:val="0"/>
          <w:numId w:val="49"/>
        </w:numPr>
        <w:rPr>
          <w:rFonts w:ascii="Arial" w:cs="Arial" w:eastAsia="Arial" w:hAnsi="Arial"/>
          <w:sz w:val="16"/>
          <w:szCs w:val="16"/>
          <w:color w:val="auto"/>
        </w:rPr>
      </w:pPr>
      <w:r>
        <w:rPr>
          <w:rFonts w:ascii="Arial" w:cs="Arial" w:eastAsia="Arial" w:hAnsi="Arial"/>
          <w:sz w:val="18"/>
          <w:szCs w:val="18"/>
          <w:b w:val="1"/>
          <w:bCs w:val="1"/>
          <w:color w:val="auto"/>
        </w:rPr>
        <w:t xml:space="preserve">AutoZone, Inc., </w:t>
      </w:r>
      <w:r>
        <w:rPr>
          <w:rFonts w:ascii="Arial" w:cs="Arial" w:eastAsia="Arial" w:hAnsi="Arial"/>
          <w:sz w:val="16"/>
          <w:szCs w:val="16"/>
          <w:color w:val="auto"/>
        </w:rPr>
        <w:t>a leading retailer and distributor of automotive replacement</w:t>
      </w:r>
      <w:r>
        <w:rPr>
          <w:rFonts w:ascii="Arial" w:cs="Arial" w:eastAsia="Arial" w:hAnsi="Arial"/>
          <w:sz w:val="18"/>
          <w:szCs w:val="18"/>
          <w:b w:val="1"/>
          <w:bCs w:val="1"/>
          <w:color w:val="auto"/>
        </w:rPr>
        <w:t xml:space="preserve"> </w:t>
      </w:r>
      <w:r>
        <w:rPr>
          <w:rFonts w:ascii="Arial" w:cs="Arial" w:eastAsia="Arial" w:hAnsi="Arial"/>
          <w:sz w:val="16"/>
          <w:szCs w:val="16"/>
          <w:color w:val="auto"/>
        </w:rPr>
        <w:t>parts and accessories in the United States, Mexico and Brazil</w:t>
      </w:r>
    </w:p>
    <w:p>
      <w:pPr>
        <w:spacing w:after="0" w:line="29" w:lineRule="exact"/>
        <w:rPr>
          <w:rFonts w:ascii="Arial" w:cs="Arial" w:eastAsia="Arial" w:hAnsi="Arial"/>
          <w:sz w:val="16"/>
          <w:szCs w:val="16"/>
          <w:color w:val="auto"/>
        </w:rPr>
      </w:pPr>
    </w:p>
    <w:p>
      <w:pPr>
        <w:ind w:left="980" w:right="1459" w:hanging="324"/>
        <w:spacing w:after="0" w:line="305" w:lineRule="auto"/>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Chief Financial Officer and Executive Vice President, Finance and Store</w:t>
      </w:r>
      <w:r>
        <w:rPr>
          <w:rFonts w:ascii="Arial" w:cs="Arial" w:eastAsia="Arial" w:hAnsi="Arial"/>
          <w:sz w:val="14"/>
          <w:szCs w:val="14"/>
          <w:color w:val="auto"/>
        </w:rPr>
        <w:t xml:space="preserve"> </w:t>
      </w:r>
      <w:r>
        <w:rPr>
          <w:rFonts w:ascii="Arial" w:cs="Arial" w:eastAsia="Arial" w:hAnsi="Arial"/>
          <w:sz w:val="16"/>
          <w:szCs w:val="16"/>
          <w:color w:val="auto"/>
        </w:rPr>
        <w:t>Development (2020 - present)</w:t>
      </w:r>
    </w:p>
    <w:p>
      <w:pPr>
        <w:ind w:left="660" w:right="1719" w:hanging="332"/>
        <w:spacing w:after="0" w:line="228" w:lineRule="auto"/>
        <w:tabs>
          <w:tab w:leader="none" w:pos="649" w:val="left"/>
        </w:tabs>
        <w:numPr>
          <w:ilvl w:val="0"/>
          <w:numId w:val="49"/>
        </w:numPr>
        <w:rPr>
          <w:rFonts w:ascii="Arial" w:cs="Arial" w:eastAsia="Arial" w:hAnsi="Arial"/>
          <w:sz w:val="16"/>
          <w:szCs w:val="16"/>
          <w:color w:val="auto"/>
        </w:rPr>
      </w:pPr>
      <w:r>
        <w:rPr>
          <w:rFonts w:ascii="Arial" w:cs="Arial" w:eastAsia="Arial" w:hAnsi="Arial"/>
          <w:sz w:val="18"/>
          <w:szCs w:val="18"/>
          <w:b w:val="1"/>
          <w:bCs w:val="1"/>
          <w:color w:val="auto"/>
        </w:rPr>
        <w:t xml:space="preserve">Hertz Global Holdings, Inc., </w:t>
      </w:r>
      <w:r>
        <w:rPr>
          <w:rFonts w:ascii="Arial" w:cs="Arial" w:eastAsia="Arial" w:hAnsi="Arial"/>
          <w:sz w:val="16"/>
          <w:szCs w:val="16"/>
          <w:color w:val="auto"/>
        </w:rPr>
        <w:t>a global vehicle rental, leasing and fleet</w:t>
      </w:r>
      <w:r>
        <w:rPr>
          <w:rFonts w:ascii="Arial" w:cs="Arial" w:eastAsia="Arial" w:hAnsi="Arial"/>
          <w:sz w:val="18"/>
          <w:szCs w:val="18"/>
          <w:b w:val="1"/>
          <w:bCs w:val="1"/>
          <w:color w:val="auto"/>
        </w:rPr>
        <w:t xml:space="preserve"> </w:t>
      </w:r>
      <w:r>
        <w:rPr>
          <w:rFonts w:ascii="Arial" w:cs="Arial" w:eastAsia="Arial" w:hAnsi="Arial"/>
          <w:sz w:val="16"/>
          <w:szCs w:val="16"/>
          <w:color w:val="auto"/>
        </w:rPr>
        <w:t>management business</w:t>
      </w:r>
    </w:p>
    <w:p>
      <w:pPr>
        <w:spacing w:after="0" w:line="29"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Chief Financial Officer (2018 - 2020)</w:t>
      </w:r>
    </w:p>
    <w:p>
      <w:pPr>
        <w:spacing w:after="0" w:line="67" w:lineRule="exact"/>
        <w:rPr>
          <w:rFonts w:ascii="Arial" w:cs="Arial" w:eastAsia="Arial" w:hAnsi="Arial"/>
          <w:sz w:val="16"/>
          <w:szCs w:val="16"/>
          <w:color w:val="auto"/>
        </w:rPr>
      </w:pPr>
    </w:p>
    <w:p>
      <w:pPr>
        <w:ind w:left="640" w:hanging="312"/>
        <w:spacing w:after="0"/>
        <w:tabs>
          <w:tab w:leader="none" w:pos="640" w:val="left"/>
        </w:tabs>
        <w:numPr>
          <w:ilvl w:val="0"/>
          <w:numId w:val="49"/>
        </w:numPr>
        <w:rPr>
          <w:rFonts w:ascii="Arial" w:cs="Arial" w:eastAsia="Arial" w:hAnsi="Arial"/>
          <w:sz w:val="16"/>
          <w:szCs w:val="16"/>
          <w:color w:val="auto"/>
        </w:rPr>
      </w:pPr>
      <w:r>
        <w:rPr>
          <w:rFonts w:ascii="Arial" w:cs="Arial" w:eastAsia="Arial" w:hAnsi="Arial"/>
          <w:sz w:val="18"/>
          <w:szCs w:val="18"/>
          <w:b w:val="1"/>
          <w:bCs w:val="1"/>
          <w:color w:val="auto"/>
        </w:rPr>
        <w:t xml:space="preserve">Nielsen Holdings plc, </w:t>
      </w:r>
      <w:r>
        <w:rPr>
          <w:rFonts w:ascii="Arial" w:cs="Arial" w:eastAsia="Arial" w:hAnsi="Arial"/>
          <w:sz w:val="16"/>
          <w:szCs w:val="16"/>
          <w:color w:val="auto"/>
        </w:rPr>
        <w:t>a global measurement and data analytics company</w:t>
      </w:r>
    </w:p>
    <w:p>
      <w:pPr>
        <w:spacing w:after="0" w:line="54"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Chief Financial Officer (2014 - 2018)</w:t>
      </w:r>
    </w:p>
    <w:p>
      <w:pPr>
        <w:spacing w:after="0" w:line="67" w:lineRule="exact"/>
        <w:rPr>
          <w:rFonts w:ascii="Arial" w:cs="Arial" w:eastAsia="Arial" w:hAnsi="Arial"/>
          <w:sz w:val="16"/>
          <w:szCs w:val="16"/>
          <w:color w:val="auto"/>
        </w:rPr>
      </w:pPr>
    </w:p>
    <w:p>
      <w:pPr>
        <w:ind w:left="660" w:right="1499" w:hanging="332"/>
        <w:spacing w:after="0" w:line="228" w:lineRule="auto"/>
        <w:tabs>
          <w:tab w:leader="none" w:pos="649" w:val="left"/>
        </w:tabs>
        <w:numPr>
          <w:ilvl w:val="0"/>
          <w:numId w:val="49"/>
        </w:numPr>
        <w:rPr>
          <w:rFonts w:ascii="Arial" w:cs="Arial" w:eastAsia="Arial" w:hAnsi="Arial"/>
          <w:sz w:val="16"/>
          <w:szCs w:val="16"/>
          <w:color w:val="auto"/>
        </w:rPr>
      </w:pPr>
      <w:r>
        <w:rPr>
          <w:rFonts w:ascii="Arial" w:cs="Arial" w:eastAsia="Arial" w:hAnsi="Arial"/>
          <w:sz w:val="18"/>
          <w:szCs w:val="18"/>
          <w:b w:val="1"/>
          <w:bCs w:val="1"/>
          <w:color w:val="auto"/>
        </w:rPr>
        <w:t xml:space="preserve">General Electric Corporation, </w:t>
      </w:r>
      <w:r>
        <w:rPr>
          <w:rFonts w:ascii="Arial" w:cs="Arial" w:eastAsia="Arial" w:hAnsi="Arial"/>
          <w:sz w:val="16"/>
          <w:szCs w:val="16"/>
          <w:color w:val="auto"/>
        </w:rPr>
        <w:t>an American multinational company and</w:t>
      </w:r>
      <w:r>
        <w:rPr>
          <w:rFonts w:ascii="Arial" w:cs="Arial" w:eastAsia="Arial" w:hAnsi="Arial"/>
          <w:sz w:val="18"/>
          <w:szCs w:val="18"/>
          <w:b w:val="1"/>
          <w:bCs w:val="1"/>
          <w:color w:val="auto"/>
        </w:rPr>
        <w:t xml:space="preserve"> </w:t>
      </w:r>
      <w:r>
        <w:rPr>
          <w:rFonts w:ascii="Arial" w:cs="Arial" w:eastAsia="Arial" w:hAnsi="Arial"/>
          <w:sz w:val="16"/>
          <w:szCs w:val="16"/>
          <w:color w:val="auto"/>
        </w:rPr>
        <w:t>leader in the power renewable energy, aviation and healthcare industries</w:t>
      </w:r>
    </w:p>
    <w:p>
      <w:pPr>
        <w:spacing w:after="0" w:line="16" w:lineRule="exact"/>
        <w:rPr>
          <w:rFonts w:ascii="Arial" w:cs="Arial" w:eastAsia="Arial" w:hAnsi="Arial"/>
          <w:sz w:val="16"/>
          <w:szCs w:val="16"/>
          <w:color w:val="auto"/>
        </w:rPr>
      </w:pPr>
    </w:p>
    <w:p>
      <w:pPr>
        <w:ind w:left="980" w:right="1439" w:hanging="324"/>
        <w:spacing w:after="0" w:line="272" w:lineRule="auto"/>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Vice President and Chief Financial Officer, General Electric Oil and Gas,</w:t>
      </w:r>
      <w:r>
        <w:rPr>
          <w:rFonts w:ascii="Arial" w:cs="Arial" w:eastAsia="Arial" w:hAnsi="Arial"/>
          <w:sz w:val="14"/>
          <w:szCs w:val="14"/>
          <w:color w:val="auto"/>
        </w:rPr>
        <w:t xml:space="preserve"> </w:t>
      </w:r>
      <w:r>
        <w:rPr>
          <w:rFonts w:ascii="Arial" w:cs="Arial" w:eastAsia="Arial" w:hAnsi="Arial"/>
          <w:sz w:val="16"/>
          <w:szCs w:val="16"/>
          <w:color w:val="auto"/>
        </w:rPr>
        <w:t>drilling and surface division (2013 - 2014)</w:t>
      </w: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Senior Executive, Finance, General Electric Aviation (2007 - 2013)</w:t>
      </w:r>
    </w:p>
    <w:p>
      <w:pPr>
        <w:spacing w:after="0" w:line="33"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Finance Executive, General Electric Corporate (2004 - 2007)</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OTHER HIGHLIGHTS</w:t>
      </w:r>
    </w:p>
    <w:p>
      <w:pPr>
        <w:spacing w:after="0" w:line="68" w:lineRule="exact"/>
        <w:rPr>
          <w:sz w:val="20"/>
          <w:szCs w:val="20"/>
          <w:color w:val="auto"/>
        </w:rPr>
      </w:pPr>
    </w:p>
    <w:p>
      <w:pPr>
        <w:ind w:left="640" w:hanging="312"/>
        <w:spacing w:after="0"/>
        <w:tabs>
          <w:tab w:leader="none" w:pos="6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Certified Public Accountant</w:t>
      </w:r>
    </w:p>
    <w:p>
      <w:pPr>
        <w:spacing w:after="0" w:line="59" w:lineRule="exact"/>
        <w:rPr>
          <w:rFonts w:ascii="Arial" w:cs="Arial" w:eastAsia="Arial" w:hAnsi="Arial"/>
          <w:sz w:val="16"/>
          <w:szCs w:val="16"/>
          <w:color w:val="auto"/>
        </w:rPr>
      </w:pPr>
    </w:p>
    <w:p>
      <w:pPr>
        <w:ind w:left="640" w:hanging="312"/>
        <w:spacing w:after="0"/>
        <w:tabs>
          <w:tab w:leader="none" w:pos="6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Not-for-profit boards of directors:</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   Youth Villages</w:t>
      </w:r>
    </w:p>
    <w:p>
      <w:pPr>
        <w:spacing w:after="0" w:line="59"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   Future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2583815</wp:posOffset>
            </wp:positionV>
            <wp:extent cx="213995" cy="2146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3995" cy="214630"/>
                    </a:xfrm>
                    <a:prstGeom prst="rect">
                      <a:avLst/>
                    </a:prstGeom>
                    <a:noFill/>
                  </pic:spPr>
                </pic:pic>
              </a:graphicData>
            </a:graphic>
          </wp:anchor>
        </w:drawing>
        <w:drawing>
          <wp:anchor simplePos="0" relativeHeight="251657728" behindDoc="1" locked="0" layoutInCell="0" allowOverlap="1">
            <wp:simplePos x="0" y="0"/>
            <wp:positionH relativeFrom="column">
              <wp:posOffset>856615</wp:posOffset>
            </wp:positionH>
            <wp:positionV relativeFrom="paragraph">
              <wp:posOffset>2583815</wp:posOffset>
            </wp:positionV>
            <wp:extent cx="214630" cy="2146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1782445</wp:posOffset>
            </wp:positionH>
            <wp:positionV relativeFrom="paragraph">
              <wp:posOffset>2583815</wp:posOffset>
            </wp:positionV>
            <wp:extent cx="214630" cy="2146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2583815</wp:posOffset>
            </wp:positionV>
            <wp:extent cx="214630" cy="2146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560"/>
            <w:col w:w="7579"/>
          </w:cols>
          <w:pgMar w:left="340" w:top="9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1600" w:type="dxa"/>
        <w:tblCellMar>
          <w:top w:w="0" w:type="dxa"/>
          <w:left w:w="0" w:type="dxa"/>
          <w:bottom w:w="0" w:type="dxa"/>
          <w:right w:w="0" w:type="dxa"/>
        </w:tblCellMar>
      </w:tblPr>
      <w:tr>
        <w:trPr>
          <w:trHeight w:val="176"/>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w w:val="98"/>
              </w:rPr>
              <w:t>CEO</w:t>
            </w:r>
          </w:p>
        </w:tc>
        <w:tc>
          <w:tcPr>
            <w:tcW w:w="80" w:type="dxa"/>
            <w:vAlign w:val="bottom"/>
          </w:tcPr>
          <w:p>
            <w:pPr>
              <w:spacing w:after="0"/>
              <w:rPr>
                <w:sz w:val="15"/>
                <w:szCs w:val="15"/>
                <w:color w:val="auto"/>
              </w:rPr>
            </w:pPr>
          </w:p>
        </w:tc>
        <w:tc>
          <w:tcPr>
            <w:tcW w:w="1300" w:type="dxa"/>
            <w:vAlign w:val="bottom"/>
          </w:tcPr>
          <w:p>
            <w:pPr>
              <w:jc w:val="center"/>
              <w:ind w:right="528"/>
              <w:spacing w:after="0"/>
              <w:rPr>
                <w:sz w:val="20"/>
                <w:szCs w:val="20"/>
                <w:color w:val="auto"/>
              </w:rPr>
            </w:pPr>
            <w:r>
              <w:rPr>
                <w:rFonts w:ascii="Arial" w:cs="Arial" w:eastAsia="Arial" w:hAnsi="Arial"/>
                <w:sz w:val="14"/>
                <w:szCs w:val="14"/>
                <w:b w:val="1"/>
                <w:bCs w:val="1"/>
                <w:color w:val="auto"/>
              </w:rPr>
              <w:t>Finance /</w:t>
            </w:r>
          </w:p>
        </w:tc>
        <w:tc>
          <w:tcPr>
            <w:tcW w:w="1320" w:type="dxa"/>
            <w:vAlign w:val="bottom"/>
          </w:tcPr>
          <w:p>
            <w:pPr>
              <w:jc w:val="center"/>
              <w:ind w:right="308"/>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rPr>
              <w:t>Healthcare</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Science /</w:t>
            </w:r>
          </w:p>
        </w:tc>
        <w:tc>
          <w:tcPr>
            <w:tcW w:w="0" w:type="dxa"/>
            <w:vAlign w:val="bottom"/>
          </w:tcPr>
          <w:p>
            <w:pPr>
              <w:spacing w:after="0"/>
              <w:rPr>
                <w:sz w:val="1"/>
                <w:szCs w:val="1"/>
                <w:color w:val="auto"/>
              </w:rPr>
            </w:pPr>
          </w:p>
        </w:tc>
      </w:tr>
      <w:tr>
        <w:trPr>
          <w:trHeight w:val="196"/>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rPr>
              <w:t>Leadership</w:t>
            </w:r>
          </w:p>
        </w:tc>
        <w:tc>
          <w:tcPr>
            <w:tcW w:w="1380" w:type="dxa"/>
            <w:vAlign w:val="bottom"/>
            <w:gridSpan w:val="2"/>
          </w:tcPr>
          <w:p>
            <w:pPr>
              <w:jc w:val="center"/>
              <w:ind w:right="468"/>
              <w:spacing w:after="0"/>
              <w:rPr>
                <w:sz w:val="20"/>
                <w:szCs w:val="20"/>
                <w:color w:val="auto"/>
              </w:rPr>
            </w:pPr>
            <w:r>
              <w:rPr>
                <w:rFonts w:ascii="Arial" w:cs="Arial" w:eastAsia="Arial" w:hAnsi="Arial"/>
                <w:sz w:val="14"/>
                <w:szCs w:val="14"/>
                <w:b w:val="1"/>
                <w:bCs w:val="1"/>
                <w:color w:val="auto"/>
              </w:rPr>
              <w:t>Accounting</w:t>
            </w:r>
          </w:p>
        </w:tc>
        <w:tc>
          <w:tcPr>
            <w:tcW w:w="1320" w:type="dxa"/>
            <w:vAlign w:val="bottom"/>
          </w:tcPr>
          <w:p>
            <w:pPr>
              <w:jc w:val="center"/>
              <w:ind w:right="328"/>
              <w:spacing w:after="0"/>
              <w:rPr>
                <w:sz w:val="20"/>
                <w:szCs w:val="20"/>
                <w:color w:val="auto"/>
              </w:rPr>
            </w:pPr>
            <w:r>
              <w:rPr>
                <w:rFonts w:ascii="Arial" w:cs="Arial" w:eastAsia="Arial" w:hAnsi="Arial"/>
                <w:sz w:val="14"/>
                <w:szCs w:val="14"/>
                <w:b w:val="1"/>
                <w:bCs w:val="1"/>
                <w:color w:val="auto"/>
              </w:rPr>
              <w:t>Business</w:t>
            </w:r>
          </w:p>
        </w:tc>
        <w:tc>
          <w:tcPr>
            <w:tcW w:w="260" w:type="dxa"/>
            <w:vAlign w:val="bottom"/>
          </w:tcPr>
          <w:p>
            <w:pPr>
              <w:spacing w:after="0"/>
              <w:rPr>
                <w:sz w:val="17"/>
                <w:szCs w:val="17"/>
                <w:color w:val="auto"/>
              </w:rPr>
            </w:pPr>
          </w:p>
        </w:tc>
        <w:tc>
          <w:tcPr>
            <w:tcW w:w="1220" w:type="dxa"/>
            <w:vAlign w:val="bottom"/>
          </w:tcPr>
          <w:p>
            <w:pPr>
              <w:jc w:val="center"/>
              <w:ind w:right="568"/>
              <w:spacing w:after="0"/>
              <w:rPr>
                <w:sz w:val="20"/>
                <w:szCs w:val="20"/>
                <w:color w:val="auto"/>
              </w:rPr>
            </w:pPr>
            <w:r>
              <w:rPr>
                <w:rFonts w:ascii="Arial" w:cs="Arial" w:eastAsia="Arial" w:hAnsi="Arial"/>
                <w:sz w:val="14"/>
                <w:szCs w:val="14"/>
                <w:b w:val="1"/>
                <w:bCs w:val="1"/>
                <w:color w:val="auto"/>
              </w:rPr>
              <w:t>Industry</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w w:val="99"/>
              </w:rPr>
              <w:t>Academia</w:t>
            </w:r>
          </w:p>
        </w:tc>
        <w:tc>
          <w:tcPr>
            <w:tcW w:w="0" w:type="dxa"/>
            <w:vAlign w:val="bottom"/>
          </w:tcPr>
          <w:p>
            <w:pPr>
              <w:spacing w:after="0"/>
              <w:rPr>
                <w:sz w:val="1"/>
                <w:szCs w:val="1"/>
                <w:color w:val="auto"/>
              </w:rPr>
            </w:pPr>
          </w:p>
        </w:tc>
      </w:tr>
      <w:tr>
        <w:trPr>
          <w:trHeight w:val="438"/>
        </w:trPr>
        <w:tc>
          <w:tcPr>
            <w:tcW w:w="1340" w:type="dxa"/>
            <w:vAlign w:val="bottom"/>
          </w:tcPr>
          <w:p>
            <w:pPr>
              <w:ind w:left="480"/>
              <w:spacing w:after="0"/>
              <w:rPr>
                <w:sz w:val="20"/>
                <w:szCs w:val="20"/>
                <w:color w:val="auto"/>
              </w:rPr>
            </w:pPr>
            <w:r>
              <w:rPr>
                <w:rFonts w:ascii="Arial" w:cs="Arial" w:eastAsia="Arial" w:hAnsi="Arial"/>
                <w:sz w:val="14"/>
                <w:szCs w:val="14"/>
                <w:b w:val="1"/>
                <w:bCs w:val="1"/>
                <w:color w:val="auto"/>
              </w:rPr>
              <w:t>Government</w:t>
            </w:r>
          </w:p>
        </w:tc>
        <w:tc>
          <w:tcPr>
            <w:tcW w:w="80" w:type="dxa"/>
            <w:vAlign w:val="bottom"/>
          </w:tcPr>
          <w:p>
            <w:pPr>
              <w:spacing w:after="0"/>
              <w:rPr>
                <w:sz w:val="24"/>
                <w:szCs w:val="24"/>
                <w:color w:val="auto"/>
              </w:rPr>
            </w:pPr>
          </w:p>
        </w:tc>
        <w:tc>
          <w:tcPr>
            <w:tcW w:w="13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Sales /</w:t>
            </w:r>
          </w:p>
        </w:tc>
        <w:tc>
          <w:tcPr>
            <w:tcW w:w="15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w w:val="99"/>
              </w:rPr>
              <w:t>Technology /</w:t>
            </w:r>
          </w:p>
        </w:tc>
        <w:tc>
          <w:tcPr>
            <w:tcW w:w="192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Operations /</w:t>
            </w:r>
          </w:p>
        </w:tc>
        <w:tc>
          <w:tcPr>
            <w:tcW w:w="0" w:type="dxa"/>
            <w:vAlign w:val="bottom"/>
          </w:tcPr>
          <w:p>
            <w:pPr>
              <w:spacing w:after="0"/>
              <w:rPr>
                <w:sz w:val="1"/>
                <w:szCs w:val="1"/>
                <w:color w:val="auto"/>
              </w:rPr>
            </w:pPr>
          </w:p>
        </w:tc>
      </w:tr>
      <w:tr>
        <w:trPr>
          <w:trHeight w:val="144"/>
        </w:trPr>
        <w:tc>
          <w:tcPr>
            <w:tcW w:w="1340" w:type="dxa"/>
            <w:vAlign w:val="bottom"/>
          </w:tcPr>
          <w:p>
            <w:pPr>
              <w:ind w:left="480"/>
              <w:spacing w:after="0" w:line="145" w:lineRule="exact"/>
              <w:rPr>
                <w:sz w:val="20"/>
                <w:szCs w:val="20"/>
                <w:color w:val="auto"/>
              </w:rPr>
            </w:pPr>
            <w:r>
              <w:rPr>
                <w:rFonts w:ascii="Arial" w:cs="Arial" w:eastAsia="Arial" w:hAnsi="Arial"/>
                <w:sz w:val="14"/>
                <w:szCs w:val="14"/>
                <w:b w:val="1"/>
                <w:bCs w:val="1"/>
                <w:color w:val="auto"/>
              </w:rPr>
              <w:t>Relations /</w:t>
            </w:r>
          </w:p>
        </w:tc>
        <w:tc>
          <w:tcPr>
            <w:tcW w:w="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420" w:type="dxa"/>
            <w:vAlign w:val="bottom"/>
            <w:gridSpan w:val="2"/>
          </w:tcPr>
          <w:p>
            <w:pPr>
              <w:ind w:left="480"/>
              <w:spacing w:after="0"/>
              <w:rPr>
                <w:sz w:val="20"/>
                <w:szCs w:val="20"/>
                <w:color w:val="auto"/>
              </w:rPr>
            </w:pPr>
            <w:r>
              <w:rPr>
                <w:rFonts w:ascii="Arial" w:cs="Arial" w:eastAsia="Arial" w:hAnsi="Arial"/>
                <w:sz w:val="14"/>
                <w:szCs w:val="14"/>
                <w:b w:val="1"/>
                <w:bCs w:val="1"/>
                <w:color w:val="auto"/>
              </w:rPr>
              <w:t>Public Policy</w:t>
            </w:r>
          </w:p>
        </w:tc>
        <w:tc>
          <w:tcPr>
            <w:tcW w:w="1300" w:type="dxa"/>
            <w:vAlign w:val="bottom"/>
          </w:tcPr>
          <w:p>
            <w:pPr>
              <w:ind w:left="600"/>
              <w:spacing w:after="0"/>
              <w:rPr>
                <w:sz w:val="20"/>
                <w:szCs w:val="20"/>
                <w:color w:val="auto"/>
              </w:rPr>
            </w:pPr>
            <w:r>
              <w:rPr>
                <w:rFonts w:ascii="Arial" w:cs="Arial" w:eastAsia="Arial" w:hAnsi="Arial"/>
                <w:sz w:val="14"/>
                <w:szCs w:val="14"/>
                <w:b w:val="1"/>
                <w:bCs w:val="1"/>
                <w:color w:val="auto"/>
              </w:rPr>
              <w:t>Marketing</w:t>
            </w:r>
          </w:p>
        </w:tc>
        <w:tc>
          <w:tcPr>
            <w:tcW w:w="1320" w:type="dxa"/>
            <w:vAlign w:val="bottom"/>
          </w:tcPr>
          <w:p>
            <w:pPr>
              <w:ind w:left="700"/>
              <w:spacing w:after="0"/>
              <w:rPr>
                <w:sz w:val="20"/>
                <w:szCs w:val="20"/>
                <w:color w:val="auto"/>
              </w:rPr>
            </w:pPr>
            <w:r>
              <w:rPr>
                <w:rFonts w:ascii="Arial" w:cs="Arial" w:eastAsia="Arial" w:hAnsi="Arial"/>
                <w:sz w:val="14"/>
                <w:szCs w:val="14"/>
                <w:b w:val="1"/>
                <w:bCs w:val="1"/>
                <w:color w:val="auto"/>
              </w:rPr>
              <w:t>Digital</w:t>
            </w:r>
          </w:p>
        </w:tc>
        <w:tc>
          <w:tcPr>
            <w:tcW w:w="260" w:type="dxa"/>
            <w:vAlign w:val="bottom"/>
          </w:tcPr>
          <w:p>
            <w:pPr>
              <w:spacing w:after="0"/>
              <w:rPr>
                <w:sz w:val="17"/>
                <w:szCs w:val="17"/>
                <w:color w:val="auto"/>
              </w:rPr>
            </w:pP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Strategy</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1029335</wp:posOffset>
            </wp:positionH>
            <wp:positionV relativeFrom="paragraph">
              <wp:posOffset>-264160</wp:posOffset>
            </wp:positionV>
            <wp:extent cx="214630" cy="2139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4630" cy="213995"/>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-264160</wp:posOffset>
            </wp:positionV>
            <wp:extent cx="214630" cy="2139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4630" cy="213995"/>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-264160</wp:posOffset>
            </wp:positionV>
            <wp:extent cx="214630" cy="2139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4630" cy="213995"/>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-264160</wp:posOffset>
            </wp:positionV>
            <wp:extent cx="214630" cy="2139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4630" cy="213995"/>
                    </a:xfrm>
                    <a:prstGeom prst="rect">
                      <a:avLst/>
                    </a:prstGeom>
                    <a:noFill/>
                  </pic:spPr>
                </pic:pic>
              </a:graphicData>
            </a:graphic>
          </wp:anchor>
        </w:drawing>
      </w:r>
    </w:p>
    <w:p>
      <w:pPr>
        <w:sectPr>
          <w:pgSz w:w="11900" w:h="16838" w:orient="portrait"/>
          <w:cols w:equalWidth="0" w:num="1">
            <w:col w:w="10119"/>
          </w:cols>
          <w:pgMar w:left="340" w:top="931" w:right="1440"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154940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931" w:right="1440" w:bottom="1440" w:gutter="0" w:footer="0" w:header="0"/>
          <w:type w:val="continuous"/>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817245</wp:posOffset>
            </wp:positionV>
            <wp:extent cx="1311275" cy="13112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clrChange>
                        <a:clrFrom>
                          <a:srgbClr val="FFFFFF"/>
                        </a:clrFrom>
                        <a:clrTo>
                          <a:srgbClr val="FFFFFF">
                            <a:alpha val="0"/>
                          </a:srgbClr>
                        </a:clrTo>
                      </a:clrChange>
                      <a:extLst>
                        <a:ext uri="{28A0092B-C50C-407E-A947-70E740481C1C}"/>
                      </a:extLst>
                    </a:blip>
                    <a:srcRect/>
                    <a:stretch>
                      <a:fillRect/>
                    </a:stretch>
                  </pic:blipFill>
                  <pic:spPr bwMode="auto">
                    <a:xfrm>
                      <a:off x="0" y="0"/>
                      <a:ext cx="131127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EF3729"/>
        </w:rPr>
        <w:t>Gabrielle Sulzberger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14312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Audit</w:t>
      </w:r>
    </w:p>
    <w:p>
      <w:pPr>
        <w:spacing w:after="0" w:line="59" w:lineRule="exact"/>
        <w:rPr>
          <w:sz w:val="20"/>
          <w:szCs w:val="20"/>
          <w:color w:val="auto"/>
        </w:rPr>
      </w:pPr>
    </w:p>
    <w:p>
      <w:pPr>
        <w:ind w:left="340" w:right="100" w:hanging="162"/>
        <w:spacing w:after="0" w:line="290" w:lineRule="auto"/>
        <w:rPr>
          <w:sz w:val="20"/>
          <w:szCs w:val="20"/>
          <w:color w:val="auto"/>
        </w:rPr>
      </w:pPr>
      <w:r>
        <w:rPr>
          <w:rFonts w:ascii="Arial" w:cs="Arial" w:eastAsia="Arial" w:hAnsi="Arial"/>
          <w:sz w:val="16"/>
          <w:szCs w:val="16"/>
          <w:color w:val="auto"/>
        </w:rPr>
        <w:t>– Directors and Corporate Governance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Boards: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Mastercard Incorporated</w:t>
      </w:r>
    </w:p>
    <w:p>
      <w:pPr>
        <w:spacing w:after="0" w:line="72" w:lineRule="exact"/>
        <w:rPr>
          <w:sz w:val="20"/>
          <w:szCs w:val="20"/>
          <w:color w:val="auto"/>
        </w:rPr>
      </w:pPr>
    </w:p>
    <w:p>
      <w:pPr>
        <w:ind w:left="340" w:right="300" w:hanging="162"/>
        <w:spacing w:after="0" w:line="286" w:lineRule="auto"/>
        <w:rPr>
          <w:sz w:val="20"/>
          <w:szCs w:val="20"/>
          <w:color w:val="auto"/>
        </w:rPr>
      </w:pPr>
      <w:r>
        <w:rPr>
          <w:rFonts w:ascii="Arial" w:cs="Arial" w:eastAsia="Arial" w:hAnsi="Arial"/>
          <w:sz w:val="16"/>
          <w:szCs w:val="16"/>
          <w:color w:val="auto"/>
        </w:rPr>
        <w:t>– Cerevel Therapeutics Holdings, Inc.</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Warby Parker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Prior Public Boards:</w:t>
      </w:r>
    </w:p>
    <w:p>
      <w:pPr>
        <w:spacing w:after="0" w:line="59" w:lineRule="exact"/>
        <w:rPr>
          <w:sz w:val="20"/>
          <w:szCs w:val="20"/>
          <w:color w:val="auto"/>
        </w:rPr>
      </w:pPr>
    </w:p>
    <w:p>
      <w:pPr>
        <w:ind w:left="340" w:right="340" w:hanging="162"/>
        <w:spacing w:after="0" w:line="290" w:lineRule="auto"/>
        <w:rPr>
          <w:sz w:val="20"/>
          <w:szCs w:val="20"/>
          <w:color w:val="auto"/>
        </w:rPr>
      </w:pPr>
      <w:r>
        <w:rPr>
          <w:rFonts w:ascii="Arial" w:cs="Arial" w:eastAsia="Arial" w:hAnsi="Arial"/>
          <w:sz w:val="16"/>
          <w:szCs w:val="16"/>
          <w:color w:val="auto"/>
        </w:rPr>
        <w:t>– Teva Pharmaceutical Industries Limited</w:t>
      </w:r>
    </w:p>
    <w:p>
      <w:pPr>
        <w:ind w:left="340" w:right="120" w:hanging="162"/>
        <w:spacing w:after="0" w:line="290" w:lineRule="auto"/>
        <w:rPr>
          <w:sz w:val="20"/>
          <w:szCs w:val="20"/>
          <w:color w:val="auto"/>
        </w:rPr>
      </w:pPr>
      <w:r>
        <w:rPr>
          <w:rFonts w:ascii="Arial" w:cs="Arial" w:eastAsia="Arial" w:hAnsi="Arial"/>
          <w:sz w:val="16"/>
          <w:szCs w:val="16"/>
          <w:color w:val="auto"/>
        </w:rPr>
        <w:t>– Brixmor Property Group Inc.</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925830" cy="3086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925830" cy="308610"/>
                    </a:xfrm>
                    <a:prstGeom prst="rect">
                      <a:avLst/>
                    </a:prstGeom>
                    <a:noFill/>
                  </pic:spPr>
                </pic:pic>
              </a:graphicData>
            </a:graphic>
          </wp:anchor>
        </w:drawing>
        <w:drawing>
          <wp:anchor simplePos="0" relativeHeight="251657728" behindDoc="1" locked="0" layoutInCell="0" allowOverlap="1">
            <wp:simplePos x="0" y="0"/>
            <wp:positionH relativeFrom="column">
              <wp:posOffset>746760</wp:posOffset>
            </wp:positionH>
            <wp:positionV relativeFrom="paragraph">
              <wp:posOffset>3321050</wp:posOffset>
            </wp:positionV>
            <wp:extent cx="214630" cy="2146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FFFFFF"/>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-135890</wp:posOffset>
            </wp:positionV>
            <wp:extent cx="4260215" cy="22974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260215" cy="2297430"/>
                    </a:xfrm>
                    <a:prstGeom prst="rect">
                      <a:avLst/>
                    </a:prstGeom>
                    <a:noFill/>
                  </pic:spPr>
                </pic:pic>
              </a:graphicData>
            </a:graphic>
          </wp:anchor>
        </w:drawing>
      </w:r>
    </w:p>
    <w:p>
      <w:pPr>
        <w:spacing w:after="0" w:line="144" w:lineRule="exact"/>
        <w:rPr>
          <w:sz w:val="20"/>
          <w:szCs w:val="20"/>
          <w:color w:val="auto"/>
        </w:rPr>
      </w:pPr>
    </w:p>
    <w:p>
      <w:pPr>
        <w:ind w:right="1459"/>
        <w:spacing w:after="0" w:line="280" w:lineRule="auto"/>
        <w:rPr>
          <w:sz w:val="20"/>
          <w:szCs w:val="20"/>
          <w:color w:val="auto"/>
        </w:rPr>
      </w:pPr>
      <w:r>
        <w:rPr>
          <w:rFonts w:ascii="Arial" w:cs="Arial" w:eastAsia="Arial" w:hAnsi="Arial"/>
          <w:sz w:val="16"/>
          <w:szCs w:val="16"/>
          <w:i w:val="1"/>
          <w:iCs w:val="1"/>
          <w:color w:val="auto"/>
        </w:rPr>
        <w:t>Ms. Sulzberger brings over 30 years of experience advising public and privately held companies in consumer products, retail, financial services, and life sciences.</w:t>
      </w:r>
    </w:p>
    <w:p>
      <w:pPr>
        <w:spacing w:after="0" w:line="1" w:lineRule="exact"/>
        <w:rPr>
          <w:sz w:val="20"/>
          <w:szCs w:val="20"/>
          <w:color w:val="auto"/>
        </w:rPr>
      </w:pPr>
    </w:p>
    <w:p>
      <w:pPr>
        <w:ind w:left="640" w:right="1299" w:hanging="325"/>
        <w:spacing w:after="0" w:line="281" w:lineRule="auto"/>
        <w:tabs>
          <w:tab w:leader="none" w:pos="636" w:val="left"/>
        </w:tabs>
        <w:numPr>
          <w:ilvl w:val="0"/>
          <w:numId w:val="53"/>
        </w:numPr>
        <w:rPr>
          <w:rFonts w:ascii="Times New Roman" w:cs="Times New Roman" w:eastAsia="Times New Roman" w:hAnsi="Times New Roman"/>
          <w:sz w:val="14"/>
          <w:szCs w:val="14"/>
          <w:color w:val="auto"/>
        </w:rPr>
      </w:pPr>
      <w:r>
        <w:rPr>
          <w:rFonts w:ascii="Arial" w:cs="Arial" w:eastAsia="Arial" w:hAnsi="Arial"/>
          <w:sz w:val="16"/>
          <w:szCs w:val="16"/>
          <w:color w:val="auto"/>
        </w:rPr>
        <w:t>Ms. Sulzberger’s career in private equity has given her valuable experience in helping companies navigate disruption and transformation, engage with shareholders, and position businesses for growth and success.</w:t>
      </w:r>
    </w:p>
    <w:p>
      <w:pPr>
        <w:spacing w:after="0" w:line="1" w:lineRule="exact"/>
        <w:rPr>
          <w:rFonts w:ascii="Times New Roman" w:cs="Times New Roman" w:eastAsia="Times New Roman" w:hAnsi="Times New Roman"/>
          <w:sz w:val="14"/>
          <w:szCs w:val="14"/>
          <w:color w:val="auto"/>
        </w:rPr>
      </w:pPr>
    </w:p>
    <w:p>
      <w:pPr>
        <w:ind w:left="640" w:right="1099" w:hanging="325"/>
        <w:spacing w:after="0" w:line="275" w:lineRule="auto"/>
        <w:tabs>
          <w:tab w:leader="none" w:pos="636" w:val="left"/>
        </w:tabs>
        <w:numPr>
          <w:ilvl w:val="0"/>
          <w:numId w:val="53"/>
        </w:numPr>
        <w:rPr>
          <w:rFonts w:ascii="Times New Roman" w:cs="Times New Roman" w:eastAsia="Times New Roman" w:hAnsi="Times New Roman"/>
          <w:sz w:val="14"/>
          <w:szCs w:val="14"/>
          <w:color w:val="auto"/>
        </w:rPr>
      </w:pPr>
      <w:r>
        <w:rPr>
          <w:rFonts w:ascii="Arial" w:cs="Arial" w:eastAsia="Arial" w:hAnsi="Arial"/>
          <w:sz w:val="16"/>
          <w:szCs w:val="16"/>
          <w:color w:val="auto"/>
        </w:rPr>
        <w:t>Ms. Sulzberger provides global perspective as the Chair of Global ESG Advisory at Teneo, supporting Lilly and the Board’s commitment to continuous progress and improving our positive impact on people, the planet and society.</w:t>
      </w:r>
    </w:p>
    <w:p>
      <w:pPr>
        <w:spacing w:after="0" w:line="15" w:lineRule="exact"/>
        <w:rPr>
          <w:rFonts w:ascii="Times New Roman" w:cs="Times New Roman" w:eastAsia="Times New Roman" w:hAnsi="Times New Roman"/>
          <w:sz w:val="14"/>
          <w:szCs w:val="14"/>
          <w:color w:val="auto"/>
        </w:rPr>
      </w:pPr>
    </w:p>
    <w:p>
      <w:pPr>
        <w:ind w:left="640" w:right="1239" w:hanging="325"/>
        <w:spacing w:after="0" w:line="275" w:lineRule="auto"/>
        <w:tabs>
          <w:tab w:leader="none" w:pos="636" w:val="left"/>
        </w:tabs>
        <w:numPr>
          <w:ilvl w:val="0"/>
          <w:numId w:val="53"/>
        </w:numPr>
        <w:rPr>
          <w:rFonts w:ascii="Times New Roman" w:cs="Times New Roman" w:eastAsia="Times New Roman" w:hAnsi="Times New Roman"/>
          <w:sz w:val="14"/>
          <w:szCs w:val="14"/>
          <w:color w:val="auto"/>
        </w:rPr>
      </w:pPr>
      <w:r>
        <w:rPr>
          <w:rFonts w:ascii="Arial" w:cs="Arial" w:eastAsia="Arial" w:hAnsi="Arial"/>
          <w:sz w:val="16"/>
          <w:szCs w:val="16"/>
          <w:color w:val="auto"/>
        </w:rPr>
        <w:t>Ms. Sulzberger developed deep corporate governance experience through her work with corporate boards, both as a board member and as a governance committee chair.</w:t>
      </w:r>
    </w:p>
    <w:p>
      <w:pPr>
        <w:spacing w:after="0" w:line="2" w:lineRule="exact"/>
        <w:rPr>
          <w:rFonts w:ascii="Times New Roman" w:cs="Times New Roman" w:eastAsia="Times New Roman" w:hAnsi="Times New Roman"/>
          <w:sz w:val="14"/>
          <w:szCs w:val="14"/>
          <w:color w:val="auto"/>
        </w:rPr>
      </w:pPr>
    </w:p>
    <w:p>
      <w:pPr>
        <w:ind w:left="640" w:right="1239" w:hanging="325"/>
        <w:spacing w:after="0" w:line="271" w:lineRule="auto"/>
        <w:tabs>
          <w:tab w:leader="none" w:pos="636" w:val="left"/>
        </w:tabs>
        <w:numPr>
          <w:ilvl w:val="0"/>
          <w:numId w:val="53"/>
        </w:numPr>
        <w:rPr>
          <w:rFonts w:ascii="Times New Roman" w:cs="Times New Roman" w:eastAsia="Times New Roman" w:hAnsi="Times New Roman"/>
          <w:sz w:val="14"/>
          <w:szCs w:val="14"/>
          <w:color w:val="auto"/>
        </w:rPr>
      </w:pPr>
      <w:r>
        <w:rPr>
          <w:rFonts w:ascii="Arial" w:cs="Arial" w:eastAsia="Arial" w:hAnsi="Arial"/>
          <w:sz w:val="16"/>
          <w:szCs w:val="16"/>
          <w:color w:val="auto"/>
        </w:rPr>
        <w:t>Ms. Sulzberger also draws on experiences from her prior service as chief financial officer of several public and private companies and audit committee chair of several public companies, providing leadership as an Audit Committee Financial Expert.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CAREER HIGHLIGHTS</w:t>
      </w:r>
    </w:p>
    <w:p>
      <w:pPr>
        <w:spacing w:after="0" w:line="63" w:lineRule="exact"/>
        <w:rPr>
          <w:sz w:val="20"/>
          <w:szCs w:val="20"/>
          <w:color w:val="auto"/>
        </w:rPr>
      </w:pPr>
    </w:p>
    <w:p>
      <w:pPr>
        <w:ind w:left="620" w:hanging="305"/>
        <w:spacing w:after="0"/>
        <w:tabs>
          <w:tab w:leader="none" w:pos="620" w:val="left"/>
        </w:tabs>
        <w:numPr>
          <w:ilvl w:val="0"/>
          <w:numId w:val="54"/>
        </w:numPr>
        <w:rPr>
          <w:rFonts w:ascii="Arial" w:cs="Arial" w:eastAsia="Arial" w:hAnsi="Arial"/>
          <w:sz w:val="16"/>
          <w:szCs w:val="16"/>
          <w:color w:val="auto"/>
        </w:rPr>
      </w:pPr>
      <w:r>
        <w:rPr>
          <w:rFonts w:ascii="Arial" w:cs="Arial" w:eastAsia="Arial" w:hAnsi="Arial"/>
          <w:sz w:val="18"/>
          <w:szCs w:val="18"/>
          <w:b w:val="1"/>
          <w:bCs w:val="1"/>
          <w:color w:val="auto"/>
        </w:rPr>
        <w:t xml:space="preserve">Teneo, </w:t>
      </w:r>
      <w:r>
        <w:rPr>
          <w:rFonts w:ascii="Arial" w:cs="Arial" w:eastAsia="Arial" w:hAnsi="Arial"/>
          <w:sz w:val="16"/>
          <w:szCs w:val="16"/>
          <w:color w:val="auto"/>
        </w:rPr>
        <w:t>a global CEO advisory firm</w:t>
      </w:r>
    </w:p>
    <w:p>
      <w:pPr>
        <w:spacing w:after="0" w:line="6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Chair of Global ESG Advisory (2021 - present)</w:t>
      </w:r>
    </w:p>
    <w:p>
      <w:pPr>
        <w:spacing w:after="0" w:line="54" w:lineRule="exact"/>
        <w:rPr>
          <w:rFonts w:ascii="Arial" w:cs="Arial" w:eastAsia="Arial" w:hAnsi="Arial"/>
          <w:sz w:val="16"/>
          <w:szCs w:val="16"/>
          <w:color w:val="auto"/>
        </w:rPr>
      </w:pPr>
    </w:p>
    <w:p>
      <w:pPr>
        <w:ind w:left="620" w:hanging="305"/>
        <w:spacing w:after="0"/>
        <w:tabs>
          <w:tab w:leader="none" w:pos="620" w:val="left"/>
        </w:tabs>
        <w:numPr>
          <w:ilvl w:val="0"/>
          <w:numId w:val="54"/>
        </w:numPr>
        <w:rPr>
          <w:rFonts w:ascii="Arial" w:cs="Arial" w:eastAsia="Arial" w:hAnsi="Arial"/>
          <w:sz w:val="16"/>
          <w:szCs w:val="16"/>
          <w:color w:val="auto"/>
        </w:rPr>
      </w:pPr>
      <w:r>
        <w:rPr>
          <w:rFonts w:ascii="Arial" w:cs="Arial" w:eastAsia="Arial" w:hAnsi="Arial"/>
          <w:sz w:val="18"/>
          <w:szCs w:val="18"/>
          <w:b w:val="1"/>
          <w:bCs w:val="1"/>
          <w:color w:val="auto"/>
        </w:rPr>
        <w:t>Two Sigma Impact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6"/>
          <w:szCs w:val="16"/>
          <w:color w:val="auto"/>
        </w:rPr>
        <w:t>a private equity firm based in New York, New York</w:t>
      </w:r>
    </w:p>
    <w:p>
      <w:pPr>
        <w:spacing w:after="0" w:line="6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Senior Advisor (2021 - present)</w:t>
      </w:r>
    </w:p>
    <w:p>
      <w:pPr>
        <w:spacing w:after="0" w:line="54" w:lineRule="exact"/>
        <w:rPr>
          <w:rFonts w:ascii="Arial" w:cs="Arial" w:eastAsia="Arial" w:hAnsi="Arial"/>
          <w:sz w:val="16"/>
          <w:szCs w:val="16"/>
          <w:color w:val="auto"/>
        </w:rPr>
      </w:pPr>
    </w:p>
    <w:p>
      <w:pPr>
        <w:ind w:left="620" w:hanging="305"/>
        <w:spacing w:after="0"/>
        <w:tabs>
          <w:tab w:leader="none" w:pos="620" w:val="left"/>
        </w:tabs>
        <w:numPr>
          <w:ilvl w:val="0"/>
          <w:numId w:val="54"/>
        </w:numPr>
        <w:rPr>
          <w:rFonts w:ascii="Arial" w:cs="Arial" w:eastAsia="Arial" w:hAnsi="Arial"/>
          <w:sz w:val="16"/>
          <w:szCs w:val="16"/>
          <w:color w:val="auto"/>
        </w:rPr>
      </w:pPr>
      <w:r>
        <w:rPr>
          <w:rFonts w:ascii="Arial" w:cs="Arial" w:eastAsia="Arial" w:hAnsi="Arial"/>
          <w:sz w:val="18"/>
          <w:szCs w:val="18"/>
          <w:b w:val="1"/>
          <w:bCs w:val="1"/>
          <w:color w:val="auto"/>
        </w:rPr>
        <w:t xml:space="preserve">Centerbridge Partners, </w:t>
      </w:r>
      <w:r>
        <w:rPr>
          <w:rFonts w:ascii="Arial" w:cs="Arial" w:eastAsia="Arial" w:hAnsi="Arial"/>
          <w:sz w:val="16"/>
          <w:szCs w:val="16"/>
          <w:color w:val="auto"/>
        </w:rPr>
        <w:t>a multidisciplinary investment firm</w:t>
      </w:r>
    </w:p>
    <w:p>
      <w:pPr>
        <w:spacing w:after="0" w:line="6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Senior Advisor (2021 - present)</w:t>
      </w:r>
    </w:p>
    <w:p>
      <w:pPr>
        <w:spacing w:after="0" w:line="67" w:lineRule="exact"/>
        <w:rPr>
          <w:rFonts w:ascii="Arial" w:cs="Arial" w:eastAsia="Arial" w:hAnsi="Arial"/>
          <w:sz w:val="16"/>
          <w:szCs w:val="16"/>
          <w:color w:val="auto"/>
        </w:rPr>
      </w:pPr>
    </w:p>
    <w:p>
      <w:pPr>
        <w:ind w:left="640" w:right="1719" w:hanging="325"/>
        <w:spacing w:after="0" w:line="264" w:lineRule="auto"/>
        <w:tabs>
          <w:tab w:leader="none" w:pos="629" w:val="left"/>
        </w:tabs>
        <w:numPr>
          <w:ilvl w:val="0"/>
          <w:numId w:val="54"/>
        </w:numPr>
        <w:rPr>
          <w:rFonts w:ascii="Arial" w:cs="Arial" w:eastAsia="Arial" w:hAnsi="Arial"/>
          <w:sz w:val="16"/>
          <w:szCs w:val="16"/>
          <w:color w:val="auto"/>
        </w:rPr>
      </w:pPr>
      <w:r>
        <w:rPr>
          <w:rFonts w:ascii="Arial" w:cs="Arial" w:eastAsia="Arial" w:hAnsi="Arial"/>
          <w:sz w:val="18"/>
          <w:szCs w:val="18"/>
          <w:b w:val="1"/>
          <w:bCs w:val="1"/>
          <w:color w:val="auto"/>
        </w:rPr>
        <w:t xml:space="preserve">Rustic Canyon/Fontis Partners L.P., </w:t>
      </w:r>
      <w:r>
        <w:rPr>
          <w:rFonts w:ascii="Arial" w:cs="Arial" w:eastAsia="Arial" w:hAnsi="Arial"/>
          <w:sz w:val="16"/>
          <w:szCs w:val="16"/>
          <w:color w:val="auto"/>
        </w:rPr>
        <w:t>a private equity firm based in</w:t>
      </w:r>
      <w:r>
        <w:rPr>
          <w:rFonts w:ascii="Arial" w:cs="Arial" w:eastAsia="Arial" w:hAnsi="Arial"/>
          <w:sz w:val="18"/>
          <w:szCs w:val="18"/>
          <w:b w:val="1"/>
          <w:bCs w:val="1"/>
          <w:color w:val="auto"/>
        </w:rPr>
        <w:t xml:space="preserve"> </w:t>
      </w:r>
      <w:r>
        <w:rPr>
          <w:rFonts w:ascii="Arial" w:cs="Arial" w:eastAsia="Arial" w:hAnsi="Arial"/>
          <w:sz w:val="16"/>
          <w:szCs w:val="16"/>
          <w:color w:val="auto"/>
        </w:rPr>
        <w:t>California</w:t>
      </w:r>
    </w:p>
    <w:p>
      <w:pPr>
        <w:spacing w:after="0" w:line="8"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General Partner (2005 - 2018)</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OTHER HIGHLIGHTS</w:t>
      </w:r>
    </w:p>
    <w:p>
      <w:pPr>
        <w:spacing w:after="0" w:line="95" w:lineRule="exact"/>
        <w:rPr>
          <w:sz w:val="20"/>
          <w:szCs w:val="20"/>
          <w:color w:val="auto"/>
        </w:rPr>
      </w:pPr>
    </w:p>
    <w:p>
      <w:pPr>
        <w:ind w:left="640" w:hanging="325"/>
        <w:spacing w:after="0"/>
        <w:tabs>
          <w:tab w:leader="none" w:pos="640" w:val="left"/>
        </w:tabs>
        <w:numPr>
          <w:ilvl w:val="0"/>
          <w:numId w:val="55"/>
        </w:numPr>
        <w:rPr>
          <w:rFonts w:ascii="Cambria" w:cs="Cambria" w:eastAsia="Cambria" w:hAnsi="Cambria"/>
          <w:sz w:val="16"/>
          <w:szCs w:val="16"/>
          <w:b w:val="1"/>
          <w:bCs w:val="1"/>
          <w:color w:val="auto"/>
        </w:rPr>
      </w:pPr>
      <w:r>
        <w:rPr>
          <w:rFonts w:ascii="Arial" w:cs="Arial" w:eastAsia="Arial" w:hAnsi="Arial"/>
          <w:sz w:val="16"/>
          <w:szCs w:val="16"/>
          <w:color w:val="auto"/>
        </w:rPr>
        <w:t>Director or Trustee of the following not-for-profit organizations:</w:t>
      </w:r>
    </w:p>
    <w:p>
      <w:pPr>
        <w:spacing w:after="0" w:line="55" w:lineRule="exact"/>
        <w:rPr>
          <w:rFonts w:ascii="Cambria" w:cs="Cambria" w:eastAsia="Cambria" w:hAnsi="Cambria"/>
          <w:sz w:val="16"/>
          <w:szCs w:val="16"/>
          <w:b w:val="1"/>
          <w:bCs w:val="1"/>
          <w:color w:val="auto"/>
        </w:rPr>
      </w:pPr>
    </w:p>
    <w:p>
      <w:pPr>
        <w:ind w:left="640"/>
        <w:spacing w:after="0"/>
        <w:rPr>
          <w:rFonts w:ascii="Cambria" w:cs="Cambria" w:eastAsia="Cambria" w:hAnsi="Cambria"/>
          <w:sz w:val="16"/>
          <w:szCs w:val="16"/>
          <w:b w:val="1"/>
          <w:bCs w:val="1"/>
          <w:color w:val="auto"/>
        </w:rPr>
      </w:pPr>
      <w:r>
        <w:rPr>
          <w:rFonts w:ascii="Arial" w:cs="Arial" w:eastAsia="Arial" w:hAnsi="Arial"/>
          <w:sz w:val="14"/>
          <w:szCs w:val="14"/>
          <w:color w:val="auto"/>
        </w:rPr>
        <w:t xml:space="preserve">–   </w:t>
      </w:r>
      <w:r>
        <w:rPr>
          <w:rFonts w:ascii="Arial" w:cs="Arial" w:eastAsia="Arial" w:hAnsi="Arial"/>
          <w:sz w:val="16"/>
          <w:szCs w:val="16"/>
          <w:color w:val="auto"/>
        </w:rPr>
        <w:t>Metropolitan Museum of Art</w:t>
      </w:r>
    </w:p>
    <w:p>
      <w:pPr>
        <w:spacing w:after="0" w:line="72" w:lineRule="exact"/>
        <w:rPr>
          <w:rFonts w:ascii="Cambria" w:cs="Cambria" w:eastAsia="Cambria" w:hAnsi="Cambria"/>
          <w:sz w:val="16"/>
          <w:szCs w:val="16"/>
          <w:b w:val="1"/>
          <w:bCs w:val="1"/>
          <w:color w:val="auto"/>
        </w:rPr>
      </w:pPr>
    </w:p>
    <w:p>
      <w:pPr>
        <w:ind w:left="640"/>
        <w:spacing w:after="0"/>
        <w:rPr>
          <w:rFonts w:ascii="Cambria" w:cs="Cambria" w:eastAsia="Cambria" w:hAnsi="Cambria"/>
          <w:sz w:val="16"/>
          <w:szCs w:val="16"/>
          <w:b w:val="1"/>
          <w:bCs w:val="1"/>
          <w:color w:val="auto"/>
        </w:rPr>
      </w:pPr>
      <w:r>
        <w:rPr>
          <w:rFonts w:ascii="Arial" w:cs="Arial" w:eastAsia="Arial" w:hAnsi="Arial"/>
          <w:sz w:val="14"/>
          <w:szCs w:val="14"/>
          <w:color w:val="auto"/>
        </w:rPr>
        <w:t xml:space="preserve">–   </w:t>
      </w:r>
      <w:r>
        <w:rPr>
          <w:rFonts w:ascii="Arial" w:cs="Arial" w:eastAsia="Arial" w:hAnsi="Arial"/>
          <w:sz w:val="16"/>
          <w:szCs w:val="16"/>
          <w:color w:val="auto"/>
        </w:rPr>
        <w:t>Ford Foundation</w:t>
      </w:r>
    </w:p>
    <w:p>
      <w:pPr>
        <w:spacing w:after="0" w:line="59" w:lineRule="exact"/>
        <w:rPr>
          <w:rFonts w:ascii="Cambria" w:cs="Cambria" w:eastAsia="Cambria" w:hAnsi="Cambria"/>
          <w:sz w:val="16"/>
          <w:szCs w:val="16"/>
          <w:b w:val="1"/>
          <w:bCs w:val="1"/>
          <w:color w:val="auto"/>
        </w:rPr>
      </w:pPr>
    </w:p>
    <w:p>
      <w:pPr>
        <w:ind w:left="640"/>
        <w:spacing w:after="0"/>
        <w:rPr>
          <w:rFonts w:ascii="Cambria" w:cs="Cambria" w:eastAsia="Cambria" w:hAnsi="Cambria"/>
          <w:sz w:val="16"/>
          <w:szCs w:val="16"/>
          <w:b w:val="1"/>
          <w:bCs w:val="1"/>
          <w:color w:val="auto"/>
        </w:rPr>
      </w:pPr>
      <w:r>
        <w:rPr>
          <w:rFonts w:ascii="Arial" w:cs="Arial" w:eastAsia="Arial" w:hAnsi="Arial"/>
          <w:sz w:val="14"/>
          <w:szCs w:val="14"/>
          <w:color w:val="auto"/>
        </w:rPr>
        <w:t xml:space="preserve">–   </w:t>
      </w:r>
      <w:r>
        <w:rPr>
          <w:rFonts w:ascii="Arial" w:cs="Arial" w:eastAsia="Arial" w:hAnsi="Arial"/>
          <w:sz w:val="16"/>
          <w:szCs w:val="16"/>
          <w:color w:val="auto"/>
        </w:rPr>
        <w:t>Trinity Church Wall Street</w:t>
      </w:r>
    </w:p>
    <w:p>
      <w:pPr>
        <w:spacing w:after="0" w:line="72" w:lineRule="exact"/>
        <w:rPr>
          <w:rFonts w:ascii="Cambria" w:cs="Cambria" w:eastAsia="Cambria" w:hAnsi="Cambria"/>
          <w:sz w:val="16"/>
          <w:szCs w:val="16"/>
          <w:b w:val="1"/>
          <w:bCs w:val="1"/>
          <w:color w:val="auto"/>
        </w:rPr>
      </w:pPr>
    </w:p>
    <w:p>
      <w:pPr>
        <w:ind w:left="640"/>
        <w:spacing w:after="0"/>
        <w:rPr>
          <w:rFonts w:ascii="Cambria" w:cs="Cambria" w:eastAsia="Cambria" w:hAnsi="Cambria"/>
          <w:sz w:val="16"/>
          <w:szCs w:val="16"/>
          <w:b w:val="1"/>
          <w:bCs w:val="1"/>
          <w:color w:val="auto"/>
        </w:rPr>
      </w:pPr>
      <w:r>
        <w:rPr>
          <w:rFonts w:ascii="Arial" w:cs="Arial" w:eastAsia="Arial" w:hAnsi="Arial"/>
          <w:sz w:val="14"/>
          <w:szCs w:val="14"/>
          <w:color w:val="auto"/>
        </w:rPr>
        <w:t xml:space="preserve">–   </w:t>
      </w:r>
      <w:r>
        <w:rPr>
          <w:rFonts w:ascii="Arial" w:cs="Arial" w:eastAsia="Arial" w:hAnsi="Arial"/>
          <w:sz w:val="16"/>
          <w:szCs w:val="16"/>
          <w:color w:val="auto"/>
        </w:rPr>
        <w:t>Sesame Street Workshop</w:t>
      </w:r>
    </w:p>
    <w:p>
      <w:pPr>
        <w:spacing w:after="0" w:line="59" w:lineRule="exact"/>
        <w:rPr>
          <w:rFonts w:ascii="Cambria" w:cs="Cambria" w:eastAsia="Cambria" w:hAnsi="Cambria"/>
          <w:sz w:val="16"/>
          <w:szCs w:val="16"/>
          <w:b w:val="1"/>
          <w:bCs w:val="1"/>
          <w:color w:val="auto"/>
        </w:rPr>
      </w:pPr>
    </w:p>
    <w:p>
      <w:pPr>
        <w:ind w:left="640" w:right="1099" w:hanging="325"/>
        <w:spacing w:after="0" w:line="281" w:lineRule="auto"/>
        <w:tabs>
          <w:tab w:leader="none" w:pos="631" w:val="left"/>
        </w:tabs>
        <w:numPr>
          <w:ilvl w:val="0"/>
          <w:numId w:val="55"/>
        </w:numPr>
        <w:rPr>
          <w:rFonts w:ascii="Cambria" w:cs="Cambria" w:eastAsia="Cambria" w:hAnsi="Cambria"/>
          <w:sz w:val="16"/>
          <w:szCs w:val="16"/>
          <w:b w:val="1"/>
          <w:bCs w:val="1"/>
          <w:color w:val="auto"/>
        </w:rPr>
      </w:pPr>
      <w:r>
        <w:rPr>
          <w:rFonts w:ascii="Arial" w:cs="Arial" w:eastAsia="Arial" w:hAnsi="Arial"/>
          <w:sz w:val="16"/>
          <w:szCs w:val="16"/>
          <w:color w:val="auto"/>
        </w:rPr>
        <w:t>Former director, board chair and chair of Audit Committee, Whole Foods Market,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2270125</wp:posOffset>
            </wp:positionV>
            <wp:extent cx="213995" cy="2146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3995" cy="214630"/>
                    </a:xfrm>
                    <a:prstGeom prst="rect">
                      <a:avLst/>
                    </a:prstGeom>
                    <a:noFill/>
                  </pic:spPr>
                </pic:pic>
              </a:graphicData>
            </a:graphic>
          </wp:anchor>
        </w:drawing>
        <w:drawing>
          <wp:anchor simplePos="0" relativeHeight="251657728" behindDoc="1" locked="0" layoutInCell="0" allowOverlap="1">
            <wp:simplePos x="0" y="0"/>
            <wp:positionH relativeFrom="column">
              <wp:posOffset>805815</wp:posOffset>
            </wp:positionH>
            <wp:positionV relativeFrom="paragraph">
              <wp:posOffset>2270125</wp:posOffset>
            </wp:positionV>
            <wp:extent cx="214630" cy="2146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1731645</wp:posOffset>
            </wp:positionH>
            <wp:positionV relativeFrom="paragraph">
              <wp:posOffset>2270125</wp:posOffset>
            </wp:positionV>
            <wp:extent cx="214630" cy="2146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2270125</wp:posOffset>
            </wp:positionV>
            <wp:extent cx="214630" cy="2146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460"/>
            <w:col w:w="7499"/>
          </w:cols>
          <w:pgMar w:left="340" w:top="12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600" w:type="dxa"/>
        <w:tblCellMar>
          <w:top w:w="0" w:type="dxa"/>
          <w:left w:w="0" w:type="dxa"/>
          <w:bottom w:w="0" w:type="dxa"/>
          <w:right w:w="0" w:type="dxa"/>
        </w:tblCellMar>
      </w:tblPr>
      <w:tr>
        <w:trPr>
          <w:trHeight w:val="176"/>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w w:val="98"/>
              </w:rPr>
              <w:t>CEO</w:t>
            </w:r>
          </w:p>
        </w:tc>
        <w:tc>
          <w:tcPr>
            <w:tcW w:w="80" w:type="dxa"/>
            <w:vAlign w:val="bottom"/>
          </w:tcPr>
          <w:p>
            <w:pPr>
              <w:spacing w:after="0"/>
              <w:rPr>
                <w:sz w:val="15"/>
                <w:szCs w:val="15"/>
                <w:color w:val="auto"/>
              </w:rPr>
            </w:pPr>
          </w:p>
        </w:tc>
        <w:tc>
          <w:tcPr>
            <w:tcW w:w="1300" w:type="dxa"/>
            <w:vAlign w:val="bottom"/>
          </w:tcPr>
          <w:p>
            <w:pPr>
              <w:jc w:val="center"/>
              <w:ind w:right="528"/>
              <w:spacing w:after="0"/>
              <w:rPr>
                <w:sz w:val="20"/>
                <w:szCs w:val="20"/>
                <w:color w:val="auto"/>
              </w:rPr>
            </w:pPr>
            <w:r>
              <w:rPr>
                <w:rFonts w:ascii="Arial" w:cs="Arial" w:eastAsia="Arial" w:hAnsi="Arial"/>
                <w:sz w:val="14"/>
                <w:szCs w:val="14"/>
                <w:b w:val="1"/>
                <w:bCs w:val="1"/>
                <w:color w:val="auto"/>
              </w:rPr>
              <w:t>Finance /</w:t>
            </w:r>
          </w:p>
        </w:tc>
        <w:tc>
          <w:tcPr>
            <w:tcW w:w="1320" w:type="dxa"/>
            <w:vAlign w:val="bottom"/>
          </w:tcPr>
          <w:p>
            <w:pPr>
              <w:jc w:val="center"/>
              <w:ind w:right="308"/>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rPr>
              <w:t>Healthcare</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Science /</w:t>
            </w:r>
          </w:p>
        </w:tc>
        <w:tc>
          <w:tcPr>
            <w:tcW w:w="0" w:type="dxa"/>
            <w:vAlign w:val="bottom"/>
          </w:tcPr>
          <w:p>
            <w:pPr>
              <w:spacing w:after="0"/>
              <w:rPr>
                <w:sz w:val="1"/>
                <w:szCs w:val="1"/>
                <w:color w:val="auto"/>
              </w:rPr>
            </w:pPr>
          </w:p>
        </w:tc>
      </w:tr>
      <w:tr>
        <w:trPr>
          <w:trHeight w:val="196"/>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rPr>
              <w:t>Leadership</w:t>
            </w:r>
          </w:p>
        </w:tc>
        <w:tc>
          <w:tcPr>
            <w:tcW w:w="1380" w:type="dxa"/>
            <w:vAlign w:val="bottom"/>
            <w:gridSpan w:val="2"/>
          </w:tcPr>
          <w:p>
            <w:pPr>
              <w:jc w:val="center"/>
              <w:ind w:right="468"/>
              <w:spacing w:after="0"/>
              <w:rPr>
                <w:sz w:val="20"/>
                <w:szCs w:val="20"/>
                <w:color w:val="auto"/>
              </w:rPr>
            </w:pPr>
            <w:r>
              <w:rPr>
                <w:rFonts w:ascii="Arial" w:cs="Arial" w:eastAsia="Arial" w:hAnsi="Arial"/>
                <w:sz w:val="14"/>
                <w:szCs w:val="14"/>
                <w:b w:val="1"/>
                <w:bCs w:val="1"/>
                <w:color w:val="auto"/>
              </w:rPr>
              <w:t>Accounting</w:t>
            </w:r>
          </w:p>
        </w:tc>
        <w:tc>
          <w:tcPr>
            <w:tcW w:w="1320" w:type="dxa"/>
            <w:vAlign w:val="bottom"/>
          </w:tcPr>
          <w:p>
            <w:pPr>
              <w:jc w:val="center"/>
              <w:ind w:right="328"/>
              <w:spacing w:after="0"/>
              <w:rPr>
                <w:sz w:val="20"/>
                <w:szCs w:val="20"/>
                <w:color w:val="auto"/>
              </w:rPr>
            </w:pPr>
            <w:r>
              <w:rPr>
                <w:rFonts w:ascii="Arial" w:cs="Arial" w:eastAsia="Arial" w:hAnsi="Arial"/>
                <w:sz w:val="14"/>
                <w:szCs w:val="14"/>
                <w:b w:val="1"/>
                <w:bCs w:val="1"/>
                <w:color w:val="auto"/>
              </w:rPr>
              <w:t>Business</w:t>
            </w:r>
          </w:p>
        </w:tc>
        <w:tc>
          <w:tcPr>
            <w:tcW w:w="260" w:type="dxa"/>
            <w:vAlign w:val="bottom"/>
          </w:tcPr>
          <w:p>
            <w:pPr>
              <w:spacing w:after="0"/>
              <w:rPr>
                <w:sz w:val="17"/>
                <w:szCs w:val="17"/>
                <w:color w:val="auto"/>
              </w:rPr>
            </w:pPr>
          </w:p>
        </w:tc>
        <w:tc>
          <w:tcPr>
            <w:tcW w:w="1220" w:type="dxa"/>
            <w:vAlign w:val="bottom"/>
          </w:tcPr>
          <w:p>
            <w:pPr>
              <w:jc w:val="center"/>
              <w:ind w:right="568"/>
              <w:spacing w:after="0"/>
              <w:rPr>
                <w:sz w:val="20"/>
                <w:szCs w:val="20"/>
                <w:color w:val="auto"/>
              </w:rPr>
            </w:pPr>
            <w:r>
              <w:rPr>
                <w:rFonts w:ascii="Arial" w:cs="Arial" w:eastAsia="Arial" w:hAnsi="Arial"/>
                <w:sz w:val="14"/>
                <w:szCs w:val="14"/>
                <w:b w:val="1"/>
                <w:bCs w:val="1"/>
                <w:color w:val="auto"/>
              </w:rPr>
              <w:t>Industry</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w w:val="99"/>
              </w:rPr>
              <w:t>Academia</w:t>
            </w:r>
          </w:p>
        </w:tc>
        <w:tc>
          <w:tcPr>
            <w:tcW w:w="0" w:type="dxa"/>
            <w:vAlign w:val="bottom"/>
          </w:tcPr>
          <w:p>
            <w:pPr>
              <w:spacing w:after="0"/>
              <w:rPr>
                <w:sz w:val="1"/>
                <w:szCs w:val="1"/>
                <w:color w:val="auto"/>
              </w:rPr>
            </w:pPr>
          </w:p>
        </w:tc>
      </w:tr>
      <w:tr>
        <w:trPr>
          <w:trHeight w:val="434"/>
        </w:trPr>
        <w:tc>
          <w:tcPr>
            <w:tcW w:w="1340" w:type="dxa"/>
            <w:vAlign w:val="bottom"/>
          </w:tcPr>
          <w:p>
            <w:pPr>
              <w:ind w:left="480"/>
              <w:spacing w:after="0"/>
              <w:rPr>
                <w:sz w:val="20"/>
                <w:szCs w:val="20"/>
                <w:color w:val="auto"/>
              </w:rPr>
            </w:pPr>
            <w:r>
              <w:rPr>
                <w:rFonts w:ascii="Arial" w:cs="Arial" w:eastAsia="Arial" w:hAnsi="Arial"/>
                <w:sz w:val="14"/>
                <w:szCs w:val="14"/>
                <w:b w:val="1"/>
                <w:bCs w:val="1"/>
                <w:color w:val="auto"/>
              </w:rPr>
              <w:t>Government</w:t>
            </w:r>
          </w:p>
        </w:tc>
        <w:tc>
          <w:tcPr>
            <w:tcW w:w="80" w:type="dxa"/>
            <w:vAlign w:val="bottom"/>
          </w:tcPr>
          <w:p>
            <w:pPr>
              <w:spacing w:after="0"/>
              <w:rPr>
                <w:sz w:val="24"/>
                <w:szCs w:val="24"/>
                <w:color w:val="auto"/>
              </w:rPr>
            </w:pPr>
          </w:p>
        </w:tc>
        <w:tc>
          <w:tcPr>
            <w:tcW w:w="13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Sales /</w:t>
            </w:r>
          </w:p>
        </w:tc>
        <w:tc>
          <w:tcPr>
            <w:tcW w:w="15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w w:val="99"/>
              </w:rPr>
              <w:t>Technology /</w:t>
            </w:r>
          </w:p>
        </w:tc>
        <w:tc>
          <w:tcPr>
            <w:tcW w:w="192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Operations /</w:t>
            </w:r>
          </w:p>
        </w:tc>
        <w:tc>
          <w:tcPr>
            <w:tcW w:w="0" w:type="dxa"/>
            <w:vAlign w:val="bottom"/>
          </w:tcPr>
          <w:p>
            <w:pPr>
              <w:spacing w:after="0"/>
              <w:rPr>
                <w:sz w:val="1"/>
                <w:szCs w:val="1"/>
                <w:color w:val="auto"/>
              </w:rPr>
            </w:pPr>
          </w:p>
        </w:tc>
      </w:tr>
      <w:tr>
        <w:trPr>
          <w:trHeight w:val="135"/>
        </w:trPr>
        <w:tc>
          <w:tcPr>
            <w:tcW w:w="1340" w:type="dxa"/>
            <w:vAlign w:val="bottom"/>
          </w:tcPr>
          <w:p>
            <w:pPr>
              <w:ind w:left="480"/>
              <w:spacing w:after="0" w:line="135" w:lineRule="exact"/>
              <w:rPr>
                <w:sz w:val="20"/>
                <w:szCs w:val="20"/>
                <w:color w:val="auto"/>
              </w:rPr>
            </w:pPr>
            <w:r>
              <w:rPr>
                <w:rFonts w:ascii="Arial" w:cs="Arial" w:eastAsia="Arial" w:hAnsi="Arial"/>
                <w:sz w:val="14"/>
                <w:szCs w:val="14"/>
                <w:b w:val="1"/>
                <w:bCs w:val="1"/>
                <w:color w:val="auto"/>
              </w:rPr>
              <w:t>Relations /</w:t>
            </w:r>
          </w:p>
        </w:tc>
        <w:tc>
          <w:tcPr>
            <w:tcW w:w="8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420" w:type="dxa"/>
            <w:vAlign w:val="bottom"/>
            <w:gridSpan w:val="2"/>
          </w:tcPr>
          <w:p>
            <w:pPr>
              <w:ind w:left="480"/>
              <w:spacing w:after="0"/>
              <w:rPr>
                <w:sz w:val="20"/>
                <w:szCs w:val="20"/>
                <w:color w:val="auto"/>
              </w:rPr>
            </w:pPr>
            <w:r>
              <w:rPr>
                <w:rFonts w:ascii="Arial" w:cs="Arial" w:eastAsia="Arial" w:hAnsi="Arial"/>
                <w:sz w:val="14"/>
                <w:szCs w:val="14"/>
                <w:b w:val="1"/>
                <w:bCs w:val="1"/>
                <w:color w:val="auto"/>
              </w:rPr>
              <w:t>Public Policy</w:t>
            </w:r>
          </w:p>
        </w:tc>
        <w:tc>
          <w:tcPr>
            <w:tcW w:w="1300" w:type="dxa"/>
            <w:vAlign w:val="bottom"/>
          </w:tcPr>
          <w:p>
            <w:pPr>
              <w:ind w:left="600"/>
              <w:spacing w:after="0"/>
              <w:rPr>
                <w:sz w:val="20"/>
                <w:szCs w:val="20"/>
                <w:color w:val="auto"/>
              </w:rPr>
            </w:pPr>
            <w:r>
              <w:rPr>
                <w:rFonts w:ascii="Arial" w:cs="Arial" w:eastAsia="Arial" w:hAnsi="Arial"/>
                <w:sz w:val="14"/>
                <w:szCs w:val="14"/>
                <w:b w:val="1"/>
                <w:bCs w:val="1"/>
                <w:color w:val="auto"/>
              </w:rPr>
              <w:t>Marketing</w:t>
            </w:r>
          </w:p>
        </w:tc>
        <w:tc>
          <w:tcPr>
            <w:tcW w:w="1320" w:type="dxa"/>
            <w:vAlign w:val="bottom"/>
          </w:tcPr>
          <w:p>
            <w:pPr>
              <w:ind w:left="700"/>
              <w:spacing w:after="0"/>
              <w:rPr>
                <w:sz w:val="20"/>
                <w:szCs w:val="20"/>
                <w:color w:val="auto"/>
              </w:rPr>
            </w:pPr>
            <w:r>
              <w:rPr>
                <w:rFonts w:ascii="Arial" w:cs="Arial" w:eastAsia="Arial" w:hAnsi="Arial"/>
                <w:sz w:val="14"/>
                <w:szCs w:val="14"/>
                <w:b w:val="1"/>
                <w:bCs w:val="1"/>
                <w:color w:val="auto"/>
              </w:rPr>
              <w:t>Digital</w:t>
            </w:r>
          </w:p>
        </w:tc>
        <w:tc>
          <w:tcPr>
            <w:tcW w:w="260" w:type="dxa"/>
            <w:vAlign w:val="bottom"/>
          </w:tcPr>
          <w:p>
            <w:pPr>
              <w:spacing w:after="0"/>
              <w:rPr>
                <w:sz w:val="17"/>
                <w:szCs w:val="17"/>
                <w:color w:val="auto"/>
              </w:rPr>
            </w:pP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Strategy</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1029335</wp:posOffset>
            </wp:positionH>
            <wp:positionV relativeFrom="paragraph">
              <wp:posOffset>-255270</wp:posOffset>
            </wp:positionV>
            <wp:extent cx="214630" cy="2146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-255270</wp:posOffset>
            </wp:positionV>
            <wp:extent cx="214630" cy="2146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-255270</wp:posOffset>
            </wp:positionV>
            <wp:extent cx="214630" cy="2146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-255270</wp:posOffset>
            </wp:positionV>
            <wp:extent cx="214630" cy="2146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ectPr>
          <w:pgSz w:w="11900" w:h="16838" w:orient="portrait"/>
          <w:cols w:equalWidth="0" w:num="1">
            <w:col w:w="10119"/>
          </w:cols>
          <w:pgMar w:left="340" w:top="1214" w:right="1440"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154940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214" w:right="1440" w:bottom="1440" w:gutter="0" w:footer="0" w:header="0"/>
          <w:type w:val="continuous"/>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620395</wp:posOffset>
            </wp:positionV>
            <wp:extent cx="1311275" cy="131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clrChange>
                        <a:clrFrom>
                          <a:srgbClr val="FFFFFF"/>
                        </a:clrFrom>
                        <a:clrTo>
                          <a:srgbClr val="FFFFFF">
                            <a:alpha val="0"/>
                          </a:srgbClr>
                        </a:clrTo>
                      </a:clrChange>
                      <a:extLst>
                        <a:ext uri="{28A0092B-C50C-407E-A947-70E740481C1C}"/>
                      </a:extLst>
                    </a:blip>
                    <a:srcRect/>
                    <a:stretch>
                      <a:fillRect/>
                    </a:stretch>
                  </pic:blipFill>
                  <pic:spPr bwMode="auto">
                    <a:xfrm>
                      <a:off x="0" y="0"/>
                      <a:ext cx="1311275"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EF3729"/>
        </w:rPr>
        <w:t>Jackson P. 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14312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6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16"/>
          <w:szCs w:val="16"/>
          <w:color w:val="auto"/>
        </w:rPr>
        <w:t>: 72</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Director since</w:t>
      </w:r>
      <w:r>
        <w:rPr>
          <w:rFonts w:ascii="Arial" w:cs="Arial" w:eastAsia="Arial" w:hAnsi="Arial"/>
          <w:sz w:val="16"/>
          <w:szCs w:val="16"/>
          <w:color w:val="auto"/>
        </w:rPr>
        <w:t>: 2013</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Board Committees:</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Audit</w:t>
      </w:r>
    </w:p>
    <w:p>
      <w:pPr>
        <w:spacing w:after="0" w:line="72" w:lineRule="exact"/>
        <w:rPr>
          <w:sz w:val="20"/>
          <w:szCs w:val="20"/>
          <w:color w:val="auto"/>
        </w:rPr>
      </w:pPr>
    </w:p>
    <w:p>
      <w:pPr>
        <w:ind w:left="360" w:right="100" w:hanging="168"/>
        <w:spacing w:after="0" w:line="281" w:lineRule="auto"/>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Directors and Corporate</w:t>
      </w:r>
      <w:r>
        <w:rPr>
          <w:rFonts w:ascii="Arial" w:cs="Arial" w:eastAsia="Arial" w:hAnsi="Arial"/>
          <w:sz w:val="14"/>
          <w:szCs w:val="14"/>
          <w:color w:val="auto"/>
        </w:rPr>
        <w:t xml:space="preserve"> </w:t>
      </w:r>
      <w:r>
        <w:rPr>
          <w:rFonts w:ascii="Arial" w:cs="Arial" w:eastAsia="Arial" w:hAnsi="Arial"/>
          <w:sz w:val="16"/>
          <w:szCs w:val="16"/>
          <w:color w:val="auto"/>
        </w:rPr>
        <w:t>Governance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Public Boards: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Mastercard Incorporated</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HSBC Holdings plc</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Recent Prior Public Boards:</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None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55245</wp:posOffset>
            </wp:positionV>
            <wp:extent cx="1234440" cy="3086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3444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FFFFFF"/>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-135890</wp:posOffset>
            </wp:positionV>
            <wp:extent cx="4260215" cy="2451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260215" cy="2451735"/>
                    </a:xfrm>
                    <a:prstGeom prst="rect">
                      <a:avLst/>
                    </a:prstGeom>
                    <a:noFill/>
                  </pic:spPr>
                </pic:pic>
              </a:graphicData>
            </a:graphic>
          </wp:anchor>
        </w:drawing>
      </w:r>
    </w:p>
    <w:p>
      <w:pPr>
        <w:spacing w:after="0" w:line="144" w:lineRule="exact"/>
        <w:rPr>
          <w:sz w:val="20"/>
          <w:szCs w:val="20"/>
          <w:color w:val="auto"/>
        </w:rPr>
      </w:pPr>
    </w:p>
    <w:p>
      <w:pPr>
        <w:ind w:right="1299"/>
        <w:spacing w:after="0" w:line="264" w:lineRule="auto"/>
        <w:rPr>
          <w:sz w:val="20"/>
          <w:szCs w:val="20"/>
          <w:color w:val="auto"/>
        </w:rPr>
      </w:pPr>
      <w:r>
        <w:rPr>
          <w:rFonts w:ascii="Arial" w:cs="Arial" w:eastAsia="Arial" w:hAnsi="Arial"/>
          <w:sz w:val="16"/>
          <w:szCs w:val="16"/>
          <w:i w:val="1"/>
          <w:iCs w:val="1"/>
          <w:color w:val="auto"/>
        </w:rPr>
        <w:t>Mr. Tai is an accomplished international business executive who combines strong investment banking credentials, a depth of expertise about operating in Asia and broad experience as a non-executive board director across a wide range of sectors and geographies.</w:t>
      </w:r>
    </w:p>
    <w:p>
      <w:pPr>
        <w:spacing w:after="0" w:line="25" w:lineRule="exact"/>
        <w:rPr>
          <w:sz w:val="20"/>
          <w:szCs w:val="20"/>
          <w:color w:val="auto"/>
        </w:rPr>
      </w:pPr>
    </w:p>
    <w:p>
      <w:pPr>
        <w:ind w:left="640" w:right="1119" w:hanging="325"/>
        <w:spacing w:after="0" w:line="275" w:lineRule="auto"/>
        <w:tabs>
          <w:tab w:leader="none" w:pos="636" w:val="left"/>
        </w:tabs>
        <w:numPr>
          <w:ilvl w:val="0"/>
          <w:numId w:val="58"/>
        </w:numPr>
        <w:rPr>
          <w:rFonts w:ascii="Times New Roman" w:cs="Times New Roman" w:eastAsia="Times New Roman" w:hAnsi="Times New Roman"/>
          <w:sz w:val="14"/>
          <w:szCs w:val="14"/>
          <w:color w:val="auto"/>
        </w:rPr>
      </w:pPr>
      <w:r>
        <w:rPr>
          <w:rFonts w:ascii="Arial" w:cs="Arial" w:eastAsia="Arial" w:hAnsi="Arial"/>
          <w:sz w:val="16"/>
          <w:szCs w:val="16"/>
          <w:color w:val="auto"/>
        </w:rPr>
        <w:t>Mr. Tai’s distinguished career at DBS Group Holdings Ltd, one of the largest financial services groups in Asia, provides deep knowledge of the complex Asia-Pacific region.</w:t>
      </w:r>
    </w:p>
    <w:p>
      <w:pPr>
        <w:spacing w:after="0" w:line="2" w:lineRule="exact"/>
        <w:rPr>
          <w:rFonts w:ascii="Times New Roman" w:cs="Times New Roman" w:eastAsia="Times New Roman" w:hAnsi="Times New Roman"/>
          <w:sz w:val="14"/>
          <w:szCs w:val="14"/>
          <w:color w:val="auto"/>
        </w:rPr>
      </w:pPr>
    </w:p>
    <w:p>
      <w:pPr>
        <w:ind w:left="640" w:right="1139" w:hanging="325"/>
        <w:spacing w:after="0" w:line="275" w:lineRule="auto"/>
        <w:tabs>
          <w:tab w:leader="none" w:pos="636" w:val="left"/>
        </w:tabs>
        <w:numPr>
          <w:ilvl w:val="0"/>
          <w:numId w:val="58"/>
        </w:numPr>
        <w:rPr>
          <w:rFonts w:ascii="Times New Roman" w:cs="Times New Roman" w:eastAsia="Times New Roman" w:hAnsi="Times New Roman"/>
          <w:sz w:val="14"/>
          <w:szCs w:val="14"/>
          <w:color w:val="auto"/>
        </w:rPr>
      </w:pPr>
      <w:r>
        <w:rPr>
          <w:rFonts w:ascii="Arial" w:cs="Arial" w:eastAsia="Arial" w:hAnsi="Arial"/>
          <w:sz w:val="16"/>
          <w:szCs w:val="16"/>
          <w:color w:val="auto"/>
        </w:rPr>
        <w:t>Mr. Tai is an accomplished leader with international business, global capital markets, enterprise risk, and financial services experience, including developing emerging markets.</w:t>
      </w:r>
    </w:p>
    <w:p>
      <w:pPr>
        <w:spacing w:after="0" w:line="10" w:lineRule="exact"/>
        <w:rPr>
          <w:rFonts w:ascii="Times New Roman" w:cs="Times New Roman" w:eastAsia="Times New Roman" w:hAnsi="Times New Roman"/>
          <w:sz w:val="14"/>
          <w:szCs w:val="14"/>
          <w:color w:val="auto"/>
        </w:rPr>
      </w:pPr>
    </w:p>
    <w:p>
      <w:pPr>
        <w:ind w:left="640" w:right="1039" w:hanging="325"/>
        <w:spacing w:after="0" w:line="301" w:lineRule="auto"/>
        <w:tabs>
          <w:tab w:leader="none" w:pos="636" w:val="left"/>
        </w:tabs>
        <w:numPr>
          <w:ilvl w:val="0"/>
          <w:numId w:val="58"/>
        </w:numPr>
        <w:rPr>
          <w:rFonts w:ascii="Times New Roman" w:cs="Times New Roman" w:eastAsia="Times New Roman" w:hAnsi="Times New Roman"/>
          <w:sz w:val="14"/>
          <w:szCs w:val="14"/>
          <w:color w:val="auto"/>
        </w:rPr>
      </w:pPr>
      <w:r>
        <w:rPr>
          <w:rFonts w:ascii="Arial" w:cs="Arial" w:eastAsia="Arial" w:hAnsi="Arial"/>
          <w:sz w:val="16"/>
          <w:szCs w:val="16"/>
          <w:color w:val="auto"/>
        </w:rPr>
        <w:t>Mr. Tai brings a valuable combination of strategic and executive skills, alo</w:t>
      </w:r>
      <w:r>
        <w:rPr>
          <w:rFonts w:ascii="Arial" w:cs="Arial" w:eastAsia="Arial" w:hAnsi="Arial"/>
          <w:sz w:val="17"/>
          <w:szCs w:val="17"/>
          <w:color w:val="auto"/>
        </w:rPr>
        <w:t>ng with</w:t>
      </w:r>
      <w:r>
        <w:rPr>
          <w:rFonts w:ascii="Arial" w:cs="Arial" w:eastAsia="Arial" w:hAnsi="Arial"/>
          <w:sz w:val="16"/>
          <w:szCs w:val="16"/>
          <w:color w:val="auto"/>
        </w:rPr>
        <w:t xml:space="preserve"> </w:t>
      </w:r>
      <w:r>
        <w:rPr>
          <w:rFonts w:ascii="Arial" w:cs="Arial" w:eastAsia="Arial" w:hAnsi="Arial"/>
          <w:sz w:val="17"/>
          <w:szCs w:val="17"/>
          <w:color w:val="auto"/>
        </w:rPr>
        <w:t xml:space="preserve">a </w:t>
      </w:r>
      <w:r>
        <w:rPr>
          <w:rFonts w:ascii="Arial" w:cs="Arial" w:eastAsia="Arial" w:hAnsi="Arial"/>
          <w:sz w:val="16"/>
          <w:szCs w:val="16"/>
          <w:color w:val="auto"/>
        </w:rPr>
        <w:t>strong network of business and regulatory connections.</w:t>
      </w:r>
    </w:p>
    <w:p>
      <w:pPr>
        <w:ind w:left="640" w:right="1099" w:hanging="325"/>
        <w:spacing w:after="0" w:line="265" w:lineRule="auto"/>
        <w:tabs>
          <w:tab w:leader="none" w:pos="636" w:val="left"/>
        </w:tabs>
        <w:numPr>
          <w:ilvl w:val="0"/>
          <w:numId w:val="58"/>
        </w:numPr>
        <w:rPr>
          <w:rFonts w:ascii="Times New Roman" w:cs="Times New Roman" w:eastAsia="Times New Roman" w:hAnsi="Times New Roman"/>
          <w:sz w:val="14"/>
          <w:szCs w:val="14"/>
          <w:color w:val="auto"/>
        </w:rPr>
      </w:pPr>
      <w:r>
        <w:rPr>
          <w:rFonts w:ascii="Arial" w:cs="Arial" w:eastAsia="Arial" w:hAnsi="Arial"/>
          <w:sz w:val="16"/>
          <w:szCs w:val="16"/>
          <w:color w:val="auto"/>
        </w:rPr>
        <w:t>Mr. Tai also brings a wealth of corporate governance experience from his service on corporate and institutional investor boards in North America, Europe, and Asia, including NYSE Euronext, Bank of China, Singapore Airlines, and the Canada Pension Plan Investment Board.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CAREER HIGHLIGHTS</w:t>
      </w:r>
    </w:p>
    <w:p>
      <w:pPr>
        <w:spacing w:after="0" w:line="63" w:lineRule="exact"/>
        <w:rPr>
          <w:sz w:val="20"/>
          <w:szCs w:val="20"/>
          <w:color w:val="auto"/>
        </w:rPr>
      </w:pPr>
    </w:p>
    <w:p>
      <w:pPr>
        <w:ind w:left="640" w:right="1839" w:hanging="325"/>
        <w:spacing w:after="0" w:line="284" w:lineRule="auto"/>
        <w:tabs>
          <w:tab w:leader="none" w:pos="629" w:val="left"/>
        </w:tabs>
        <w:numPr>
          <w:ilvl w:val="0"/>
          <w:numId w:val="59"/>
        </w:numPr>
        <w:rPr>
          <w:rFonts w:ascii="Arial" w:cs="Arial" w:eastAsia="Arial" w:hAnsi="Arial"/>
          <w:sz w:val="16"/>
          <w:szCs w:val="16"/>
          <w:color w:val="auto"/>
        </w:rPr>
      </w:pPr>
      <w:r>
        <w:rPr>
          <w:rFonts w:ascii="Arial" w:cs="Arial" w:eastAsia="Arial" w:hAnsi="Arial"/>
          <w:sz w:val="18"/>
          <w:szCs w:val="18"/>
          <w:b w:val="1"/>
          <w:bCs w:val="1"/>
          <w:color w:val="auto"/>
        </w:rPr>
        <w:t>DBS Group Holdings Ltd and DBS Bank Ltd (formerly the Development Bank of Singapore)</w:t>
      </w:r>
      <w:r>
        <w:rPr>
          <w:rFonts w:ascii="Arial" w:cs="Arial" w:eastAsia="Arial" w:hAnsi="Arial"/>
          <w:sz w:val="17"/>
          <w:szCs w:val="17"/>
          <w:b w:val="1"/>
          <w:bCs w:val="1"/>
          <w:color w:val="auto"/>
        </w:rPr>
        <w:t>,</w:t>
      </w:r>
      <w:r>
        <w:rPr>
          <w:rFonts w:ascii="Arial" w:cs="Arial" w:eastAsia="Arial" w:hAnsi="Arial"/>
          <w:sz w:val="18"/>
          <w:szCs w:val="18"/>
          <w:b w:val="1"/>
          <w:bCs w:val="1"/>
          <w:color w:val="auto"/>
        </w:rPr>
        <w:t xml:space="preserve"> </w:t>
      </w:r>
      <w:r>
        <w:rPr>
          <w:rFonts w:ascii="Arial" w:cs="Arial" w:eastAsia="Arial" w:hAnsi="Arial"/>
          <w:sz w:val="16"/>
          <w:szCs w:val="16"/>
          <w:color w:val="auto"/>
        </w:rPr>
        <w:t>a financial services institution</w:t>
      </w: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Vice Chairman and Chief Executive Officer (2002 - 2007)</w:t>
      </w:r>
    </w:p>
    <w:p>
      <w:pPr>
        <w:spacing w:after="0" w:line="72"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President and Chief Operating Officer (2001 - 2002)</w:t>
      </w:r>
    </w:p>
    <w:p>
      <w:pPr>
        <w:spacing w:after="0" w:line="59"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Chief Financial Officer (1999 - 2001)</w:t>
      </w:r>
    </w:p>
    <w:p>
      <w:pPr>
        <w:spacing w:after="0" w:line="54" w:lineRule="exact"/>
        <w:rPr>
          <w:rFonts w:ascii="Arial" w:cs="Arial" w:eastAsia="Arial" w:hAnsi="Arial"/>
          <w:sz w:val="16"/>
          <w:szCs w:val="16"/>
          <w:color w:val="auto"/>
        </w:rPr>
      </w:pPr>
    </w:p>
    <w:p>
      <w:pPr>
        <w:ind w:left="620" w:hanging="305"/>
        <w:spacing w:after="0"/>
        <w:tabs>
          <w:tab w:leader="none" w:pos="620" w:val="left"/>
        </w:tabs>
        <w:numPr>
          <w:ilvl w:val="0"/>
          <w:numId w:val="59"/>
        </w:numPr>
        <w:rPr>
          <w:rFonts w:ascii="Arial" w:cs="Arial" w:eastAsia="Arial" w:hAnsi="Arial"/>
          <w:sz w:val="16"/>
          <w:szCs w:val="16"/>
          <w:color w:val="auto"/>
        </w:rPr>
      </w:pPr>
      <w:r>
        <w:rPr>
          <w:rFonts w:ascii="Arial" w:cs="Arial" w:eastAsia="Arial" w:hAnsi="Arial"/>
          <w:sz w:val="18"/>
          <w:szCs w:val="18"/>
          <w:b w:val="1"/>
          <w:bCs w:val="1"/>
          <w:color w:val="auto"/>
        </w:rPr>
        <w:t>J.P. Morgan &amp; Co. Incorporated</w:t>
      </w:r>
      <w:r>
        <w:rPr>
          <w:rFonts w:ascii="Arial" w:cs="Arial" w:eastAsia="Arial" w:hAnsi="Arial"/>
          <w:sz w:val="17"/>
          <w:szCs w:val="17"/>
          <w:color w:val="auto"/>
        </w:rPr>
        <w:t>,</w:t>
      </w:r>
      <w:r>
        <w:rPr>
          <w:rFonts w:ascii="Arial" w:cs="Arial" w:eastAsia="Arial" w:hAnsi="Arial"/>
          <w:sz w:val="18"/>
          <w:szCs w:val="18"/>
          <w:b w:val="1"/>
          <w:bCs w:val="1"/>
          <w:color w:val="auto"/>
        </w:rPr>
        <w:t xml:space="preserve"> </w:t>
      </w:r>
      <w:r>
        <w:rPr>
          <w:rFonts w:ascii="Arial" w:cs="Arial" w:eastAsia="Arial" w:hAnsi="Arial"/>
          <w:sz w:val="16"/>
          <w:szCs w:val="16"/>
          <w:color w:val="auto"/>
        </w:rPr>
        <w:t>a leading global financial institution</w:t>
      </w:r>
    </w:p>
    <w:p>
      <w:pPr>
        <w:spacing w:after="0" w:line="81" w:lineRule="exact"/>
        <w:rPr>
          <w:rFonts w:ascii="Arial" w:cs="Arial" w:eastAsia="Arial" w:hAnsi="Arial"/>
          <w:sz w:val="16"/>
          <w:szCs w:val="16"/>
          <w:color w:val="auto"/>
        </w:rPr>
      </w:pPr>
    </w:p>
    <w:p>
      <w:pPr>
        <w:ind w:left="960" w:right="1639" w:hanging="324"/>
        <w:spacing w:after="0" w:line="266" w:lineRule="auto"/>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Managing Director in the Investment Banking Division (1974 - 1999),</w:t>
      </w:r>
      <w:r>
        <w:rPr>
          <w:rFonts w:ascii="Arial" w:cs="Arial" w:eastAsia="Arial" w:hAnsi="Arial"/>
          <w:sz w:val="14"/>
          <w:szCs w:val="14"/>
          <w:color w:val="auto"/>
        </w:rPr>
        <w:t xml:space="preserve"> </w:t>
      </w:r>
      <w:r>
        <w:rPr>
          <w:rFonts w:ascii="Arial" w:cs="Arial" w:eastAsia="Arial" w:hAnsi="Arial"/>
          <w:sz w:val="16"/>
          <w:szCs w:val="16"/>
          <w:color w:val="auto"/>
        </w:rPr>
        <w:t>including service as the senior officer for Japan Capital Markets and chairman of the Asia Pacific Management Committee</w:t>
      </w:r>
    </w:p>
    <w:p>
      <w:pPr>
        <w:spacing w:after="0" w:line="126" w:lineRule="exact"/>
        <w:rPr>
          <w:sz w:val="20"/>
          <w:szCs w:val="20"/>
          <w:color w:val="auto"/>
        </w:rPr>
      </w:pPr>
    </w:p>
    <w:p>
      <w:pPr>
        <w:sectPr>
          <w:pgSz w:w="11900" w:h="16838" w:orient="portrait"/>
          <w:cols w:equalWidth="0" w:num="2">
            <w:col w:w="2180" w:space="460"/>
            <w:col w:w="7499"/>
          </w:cols>
          <w:pgMar w:left="320" w:top="931" w:right="1440" w:bottom="1440" w:gutter="0" w:footer="0" w:header="0"/>
        </w:sectPr>
      </w:pPr>
    </w:p>
    <w:p>
      <w:pPr>
        <w:ind w:left="2640"/>
        <w:spacing w:after="0"/>
        <w:rPr>
          <w:sz w:val="20"/>
          <w:szCs w:val="20"/>
          <w:color w:val="auto"/>
        </w:rPr>
      </w:pPr>
      <w:r>
        <w:rPr>
          <w:rFonts w:ascii="Arial" w:cs="Arial" w:eastAsia="Arial" w:hAnsi="Arial"/>
          <w:sz w:val="18"/>
          <w:szCs w:val="18"/>
          <w:b w:val="1"/>
          <w:bCs w:val="1"/>
          <w:color w:val="00A1DE"/>
        </w:rPr>
        <w:t>OTHER HIGHLIGHTS</w:t>
      </w:r>
    </w:p>
    <w:p>
      <w:pPr>
        <w:spacing w:after="0" w:line="68" w:lineRule="exact"/>
        <w:rPr>
          <w:sz w:val="20"/>
          <w:szCs w:val="20"/>
          <w:color w:val="auto"/>
        </w:rPr>
      </w:pPr>
    </w:p>
    <w:p>
      <w:pPr>
        <w:ind w:left="3280" w:hanging="325"/>
        <w:spacing w:after="0"/>
        <w:tabs>
          <w:tab w:leader="none" w:pos="3280" w:val="left"/>
        </w:tabs>
        <w:numPr>
          <w:ilvl w:val="0"/>
          <w:numId w:val="60"/>
        </w:numPr>
        <w:rPr>
          <w:rFonts w:ascii="Cambria" w:cs="Cambria" w:eastAsia="Cambria" w:hAnsi="Cambria"/>
          <w:sz w:val="16"/>
          <w:szCs w:val="16"/>
          <w:b w:val="1"/>
          <w:bCs w:val="1"/>
          <w:color w:val="auto"/>
        </w:rPr>
      </w:pPr>
      <w:r>
        <w:rPr>
          <w:rFonts w:ascii="Arial" w:cs="Arial" w:eastAsia="Arial" w:hAnsi="Arial"/>
          <w:sz w:val="16"/>
          <w:szCs w:val="16"/>
          <w:color w:val="auto"/>
        </w:rPr>
        <w:t>Director, Metropolitan Opera</w:t>
      </w:r>
    </w:p>
    <w:p>
      <w:pPr>
        <w:spacing w:after="0" w:line="55" w:lineRule="exact"/>
        <w:rPr>
          <w:rFonts w:ascii="Cambria" w:cs="Cambria" w:eastAsia="Cambria" w:hAnsi="Cambria"/>
          <w:sz w:val="16"/>
          <w:szCs w:val="16"/>
          <w:b w:val="1"/>
          <w:bCs w:val="1"/>
          <w:color w:val="auto"/>
        </w:rPr>
      </w:pPr>
    </w:p>
    <w:p>
      <w:pPr>
        <w:ind w:left="3260" w:hanging="305"/>
        <w:spacing w:after="0"/>
        <w:tabs>
          <w:tab w:leader="none" w:pos="32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Trustee, Rensselaer Polytechnic Institute</w:t>
      </w:r>
    </w:p>
    <w:p>
      <w:pPr>
        <w:spacing w:after="0" w:line="72" w:lineRule="exact"/>
        <w:rPr>
          <w:rFonts w:ascii="Arial" w:cs="Arial" w:eastAsia="Arial" w:hAnsi="Arial"/>
          <w:sz w:val="16"/>
          <w:szCs w:val="16"/>
          <w:color w:val="auto"/>
        </w:rPr>
      </w:pPr>
    </w:p>
    <w:p>
      <w:pPr>
        <w:ind w:left="3280" w:hanging="325"/>
        <w:spacing w:after="0"/>
        <w:tabs>
          <w:tab w:leader="none" w:pos="3280" w:val="left"/>
        </w:tabs>
        <w:numPr>
          <w:ilvl w:val="0"/>
          <w:numId w:val="60"/>
        </w:numPr>
        <w:rPr>
          <w:rFonts w:ascii="Cambria" w:cs="Cambria" w:eastAsia="Cambria" w:hAnsi="Cambria"/>
          <w:sz w:val="16"/>
          <w:szCs w:val="16"/>
          <w:b w:val="1"/>
          <w:bCs w:val="1"/>
          <w:color w:val="auto"/>
        </w:rPr>
      </w:pPr>
      <w:r>
        <w:rPr>
          <w:rFonts w:ascii="Arial" w:cs="Arial" w:eastAsia="Arial" w:hAnsi="Arial"/>
          <w:sz w:val="16"/>
          <w:szCs w:val="16"/>
          <w:color w:val="auto"/>
        </w:rPr>
        <w:t>Member, Harvard Business School Asia Pacific Advisory Board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*Mr. Tai will retire from the board following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2675255</wp:posOffset>
            </wp:positionV>
            <wp:extent cx="214630" cy="2146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2675255</wp:posOffset>
            </wp:positionV>
            <wp:extent cx="213995" cy="2146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3995" cy="21463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2675255</wp:posOffset>
            </wp:positionV>
            <wp:extent cx="214630" cy="2146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2675255</wp:posOffset>
            </wp:positionV>
            <wp:extent cx="214630" cy="2146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2675255</wp:posOffset>
            </wp:positionV>
            <wp:extent cx="214630" cy="2146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w w:val="98"/>
              </w:rPr>
              <w:t>CEO</w:t>
            </w:r>
          </w:p>
        </w:tc>
        <w:tc>
          <w:tcPr>
            <w:tcW w:w="80" w:type="dxa"/>
            <w:vAlign w:val="bottom"/>
          </w:tcPr>
          <w:p>
            <w:pPr>
              <w:spacing w:after="0"/>
              <w:rPr>
                <w:sz w:val="14"/>
                <w:szCs w:val="14"/>
                <w:color w:val="auto"/>
              </w:rPr>
            </w:pPr>
          </w:p>
        </w:tc>
        <w:tc>
          <w:tcPr>
            <w:tcW w:w="1300" w:type="dxa"/>
            <w:vAlign w:val="bottom"/>
          </w:tcPr>
          <w:p>
            <w:pPr>
              <w:jc w:val="center"/>
              <w:ind w:right="528"/>
              <w:spacing w:after="0"/>
              <w:rPr>
                <w:sz w:val="20"/>
                <w:szCs w:val="20"/>
                <w:color w:val="auto"/>
              </w:rPr>
            </w:pPr>
            <w:r>
              <w:rPr>
                <w:rFonts w:ascii="Arial" w:cs="Arial" w:eastAsia="Arial" w:hAnsi="Arial"/>
                <w:sz w:val="14"/>
                <w:szCs w:val="14"/>
                <w:b w:val="1"/>
                <w:bCs w:val="1"/>
                <w:color w:val="auto"/>
              </w:rPr>
              <w:t>Finance /</w:t>
            </w:r>
          </w:p>
        </w:tc>
        <w:tc>
          <w:tcPr>
            <w:tcW w:w="1320" w:type="dxa"/>
            <w:vAlign w:val="bottom"/>
          </w:tcPr>
          <w:p>
            <w:pPr>
              <w:jc w:val="center"/>
              <w:ind w:right="308"/>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rPr>
              <w:t>Healthcare</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Science /</w:t>
            </w:r>
          </w:p>
        </w:tc>
        <w:tc>
          <w:tcPr>
            <w:tcW w:w="0" w:type="dxa"/>
            <w:vAlign w:val="bottom"/>
          </w:tcPr>
          <w:p>
            <w:pPr>
              <w:spacing w:after="0"/>
              <w:rPr>
                <w:sz w:val="1"/>
                <w:szCs w:val="1"/>
                <w:color w:val="auto"/>
              </w:rPr>
            </w:pPr>
          </w:p>
        </w:tc>
      </w:tr>
      <w:tr>
        <w:trPr>
          <w:trHeight w:val="196"/>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rPr>
              <w:t>Leadership</w:t>
            </w:r>
          </w:p>
        </w:tc>
        <w:tc>
          <w:tcPr>
            <w:tcW w:w="1380" w:type="dxa"/>
            <w:vAlign w:val="bottom"/>
            <w:gridSpan w:val="2"/>
          </w:tcPr>
          <w:p>
            <w:pPr>
              <w:jc w:val="center"/>
              <w:ind w:right="468"/>
              <w:spacing w:after="0"/>
              <w:rPr>
                <w:sz w:val="20"/>
                <w:szCs w:val="20"/>
                <w:color w:val="auto"/>
              </w:rPr>
            </w:pPr>
            <w:r>
              <w:rPr>
                <w:rFonts w:ascii="Arial" w:cs="Arial" w:eastAsia="Arial" w:hAnsi="Arial"/>
                <w:sz w:val="14"/>
                <w:szCs w:val="14"/>
                <w:b w:val="1"/>
                <w:bCs w:val="1"/>
                <w:color w:val="auto"/>
              </w:rPr>
              <w:t>Accounting</w:t>
            </w:r>
          </w:p>
        </w:tc>
        <w:tc>
          <w:tcPr>
            <w:tcW w:w="1320" w:type="dxa"/>
            <w:vAlign w:val="bottom"/>
          </w:tcPr>
          <w:p>
            <w:pPr>
              <w:jc w:val="center"/>
              <w:ind w:right="328"/>
              <w:spacing w:after="0"/>
              <w:rPr>
                <w:sz w:val="20"/>
                <w:szCs w:val="20"/>
                <w:color w:val="auto"/>
              </w:rPr>
            </w:pPr>
            <w:r>
              <w:rPr>
                <w:rFonts w:ascii="Arial" w:cs="Arial" w:eastAsia="Arial" w:hAnsi="Arial"/>
                <w:sz w:val="14"/>
                <w:szCs w:val="14"/>
                <w:b w:val="1"/>
                <w:bCs w:val="1"/>
                <w:color w:val="auto"/>
              </w:rPr>
              <w:t>Business</w:t>
            </w:r>
          </w:p>
        </w:tc>
        <w:tc>
          <w:tcPr>
            <w:tcW w:w="260" w:type="dxa"/>
            <w:vAlign w:val="bottom"/>
          </w:tcPr>
          <w:p>
            <w:pPr>
              <w:spacing w:after="0"/>
              <w:rPr>
                <w:sz w:val="17"/>
                <w:szCs w:val="17"/>
                <w:color w:val="auto"/>
              </w:rPr>
            </w:pPr>
          </w:p>
        </w:tc>
        <w:tc>
          <w:tcPr>
            <w:tcW w:w="1220" w:type="dxa"/>
            <w:vAlign w:val="bottom"/>
          </w:tcPr>
          <w:p>
            <w:pPr>
              <w:jc w:val="center"/>
              <w:ind w:right="568"/>
              <w:spacing w:after="0"/>
              <w:rPr>
                <w:sz w:val="20"/>
                <w:szCs w:val="20"/>
                <w:color w:val="auto"/>
              </w:rPr>
            </w:pPr>
            <w:r>
              <w:rPr>
                <w:rFonts w:ascii="Arial" w:cs="Arial" w:eastAsia="Arial" w:hAnsi="Arial"/>
                <w:sz w:val="14"/>
                <w:szCs w:val="14"/>
                <w:b w:val="1"/>
                <w:bCs w:val="1"/>
                <w:color w:val="auto"/>
              </w:rPr>
              <w:t>Industry</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w w:val="99"/>
              </w:rPr>
              <w:t>Academia</w:t>
            </w:r>
          </w:p>
        </w:tc>
        <w:tc>
          <w:tcPr>
            <w:tcW w:w="0" w:type="dxa"/>
            <w:vAlign w:val="bottom"/>
          </w:tcPr>
          <w:p>
            <w:pPr>
              <w:spacing w:after="0"/>
              <w:rPr>
                <w:sz w:val="1"/>
                <w:szCs w:val="1"/>
                <w:color w:val="auto"/>
              </w:rPr>
            </w:pPr>
          </w:p>
        </w:tc>
      </w:tr>
      <w:tr>
        <w:trPr>
          <w:trHeight w:val="438"/>
        </w:trPr>
        <w:tc>
          <w:tcPr>
            <w:tcW w:w="1340" w:type="dxa"/>
            <w:vAlign w:val="bottom"/>
          </w:tcPr>
          <w:p>
            <w:pPr>
              <w:ind w:left="480"/>
              <w:spacing w:after="0"/>
              <w:rPr>
                <w:sz w:val="20"/>
                <w:szCs w:val="20"/>
                <w:color w:val="auto"/>
              </w:rPr>
            </w:pPr>
            <w:r>
              <w:rPr>
                <w:rFonts w:ascii="Arial" w:cs="Arial" w:eastAsia="Arial" w:hAnsi="Arial"/>
                <w:sz w:val="14"/>
                <w:szCs w:val="14"/>
                <w:b w:val="1"/>
                <w:bCs w:val="1"/>
                <w:color w:val="auto"/>
              </w:rPr>
              <w:t>Government</w:t>
            </w:r>
          </w:p>
        </w:tc>
        <w:tc>
          <w:tcPr>
            <w:tcW w:w="80" w:type="dxa"/>
            <w:vAlign w:val="bottom"/>
          </w:tcPr>
          <w:p>
            <w:pPr>
              <w:spacing w:after="0"/>
              <w:rPr>
                <w:sz w:val="24"/>
                <w:szCs w:val="24"/>
                <w:color w:val="auto"/>
              </w:rPr>
            </w:pPr>
          </w:p>
        </w:tc>
        <w:tc>
          <w:tcPr>
            <w:tcW w:w="13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Sales /</w:t>
            </w:r>
          </w:p>
        </w:tc>
        <w:tc>
          <w:tcPr>
            <w:tcW w:w="15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w w:val="99"/>
              </w:rPr>
              <w:t>Technology /</w:t>
            </w:r>
          </w:p>
        </w:tc>
        <w:tc>
          <w:tcPr>
            <w:tcW w:w="192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Operations /</w:t>
            </w:r>
          </w:p>
        </w:tc>
        <w:tc>
          <w:tcPr>
            <w:tcW w:w="0" w:type="dxa"/>
            <w:vAlign w:val="bottom"/>
          </w:tcPr>
          <w:p>
            <w:pPr>
              <w:spacing w:after="0"/>
              <w:rPr>
                <w:sz w:val="1"/>
                <w:szCs w:val="1"/>
                <w:color w:val="auto"/>
              </w:rPr>
            </w:pPr>
          </w:p>
        </w:tc>
      </w:tr>
      <w:tr>
        <w:trPr>
          <w:trHeight w:val="144"/>
        </w:trPr>
        <w:tc>
          <w:tcPr>
            <w:tcW w:w="1340" w:type="dxa"/>
            <w:vAlign w:val="bottom"/>
          </w:tcPr>
          <w:p>
            <w:pPr>
              <w:ind w:left="480"/>
              <w:spacing w:after="0" w:line="145" w:lineRule="exact"/>
              <w:rPr>
                <w:sz w:val="20"/>
                <w:szCs w:val="20"/>
                <w:color w:val="auto"/>
              </w:rPr>
            </w:pPr>
            <w:r>
              <w:rPr>
                <w:rFonts w:ascii="Arial" w:cs="Arial" w:eastAsia="Arial" w:hAnsi="Arial"/>
                <w:sz w:val="14"/>
                <w:szCs w:val="14"/>
                <w:b w:val="1"/>
                <w:bCs w:val="1"/>
                <w:color w:val="auto"/>
              </w:rPr>
              <w:t>Relations /</w:t>
            </w:r>
          </w:p>
        </w:tc>
        <w:tc>
          <w:tcPr>
            <w:tcW w:w="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420" w:type="dxa"/>
            <w:vAlign w:val="bottom"/>
            <w:gridSpan w:val="2"/>
          </w:tcPr>
          <w:p>
            <w:pPr>
              <w:ind w:left="480"/>
              <w:spacing w:after="0"/>
              <w:rPr>
                <w:sz w:val="20"/>
                <w:szCs w:val="20"/>
                <w:color w:val="auto"/>
              </w:rPr>
            </w:pPr>
            <w:r>
              <w:rPr>
                <w:rFonts w:ascii="Arial" w:cs="Arial" w:eastAsia="Arial" w:hAnsi="Arial"/>
                <w:sz w:val="14"/>
                <w:szCs w:val="14"/>
                <w:b w:val="1"/>
                <w:bCs w:val="1"/>
                <w:color w:val="auto"/>
              </w:rPr>
              <w:t>Public Policy</w:t>
            </w:r>
          </w:p>
        </w:tc>
        <w:tc>
          <w:tcPr>
            <w:tcW w:w="1300" w:type="dxa"/>
            <w:vAlign w:val="bottom"/>
          </w:tcPr>
          <w:p>
            <w:pPr>
              <w:ind w:left="600"/>
              <w:spacing w:after="0"/>
              <w:rPr>
                <w:sz w:val="20"/>
                <w:szCs w:val="20"/>
                <w:color w:val="auto"/>
              </w:rPr>
            </w:pPr>
            <w:r>
              <w:rPr>
                <w:rFonts w:ascii="Arial" w:cs="Arial" w:eastAsia="Arial" w:hAnsi="Arial"/>
                <w:sz w:val="14"/>
                <w:szCs w:val="14"/>
                <w:b w:val="1"/>
                <w:bCs w:val="1"/>
                <w:color w:val="auto"/>
              </w:rPr>
              <w:t>Marketing</w:t>
            </w:r>
          </w:p>
        </w:tc>
        <w:tc>
          <w:tcPr>
            <w:tcW w:w="1320" w:type="dxa"/>
            <w:vAlign w:val="bottom"/>
          </w:tcPr>
          <w:p>
            <w:pPr>
              <w:ind w:left="700"/>
              <w:spacing w:after="0"/>
              <w:rPr>
                <w:sz w:val="20"/>
                <w:szCs w:val="20"/>
                <w:color w:val="auto"/>
              </w:rPr>
            </w:pPr>
            <w:r>
              <w:rPr>
                <w:rFonts w:ascii="Arial" w:cs="Arial" w:eastAsia="Arial" w:hAnsi="Arial"/>
                <w:sz w:val="14"/>
                <w:szCs w:val="14"/>
                <w:b w:val="1"/>
                <w:bCs w:val="1"/>
                <w:color w:val="auto"/>
              </w:rPr>
              <w:t>Digital</w:t>
            </w:r>
          </w:p>
        </w:tc>
        <w:tc>
          <w:tcPr>
            <w:tcW w:w="260" w:type="dxa"/>
            <w:vAlign w:val="bottom"/>
          </w:tcPr>
          <w:p>
            <w:pPr>
              <w:spacing w:after="0"/>
              <w:rPr>
                <w:sz w:val="17"/>
                <w:szCs w:val="17"/>
                <w:color w:val="auto"/>
              </w:rPr>
            </w:pP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Strategy</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-264160</wp:posOffset>
            </wp:positionV>
            <wp:extent cx="214630" cy="2146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-264160</wp:posOffset>
            </wp:positionV>
            <wp:extent cx="214630" cy="2146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-264160</wp:posOffset>
            </wp:positionV>
            <wp:extent cx="214630" cy="2146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-264160</wp:posOffset>
            </wp:positionV>
            <wp:extent cx="214630" cy="2146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20"/>
          <w:szCs w:val="20"/>
          <w:b w:val="1"/>
          <w:bCs w:val="1"/>
          <w:color w:val="D52B1E"/>
        </w:rPr>
        <w:t>Class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160655</wp:posOffset>
            </wp:positionV>
            <wp:extent cx="1311275" cy="13119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311275"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EF3729"/>
        </w:rPr>
        <w:t>Ralph Alvarez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14312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33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16"/>
          <w:szCs w:val="16"/>
          <w:color w:val="auto"/>
        </w:rPr>
        <w:t>: 67</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Director since</w:t>
      </w:r>
      <w:r>
        <w:rPr>
          <w:rFonts w:ascii="Arial" w:cs="Arial" w:eastAsia="Arial" w:hAnsi="Arial"/>
          <w:sz w:val="16"/>
          <w:szCs w:val="16"/>
          <w:color w:val="auto"/>
        </w:rPr>
        <w:t>: 2009</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Board Committees: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Audit</w:t>
      </w:r>
    </w:p>
    <w:p>
      <w:pPr>
        <w:spacing w:after="0" w:line="59" w:lineRule="exact"/>
        <w:rPr>
          <w:sz w:val="20"/>
          <w:szCs w:val="20"/>
          <w:color w:val="auto"/>
        </w:rPr>
      </w:pPr>
    </w:p>
    <w:p>
      <w:pPr>
        <w:ind w:left="360" w:hanging="162"/>
        <w:spacing w:after="0" w:line="290" w:lineRule="auto"/>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Talent and Compensation</w:t>
      </w:r>
      <w:r>
        <w:rPr>
          <w:rFonts w:ascii="Arial" w:cs="Arial" w:eastAsia="Arial" w:hAnsi="Arial"/>
          <w:sz w:val="14"/>
          <w:szCs w:val="14"/>
          <w:color w:val="auto"/>
        </w:rPr>
        <w:t xml:space="preserve"> </w:t>
      </w:r>
      <w:r>
        <w:rPr>
          <w:rFonts w:ascii="Arial" w:cs="Arial" w:eastAsia="Arial" w:hAnsi="Arial"/>
          <w:sz w:val="16"/>
          <w:szCs w:val="16"/>
          <w:color w:val="auto"/>
        </w:rPr>
        <w:t>(Chair)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Public Boards:</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Lowe’s Companies, Inc.</w:t>
      </w:r>
    </w:p>
    <w:p>
      <w:pPr>
        <w:spacing w:after="0" w:line="7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Traeger, Inc.</w:t>
      </w:r>
    </w:p>
    <w:p>
      <w:pPr>
        <w:spacing w:after="0" w:line="59" w:lineRule="exact"/>
        <w:rPr>
          <w:sz w:val="20"/>
          <w:szCs w:val="20"/>
          <w:color w:val="auto"/>
        </w:rPr>
      </w:pPr>
    </w:p>
    <w:p>
      <w:pPr>
        <w:ind w:left="360" w:right="180" w:hanging="162"/>
        <w:spacing w:after="0" w:line="290" w:lineRule="auto"/>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First Watch Restaurant</w:t>
      </w:r>
      <w:r>
        <w:rPr>
          <w:rFonts w:ascii="Arial" w:cs="Arial" w:eastAsia="Arial" w:hAnsi="Arial"/>
          <w:sz w:val="14"/>
          <w:szCs w:val="14"/>
          <w:color w:val="auto"/>
        </w:rPr>
        <w:t xml:space="preserve"> </w:t>
      </w:r>
      <w:r>
        <w:rPr>
          <w:rFonts w:ascii="Arial" w:cs="Arial" w:eastAsia="Arial" w:hAnsi="Arial"/>
          <w:sz w:val="16"/>
          <w:szCs w:val="16"/>
          <w:color w:val="auto"/>
        </w:rPr>
        <w:t>Group, Inc. (chair)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Recent Prior Public Boards:</w:t>
      </w:r>
    </w:p>
    <w:p>
      <w:pPr>
        <w:spacing w:after="0" w:line="59" w:lineRule="exact"/>
        <w:rPr>
          <w:sz w:val="20"/>
          <w:szCs w:val="20"/>
          <w:color w:val="auto"/>
        </w:rPr>
      </w:pPr>
    </w:p>
    <w:p>
      <w:pPr>
        <w:ind w:left="360" w:right="200" w:hanging="162"/>
        <w:spacing w:after="0" w:line="290" w:lineRule="auto"/>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Dunkin’ Brands Group,</w:t>
      </w:r>
      <w:r>
        <w:rPr>
          <w:rFonts w:ascii="Arial" w:cs="Arial" w:eastAsia="Arial" w:hAnsi="Arial"/>
          <w:sz w:val="14"/>
          <w:szCs w:val="14"/>
          <w:color w:val="auto"/>
        </w:rPr>
        <w:t xml:space="preserve"> </w:t>
      </w:r>
      <w:r>
        <w:rPr>
          <w:rFonts w:ascii="Arial" w:cs="Arial" w:eastAsia="Arial" w:hAnsi="Arial"/>
          <w:sz w:val="16"/>
          <w:szCs w:val="16"/>
          <w:color w:val="auto"/>
        </w:rPr>
        <w:t>Inc.</w:t>
      </w:r>
    </w:p>
    <w:p>
      <w:pPr>
        <w:ind w:left="1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McDonald’s Corporation</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KeyCorp</w:t>
      </w:r>
    </w:p>
    <w:p>
      <w:pPr>
        <w:spacing w:after="0" w:line="7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Skylark Co., Ltd.</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Realogy Holdings Corp.</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46355</wp:posOffset>
            </wp:positionV>
            <wp:extent cx="1234440" cy="3086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34440" cy="308610"/>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2695575</wp:posOffset>
            </wp:positionV>
            <wp:extent cx="214630" cy="2146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FFFFFF"/>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-135890</wp:posOffset>
            </wp:positionV>
            <wp:extent cx="4260215" cy="22974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260215" cy="2297430"/>
                    </a:xfrm>
                    <a:prstGeom prst="rect">
                      <a:avLst/>
                    </a:prstGeom>
                    <a:noFill/>
                  </pic:spPr>
                </pic:pic>
              </a:graphicData>
            </a:graphic>
          </wp:anchor>
        </w:drawing>
      </w:r>
    </w:p>
    <w:p>
      <w:pPr>
        <w:spacing w:after="0" w:line="144" w:lineRule="exact"/>
        <w:rPr>
          <w:sz w:val="20"/>
          <w:szCs w:val="20"/>
          <w:color w:val="auto"/>
        </w:rPr>
      </w:pPr>
    </w:p>
    <w:p>
      <w:pPr>
        <w:ind w:right="1099"/>
        <w:spacing w:after="0" w:line="260" w:lineRule="auto"/>
        <w:rPr>
          <w:sz w:val="20"/>
          <w:szCs w:val="20"/>
          <w:color w:val="auto"/>
        </w:rPr>
      </w:pPr>
      <w:r>
        <w:rPr>
          <w:rFonts w:ascii="Arial" w:cs="Arial" w:eastAsia="Arial" w:hAnsi="Arial"/>
          <w:sz w:val="16"/>
          <w:szCs w:val="16"/>
          <w:i w:val="1"/>
          <w:iCs w:val="1"/>
          <w:color w:val="auto"/>
        </w:rPr>
        <w:t>Mr. Alvarez brings to the board more than 40 years of experience in consumer marketing, global operations, international business, and strategic planning, as well as extensive executive leadership experience in managing some of the world’s best-known brands. Mr. Alvarez is a leader of people and brings to the Board a strong perspective on how to motivate and engage diverse talent.</w:t>
      </w:r>
    </w:p>
    <w:p>
      <w:pPr>
        <w:spacing w:after="0" w:line="27" w:lineRule="exact"/>
        <w:rPr>
          <w:sz w:val="20"/>
          <w:szCs w:val="20"/>
          <w:color w:val="auto"/>
        </w:rPr>
      </w:pPr>
    </w:p>
    <w:p>
      <w:pPr>
        <w:ind w:left="640" w:right="1199" w:hanging="325"/>
        <w:spacing w:after="0" w:line="275" w:lineRule="auto"/>
        <w:tabs>
          <w:tab w:leader="none" w:pos="636" w:val="left"/>
        </w:tabs>
        <w:numPr>
          <w:ilvl w:val="0"/>
          <w:numId w:val="64"/>
        </w:numPr>
        <w:rPr>
          <w:rFonts w:ascii="Times New Roman" w:cs="Times New Roman" w:eastAsia="Times New Roman" w:hAnsi="Times New Roman"/>
          <w:sz w:val="14"/>
          <w:szCs w:val="14"/>
          <w:color w:val="auto"/>
        </w:rPr>
      </w:pPr>
      <w:r>
        <w:rPr>
          <w:rFonts w:ascii="Arial" w:cs="Arial" w:eastAsia="Arial" w:hAnsi="Arial"/>
          <w:sz w:val="16"/>
          <w:szCs w:val="16"/>
          <w:color w:val="auto"/>
        </w:rPr>
        <w:t>As a senior executive of a leading global foodservice retailer and other global restaurant businesses, Mr. Alvarez developed in-depth knowledge of consumer marketing, brand management and strategic planning.</w:t>
      </w:r>
    </w:p>
    <w:p>
      <w:pPr>
        <w:spacing w:after="0" w:line="2" w:lineRule="exact"/>
        <w:rPr>
          <w:rFonts w:ascii="Times New Roman" w:cs="Times New Roman" w:eastAsia="Times New Roman" w:hAnsi="Times New Roman"/>
          <w:sz w:val="14"/>
          <w:szCs w:val="14"/>
          <w:color w:val="auto"/>
        </w:rPr>
      </w:pPr>
    </w:p>
    <w:p>
      <w:pPr>
        <w:ind w:left="640" w:right="1539" w:hanging="325"/>
        <w:spacing w:after="0" w:line="290" w:lineRule="auto"/>
        <w:tabs>
          <w:tab w:leader="none" w:pos="636" w:val="left"/>
        </w:tabs>
        <w:numPr>
          <w:ilvl w:val="0"/>
          <w:numId w:val="64"/>
        </w:numPr>
        <w:rPr>
          <w:rFonts w:ascii="Times New Roman" w:cs="Times New Roman" w:eastAsia="Times New Roman" w:hAnsi="Times New Roman"/>
          <w:sz w:val="14"/>
          <w:szCs w:val="14"/>
          <w:color w:val="auto"/>
        </w:rPr>
      </w:pPr>
      <w:r>
        <w:rPr>
          <w:rFonts w:ascii="Arial" w:cs="Arial" w:eastAsia="Arial" w:hAnsi="Arial"/>
          <w:sz w:val="16"/>
          <w:szCs w:val="16"/>
          <w:color w:val="auto"/>
        </w:rPr>
        <w:t>Mr. Alvarez also contributes an understanding of international markets and operations, including a special focus on Japan and emerging markets.</w:t>
      </w:r>
    </w:p>
    <w:p>
      <w:pPr>
        <w:ind w:left="640" w:right="1039" w:hanging="325"/>
        <w:spacing w:after="0" w:line="299" w:lineRule="auto"/>
        <w:tabs>
          <w:tab w:leader="none" w:pos="636" w:val="left"/>
        </w:tabs>
        <w:numPr>
          <w:ilvl w:val="0"/>
          <w:numId w:val="64"/>
        </w:numPr>
        <w:rPr>
          <w:rFonts w:ascii="Times New Roman" w:cs="Times New Roman" w:eastAsia="Times New Roman" w:hAnsi="Times New Roman"/>
          <w:sz w:val="14"/>
          <w:szCs w:val="14"/>
          <w:color w:val="auto"/>
        </w:rPr>
      </w:pPr>
      <w:r>
        <w:rPr>
          <w:rFonts w:ascii="Arial" w:cs="Arial" w:eastAsia="Arial" w:hAnsi="Arial"/>
          <w:sz w:val="16"/>
          <w:szCs w:val="16"/>
          <w:color w:val="auto"/>
        </w:rPr>
        <w:t>Mr. Alvarez has acquired wide-ranging corporate governance experience from his service on other public and private company boards.</w:t>
      </w:r>
    </w:p>
    <w:p>
      <w:pPr>
        <w:ind w:left="640" w:right="1079" w:hanging="325"/>
        <w:spacing w:after="0" w:line="275" w:lineRule="auto"/>
        <w:tabs>
          <w:tab w:leader="none" w:pos="636" w:val="left"/>
        </w:tabs>
        <w:numPr>
          <w:ilvl w:val="0"/>
          <w:numId w:val="64"/>
        </w:numPr>
        <w:rPr>
          <w:rFonts w:ascii="Times New Roman" w:cs="Times New Roman" w:eastAsia="Times New Roman" w:hAnsi="Times New Roman"/>
          <w:sz w:val="14"/>
          <w:szCs w:val="14"/>
          <w:color w:val="auto"/>
        </w:rPr>
      </w:pPr>
      <w:r>
        <w:rPr>
          <w:rFonts w:ascii="Arial" w:cs="Arial" w:eastAsia="Arial" w:hAnsi="Arial"/>
          <w:sz w:val="16"/>
          <w:szCs w:val="16"/>
          <w:color w:val="auto"/>
        </w:rPr>
        <w:t>Mr. Alvarez is an Audit Committee Financial Expert based on his public company experience, including his prior audit committee service on Lowe’s board of directors.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CAREER HIGHLIGHTS</w:t>
      </w:r>
    </w:p>
    <w:p>
      <w:pPr>
        <w:spacing w:after="0" w:line="63" w:lineRule="exact"/>
        <w:rPr>
          <w:sz w:val="20"/>
          <w:szCs w:val="20"/>
          <w:color w:val="auto"/>
        </w:rPr>
      </w:pPr>
    </w:p>
    <w:p>
      <w:pPr>
        <w:ind w:left="620" w:hanging="305"/>
        <w:spacing w:after="0"/>
        <w:tabs>
          <w:tab w:leader="none" w:pos="620" w:val="left"/>
        </w:tabs>
        <w:numPr>
          <w:ilvl w:val="0"/>
          <w:numId w:val="65"/>
        </w:numPr>
        <w:rPr>
          <w:rFonts w:ascii="Arial" w:cs="Arial" w:eastAsia="Arial" w:hAnsi="Arial"/>
          <w:sz w:val="16"/>
          <w:szCs w:val="16"/>
          <w:color w:val="auto"/>
        </w:rPr>
      </w:pPr>
      <w:r>
        <w:rPr>
          <w:rFonts w:ascii="Arial" w:cs="Arial" w:eastAsia="Arial" w:hAnsi="Arial"/>
          <w:sz w:val="18"/>
          <w:szCs w:val="18"/>
          <w:b w:val="1"/>
          <w:bCs w:val="1"/>
          <w:color w:val="auto"/>
        </w:rPr>
        <w:t xml:space="preserve">Advent International Corporation, </w:t>
      </w:r>
      <w:r>
        <w:rPr>
          <w:rFonts w:ascii="Arial" w:cs="Arial" w:eastAsia="Arial" w:hAnsi="Arial"/>
          <w:sz w:val="16"/>
          <w:szCs w:val="16"/>
          <w:color w:val="auto"/>
        </w:rPr>
        <w:t>a leading global private equity firm</w:t>
      </w:r>
    </w:p>
    <w:p>
      <w:pPr>
        <w:spacing w:after="0" w:line="6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Operating Partner (2017 - present)</w:t>
      </w:r>
    </w:p>
    <w:p>
      <w:pPr>
        <w:spacing w:after="0" w:line="54" w:lineRule="exact"/>
        <w:rPr>
          <w:rFonts w:ascii="Arial" w:cs="Arial" w:eastAsia="Arial" w:hAnsi="Arial"/>
          <w:sz w:val="16"/>
          <w:szCs w:val="16"/>
          <w:color w:val="auto"/>
        </w:rPr>
      </w:pPr>
    </w:p>
    <w:p>
      <w:pPr>
        <w:ind w:left="620" w:hanging="305"/>
        <w:spacing w:after="0"/>
        <w:tabs>
          <w:tab w:leader="none" w:pos="620" w:val="left"/>
        </w:tabs>
        <w:numPr>
          <w:ilvl w:val="0"/>
          <w:numId w:val="65"/>
        </w:numPr>
        <w:rPr>
          <w:rFonts w:ascii="Arial" w:cs="Arial" w:eastAsia="Arial" w:hAnsi="Arial"/>
          <w:sz w:val="16"/>
          <w:szCs w:val="16"/>
          <w:color w:val="auto"/>
        </w:rPr>
      </w:pPr>
      <w:r>
        <w:rPr>
          <w:rFonts w:ascii="Arial" w:cs="Arial" w:eastAsia="Arial" w:hAnsi="Arial"/>
          <w:sz w:val="18"/>
          <w:szCs w:val="18"/>
          <w:b w:val="1"/>
          <w:bCs w:val="1"/>
          <w:color w:val="auto"/>
        </w:rPr>
        <w:t xml:space="preserve">Skylark Co., Ltd., </w:t>
      </w:r>
      <w:r>
        <w:rPr>
          <w:rFonts w:ascii="Arial" w:cs="Arial" w:eastAsia="Arial" w:hAnsi="Arial"/>
          <w:sz w:val="16"/>
          <w:szCs w:val="16"/>
          <w:color w:val="auto"/>
        </w:rPr>
        <w:t>a leading restaurant operator in Japan</w:t>
      </w:r>
    </w:p>
    <w:p>
      <w:pPr>
        <w:spacing w:after="0" w:line="6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Chairman of the Board (2013 - 2018)</w:t>
      </w:r>
    </w:p>
    <w:p>
      <w:pPr>
        <w:spacing w:after="0" w:line="54" w:lineRule="exact"/>
        <w:rPr>
          <w:rFonts w:ascii="Arial" w:cs="Arial" w:eastAsia="Arial" w:hAnsi="Arial"/>
          <w:sz w:val="16"/>
          <w:szCs w:val="16"/>
          <w:color w:val="auto"/>
        </w:rPr>
      </w:pPr>
    </w:p>
    <w:p>
      <w:pPr>
        <w:ind w:left="620" w:hanging="305"/>
        <w:spacing w:after="0"/>
        <w:tabs>
          <w:tab w:leader="none" w:pos="620" w:val="left"/>
        </w:tabs>
        <w:numPr>
          <w:ilvl w:val="0"/>
          <w:numId w:val="65"/>
        </w:numPr>
        <w:rPr>
          <w:rFonts w:ascii="Arial" w:cs="Arial" w:eastAsia="Arial" w:hAnsi="Arial"/>
          <w:sz w:val="16"/>
          <w:szCs w:val="16"/>
          <w:color w:val="auto"/>
        </w:rPr>
      </w:pPr>
      <w:r>
        <w:rPr>
          <w:rFonts w:ascii="Arial" w:cs="Arial" w:eastAsia="Arial" w:hAnsi="Arial"/>
          <w:sz w:val="18"/>
          <w:szCs w:val="18"/>
          <w:b w:val="1"/>
          <w:bCs w:val="1"/>
          <w:color w:val="auto"/>
        </w:rPr>
        <w:t xml:space="preserve">McDonald’s Corporation, </w:t>
      </w:r>
      <w:r>
        <w:rPr>
          <w:rFonts w:ascii="Arial" w:cs="Arial" w:eastAsia="Arial" w:hAnsi="Arial"/>
          <w:sz w:val="16"/>
          <w:szCs w:val="16"/>
          <w:color w:val="auto"/>
        </w:rPr>
        <w:t>a leading food service retailer</w:t>
      </w:r>
    </w:p>
    <w:p>
      <w:pPr>
        <w:spacing w:after="0" w:line="6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President and Chief Operating Officer (2006 - 2009)</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OTHER HIGHLIGHTS</w:t>
      </w:r>
    </w:p>
    <w:p>
      <w:pPr>
        <w:spacing w:after="0" w:line="68" w:lineRule="exact"/>
        <w:rPr>
          <w:sz w:val="20"/>
          <w:szCs w:val="20"/>
          <w:color w:val="auto"/>
        </w:rPr>
      </w:pPr>
    </w:p>
    <w:p>
      <w:pPr>
        <w:ind w:left="640" w:hanging="325"/>
        <w:spacing w:after="0"/>
        <w:tabs>
          <w:tab w:leader="none" w:pos="640" w:val="left"/>
        </w:tabs>
        <w:numPr>
          <w:ilvl w:val="0"/>
          <w:numId w:val="66"/>
        </w:numPr>
        <w:rPr>
          <w:rFonts w:ascii="Cambria" w:cs="Cambria" w:eastAsia="Cambria" w:hAnsi="Cambria"/>
          <w:sz w:val="16"/>
          <w:szCs w:val="16"/>
          <w:b w:val="1"/>
          <w:bCs w:val="1"/>
          <w:color w:val="auto"/>
        </w:rPr>
      </w:pPr>
      <w:r>
        <w:rPr>
          <w:rFonts w:ascii="Arial" w:cs="Arial" w:eastAsia="Arial" w:hAnsi="Arial"/>
          <w:sz w:val="16"/>
          <w:szCs w:val="16"/>
          <w:color w:val="auto"/>
        </w:rPr>
        <w:t>University of Miami President’s Council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3473450</wp:posOffset>
            </wp:positionV>
            <wp:extent cx="213995" cy="2146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3995" cy="214630"/>
                    </a:xfrm>
                    <a:prstGeom prst="rect">
                      <a:avLst/>
                    </a:prstGeom>
                    <a:noFill/>
                  </pic:spPr>
                </pic:pic>
              </a:graphicData>
            </a:graphic>
          </wp:anchor>
        </w:drawing>
        <w:drawing>
          <wp:anchor simplePos="0" relativeHeight="251657728" behindDoc="1" locked="0" layoutInCell="0" allowOverlap="1">
            <wp:simplePos x="0" y="0"/>
            <wp:positionH relativeFrom="column">
              <wp:posOffset>805815</wp:posOffset>
            </wp:positionH>
            <wp:positionV relativeFrom="paragraph">
              <wp:posOffset>3473450</wp:posOffset>
            </wp:positionV>
            <wp:extent cx="214630" cy="2146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1731645</wp:posOffset>
            </wp:positionH>
            <wp:positionV relativeFrom="paragraph">
              <wp:posOffset>3473450</wp:posOffset>
            </wp:positionV>
            <wp:extent cx="214630" cy="2146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3473450</wp:posOffset>
            </wp:positionV>
            <wp:extent cx="214630" cy="2146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1424" w:lineRule="exact"/>
        <w:rPr>
          <w:sz w:val="20"/>
          <w:szCs w:val="20"/>
          <w:color w:val="auto"/>
        </w:rPr>
      </w:pPr>
    </w:p>
    <w:p>
      <w:pPr>
        <w:sectPr>
          <w:pgSz w:w="11900" w:h="16838" w:orient="portrait"/>
          <w:cols w:equalWidth="0" w:num="2">
            <w:col w:w="2180" w:space="460"/>
            <w:col w:w="7499"/>
          </w:cols>
          <w:pgMar w:left="320" w:top="9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1620" w:type="dxa"/>
        <w:tblCellMar>
          <w:top w:w="0" w:type="dxa"/>
          <w:left w:w="0" w:type="dxa"/>
          <w:bottom w:w="0" w:type="dxa"/>
          <w:right w:w="0" w:type="dxa"/>
        </w:tblCellMar>
      </w:tblPr>
      <w:tr>
        <w:trPr>
          <w:trHeight w:val="175"/>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w w:val="98"/>
              </w:rPr>
              <w:t>CEO</w:t>
            </w:r>
          </w:p>
        </w:tc>
        <w:tc>
          <w:tcPr>
            <w:tcW w:w="80" w:type="dxa"/>
            <w:vAlign w:val="bottom"/>
          </w:tcPr>
          <w:p>
            <w:pPr>
              <w:spacing w:after="0"/>
              <w:rPr>
                <w:sz w:val="15"/>
                <w:szCs w:val="15"/>
                <w:color w:val="auto"/>
              </w:rPr>
            </w:pPr>
          </w:p>
        </w:tc>
        <w:tc>
          <w:tcPr>
            <w:tcW w:w="1300" w:type="dxa"/>
            <w:vAlign w:val="bottom"/>
          </w:tcPr>
          <w:p>
            <w:pPr>
              <w:jc w:val="center"/>
              <w:ind w:right="528"/>
              <w:spacing w:after="0"/>
              <w:rPr>
                <w:sz w:val="20"/>
                <w:szCs w:val="20"/>
                <w:color w:val="auto"/>
              </w:rPr>
            </w:pPr>
            <w:r>
              <w:rPr>
                <w:rFonts w:ascii="Arial" w:cs="Arial" w:eastAsia="Arial" w:hAnsi="Arial"/>
                <w:sz w:val="14"/>
                <w:szCs w:val="14"/>
                <w:b w:val="1"/>
                <w:bCs w:val="1"/>
                <w:color w:val="auto"/>
              </w:rPr>
              <w:t>Finance /</w:t>
            </w:r>
          </w:p>
        </w:tc>
        <w:tc>
          <w:tcPr>
            <w:tcW w:w="1320" w:type="dxa"/>
            <w:vAlign w:val="bottom"/>
          </w:tcPr>
          <w:p>
            <w:pPr>
              <w:jc w:val="center"/>
              <w:ind w:right="308"/>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rPr>
              <w:t>Healthcare</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Science /</w:t>
            </w:r>
          </w:p>
        </w:tc>
        <w:tc>
          <w:tcPr>
            <w:tcW w:w="0" w:type="dxa"/>
            <w:vAlign w:val="bottom"/>
          </w:tcPr>
          <w:p>
            <w:pPr>
              <w:spacing w:after="0"/>
              <w:rPr>
                <w:sz w:val="1"/>
                <w:szCs w:val="1"/>
                <w:color w:val="auto"/>
              </w:rPr>
            </w:pPr>
          </w:p>
        </w:tc>
      </w:tr>
      <w:tr>
        <w:trPr>
          <w:trHeight w:val="196"/>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rPr>
              <w:t>Leadership</w:t>
            </w:r>
          </w:p>
        </w:tc>
        <w:tc>
          <w:tcPr>
            <w:tcW w:w="1380" w:type="dxa"/>
            <w:vAlign w:val="bottom"/>
            <w:gridSpan w:val="2"/>
          </w:tcPr>
          <w:p>
            <w:pPr>
              <w:jc w:val="center"/>
              <w:ind w:right="468"/>
              <w:spacing w:after="0"/>
              <w:rPr>
                <w:sz w:val="20"/>
                <w:szCs w:val="20"/>
                <w:color w:val="auto"/>
              </w:rPr>
            </w:pPr>
            <w:r>
              <w:rPr>
                <w:rFonts w:ascii="Arial" w:cs="Arial" w:eastAsia="Arial" w:hAnsi="Arial"/>
                <w:sz w:val="14"/>
                <w:szCs w:val="14"/>
                <w:b w:val="1"/>
                <w:bCs w:val="1"/>
                <w:color w:val="auto"/>
              </w:rPr>
              <w:t>Accounting</w:t>
            </w:r>
          </w:p>
        </w:tc>
        <w:tc>
          <w:tcPr>
            <w:tcW w:w="1320" w:type="dxa"/>
            <w:vAlign w:val="bottom"/>
          </w:tcPr>
          <w:p>
            <w:pPr>
              <w:jc w:val="center"/>
              <w:ind w:right="328"/>
              <w:spacing w:after="0"/>
              <w:rPr>
                <w:sz w:val="20"/>
                <w:szCs w:val="20"/>
                <w:color w:val="auto"/>
              </w:rPr>
            </w:pPr>
            <w:r>
              <w:rPr>
                <w:rFonts w:ascii="Arial" w:cs="Arial" w:eastAsia="Arial" w:hAnsi="Arial"/>
                <w:sz w:val="14"/>
                <w:szCs w:val="14"/>
                <w:b w:val="1"/>
                <w:bCs w:val="1"/>
                <w:color w:val="auto"/>
              </w:rPr>
              <w:t>Business</w:t>
            </w:r>
          </w:p>
        </w:tc>
        <w:tc>
          <w:tcPr>
            <w:tcW w:w="260" w:type="dxa"/>
            <w:vAlign w:val="bottom"/>
          </w:tcPr>
          <w:p>
            <w:pPr>
              <w:spacing w:after="0"/>
              <w:rPr>
                <w:sz w:val="17"/>
                <w:szCs w:val="17"/>
                <w:color w:val="auto"/>
              </w:rPr>
            </w:pPr>
          </w:p>
        </w:tc>
        <w:tc>
          <w:tcPr>
            <w:tcW w:w="1220" w:type="dxa"/>
            <w:vAlign w:val="bottom"/>
          </w:tcPr>
          <w:p>
            <w:pPr>
              <w:jc w:val="center"/>
              <w:ind w:right="568"/>
              <w:spacing w:after="0"/>
              <w:rPr>
                <w:sz w:val="20"/>
                <w:szCs w:val="20"/>
                <w:color w:val="auto"/>
              </w:rPr>
            </w:pPr>
            <w:r>
              <w:rPr>
                <w:rFonts w:ascii="Arial" w:cs="Arial" w:eastAsia="Arial" w:hAnsi="Arial"/>
                <w:sz w:val="14"/>
                <w:szCs w:val="14"/>
                <w:b w:val="1"/>
                <w:bCs w:val="1"/>
                <w:color w:val="auto"/>
              </w:rPr>
              <w:t>Industry</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w w:val="99"/>
              </w:rPr>
              <w:t>Academia</w:t>
            </w:r>
          </w:p>
        </w:tc>
        <w:tc>
          <w:tcPr>
            <w:tcW w:w="0" w:type="dxa"/>
            <w:vAlign w:val="bottom"/>
          </w:tcPr>
          <w:p>
            <w:pPr>
              <w:spacing w:after="0"/>
              <w:rPr>
                <w:sz w:val="1"/>
                <w:szCs w:val="1"/>
                <w:color w:val="auto"/>
              </w:rPr>
            </w:pPr>
          </w:p>
        </w:tc>
      </w:tr>
      <w:tr>
        <w:trPr>
          <w:trHeight w:val="434"/>
        </w:trPr>
        <w:tc>
          <w:tcPr>
            <w:tcW w:w="1340" w:type="dxa"/>
            <w:vAlign w:val="bottom"/>
          </w:tcPr>
          <w:p>
            <w:pPr>
              <w:ind w:left="480"/>
              <w:spacing w:after="0"/>
              <w:rPr>
                <w:sz w:val="20"/>
                <w:szCs w:val="20"/>
                <w:color w:val="auto"/>
              </w:rPr>
            </w:pPr>
            <w:r>
              <w:rPr>
                <w:rFonts w:ascii="Arial" w:cs="Arial" w:eastAsia="Arial" w:hAnsi="Arial"/>
                <w:sz w:val="14"/>
                <w:szCs w:val="14"/>
                <w:b w:val="1"/>
                <w:bCs w:val="1"/>
                <w:color w:val="auto"/>
              </w:rPr>
              <w:t>Government</w:t>
            </w:r>
          </w:p>
        </w:tc>
        <w:tc>
          <w:tcPr>
            <w:tcW w:w="80" w:type="dxa"/>
            <w:vAlign w:val="bottom"/>
          </w:tcPr>
          <w:p>
            <w:pPr>
              <w:spacing w:after="0"/>
              <w:rPr>
                <w:sz w:val="24"/>
                <w:szCs w:val="24"/>
                <w:color w:val="auto"/>
              </w:rPr>
            </w:pPr>
          </w:p>
        </w:tc>
        <w:tc>
          <w:tcPr>
            <w:tcW w:w="13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Sales /</w:t>
            </w:r>
          </w:p>
        </w:tc>
        <w:tc>
          <w:tcPr>
            <w:tcW w:w="15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w w:val="99"/>
              </w:rPr>
              <w:t>Technology /</w:t>
            </w:r>
          </w:p>
        </w:tc>
        <w:tc>
          <w:tcPr>
            <w:tcW w:w="192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Operations /</w:t>
            </w:r>
          </w:p>
        </w:tc>
        <w:tc>
          <w:tcPr>
            <w:tcW w:w="0" w:type="dxa"/>
            <w:vAlign w:val="bottom"/>
          </w:tcPr>
          <w:p>
            <w:pPr>
              <w:spacing w:after="0"/>
              <w:rPr>
                <w:sz w:val="1"/>
                <w:szCs w:val="1"/>
                <w:color w:val="auto"/>
              </w:rPr>
            </w:pPr>
          </w:p>
        </w:tc>
      </w:tr>
      <w:tr>
        <w:trPr>
          <w:trHeight w:val="135"/>
        </w:trPr>
        <w:tc>
          <w:tcPr>
            <w:tcW w:w="1340" w:type="dxa"/>
            <w:vAlign w:val="bottom"/>
          </w:tcPr>
          <w:p>
            <w:pPr>
              <w:ind w:left="480"/>
              <w:spacing w:after="0" w:line="135" w:lineRule="exact"/>
              <w:rPr>
                <w:sz w:val="20"/>
                <w:szCs w:val="20"/>
                <w:color w:val="auto"/>
              </w:rPr>
            </w:pPr>
            <w:r>
              <w:rPr>
                <w:rFonts w:ascii="Arial" w:cs="Arial" w:eastAsia="Arial" w:hAnsi="Arial"/>
                <w:sz w:val="14"/>
                <w:szCs w:val="14"/>
                <w:b w:val="1"/>
                <w:bCs w:val="1"/>
                <w:color w:val="auto"/>
              </w:rPr>
              <w:t>Relations /</w:t>
            </w:r>
          </w:p>
        </w:tc>
        <w:tc>
          <w:tcPr>
            <w:tcW w:w="8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1420" w:type="dxa"/>
            <w:vAlign w:val="bottom"/>
            <w:gridSpan w:val="2"/>
          </w:tcPr>
          <w:p>
            <w:pPr>
              <w:ind w:left="480"/>
              <w:spacing w:after="0"/>
              <w:rPr>
                <w:sz w:val="20"/>
                <w:szCs w:val="20"/>
                <w:color w:val="auto"/>
              </w:rPr>
            </w:pPr>
            <w:r>
              <w:rPr>
                <w:rFonts w:ascii="Arial" w:cs="Arial" w:eastAsia="Arial" w:hAnsi="Arial"/>
                <w:sz w:val="14"/>
                <w:szCs w:val="14"/>
                <w:b w:val="1"/>
                <w:bCs w:val="1"/>
                <w:color w:val="auto"/>
              </w:rPr>
              <w:t>Public Policy</w:t>
            </w:r>
          </w:p>
        </w:tc>
        <w:tc>
          <w:tcPr>
            <w:tcW w:w="1300" w:type="dxa"/>
            <w:vAlign w:val="bottom"/>
          </w:tcPr>
          <w:p>
            <w:pPr>
              <w:ind w:left="600"/>
              <w:spacing w:after="0"/>
              <w:rPr>
                <w:sz w:val="20"/>
                <w:szCs w:val="20"/>
                <w:color w:val="auto"/>
              </w:rPr>
            </w:pPr>
            <w:r>
              <w:rPr>
                <w:rFonts w:ascii="Arial" w:cs="Arial" w:eastAsia="Arial" w:hAnsi="Arial"/>
                <w:sz w:val="14"/>
                <w:szCs w:val="14"/>
                <w:b w:val="1"/>
                <w:bCs w:val="1"/>
                <w:color w:val="auto"/>
              </w:rPr>
              <w:t>Marketing</w:t>
            </w:r>
          </w:p>
        </w:tc>
        <w:tc>
          <w:tcPr>
            <w:tcW w:w="1320" w:type="dxa"/>
            <w:vAlign w:val="bottom"/>
          </w:tcPr>
          <w:p>
            <w:pPr>
              <w:ind w:left="700"/>
              <w:spacing w:after="0"/>
              <w:rPr>
                <w:sz w:val="20"/>
                <w:szCs w:val="20"/>
                <w:color w:val="auto"/>
              </w:rPr>
            </w:pPr>
            <w:r>
              <w:rPr>
                <w:rFonts w:ascii="Arial" w:cs="Arial" w:eastAsia="Arial" w:hAnsi="Arial"/>
                <w:sz w:val="14"/>
                <w:szCs w:val="14"/>
                <w:b w:val="1"/>
                <w:bCs w:val="1"/>
                <w:color w:val="auto"/>
              </w:rPr>
              <w:t>Digital</w:t>
            </w:r>
          </w:p>
        </w:tc>
        <w:tc>
          <w:tcPr>
            <w:tcW w:w="260" w:type="dxa"/>
            <w:vAlign w:val="bottom"/>
          </w:tcPr>
          <w:p>
            <w:pPr>
              <w:spacing w:after="0"/>
              <w:rPr>
                <w:sz w:val="17"/>
                <w:szCs w:val="17"/>
                <w:color w:val="auto"/>
              </w:rPr>
            </w:pP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Strategy</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-255270</wp:posOffset>
            </wp:positionV>
            <wp:extent cx="214630" cy="2146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-255270</wp:posOffset>
            </wp:positionV>
            <wp:extent cx="214630" cy="2146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-255270</wp:posOffset>
            </wp:positionV>
            <wp:extent cx="214630" cy="2146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-255270</wp:posOffset>
            </wp:positionV>
            <wp:extent cx="214630" cy="2146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ectPr>
          <w:pgSz w:w="11900" w:h="16838" w:orient="portrait"/>
          <w:cols w:equalWidth="0" w:num="1">
            <w:col w:w="10139"/>
          </w:cols>
          <w:pgMar w:left="320" w:top="980" w:right="1440"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0" w:right="1440" w:bottom="1440" w:gutter="0" w:footer="0" w:header="0"/>
          <w:type w:val="continuous"/>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843280</wp:posOffset>
            </wp:positionV>
            <wp:extent cx="1311275" cy="13119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clrChange>
                        <a:clrFrom>
                          <a:srgbClr val="FFFFFF"/>
                        </a:clrFrom>
                        <a:clrTo>
                          <a:srgbClr val="FFFFFF">
                            <a:alpha val="0"/>
                          </a:srgbClr>
                        </a:clrTo>
                      </a:clrChange>
                      <a:extLst>
                        <a:ext uri="{28A0092B-C50C-407E-A947-70E740481C1C}"/>
                      </a:extLst>
                    </a:blip>
                    <a:srcRect/>
                    <a:stretch>
                      <a:fillRect/>
                    </a:stretch>
                  </pic:blipFill>
                  <pic:spPr bwMode="auto">
                    <a:xfrm>
                      <a:off x="0" y="0"/>
                      <a:ext cx="1311275"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40"/>
        <w:spacing w:after="0" w:line="247" w:lineRule="auto"/>
        <w:rPr>
          <w:sz w:val="20"/>
          <w:szCs w:val="20"/>
          <w:color w:val="auto"/>
        </w:rPr>
      </w:pPr>
      <w:r>
        <w:rPr>
          <w:rFonts w:ascii="Arial" w:cs="Arial" w:eastAsia="Arial" w:hAnsi="Arial"/>
          <w:sz w:val="22"/>
          <w:szCs w:val="22"/>
          <w:b w:val="1"/>
          <w:bCs w:val="1"/>
          <w:color w:val="EF3729"/>
        </w:rPr>
        <w:t>Mary Lynne Hedley,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143129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16"/>
          <w:szCs w:val="16"/>
          <w:color w:val="auto"/>
        </w:rPr>
        <w:t>: 60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w:t>
      </w:r>
      <w:r>
        <w:rPr>
          <w:rFonts w:ascii="Arial" w:cs="Arial" w:eastAsia="Arial" w:hAnsi="Arial"/>
          <w:sz w:val="16"/>
          <w:szCs w:val="16"/>
          <w:color w:val="auto"/>
        </w:rPr>
        <w:t>: 2022</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Ethics and Compliance</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Science and Technology</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Boards: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VEEVA Systems Inc.</w:t>
      </w:r>
    </w:p>
    <w:p>
      <w:pPr>
        <w:spacing w:after="0" w:line="72" w:lineRule="exact"/>
        <w:rPr>
          <w:sz w:val="20"/>
          <w:szCs w:val="20"/>
          <w:color w:val="auto"/>
        </w:rPr>
      </w:pPr>
    </w:p>
    <w:p>
      <w:pPr>
        <w:ind w:left="340" w:right="380" w:hanging="162"/>
        <w:spacing w:after="0" w:line="286" w:lineRule="auto"/>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Centessa</w:t>
      </w:r>
      <w:r>
        <w:rPr>
          <w:rFonts w:ascii="Arial" w:cs="Arial" w:eastAsia="Arial" w:hAnsi="Arial"/>
          <w:sz w:val="14"/>
          <w:szCs w:val="14"/>
          <w:color w:val="auto"/>
        </w:rPr>
        <w:t xml:space="preserve"> </w:t>
      </w:r>
      <w:r>
        <w:rPr>
          <w:rFonts w:ascii="Arial" w:cs="Arial" w:eastAsia="Arial" w:hAnsi="Arial"/>
          <w:sz w:val="16"/>
          <w:szCs w:val="16"/>
          <w:color w:val="auto"/>
        </w:rPr>
        <w:t>Pharmaceuticals plc</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Prior Public Boards:</w:t>
      </w:r>
    </w:p>
    <w:p>
      <w:pPr>
        <w:spacing w:after="0" w:line="59" w:lineRule="exact"/>
        <w:rPr>
          <w:sz w:val="20"/>
          <w:szCs w:val="20"/>
          <w:color w:val="auto"/>
        </w:rPr>
      </w:pPr>
    </w:p>
    <w:p>
      <w:pPr>
        <w:ind w:left="340" w:right="200" w:hanging="162"/>
        <w:spacing w:after="0" w:line="286" w:lineRule="auto"/>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Millendo Therapeutics,</w:t>
      </w:r>
      <w:r>
        <w:rPr>
          <w:rFonts w:ascii="Arial" w:cs="Arial" w:eastAsia="Arial" w:hAnsi="Arial"/>
          <w:sz w:val="14"/>
          <w:szCs w:val="14"/>
          <w:color w:val="auto"/>
        </w:rPr>
        <w:t xml:space="preserve"> </w:t>
      </w:r>
      <w:r>
        <w:rPr>
          <w:rFonts w:ascii="Arial" w:cs="Arial" w:eastAsia="Arial" w:hAnsi="Arial"/>
          <w:sz w:val="16"/>
          <w:szCs w:val="16"/>
          <w:color w:val="auto"/>
        </w:rPr>
        <w:t>Inc.</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bluebird bio, Inc.</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TESARO,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55245</wp:posOffset>
            </wp:positionV>
            <wp:extent cx="1234440" cy="677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34440" cy="677545"/>
                    </a:xfrm>
                    <a:prstGeom prst="rect">
                      <a:avLst/>
                    </a:prstGeom>
                    <a:noFill/>
                  </pic:spPr>
                </pic:pic>
              </a:graphicData>
            </a:graphic>
          </wp:anchor>
        </w:drawing>
        <w:drawing>
          <wp:anchor simplePos="0" relativeHeight="251657728" behindDoc="1" locked="0" layoutInCell="0" allowOverlap="1">
            <wp:simplePos x="0" y="0"/>
            <wp:positionH relativeFrom="column">
              <wp:posOffset>746760</wp:posOffset>
            </wp:positionH>
            <wp:positionV relativeFrom="paragraph">
              <wp:posOffset>3372485</wp:posOffset>
            </wp:positionV>
            <wp:extent cx="214630" cy="2146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FFFFFF"/>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-144780</wp:posOffset>
            </wp:positionV>
            <wp:extent cx="4260215" cy="31115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260215" cy="3111500"/>
                    </a:xfrm>
                    <a:prstGeom prst="rect">
                      <a:avLst/>
                    </a:prstGeom>
                    <a:noFill/>
                  </pic:spPr>
                </pic:pic>
              </a:graphicData>
            </a:graphic>
          </wp:anchor>
        </w:drawing>
      </w:r>
    </w:p>
    <w:p>
      <w:pPr>
        <w:spacing w:after="0" w:line="50" w:lineRule="exact"/>
        <w:rPr>
          <w:sz w:val="20"/>
          <w:szCs w:val="20"/>
          <w:color w:val="auto"/>
        </w:rPr>
      </w:pPr>
    </w:p>
    <w:p>
      <w:pPr>
        <w:ind w:right="1139"/>
        <w:spacing w:after="0" w:line="274" w:lineRule="auto"/>
        <w:rPr>
          <w:sz w:val="20"/>
          <w:szCs w:val="20"/>
          <w:color w:val="auto"/>
        </w:rPr>
      </w:pPr>
      <w:r>
        <w:rPr>
          <w:rFonts w:ascii="Arial" w:cs="Arial" w:eastAsia="Arial" w:hAnsi="Arial"/>
          <w:sz w:val="16"/>
          <w:szCs w:val="16"/>
          <w:i w:val="1"/>
          <w:iCs w:val="1"/>
          <w:color w:val="auto"/>
        </w:rPr>
        <w:t>Dr. Hedley’s career has uniquely combined discovery, translational and clinical research and commercialization, bringing to the board extensive business leadership and scientific investigation experience in the biotechnology industry.</w:t>
      </w:r>
    </w:p>
    <w:p>
      <w:pPr>
        <w:spacing w:after="0" w:line="2" w:lineRule="exact"/>
        <w:rPr>
          <w:sz w:val="20"/>
          <w:szCs w:val="20"/>
          <w:color w:val="auto"/>
        </w:rPr>
      </w:pPr>
    </w:p>
    <w:p>
      <w:pPr>
        <w:ind w:left="640" w:right="1099" w:hanging="325"/>
        <w:spacing w:after="0" w:line="261" w:lineRule="auto"/>
        <w:tabs>
          <w:tab w:leader="none" w:pos="629" w:val="left"/>
        </w:tabs>
        <w:numPr>
          <w:ilvl w:val="0"/>
          <w:numId w:val="69"/>
        </w:numPr>
        <w:rPr>
          <w:rFonts w:ascii="Arial" w:cs="Arial" w:eastAsia="Arial" w:hAnsi="Arial"/>
          <w:sz w:val="16"/>
          <w:szCs w:val="16"/>
          <w:color w:val="auto"/>
        </w:rPr>
      </w:pPr>
      <w:r>
        <w:rPr>
          <w:rFonts w:ascii="Arial" w:cs="Arial" w:eastAsia="Arial" w:hAnsi="Arial"/>
          <w:sz w:val="16"/>
          <w:szCs w:val="16"/>
          <w:color w:val="auto"/>
        </w:rPr>
        <w:t>Having served as co-founder, CEO, president, chief scientific officer or chief operating officer of several biotechnology companies, Dr. Hedley has experience leading and overseeing the complex operations and risks of these businesses, including building C-suite teams, raising capital, and managing research and development, commercial development, manufacturing and supply chains, quality, regulatory affairs, and corporate strategy.</w:t>
      </w:r>
    </w:p>
    <w:p>
      <w:pPr>
        <w:spacing w:after="0" w:line="27" w:lineRule="exact"/>
        <w:rPr>
          <w:rFonts w:ascii="Arial" w:cs="Arial" w:eastAsia="Arial" w:hAnsi="Arial"/>
          <w:sz w:val="16"/>
          <w:szCs w:val="16"/>
          <w:color w:val="auto"/>
        </w:rPr>
      </w:pPr>
    </w:p>
    <w:p>
      <w:pPr>
        <w:ind w:left="640" w:right="1119" w:hanging="325"/>
        <w:spacing w:after="0" w:line="260" w:lineRule="auto"/>
        <w:tabs>
          <w:tab w:leader="none" w:pos="629" w:val="left"/>
        </w:tabs>
        <w:numPr>
          <w:ilvl w:val="0"/>
          <w:numId w:val="69"/>
        </w:numPr>
        <w:rPr>
          <w:rFonts w:ascii="Arial" w:cs="Arial" w:eastAsia="Arial" w:hAnsi="Arial"/>
          <w:sz w:val="16"/>
          <w:szCs w:val="16"/>
          <w:color w:val="auto"/>
        </w:rPr>
      </w:pPr>
      <w:r>
        <w:rPr>
          <w:rFonts w:ascii="Arial" w:cs="Arial" w:eastAsia="Arial" w:hAnsi="Arial"/>
          <w:sz w:val="16"/>
          <w:szCs w:val="16"/>
          <w:color w:val="auto"/>
        </w:rPr>
        <w:t>Dr. Hedley contributes a wide-ranging perspective on the life science business, acquired through her roles at multiple successful companies and her industry-spanning work advising CEOs, venture and life science companies in addition to academic scientists advancing therapeutic drug development while at the Broad Institute.</w:t>
      </w:r>
    </w:p>
    <w:p>
      <w:pPr>
        <w:spacing w:after="0" w:line="15" w:lineRule="exact"/>
        <w:rPr>
          <w:rFonts w:ascii="Arial" w:cs="Arial" w:eastAsia="Arial" w:hAnsi="Arial"/>
          <w:sz w:val="16"/>
          <w:szCs w:val="16"/>
          <w:color w:val="auto"/>
        </w:rPr>
      </w:pPr>
    </w:p>
    <w:p>
      <w:pPr>
        <w:ind w:left="640" w:right="1459" w:hanging="325"/>
        <w:spacing w:after="0" w:line="290" w:lineRule="auto"/>
        <w:tabs>
          <w:tab w:leader="none" w:pos="629" w:val="left"/>
        </w:tabs>
        <w:numPr>
          <w:ilvl w:val="0"/>
          <w:numId w:val="69"/>
        </w:numPr>
        <w:rPr>
          <w:rFonts w:ascii="Arial" w:cs="Arial" w:eastAsia="Arial" w:hAnsi="Arial"/>
          <w:sz w:val="16"/>
          <w:szCs w:val="16"/>
          <w:color w:val="auto"/>
        </w:rPr>
      </w:pPr>
      <w:r>
        <w:rPr>
          <w:rFonts w:ascii="Arial" w:cs="Arial" w:eastAsia="Arial" w:hAnsi="Arial"/>
          <w:sz w:val="16"/>
          <w:szCs w:val="16"/>
          <w:color w:val="auto"/>
        </w:rPr>
        <w:t>Dr. Hedley has substantial experience with developing and commercializing oncology therapeutics, one of Lilly’s core therapeutics areas.</w:t>
      </w:r>
    </w:p>
    <w:p>
      <w:pPr>
        <w:ind w:left="640" w:right="1159" w:hanging="325"/>
        <w:spacing w:after="0" w:line="265" w:lineRule="auto"/>
        <w:tabs>
          <w:tab w:leader="none" w:pos="629" w:val="left"/>
        </w:tabs>
        <w:numPr>
          <w:ilvl w:val="0"/>
          <w:numId w:val="69"/>
        </w:numPr>
        <w:rPr>
          <w:rFonts w:ascii="Arial" w:cs="Arial" w:eastAsia="Arial" w:hAnsi="Arial"/>
          <w:sz w:val="16"/>
          <w:szCs w:val="16"/>
          <w:color w:val="auto"/>
        </w:rPr>
      </w:pPr>
      <w:r>
        <w:rPr>
          <w:rFonts w:ascii="Arial" w:cs="Arial" w:eastAsia="Arial" w:hAnsi="Arial"/>
          <w:sz w:val="16"/>
          <w:szCs w:val="16"/>
          <w:color w:val="auto"/>
        </w:rPr>
        <w:t>Dr. Hedley’s service on the boards of directors and board committees of other public companies and not-for-profit entities, and, in particular, as chair or former chair of the nominating and corporate governance committees at each of Veeva Systems and Millendo Therapeutics and the audit committee of Centessa Pharmaceuticals, provides a multifaceted governance perspective.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CAREER HIGHLIGHTS</w:t>
      </w:r>
    </w:p>
    <w:p>
      <w:pPr>
        <w:spacing w:after="0" w:line="63" w:lineRule="exact"/>
        <w:rPr>
          <w:sz w:val="20"/>
          <w:szCs w:val="20"/>
          <w:color w:val="auto"/>
        </w:rPr>
      </w:pPr>
    </w:p>
    <w:p>
      <w:pPr>
        <w:ind w:left="620" w:hanging="305"/>
        <w:spacing w:after="0"/>
        <w:tabs>
          <w:tab w:leader="none" w:pos="620" w:val="left"/>
        </w:tabs>
        <w:numPr>
          <w:ilvl w:val="0"/>
          <w:numId w:val="70"/>
        </w:numPr>
        <w:rPr>
          <w:rFonts w:ascii="Arial" w:cs="Arial" w:eastAsia="Arial" w:hAnsi="Arial"/>
          <w:sz w:val="16"/>
          <w:szCs w:val="16"/>
          <w:color w:val="auto"/>
        </w:rPr>
      </w:pPr>
      <w:r>
        <w:rPr>
          <w:rFonts w:ascii="Arial" w:cs="Arial" w:eastAsia="Arial" w:hAnsi="Arial"/>
          <w:sz w:val="18"/>
          <w:szCs w:val="18"/>
          <w:b w:val="1"/>
          <w:bCs w:val="1"/>
          <w:color w:val="auto"/>
        </w:rPr>
        <w:t>Broad Institute of Harvard and MIT</w:t>
      </w:r>
    </w:p>
    <w:p>
      <w:pPr>
        <w:spacing w:after="0" w:line="6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Senior Scientific Fellow (2021 - present)</w:t>
      </w:r>
    </w:p>
    <w:p>
      <w:pPr>
        <w:spacing w:after="0" w:line="54" w:lineRule="exact"/>
        <w:rPr>
          <w:rFonts w:ascii="Arial" w:cs="Arial" w:eastAsia="Arial" w:hAnsi="Arial"/>
          <w:sz w:val="16"/>
          <w:szCs w:val="16"/>
          <w:color w:val="auto"/>
        </w:rPr>
      </w:pPr>
    </w:p>
    <w:p>
      <w:pPr>
        <w:ind w:left="620" w:hanging="305"/>
        <w:spacing w:after="0"/>
        <w:tabs>
          <w:tab w:leader="none" w:pos="620" w:val="left"/>
        </w:tabs>
        <w:numPr>
          <w:ilvl w:val="0"/>
          <w:numId w:val="70"/>
        </w:numPr>
        <w:rPr>
          <w:rFonts w:ascii="Arial" w:cs="Arial" w:eastAsia="Arial" w:hAnsi="Arial"/>
          <w:sz w:val="16"/>
          <w:szCs w:val="16"/>
          <w:color w:val="auto"/>
        </w:rPr>
      </w:pPr>
      <w:r>
        <w:rPr>
          <w:rFonts w:ascii="Arial" w:cs="Arial" w:eastAsia="Arial" w:hAnsi="Arial"/>
          <w:sz w:val="18"/>
          <w:szCs w:val="18"/>
          <w:b w:val="1"/>
          <w:bCs w:val="1"/>
          <w:color w:val="auto"/>
        </w:rPr>
        <w:t xml:space="preserve">GlaxoSmithKline plc, </w:t>
      </w:r>
      <w:r>
        <w:rPr>
          <w:rFonts w:ascii="Arial" w:cs="Arial" w:eastAsia="Arial" w:hAnsi="Arial"/>
          <w:sz w:val="16"/>
          <w:szCs w:val="16"/>
          <w:color w:val="auto"/>
        </w:rPr>
        <w:t>a leading global pharmaceutical company</w:t>
      </w:r>
    </w:p>
    <w:p>
      <w:pPr>
        <w:spacing w:after="0" w:line="67" w:lineRule="exact"/>
        <w:rPr>
          <w:rFonts w:ascii="Arial" w:cs="Arial" w:eastAsia="Arial" w:hAnsi="Arial"/>
          <w:sz w:val="16"/>
          <w:szCs w:val="16"/>
          <w:color w:val="auto"/>
        </w:rPr>
      </w:pPr>
    </w:p>
    <w:p>
      <w:pPr>
        <w:ind w:left="960" w:right="1219" w:hanging="324"/>
        <w:spacing w:after="0" w:line="287" w:lineRule="auto"/>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Member of executive research &amp; development team; led integration efforts</w:t>
      </w:r>
      <w:r>
        <w:rPr>
          <w:rFonts w:ascii="Arial" w:cs="Arial" w:eastAsia="Arial" w:hAnsi="Arial"/>
          <w:sz w:val="14"/>
          <w:szCs w:val="14"/>
          <w:color w:val="auto"/>
        </w:rPr>
        <w:t xml:space="preserve"> </w:t>
      </w:r>
      <w:r>
        <w:rPr>
          <w:rFonts w:ascii="Arial" w:cs="Arial" w:eastAsia="Arial" w:hAnsi="Arial"/>
          <w:sz w:val="16"/>
          <w:szCs w:val="16"/>
          <w:color w:val="auto"/>
        </w:rPr>
        <w:t>for TESARO acquisition (2019 - 2020)</w:t>
      </w:r>
    </w:p>
    <w:p>
      <w:pPr>
        <w:ind w:left="640" w:right="1159" w:hanging="325"/>
        <w:spacing w:after="0" w:line="264" w:lineRule="auto"/>
        <w:tabs>
          <w:tab w:leader="none" w:pos="629" w:val="left"/>
        </w:tabs>
        <w:numPr>
          <w:ilvl w:val="0"/>
          <w:numId w:val="70"/>
        </w:numPr>
        <w:rPr>
          <w:rFonts w:ascii="Arial" w:cs="Arial" w:eastAsia="Arial" w:hAnsi="Arial"/>
          <w:sz w:val="16"/>
          <w:szCs w:val="16"/>
          <w:color w:val="auto"/>
        </w:rPr>
      </w:pPr>
      <w:r>
        <w:rPr>
          <w:rFonts w:ascii="Arial" w:cs="Arial" w:eastAsia="Arial" w:hAnsi="Arial"/>
          <w:sz w:val="18"/>
          <w:szCs w:val="18"/>
          <w:b w:val="1"/>
          <w:bCs w:val="1"/>
          <w:color w:val="auto"/>
        </w:rPr>
        <w:t xml:space="preserve">TESARO, Inc., </w:t>
      </w:r>
      <w:r>
        <w:rPr>
          <w:rFonts w:ascii="Arial" w:cs="Arial" w:eastAsia="Arial" w:hAnsi="Arial"/>
          <w:sz w:val="16"/>
          <w:szCs w:val="16"/>
          <w:color w:val="auto"/>
        </w:rPr>
        <w:t>a company focused on the development and global</w:t>
      </w:r>
      <w:r>
        <w:rPr>
          <w:rFonts w:ascii="Arial" w:cs="Arial" w:eastAsia="Arial" w:hAnsi="Arial"/>
          <w:sz w:val="18"/>
          <w:szCs w:val="18"/>
          <w:b w:val="1"/>
          <w:bCs w:val="1"/>
          <w:color w:val="auto"/>
        </w:rPr>
        <w:t xml:space="preserve"> </w:t>
      </w:r>
      <w:r>
        <w:rPr>
          <w:rFonts w:ascii="Arial" w:cs="Arial" w:eastAsia="Arial" w:hAnsi="Arial"/>
          <w:sz w:val="16"/>
          <w:szCs w:val="16"/>
          <w:color w:val="auto"/>
        </w:rPr>
        <w:t>commercialization of oncology therapeutics (acquired by GlaxoSmithKline plc in 2019)</w:t>
      </w:r>
    </w:p>
    <w:p>
      <w:pPr>
        <w:spacing w:after="0" w:line="8"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President and Chief Operating Officer (2010 - 2019)</w:t>
      </w:r>
    </w:p>
    <w:p>
      <w:pPr>
        <w:spacing w:after="0" w:line="54" w:lineRule="exact"/>
        <w:rPr>
          <w:rFonts w:ascii="Arial" w:cs="Arial" w:eastAsia="Arial" w:hAnsi="Arial"/>
          <w:sz w:val="16"/>
          <w:szCs w:val="16"/>
          <w:color w:val="auto"/>
        </w:rPr>
      </w:pPr>
    </w:p>
    <w:p>
      <w:pPr>
        <w:ind w:left="640" w:right="1259" w:hanging="325"/>
        <w:spacing w:after="0" w:line="264" w:lineRule="auto"/>
        <w:tabs>
          <w:tab w:leader="none" w:pos="629" w:val="left"/>
        </w:tabs>
        <w:numPr>
          <w:ilvl w:val="0"/>
          <w:numId w:val="70"/>
        </w:numPr>
        <w:rPr>
          <w:rFonts w:ascii="Arial" w:cs="Arial" w:eastAsia="Arial" w:hAnsi="Arial"/>
          <w:sz w:val="16"/>
          <w:szCs w:val="16"/>
          <w:color w:val="auto"/>
        </w:rPr>
      </w:pPr>
      <w:r>
        <w:rPr>
          <w:rFonts w:ascii="Arial" w:cs="Arial" w:eastAsia="Arial" w:hAnsi="Arial"/>
          <w:sz w:val="18"/>
          <w:szCs w:val="18"/>
          <w:b w:val="1"/>
          <w:bCs w:val="1"/>
          <w:color w:val="auto"/>
        </w:rPr>
        <w:t xml:space="preserve">Abraxis BioScience, Inc., </w:t>
      </w:r>
      <w:r>
        <w:rPr>
          <w:rFonts w:ascii="Arial" w:cs="Arial" w:eastAsia="Arial" w:hAnsi="Arial"/>
          <w:sz w:val="16"/>
          <w:szCs w:val="16"/>
          <w:color w:val="auto"/>
        </w:rPr>
        <w:t>a biotechnology company (acquired by Celgene</w:t>
      </w:r>
      <w:r>
        <w:rPr>
          <w:rFonts w:ascii="Arial" w:cs="Arial" w:eastAsia="Arial" w:hAnsi="Arial"/>
          <w:sz w:val="18"/>
          <w:szCs w:val="18"/>
          <w:b w:val="1"/>
          <w:bCs w:val="1"/>
          <w:color w:val="auto"/>
        </w:rPr>
        <w:t xml:space="preserve"> </w:t>
      </w:r>
      <w:r>
        <w:rPr>
          <w:rFonts w:ascii="Arial" w:cs="Arial" w:eastAsia="Arial" w:hAnsi="Arial"/>
          <w:sz w:val="16"/>
          <w:szCs w:val="16"/>
          <w:color w:val="auto"/>
        </w:rPr>
        <w:t>Corporation in 2010</w:t>
      </w:r>
    </w:p>
    <w:p>
      <w:pPr>
        <w:spacing w:after="0" w:line="21"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Executive Vice President and Chief Science Officer (2009 - 2010)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OTHER HIGHLIGHTS</w:t>
      </w:r>
    </w:p>
    <w:p>
      <w:pPr>
        <w:spacing w:after="0" w:line="68" w:lineRule="exact"/>
        <w:rPr>
          <w:sz w:val="20"/>
          <w:szCs w:val="20"/>
          <w:color w:val="auto"/>
        </w:rPr>
      </w:pPr>
    </w:p>
    <w:p>
      <w:pPr>
        <w:ind w:left="640" w:hanging="325"/>
        <w:spacing w:after="0"/>
        <w:tabs>
          <w:tab w:leader="none" w:pos="640" w:val="left"/>
        </w:tabs>
        <w:numPr>
          <w:ilvl w:val="0"/>
          <w:numId w:val="71"/>
        </w:numPr>
        <w:rPr>
          <w:rFonts w:ascii="Cambria" w:cs="Cambria" w:eastAsia="Cambria" w:hAnsi="Cambria"/>
          <w:sz w:val="16"/>
          <w:szCs w:val="16"/>
          <w:b w:val="1"/>
          <w:bCs w:val="1"/>
          <w:color w:val="auto"/>
        </w:rPr>
      </w:pPr>
      <w:r>
        <w:rPr>
          <w:rFonts w:ascii="Arial" w:cs="Arial" w:eastAsia="Arial" w:hAnsi="Arial"/>
          <w:sz w:val="16"/>
          <w:szCs w:val="16"/>
          <w:color w:val="auto"/>
        </w:rPr>
        <w:t>Board of directors, Helsinn SA</w:t>
      </w:r>
    </w:p>
    <w:p>
      <w:pPr>
        <w:spacing w:after="0" w:line="109" w:lineRule="exact"/>
        <w:rPr>
          <w:rFonts w:ascii="Cambria" w:cs="Cambria" w:eastAsia="Cambria" w:hAnsi="Cambria"/>
          <w:sz w:val="16"/>
          <w:szCs w:val="16"/>
          <w:b w:val="1"/>
          <w:bCs w:val="1"/>
          <w:color w:val="auto"/>
        </w:rPr>
      </w:pPr>
    </w:p>
    <w:p>
      <w:pPr>
        <w:jc w:val="both"/>
        <w:ind w:left="640" w:right="1459" w:hanging="325"/>
        <w:spacing w:after="0" w:line="279" w:lineRule="auto"/>
        <w:tabs>
          <w:tab w:leader="none" w:pos="631" w:val="left"/>
        </w:tabs>
        <w:numPr>
          <w:ilvl w:val="0"/>
          <w:numId w:val="71"/>
        </w:numPr>
        <w:rPr>
          <w:rFonts w:ascii="Cambria" w:cs="Cambria" w:eastAsia="Cambria" w:hAnsi="Cambria"/>
          <w:sz w:val="16"/>
          <w:szCs w:val="16"/>
          <w:b w:val="1"/>
          <w:bCs w:val="1"/>
          <w:color w:val="auto"/>
        </w:rPr>
      </w:pPr>
      <w:r>
        <w:rPr>
          <w:rFonts w:ascii="Arial" w:cs="Arial" w:eastAsia="Arial" w:hAnsi="Arial"/>
          <w:sz w:val="16"/>
          <w:szCs w:val="16"/>
          <w:color w:val="auto"/>
        </w:rPr>
        <w:t>Member, American Association of Immunologists; American Association for Advancement of Science; American Society of Clinical Oncology; American Association of Cancer Research</w:t>
      </w:r>
    </w:p>
    <w:p>
      <w:pPr>
        <w:spacing w:after="0" w:line="2" w:lineRule="exact"/>
        <w:rPr>
          <w:rFonts w:ascii="Cambria" w:cs="Cambria" w:eastAsia="Cambria" w:hAnsi="Cambria"/>
          <w:sz w:val="16"/>
          <w:szCs w:val="16"/>
          <w:b w:val="1"/>
          <w:bCs w:val="1"/>
          <w:color w:val="auto"/>
        </w:rPr>
      </w:pPr>
    </w:p>
    <w:p>
      <w:pPr>
        <w:ind w:left="640" w:hanging="325"/>
        <w:spacing w:after="0"/>
        <w:tabs>
          <w:tab w:leader="none" w:pos="640" w:val="left"/>
        </w:tabs>
        <w:numPr>
          <w:ilvl w:val="0"/>
          <w:numId w:val="71"/>
        </w:numPr>
        <w:rPr>
          <w:rFonts w:ascii="Cambria" w:cs="Cambria" w:eastAsia="Cambria" w:hAnsi="Cambria"/>
          <w:sz w:val="16"/>
          <w:szCs w:val="16"/>
          <w:b w:val="1"/>
          <w:bCs w:val="1"/>
          <w:color w:val="auto"/>
        </w:rPr>
      </w:pPr>
      <w:r>
        <w:rPr>
          <w:rFonts w:ascii="Arial" w:cs="Arial" w:eastAsia="Arial" w:hAnsi="Arial"/>
          <w:sz w:val="16"/>
          <w:szCs w:val="16"/>
          <w:color w:val="auto"/>
        </w:rPr>
        <w:t>Advisory board, Boston Museum of Science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1501775</wp:posOffset>
            </wp:positionV>
            <wp:extent cx="213995" cy="2146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3995" cy="214630"/>
                    </a:xfrm>
                    <a:prstGeom prst="rect">
                      <a:avLst/>
                    </a:prstGeom>
                    <a:noFill/>
                  </pic:spPr>
                </pic:pic>
              </a:graphicData>
            </a:graphic>
          </wp:anchor>
        </w:drawing>
        <w:drawing>
          <wp:anchor simplePos="0" relativeHeight="251657728" behindDoc="1" locked="0" layoutInCell="0" allowOverlap="1">
            <wp:simplePos x="0" y="0"/>
            <wp:positionH relativeFrom="column">
              <wp:posOffset>805815</wp:posOffset>
            </wp:positionH>
            <wp:positionV relativeFrom="paragraph">
              <wp:posOffset>1501775</wp:posOffset>
            </wp:positionV>
            <wp:extent cx="214630" cy="2146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1731645</wp:posOffset>
            </wp:positionH>
            <wp:positionV relativeFrom="paragraph">
              <wp:posOffset>1501775</wp:posOffset>
            </wp:positionV>
            <wp:extent cx="214630" cy="2146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1501775</wp:posOffset>
            </wp:positionV>
            <wp:extent cx="214630" cy="2146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460"/>
            <w:col w:w="7499"/>
          </w:cols>
          <w:pgMar w:left="340" w:top="11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600" w:type="dxa"/>
        <w:tblCellMar>
          <w:top w:w="0" w:type="dxa"/>
          <w:left w:w="0" w:type="dxa"/>
          <w:bottom w:w="0" w:type="dxa"/>
          <w:right w:w="0" w:type="dxa"/>
        </w:tblCellMar>
      </w:tblPr>
      <w:tr>
        <w:trPr>
          <w:trHeight w:val="176"/>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w w:val="98"/>
              </w:rPr>
              <w:t>CEO</w:t>
            </w:r>
          </w:p>
        </w:tc>
        <w:tc>
          <w:tcPr>
            <w:tcW w:w="80" w:type="dxa"/>
            <w:vAlign w:val="bottom"/>
          </w:tcPr>
          <w:p>
            <w:pPr>
              <w:spacing w:after="0"/>
              <w:rPr>
                <w:sz w:val="15"/>
                <w:szCs w:val="15"/>
                <w:color w:val="auto"/>
              </w:rPr>
            </w:pPr>
          </w:p>
        </w:tc>
        <w:tc>
          <w:tcPr>
            <w:tcW w:w="1300" w:type="dxa"/>
            <w:vAlign w:val="bottom"/>
          </w:tcPr>
          <w:p>
            <w:pPr>
              <w:jc w:val="center"/>
              <w:ind w:right="528"/>
              <w:spacing w:after="0"/>
              <w:rPr>
                <w:sz w:val="20"/>
                <w:szCs w:val="20"/>
                <w:color w:val="auto"/>
              </w:rPr>
            </w:pPr>
            <w:r>
              <w:rPr>
                <w:rFonts w:ascii="Arial" w:cs="Arial" w:eastAsia="Arial" w:hAnsi="Arial"/>
                <w:sz w:val="14"/>
                <w:szCs w:val="14"/>
                <w:b w:val="1"/>
                <w:bCs w:val="1"/>
                <w:color w:val="auto"/>
              </w:rPr>
              <w:t>Finance /</w:t>
            </w:r>
          </w:p>
        </w:tc>
        <w:tc>
          <w:tcPr>
            <w:tcW w:w="1320" w:type="dxa"/>
            <w:vAlign w:val="bottom"/>
          </w:tcPr>
          <w:p>
            <w:pPr>
              <w:jc w:val="center"/>
              <w:ind w:right="308"/>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rPr>
              <w:t>Healthcare</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Science /</w:t>
            </w:r>
          </w:p>
        </w:tc>
        <w:tc>
          <w:tcPr>
            <w:tcW w:w="0" w:type="dxa"/>
            <w:vAlign w:val="bottom"/>
          </w:tcPr>
          <w:p>
            <w:pPr>
              <w:spacing w:after="0"/>
              <w:rPr>
                <w:sz w:val="1"/>
                <w:szCs w:val="1"/>
                <w:color w:val="auto"/>
              </w:rPr>
            </w:pPr>
          </w:p>
        </w:tc>
      </w:tr>
      <w:tr>
        <w:trPr>
          <w:trHeight w:val="196"/>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rPr>
              <w:t>Leadership</w:t>
            </w:r>
          </w:p>
        </w:tc>
        <w:tc>
          <w:tcPr>
            <w:tcW w:w="1380" w:type="dxa"/>
            <w:vAlign w:val="bottom"/>
            <w:gridSpan w:val="2"/>
          </w:tcPr>
          <w:p>
            <w:pPr>
              <w:jc w:val="center"/>
              <w:ind w:right="468"/>
              <w:spacing w:after="0"/>
              <w:rPr>
                <w:sz w:val="20"/>
                <w:szCs w:val="20"/>
                <w:color w:val="auto"/>
              </w:rPr>
            </w:pPr>
            <w:r>
              <w:rPr>
                <w:rFonts w:ascii="Arial" w:cs="Arial" w:eastAsia="Arial" w:hAnsi="Arial"/>
                <w:sz w:val="14"/>
                <w:szCs w:val="14"/>
                <w:b w:val="1"/>
                <w:bCs w:val="1"/>
                <w:color w:val="auto"/>
              </w:rPr>
              <w:t>Accounting</w:t>
            </w:r>
          </w:p>
        </w:tc>
        <w:tc>
          <w:tcPr>
            <w:tcW w:w="1320" w:type="dxa"/>
            <w:vAlign w:val="bottom"/>
          </w:tcPr>
          <w:p>
            <w:pPr>
              <w:jc w:val="center"/>
              <w:ind w:right="328"/>
              <w:spacing w:after="0"/>
              <w:rPr>
                <w:sz w:val="20"/>
                <w:szCs w:val="20"/>
                <w:color w:val="auto"/>
              </w:rPr>
            </w:pPr>
            <w:r>
              <w:rPr>
                <w:rFonts w:ascii="Arial" w:cs="Arial" w:eastAsia="Arial" w:hAnsi="Arial"/>
                <w:sz w:val="14"/>
                <w:szCs w:val="14"/>
                <w:b w:val="1"/>
                <w:bCs w:val="1"/>
                <w:color w:val="auto"/>
              </w:rPr>
              <w:t>Business</w:t>
            </w:r>
          </w:p>
        </w:tc>
        <w:tc>
          <w:tcPr>
            <w:tcW w:w="260" w:type="dxa"/>
            <w:vAlign w:val="bottom"/>
          </w:tcPr>
          <w:p>
            <w:pPr>
              <w:spacing w:after="0"/>
              <w:rPr>
                <w:sz w:val="17"/>
                <w:szCs w:val="17"/>
                <w:color w:val="auto"/>
              </w:rPr>
            </w:pPr>
          </w:p>
        </w:tc>
        <w:tc>
          <w:tcPr>
            <w:tcW w:w="1220" w:type="dxa"/>
            <w:vAlign w:val="bottom"/>
          </w:tcPr>
          <w:p>
            <w:pPr>
              <w:jc w:val="center"/>
              <w:ind w:right="568"/>
              <w:spacing w:after="0"/>
              <w:rPr>
                <w:sz w:val="20"/>
                <w:szCs w:val="20"/>
                <w:color w:val="auto"/>
              </w:rPr>
            </w:pPr>
            <w:r>
              <w:rPr>
                <w:rFonts w:ascii="Arial" w:cs="Arial" w:eastAsia="Arial" w:hAnsi="Arial"/>
                <w:sz w:val="14"/>
                <w:szCs w:val="14"/>
                <w:b w:val="1"/>
                <w:bCs w:val="1"/>
                <w:color w:val="auto"/>
              </w:rPr>
              <w:t>Industry</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w w:val="99"/>
              </w:rPr>
              <w:t>Academia</w:t>
            </w:r>
          </w:p>
        </w:tc>
        <w:tc>
          <w:tcPr>
            <w:tcW w:w="0" w:type="dxa"/>
            <w:vAlign w:val="bottom"/>
          </w:tcPr>
          <w:p>
            <w:pPr>
              <w:spacing w:after="0"/>
              <w:rPr>
                <w:sz w:val="1"/>
                <w:szCs w:val="1"/>
                <w:color w:val="auto"/>
              </w:rPr>
            </w:pPr>
          </w:p>
        </w:tc>
      </w:tr>
      <w:tr>
        <w:trPr>
          <w:trHeight w:val="438"/>
        </w:trPr>
        <w:tc>
          <w:tcPr>
            <w:tcW w:w="1340" w:type="dxa"/>
            <w:vAlign w:val="bottom"/>
          </w:tcPr>
          <w:p>
            <w:pPr>
              <w:ind w:left="480"/>
              <w:spacing w:after="0"/>
              <w:rPr>
                <w:sz w:val="20"/>
                <w:szCs w:val="20"/>
                <w:color w:val="auto"/>
              </w:rPr>
            </w:pPr>
            <w:r>
              <w:rPr>
                <w:rFonts w:ascii="Arial" w:cs="Arial" w:eastAsia="Arial" w:hAnsi="Arial"/>
                <w:sz w:val="14"/>
                <w:szCs w:val="14"/>
                <w:b w:val="1"/>
                <w:bCs w:val="1"/>
                <w:color w:val="auto"/>
              </w:rPr>
              <w:t>Government</w:t>
            </w:r>
          </w:p>
        </w:tc>
        <w:tc>
          <w:tcPr>
            <w:tcW w:w="80" w:type="dxa"/>
            <w:vAlign w:val="bottom"/>
          </w:tcPr>
          <w:p>
            <w:pPr>
              <w:spacing w:after="0"/>
              <w:rPr>
                <w:sz w:val="24"/>
                <w:szCs w:val="24"/>
                <w:color w:val="auto"/>
              </w:rPr>
            </w:pPr>
          </w:p>
        </w:tc>
        <w:tc>
          <w:tcPr>
            <w:tcW w:w="13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Sales /</w:t>
            </w:r>
          </w:p>
        </w:tc>
        <w:tc>
          <w:tcPr>
            <w:tcW w:w="15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w w:val="99"/>
              </w:rPr>
              <w:t>Technology /</w:t>
            </w:r>
          </w:p>
        </w:tc>
        <w:tc>
          <w:tcPr>
            <w:tcW w:w="192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Operations /</w:t>
            </w:r>
          </w:p>
        </w:tc>
        <w:tc>
          <w:tcPr>
            <w:tcW w:w="0" w:type="dxa"/>
            <w:vAlign w:val="bottom"/>
          </w:tcPr>
          <w:p>
            <w:pPr>
              <w:spacing w:after="0"/>
              <w:rPr>
                <w:sz w:val="1"/>
                <w:szCs w:val="1"/>
                <w:color w:val="auto"/>
              </w:rPr>
            </w:pPr>
          </w:p>
        </w:tc>
      </w:tr>
      <w:tr>
        <w:trPr>
          <w:trHeight w:val="144"/>
        </w:trPr>
        <w:tc>
          <w:tcPr>
            <w:tcW w:w="1340" w:type="dxa"/>
            <w:vAlign w:val="bottom"/>
          </w:tcPr>
          <w:p>
            <w:pPr>
              <w:ind w:left="480"/>
              <w:spacing w:after="0" w:line="145" w:lineRule="exact"/>
              <w:rPr>
                <w:sz w:val="20"/>
                <w:szCs w:val="20"/>
                <w:color w:val="auto"/>
              </w:rPr>
            </w:pPr>
            <w:r>
              <w:rPr>
                <w:rFonts w:ascii="Arial" w:cs="Arial" w:eastAsia="Arial" w:hAnsi="Arial"/>
                <w:sz w:val="14"/>
                <w:szCs w:val="14"/>
                <w:b w:val="1"/>
                <w:bCs w:val="1"/>
                <w:color w:val="auto"/>
              </w:rPr>
              <w:t>Relations /</w:t>
            </w:r>
          </w:p>
        </w:tc>
        <w:tc>
          <w:tcPr>
            <w:tcW w:w="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420" w:type="dxa"/>
            <w:vAlign w:val="bottom"/>
            <w:gridSpan w:val="2"/>
          </w:tcPr>
          <w:p>
            <w:pPr>
              <w:ind w:left="480"/>
              <w:spacing w:after="0"/>
              <w:rPr>
                <w:sz w:val="20"/>
                <w:szCs w:val="20"/>
                <w:color w:val="auto"/>
              </w:rPr>
            </w:pPr>
            <w:r>
              <w:rPr>
                <w:rFonts w:ascii="Arial" w:cs="Arial" w:eastAsia="Arial" w:hAnsi="Arial"/>
                <w:sz w:val="14"/>
                <w:szCs w:val="14"/>
                <w:b w:val="1"/>
                <w:bCs w:val="1"/>
                <w:color w:val="auto"/>
              </w:rPr>
              <w:t>Public Policy</w:t>
            </w:r>
          </w:p>
        </w:tc>
        <w:tc>
          <w:tcPr>
            <w:tcW w:w="1300" w:type="dxa"/>
            <w:vAlign w:val="bottom"/>
          </w:tcPr>
          <w:p>
            <w:pPr>
              <w:ind w:left="600"/>
              <w:spacing w:after="0"/>
              <w:rPr>
                <w:sz w:val="20"/>
                <w:szCs w:val="20"/>
                <w:color w:val="auto"/>
              </w:rPr>
            </w:pPr>
            <w:r>
              <w:rPr>
                <w:rFonts w:ascii="Arial" w:cs="Arial" w:eastAsia="Arial" w:hAnsi="Arial"/>
                <w:sz w:val="14"/>
                <w:szCs w:val="14"/>
                <w:b w:val="1"/>
                <w:bCs w:val="1"/>
                <w:color w:val="auto"/>
              </w:rPr>
              <w:t>Marketing</w:t>
            </w:r>
          </w:p>
        </w:tc>
        <w:tc>
          <w:tcPr>
            <w:tcW w:w="1320" w:type="dxa"/>
            <w:vAlign w:val="bottom"/>
          </w:tcPr>
          <w:p>
            <w:pPr>
              <w:ind w:left="700"/>
              <w:spacing w:after="0"/>
              <w:rPr>
                <w:sz w:val="20"/>
                <w:szCs w:val="20"/>
                <w:color w:val="auto"/>
              </w:rPr>
            </w:pPr>
            <w:r>
              <w:rPr>
                <w:rFonts w:ascii="Arial" w:cs="Arial" w:eastAsia="Arial" w:hAnsi="Arial"/>
                <w:sz w:val="14"/>
                <w:szCs w:val="14"/>
                <w:b w:val="1"/>
                <w:bCs w:val="1"/>
                <w:color w:val="auto"/>
              </w:rPr>
              <w:t>Digital</w:t>
            </w:r>
          </w:p>
        </w:tc>
        <w:tc>
          <w:tcPr>
            <w:tcW w:w="260" w:type="dxa"/>
            <w:vAlign w:val="bottom"/>
          </w:tcPr>
          <w:p>
            <w:pPr>
              <w:spacing w:after="0"/>
              <w:rPr>
                <w:sz w:val="17"/>
                <w:szCs w:val="17"/>
                <w:color w:val="auto"/>
              </w:rPr>
            </w:pP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Strategy</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1029335</wp:posOffset>
            </wp:positionH>
            <wp:positionV relativeFrom="paragraph">
              <wp:posOffset>-264160</wp:posOffset>
            </wp:positionV>
            <wp:extent cx="214630" cy="2146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-264160</wp:posOffset>
            </wp:positionV>
            <wp:extent cx="214630" cy="2146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-264160</wp:posOffset>
            </wp:positionV>
            <wp:extent cx="214630" cy="2146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-264160</wp:posOffset>
            </wp:positionV>
            <wp:extent cx="214630" cy="2146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ectPr>
          <w:pgSz w:w="11900" w:h="16838" w:orient="portrait"/>
          <w:cols w:equalWidth="0" w:num="1">
            <w:col w:w="10119"/>
          </w:cols>
          <w:pgMar w:left="340" w:top="1187" w:right="1440"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154940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187" w:right="1440" w:bottom="1440" w:gutter="0" w:footer="0" w:header="0"/>
          <w:type w:val="continuous"/>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774700</wp:posOffset>
            </wp:positionV>
            <wp:extent cx="1311275" cy="13112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clrChange>
                        <a:clrFrom>
                          <a:srgbClr val="FFFFFF"/>
                        </a:clrFrom>
                        <a:clrTo>
                          <a:srgbClr val="FFFFFF">
                            <a:alpha val="0"/>
                          </a:srgbClr>
                        </a:clrTo>
                      </a:clrChange>
                      <a:extLst>
                        <a:ext uri="{28A0092B-C50C-407E-A947-70E740481C1C}"/>
                      </a:extLst>
                    </a:blip>
                    <a:srcRect/>
                    <a:stretch>
                      <a:fillRect/>
                    </a:stretch>
                  </pic:blipFill>
                  <pic:spPr bwMode="auto">
                    <a:xfrm>
                      <a:off x="0" y="0"/>
                      <a:ext cx="131127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b w:val="1"/>
          <w:bCs w:val="1"/>
          <w:color w:val="EF3729"/>
        </w:rPr>
        <w:t>Kimberly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14312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16"/>
          <w:szCs w:val="16"/>
          <w:color w:val="auto"/>
        </w:rPr>
        <w:t>: 50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w:t>
      </w:r>
      <w:r>
        <w:rPr>
          <w:rFonts w:ascii="Arial" w:cs="Arial" w:eastAsia="Arial" w:hAnsi="Arial"/>
          <w:sz w:val="16"/>
          <w:szCs w:val="16"/>
          <w:color w:val="auto"/>
        </w:rPr>
        <w:t>: 2021</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Talent and Compensation</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Ethics and Compliance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Boards: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None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Prior Public Boards: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None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1234440" cy="6769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34440" cy="676910"/>
                    </a:xfrm>
                    <a:prstGeom prst="rect">
                      <a:avLst/>
                    </a:prstGeom>
                    <a:noFill/>
                  </pic:spPr>
                </pic:pic>
              </a:graphicData>
            </a:graphic>
          </wp:anchor>
        </w:drawing>
        <w:drawing>
          <wp:anchor simplePos="0" relativeHeight="251657728" behindDoc="1" locked="0" layoutInCell="0" allowOverlap="1">
            <wp:simplePos x="0" y="0"/>
            <wp:positionH relativeFrom="column">
              <wp:posOffset>746760</wp:posOffset>
            </wp:positionH>
            <wp:positionV relativeFrom="paragraph">
              <wp:posOffset>4324350</wp:posOffset>
            </wp:positionV>
            <wp:extent cx="214630" cy="2146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FFFFFF"/>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-135890</wp:posOffset>
            </wp:positionV>
            <wp:extent cx="4260215" cy="20916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260215" cy="2091690"/>
                    </a:xfrm>
                    <a:prstGeom prst="rect">
                      <a:avLst/>
                    </a:prstGeom>
                    <a:noFill/>
                  </pic:spPr>
                </pic:pic>
              </a:graphicData>
            </a:graphic>
          </wp:anchor>
        </w:drawing>
      </w:r>
    </w:p>
    <w:p>
      <w:pPr>
        <w:spacing w:after="0" w:line="36" w:lineRule="exact"/>
        <w:rPr>
          <w:sz w:val="20"/>
          <w:szCs w:val="20"/>
          <w:color w:val="auto"/>
        </w:rPr>
      </w:pPr>
    </w:p>
    <w:p>
      <w:pPr>
        <w:ind w:right="1719"/>
        <w:spacing w:after="0" w:line="283" w:lineRule="auto"/>
        <w:rPr>
          <w:sz w:val="20"/>
          <w:szCs w:val="20"/>
          <w:color w:val="auto"/>
        </w:rPr>
      </w:pPr>
      <w:r>
        <w:rPr>
          <w:rFonts w:ascii="Arial" w:cs="Arial" w:eastAsia="Arial" w:hAnsi="Arial"/>
          <w:sz w:val="16"/>
          <w:szCs w:val="16"/>
          <w:i w:val="1"/>
          <w:iCs w:val="1"/>
          <w:color w:val="auto"/>
        </w:rPr>
        <w:t>Ms. Johnson brings to the board considerable financial experience and a strong background in technology, governance, and strategy for global risk management.</w:t>
      </w:r>
    </w:p>
    <w:p>
      <w:pPr>
        <w:spacing w:after="0" w:line="10" w:lineRule="exact"/>
        <w:rPr>
          <w:sz w:val="20"/>
          <w:szCs w:val="20"/>
          <w:color w:val="auto"/>
        </w:rPr>
      </w:pPr>
    </w:p>
    <w:p>
      <w:pPr>
        <w:ind w:left="640" w:right="1079" w:hanging="325"/>
        <w:spacing w:after="0" w:line="260" w:lineRule="auto"/>
        <w:tabs>
          <w:tab w:leader="none" w:pos="629" w:val="left"/>
        </w:tabs>
        <w:numPr>
          <w:ilvl w:val="0"/>
          <w:numId w:val="74"/>
        </w:numPr>
        <w:rPr>
          <w:rFonts w:ascii="Arial" w:cs="Arial" w:eastAsia="Arial" w:hAnsi="Arial"/>
          <w:sz w:val="16"/>
          <w:szCs w:val="16"/>
          <w:color w:val="auto"/>
        </w:rPr>
      </w:pPr>
      <w:r>
        <w:rPr>
          <w:rFonts w:ascii="Arial" w:cs="Arial" w:eastAsia="Arial" w:hAnsi="Arial"/>
          <w:sz w:val="16"/>
          <w:szCs w:val="16"/>
          <w:color w:val="auto"/>
        </w:rPr>
        <w:t>Ms. Johnson’s wide-ranging operational experience at two complex financial institutions has included leadership over various departments focused on cybersecurity, technology, operations, account services, enterprise change, data, modeling, analytics, information security, resiliency, innovation, and corporate strategy.</w:t>
      </w:r>
    </w:p>
    <w:p>
      <w:pPr>
        <w:spacing w:after="0" w:line="29" w:lineRule="exact"/>
        <w:rPr>
          <w:rFonts w:ascii="Arial" w:cs="Arial" w:eastAsia="Arial" w:hAnsi="Arial"/>
          <w:sz w:val="16"/>
          <w:szCs w:val="16"/>
          <w:color w:val="auto"/>
        </w:rPr>
      </w:pPr>
    </w:p>
    <w:p>
      <w:pPr>
        <w:ind w:left="640" w:right="1359" w:hanging="325"/>
        <w:spacing w:after="0" w:line="275" w:lineRule="auto"/>
        <w:tabs>
          <w:tab w:leader="none" w:pos="629" w:val="left"/>
        </w:tabs>
        <w:numPr>
          <w:ilvl w:val="0"/>
          <w:numId w:val="74"/>
        </w:numPr>
        <w:rPr>
          <w:rFonts w:ascii="Arial" w:cs="Arial" w:eastAsia="Arial" w:hAnsi="Arial"/>
          <w:sz w:val="16"/>
          <w:szCs w:val="16"/>
          <w:color w:val="auto"/>
        </w:rPr>
      </w:pPr>
      <w:r>
        <w:rPr>
          <w:rFonts w:ascii="Arial" w:cs="Arial" w:eastAsia="Arial" w:hAnsi="Arial"/>
          <w:sz w:val="16"/>
          <w:szCs w:val="16"/>
          <w:color w:val="auto"/>
        </w:rPr>
        <w:t>Ms. Johnson also brings deep understanding of enterprise risk management, having served as chief risk officer of Fannie Mae and currently overseeing enterprise risk at T. Rowe Price.</w:t>
      </w:r>
    </w:p>
    <w:p>
      <w:pPr>
        <w:spacing w:after="0" w:line="2" w:lineRule="exact"/>
        <w:rPr>
          <w:rFonts w:ascii="Arial" w:cs="Arial" w:eastAsia="Arial" w:hAnsi="Arial"/>
          <w:sz w:val="16"/>
          <w:szCs w:val="16"/>
          <w:color w:val="auto"/>
        </w:rPr>
      </w:pPr>
    </w:p>
    <w:p>
      <w:pPr>
        <w:ind w:left="640" w:right="1019" w:hanging="325"/>
        <w:spacing w:after="0" w:line="265" w:lineRule="auto"/>
        <w:tabs>
          <w:tab w:leader="none" w:pos="629" w:val="left"/>
        </w:tabs>
        <w:numPr>
          <w:ilvl w:val="0"/>
          <w:numId w:val="74"/>
        </w:numPr>
        <w:rPr>
          <w:rFonts w:ascii="Arial" w:cs="Arial" w:eastAsia="Arial" w:hAnsi="Arial"/>
          <w:sz w:val="16"/>
          <w:szCs w:val="16"/>
          <w:color w:val="auto"/>
        </w:rPr>
      </w:pPr>
      <w:r>
        <w:rPr>
          <w:rFonts w:ascii="Arial" w:cs="Arial" w:eastAsia="Arial" w:hAnsi="Arial"/>
          <w:sz w:val="16"/>
          <w:szCs w:val="16"/>
          <w:color w:val="auto"/>
        </w:rPr>
        <w:t>Ms. Johnson also brings to the board knowledge of technology operations, having led Fannie Mae’s digital transformation, establishing a four-year enterprise modernization plan and an operational roadmap for redesigning business processes and reengineering core technology.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CAREER HIGHLIGHTS</w:t>
      </w:r>
    </w:p>
    <w:p>
      <w:pPr>
        <w:spacing w:after="0" w:line="63" w:lineRule="exact"/>
        <w:rPr>
          <w:sz w:val="20"/>
          <w:szCs w:val="20"/>
          <w:color w:val="auto"/>
        </w:rPr>
      </w:pPr>
    </w:p>
    <w:p>
      <w:pPr>
        <w:ind w:left="620" w:hanging="305"/>
        <w:spacing w:after="0"/>
        <w:tabs>
          <w:tab w:leader="none" w:pos="620" w:val="left"/>
        </w:tabs>
        <w:numPr>
          <w:ilvl w:val="0"/>
          <w:numId w:val="75"/>
        </w:numPr>
        <w:rPr>
          <w:rFonts w:ascii="Arial" w:cs="Arial" w:eastAsia="Arial" w:hAnsi="Arial"/>
          <w:sz w:val="16"/>
          <w:szCs w:val="16"/>
          <w:color w:val="auto"/>
        </w:rPr>
      </w:pPr>
      <w:r>
        <w:rPr>
          <w:rFonts w:ascii="Arial" w:cs="Arial" w:eastAsia="Arial" w:hAnsi="Arial"/>
          <w:sz w:val="18"/>
          <w:szCs w:val="18"/>
          <w:b w:val="1"/>
          <w:bCs w:val="1"/>
          <w:color w:val="auto"/>
        </w:rPr>
        <w:t xml:space="preserve">T. Rowe Price Group, Inc., </w:t>
      </w:r>
      <w:r>
        <w:rPr>
          <w:rFonts w:ascii="Arial" w:cs="Arial" w:eastAsia="Arial" w:hAnsi="Arial"/>
          <w:sz w:val="16"/>
          <w:szCs w:val="16"/>
          <w:color w:val="auto"/>
        </w:rPr>
        <w:t>a global leader in asset management</w:t>
      </w:r>
    </w:p>
    <w:p>
      <w:pPr>
        <w:spacing w:after="0" w:line="6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Vice President and Chief Operating Officer (2022 - present)</w:t>
      </w:r>
    </w:p>
    <w:p>
      <w:pPr>
        <w:spacing w:after="0" w:line="54" w:lineRule="exact"/>
        <w:rPr>
          <w:rFonts w:ascii="Arial" w:cs="Arial" w:eastAsia="Arial" w:hAnsi="Arial"/>
          <w:sz w:val="16"/>
          <w:szCs w:val="16"/>
          <w:color w:val="auto"/>
        </w:rPr>
      </w:pPr>
    </w:p>
    <w:p>
      <w:pPr>
        <w:ind w:left="640" w:right="1379" w:hanging="325"/>
        <w:spacing w:after="0" w:line="264" w:lineRule="auto"/>
        <w:tabs>
          <w:tab w:leader="none" w:pos="629" w:val="left"/>
        </w:tabs>
        <w:numPr>
          <w:ilvl w:val="0"/>
          <w:numId w:val="75"/>
        </w:numPr>
        <w:rPr>
          <w:rFonts w:ascii="Arial" w:cs="Arial" w:eastAsia="Arial" w:hAnsi="Arial"/>
          <w:sz w:val="16"/>
          <w:szCs w:val="16"/>
          <w:color w:val="auto"/>
        </w:rPr>
      </w:pPr>
      <w:r>
        <w:rPr>
          <w:rFonts w:ascii="Arial" w:cs="Arial" w:eastAsia="Arial" w:hAnsi="Arial"/>
          <w:sz w:val="18"/>
          <w:szCs w:val="18"/>
          <w:b w:val="1"/>
          <w:bCs w:val="1"/>
          <w:color w:val="auto"/>
        </w:rPr>
        <w:t xml:space="preserve">Federal National Mortgage Association (Fannie Mae), </w:t>
      </w:r>
      <w:r>
        <w:rPr>
          <w:rFonts w:ascii="Arial" w:cs="Arial" w:eastAsia="Arial" w:hAnsi="Arial"/>
          <w:sz w:val="18"/>
          <w:szCs w:val="18"/>
          <w:color w:val="auto"/>
        </w:rPr>
        <w:t>a</w:t>
      </w:r>
      <w:r>
        <w:rPr>
          <w:rFonts w:ascii="Arial" w:cs="Arial" w:eastAsia="Arial" w:hAnsi="Arial"/>
          <w:sz w:val="18"/>
          <w:szCs w:val="18"/>
          <w:b w:val="1"/>
          <w:bCs w:val="1"/>
          <w:color w:val="auto"/>
        </w:rPr>
        <w:t xml:space="preserve"> </w:t>
      </w:r>
      <w:r>
        <w:rPr>
          <w:rFonts w:ascii="Arial" w:cs="Arial" w:eastAsia="Arial" w:hAnsi="Arial"/>
          <w:sz w:val="16"/>
          <w:szCs w:val="16"/>
          <w:color w:val="auto"/>
        </w:rPr>
        <w:t>provider of</w:t>
      </w:r>
      <w:r>
        <w:rPr>
          <w:rFonts w:ascii="Arial" w:cs="Arial" w:eastAsia="Arial" w:hAnsi="Arial"/>
          <w:sz w:val="18"/>
          <w:szCs w:val="18"/>
          <w:b w:val="1"/>
          <w:bCs w:val="1"/>
          <w:color w:val="auto"/>
        </w:rPr>
        <w:t xml:space="preserve"> </w:t>
      </w:r>
      <w:r>
        <w:rPr>
          <w:rFonts w:ascii="Arial" w:cs="Arial" w:eastAsia="Arial" w:hAnsi="Arial"/>
          <w:sz w:val="16"/>
          <w:szCs w:val="16"/>
          <w:color w:val="auto"/>
        </w:rPr>
        <w:t>affordable mortgage financing in the United States</w:t>
      </w:r>
    </w:p>
    <w:p>
      <w:pPr>
        <w:spacing w:after="0" w:line="21"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Executive Vice President and Chief Operating Officer (2018 - 2022)</w:t>
      </w:r>
    </w:p>
    <w:p>
      <w:pPr>
        <w:spacing w:after="0" w:line="59"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Executive Vice President and Chief Risk Officer (2017 - 2018)</w:t>
      </w:r>
    </w:p>
    <w:p>
      <w:pPr>
        <w:spacing w:after="0" w:line="72"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Senior Vice President and Chief Risk Officer (2015 - 2017)</w:t>
      </w:r>
    </w:p>
    <w:p>
      <w:pPr>
        <w:spacing w:after="0" w:line="59"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Senior Vice President and Deputy Chief Risk Officer (2013 - 2015)</w:t>
      </w:r>
    </w:p>
    <w:p>
      <w:pPr>
        <w:spacing w:after="0" w:line="54" w:lineRule="exact"/>
        <w:rPr>
          <w:rFonts w:ascii="Arial" w:cs="Arial" w:eastAsia="Arial" w:hAnsi="Arial"/>
          <w:sz w:val="16"/>
          <w:szCs w:val="16"/>
          <w:color w:val="auto"/>
        </w:rPr>
      </w:pPr>
    </w:p>
    <w:p>
      <w:pPr>
        <w:ind w:left="640" w:right="1279" w:hanging="325"/>
        <w:spacing w:after="0" w:line="264" w:lineRule="auto"/>
        <w:tabs>
          <w:tab w:leader="none" w:pos="629" w:val="left"/>
        </w:tabs>
        <w:numPr>
          <w:ilvl w:val="0"/>
          <w:numId w:val="75"/>
        </w:numPr>
        <w:rPr>
          <w:rFonts w:ascii="Arial" w:cs="Arial" w:eastAsia="Arial" w:hAnsi="Arial"/>
          <w:sz w:val="16"/>
          <w:szCs w:val="16"/>
          <w:color w:val="auto"/>
        </w:rPr>
      </w:pPr>
      <w:r>
        <w:rPr>
          <w:rFonts w:ascii="Arial" w:cs="Arial" w:eastAsia="Arial" w:hAnsi="Arial"/>
          <w:sz w:val="18"/>
          <w:szCs w:val="18"/>
          <w:b w:val="1"/>
          <w:bCs w:val="1"/>
          <w:color w:val="auto"/>
        </w:rPr>
        <w:t xml:space="preserve">Credit Suisse AG, </w:t>
      </w:r>
      <w:r>
        <w:rPr>
          <w:rFonts w:ascii="Arial" w:cs="Arial" w:eastAsia="Arial" w:hAnsi="Arial"/>
          <w:sz w:val="16"/>
          <w:szCs w:val="16"/>
          <w:color w:val="auto"/>
        </w:rPr>
        <w:t>a global wealth manager, investment bank, and financial</w:t>
      </w:r>
      <w:r>
        <w:rPr>
          <w:rFonts w:ascii="Arial" w:cs="Arial" w:eastAsia="Arial" w:hAnsi="Arial"/>
          <w:sz w:val="18"/>
          <w:szCs w:val="18"/>
          <w:b w:val="1"/>
          <w:bCs w:val="1"/>
          <w:color w:val="auto"/>
        </w:rPr>
        <w:t xml:space="preserve"> </w:t>
      </w:r>
      <w:r>
        <w:rPr>
          <w:rFonts w:ascii="Arial" w:cs="Arial" w:eastAsia="Arial" w:hAnsi="Arial"/>
          <w:sz w:val="16"/>
          <w:szCs w:val="16"/>
          <w:color w:val="auto"/>
        </w:rPr>
        <w:t>firm founded and based in Switzerland</w:t>
      </w:r>
    </w:p>
    <w:p>
      <w:pPr>
        <w:spacing w:after="0" w:line="21"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Director, Interest Rate Derivative Products (2005 - 2006)</w:t>
      </w:r>
    </w:p>
    <w:p>
      <w:pPr>
        <w:spacing w:after="0" w:line="59"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Vice President (2002 - 2004)</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OTHER HIGHLIGHTS</w:t>
      </w:r>
    </w:p>
    <w:p>
      <w:pPr>
        <w:spacing w:after="0" w:line="68" w:lineRule="exact"/>
        <w:rPr>
          <w:sz w:val="20"/>
          <w:szCs w:val="20"/>
          <w:color w:val="auto"/>
        </w:rPr>
      </w:pPr>
    </w:p>
    <w:p>
      <w:pPr>
        <w:ind w:left="640" w:hanging="325"/>
        <w:spacing w:after="0"/>
        <w:tabs>
          <w:tab w:leader="none" w:pos="640" w:val="left"/>
        </w:tabs>
        <w:numPr>
          <w:ilvl w:val="0"/>
          <w:numId w:val="76"/>
        </w:numPr>
        <w:rPr>
          <w:rFonts w:ascii="Cambria" w:cs="Cambria" w:eastAsia="Cambria" w:hAnsi="Cambria"/>
          <w:sz w:val="16"/>
          <w:szCs w:val="16"/>
          <w:b w:val="1"/>
          <w:bCs w:val="1"/>
          <w:color w:val="auto"/>
        </w:rPr>
      </w:pPr>
      <w:r>
        <w:rPr>
          <w:rFonts w:ascii="Arial" w:cs="Arial" w:eastAsia="Arial" w:hAnsi="Arial"/>
          <w:sz w:val="16"/>
          <w:szCs w:val="16"/>
          <w:color w:val="auto"/>
        </w:rPr>
        <w:t>Director, Share Our Strength</w:t>
      </w:r>
    </w:p>
    <w:p>
      <w:pPr>
        <w:spacing w:after="0" w:line="55" w:lineRule="exact"/>
        <w:rPr>
          <w:rFonts w:ascii="Cambria" w:cs="Cambria" w:eastAsia="Cambria" w:hAnsi="Cambria"/>
          <w:sz w:val="16"/>
          <w:szCs w:val="16"/>
          <w:b w:val="1"/>
          <w:bCs w:val="1"/>
          <w:color w:val="auto"/>
        </w:rPr>
      </w:pPr>
    </w:p>
    <w:p>
      <w:pPr>
        <w:ind w:left="640" w:hanging="325"/>
        <w:spacing w:after="0"/>
        <w:tabs>
          <w:tab w:leader="none" w:pos="640" w:val="left"/>
        </w:tabs>
        <w:numPr>
          <w:ilvl w:val="0"/>
          <w:numId w:val="76"/>
        </w:numPr>
        <w:rPr>
          <w:rFonts w:ascii="Cambria" w:cs="Cambria" w:eastAsia="Cambria" w:hAnsi="Cambria"/>
          <w:sz w:val="16"/>
          <w:szCs w:val="16"/>
          <w:b w:val="1"/>
          <w:bCs w:val="1"/>
          <w:color w:val="auto"/>
        </w:rPr>
      </w:pPr>
      <w:r>
        <w:rPr>
          <w:rFonts w:ascii="Arial" w:cs="Arial" w:eastAsia="Arial" w:hAnsi="Arial"/>
          <w:sz w:val="16"/>
          <w:szCs w:val="16"/>
          <w:color w:val="auto"/>
        </w:rPr>
        <w:t>Director, Planet Word</w:t>
      </w:r>
    </w:p>
    <w:p>
      <w:pPr>
        <w:spacing w:after="0" w:line="68" w:lineRule="exact"/>
        <w:rPr>
          <w:rFonts w:ascii="Cambria" w:cs="Cambria" w:eastAsia="Cambria" w:hAnsi="Cambria"/>
          <w:sz w:val="16"/>
          <w:szCs w:val="16"/>
          <w:b w:val="1"/>
          <w:bCs w:val="1"/>
          <w:color w:val="auto"/>
        </w:rPr>
      </w:pPr>
    </w:p>
    <w:p>
      <w:pPr>
        <w:ind w:left="640" w:hanging="325"/>
        <w:spacing w:after="0"/>
        <w:tabs>
          <w:tab w:leader="none" w:pos="640" w:val="left"/>
        </w:tabs>
        <w:numPr>
          <w:ilvl w:val="0"/>
          <w:numId w:val="76"/>
        </w:numPr>
        <w:rPr>
          <w:rFonts w:ascii="Cambria" w:cs="Cambria" w:eastAsia="Cambria" w:hAnsi="Cambria"/>
          <w:sz w:val="16"/>
          <w:szCs w:val="16"/>
          <w:b w:val="1"/>
          <w:bCs w:val="1"/>
          <w:color w:val="auto"/>
        </w:rPr>
      </w:pPr>
      <w:r>
        <w:rPr>
          <w:rFonts w:ascii="Arial" w:cs="Arial" w:eastAsia="Arial" w:hAnsi="Arial"/>
          <w:sz w:val="16"/>
          <w:szCs w:val="16"/>
          <w:color w:val="auto"/>
        </w:rPr>
        <w:t>Former trustee, Princeton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2744470</wp:posOffset>
            </wp:positionV>
            <wp:extent cx="213995" cy="2146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13995" cy="214630"/>
                    </a:xfrm>
                    <a:prstGeom prst="rect">
                      <a:avLst/>
                    </a:prstGeom>
                    <a:noFill/>
                  </pic:spPr>
                </pic:pic>
              </a:graphicData>
            </a:graphic>
          </wp:anchor>
        </w:drawing>
        <w:drawing>
          <wp:anchor simplePos="0" relativeHeight="251657728" behindDoc="1" locked="0" layoutInCell="0" allowOverlap="1">
            <wp:simplePos x="0" y="0"/>
            <wp:positionH relativeFrom="column">
              <wp:posOffset>805815</wp:posOffset>
            </wp:positionH>
            <wp:positionV relativeFrom="paragraph">
              <wp:posOffset>2744470</wp:posOffset>
            </wp:positionV>
            <wp:extent cx="214630" cy="2146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1731645</wp:posOffset>
            </wp:positionH>
            <wp:positionV relativeFrom="paragraph">
              <wp:posOffset>2744470</wp:posOffset>
            </wp:positionV>
            <wp:extent cx="214630" cy="2146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2744470</wp:posOffset>
            </wp:positionV>
            <wp:extent cx="214630" cy="2146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460"/>
            <w:col w:w="7499"/>
          </w:cols>
          <w:pgMar w:left="340" w:top="11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1600" w:type="dxa"/>
        <w:tblCellMar>
          <w:top w:w="0" w:type="dxa"/>
          <w:left w:w="0" w:type="dxa"/>
          <w:bottom w:w="0" w:type="dxa"/>
          <w:right w:w="0" w:type="dxa"/>
        </w:tblCellMar>
      </w:tblPr>
      <w:tr>
        <w:trPr>
          <w:trHeight w:val="175"/>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w w:val="98"/>
              </w:rPr>
              <w:t>CEO</w:t>
            </w:r>
          </w:p>
        </w:tc>
        <w:tc>
          <w:tcPr>
            <w:tcW w:w="80" w:type="dxa"/>
            <w:vAlign w:val="bottom"/>
          </w:tcPr>
          <w:p>
            <w:pPr>
              <w:spacing w:after="0"/>
              <w:rPr>
                <w:sz w:val="15"/>
                <w:szCs w:val="15"/>
                <w:color w:val="auto"/>
              </w:rPr>
            </w:pPr>
          </w:p>
        </w:tc>
        <w:tc>
          <w:tcPr>
            <w:tcW w:w="1300" w:type="dxa"/>
            <w:vAlign w:val="bottom"/>
          </w:tcPr>
          <w:p>
            <w:pPr>
              <w:jc w:val="center"/>
              <w:ind w:right="528"/>
              <w:spacing w:after="0"/>
              <w:rPr>
                <w:sz w:val="20"/>
                <w:szCs w:val="20"/>
                <w:color w:val="auto"/>
              </w:rPr>
            </w:pPr>
            <w:r>
              <w:rPr>
                <w:rFonts w:ascii="Arial" w:cs="Arial" w:eastAsia="Arial" w:hAnsi="Arial"/>
                <w:sz w:val="14"/>
                <w:szCs w:val="14"/>
                <w:b w:val="1"/>
                <w:bCs w:val="1"/>
                <w:color w:val="auto"/>
              </w:rPr>
              <w:t>Finance /</w:t>
            </w:r>
          </w:p>
        </w:tc>
        <w:tc>
          <w:tcPr>
            <w:tcW w:w="1320" w:type="dxa"/>
            <w:vAlign w:val="bottom"/>
          </w:tcPr>
          <w:p>
            <w:pPr>
              <w:jc w:val="center"/>
              <w:ind w:right="308"/>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rPr>
              <w:t>Healthcare</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Science /</w:t>
            </w:r>
          </w:p>
        </w:tc>
        <w:tc>
          <w:tcPr>
            <w:tcW w:w="0" w:type="dxa"/>
            <w:vAlign w:val="bottom"/>
          </w:tcPr>
          <w:p>
            <w:pPr>
              <w:spacing w:after="0"/>
              <w:rPr>
                <w:sz w:val="1"/>
                <w:szCs w:val="1"/>
                <w:color w:val="auto"/>
              </w:rPr>
            </w:pPr>
          </w:p>
        </w:tc>
      </w:tr>
      <w:tr>
        <w:trPr>
          <w:trHeight w:val="196"/>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rPr>
              <w:t>Leadership</w:t>
            </w:r>
          </w:p>
        </w:tc>
        <w:tc>
          <w:tcPr>
            <w:tcW w:w="1380" w:type="dxa"/>
            <w:vAlign w:val="bottom"/>
            <w:gridSpan w:val="2"/>
          </w:tcPr>
          <w:p>
            <w:pPr>
              <w:jc w:val="center"/>
              <w:ind w:right="468"/>
              <w:spacing w:after="0"/>
              <w:rPr>
                <w:sz w:val="20"/>
                <w:szCs w:val="20"/>
                <w:color w:val="auto"/>
              </w:rPr>
            </w:pPr>
            <w:r>
              <w:rPr>
                <w:rFonts w:ascii="Arial" w:cs="Arial" w:eastAsia="Arial" w:hAnsi="Arial"/>
                <w:sz w:val="14"/>
                <w:szCs w:val="14"/>
                <w:b w:val="1"/>
                <w:bCs w:val="1"/>
                <w:color w:val="auto"/>
              </w:rPr>
              <w:t>Accounting</w:t>
            </w:r>
          </w:p>
        </w:tc>
        <w:tc>
          <w:tcPr>
            <w:tcW w:w="1320" w:type="dxa"/>
            <w:vAlign w:val="bottom"/>
          </w:tcPr>
          <w:p>
            <w:pPr>
              <w:jc w:val="center"/>
              <w:ind w:right="328"/>
              <w:spacing w:after="0"/>
              <w:rPr>
                <w:sz w:val="20"/>
                <w:szCs w:val="20"/>
                <w:color w:val="auto"/>
              </w:rPr>
            </w:pPr>
            <w:r>
              <w:rPr>
                <w:rFonts w:ascii="Arial" w:cs="Arial" w:eastAsia="Arial" w:hAnsi="Arial"/>
                <w:sz w:val="14"/>
                <w:szCs w:val="14"/>
                <w:b w:val="1"/>
                <w:bCs w:val="1"/>
                <w:color w:val="auto"/>
              </w:rPr>
              <w:t>Business</w:t>
            </w:r>
          </w:p>
        </w:tc>
        <w:tc>
          <w:tcPr>
            <w:tcW w:w="260" w:type="dxa"/>
            <w:vAlign w:val="bottom"/>
          </w:tcPr>
          <w:p>
            <w:pPr>
              <w:spacing w:after="0"/>
              <w:rPr>
                <w:sz w:val="17"/>
                <w:szCs w:val="17"/>
                <w:color w:val="auto"/>
              </w:rPr>
            </w:pPr>
          </w:p>
        </w:tc>
        <w:tc>
          <w:tcPr>
            <w:tcW w:w="1220" w:type="dxa"/>
            <w:vAlign w:val="bottom"/>
          </w:tcPr>
          <w:p>
            <w:pPr>
              <w:jc w:val="center"/>
              <w:ind w:right="568"/>
              <w:spacing w:after="0"/>
              <w:rPr>
                <w:sz w:val="20"/>
                <w:szCs w:val="20"/>
                <w:color w:val="auto"/>
              </w:rPr>
            </w:pPr>
            <w:r>
              <w:rPr>
                <w:rFonts w:ascii="Arial" w:cs="Arial" w:eastAsia="Arial" w:hAnsi="Arial"/>
                <w:sz w:val="14"/>
                <w:szCs w:val="14"/>
                <w:b w:val="1"/>
                <w:bCs w:val="1"/>
                <w:color w:val="auto"/>
              </w:rPr>
              <w:t>Industry</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w w:val="99"/>
              </w:rPr>
              <w:t>Academia</w:t>
            </w:r>
          </w:p>
        </w:tc>
        <w:tc>
          <w:tcPr>
            <w:tcW w:w="0" w:type="dxa"/>
            <w:vAlign w:val="bottom"/>
          </w:tcPr>
          <w:p>
            <w:pPr>
              <w:spacing w:after="0"/>
              <w:rPr>
                <w:sz w:val="1"/>
                <w:szCs w:val="1"/>
                <w:color w:val="auto"/>
              </w:rPr>
            </w:pPr>
          </w:p>
        </w:tc>
      </w:tr>
      <w:tr>
        <w:trPr>
          <w:trHeight w:val="438"/>
        </w:trPr>
        <w:tc>
          <w:tcPr>
            <w:tcW w:w="1340" w:type="dxa"/>
            <w:vAlign w:val="bottom"/>
          </w:tcPr>
          <w:p>
            <w:pPr>
              <w:ind w:left="480"/>
              <w:spacing w:after="0"/>
              <w:rPr>
                <w:sz w:val="20"/>
                <w:szCs w:val="20"/>
                <w:color w:val="auto"/>
              </w:rPr>
            </w:pPr>
            <w:r>
              <w:rPr>
                <w:rFonts w:ascii="Arial" w:cs="Arial" w:eastAsia="Arial" w:hAnsi="Arial"/>
                <w:sz w:val="14"/>
                <w:szCs w:val="14"/>
                <w:b w:val="1"/>
                <w:bCs w:val="1"/>
                <w:color w:val="auto"/>
              </w:rPr>
              <w:t>Government</w:t>
            </w:r>
          </w:p>
        </w:tc>
        <w:tc>
          <w:tcPr>
            <w:tcW w:w="80" w:type="dxa"/>
            <w:vAlign w:val="bottom"/>
          </w:tcPr>
          <w:p>
            <w:pPr>
              <w:spacing w:after="0"/>
              <w:rPr>
                <w:sz w:val="24"/>
                <w:szCs w:val="24"/>
                <w:color w:val="auto"/>
              </w:rPr>
            </w:pPr>
          </w:p>
        </w:tc>
        <w:tc>
          <w:tcPr>
            <w:tcW w:w="13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Sales /</w:t>
            </w:r>
          </w:p>
        </w:tc>
        <w:tc>
          <w:tcPr>
            <w:tcW w:w="15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w w:val="99"/>
              </w:rPr>
              <w:t>Technology /</w:t>
            </w:r>
          </w:p>
        </w:tc>
        <w:tc>
          <w:tcPr>
            <w:tcW w:w="192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Operations /</w:t>
            </w:r>
          </w:p>
        </w:tc>
        <w:tc>
          <w:tcPr>
            <w:tcW w:w="0" w:type="dxa"/>
            <w:vAlign w:val="bottom"/>
          </w:tcPr>
          <w:p>
            <w:pPr>
              <w:spacing w:after="0"/>
              <w:rPr>
                <w:sz w:val="1"/>
                <w:szCs w:val="1"/>
                <w:color w:val="auto"/>
              </w:rPr>
            </w:pPr>
          </w:p>
        </w:tc>
      </w:tr>
      <w:tr>
        <w:trPr>
          <w:trHeight w:val="144"/>
        </w:trPr>
        <w:tc>
          <w:tcPr>
            <w:tcW w:w="1340" w:type="dxa"/>
            <w:vAlign w:val="bottom"/>
          </w:tcPr>
          <w:p>
            <w:pPr>
              <w:ind w:left="480"/>
              <w:spacing w:after="0" w:line="145" w:lineRule="exact"/>
              <w:rPr>
                <w:sz w:val="20"/>
                <w:szCs w:val="20"/>
                <w:color w:val="auto"/>
              </w:rPr>
            </w:pPr>
            <w:r>
              <w:rPr>
                <w:rFonts w:ascii="Arial" w:cs="Arial" w:eastAsia="Arial" w:hAnsi="Arial"/>
                <w:sz w:val="14"/>
                <w:szCs w:val="14"/>
                <w:b w:val="1"/>
                <w:bCs w:val="1"/>
                <w:color w:val="auto"/>
              </w:rPr>
              <w:t>Relations /</w:t>
            </w:r>
          </w:p>
        </w:tc>
        <w:tc>
          <w:tcPr>
            <w:tcW w:w="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420" w:type="dxa"/>
            <w:vAlign w:val="bottom"/>
            <w:gridSpan w:val="2"/>
          </w:tcPr>
          <w:p>
            <w:pPr>
              <w:ind w:left="480"/>
              <w:spacing w:after="0"/>
              <w:rPr>
                <w:sz w:val="20"/>
                <w:szCs w:val="20"/>
                <w:color w:val="auto"/>
              </w:rPr>
            </w:pPr>
            <w:r>
              <w:rPr>
                <w:rFonts w:ascii="Arial" w:cs="Arial" w:eastAsia="Arial" w:hAnsi="Arial"/>
                <w:sz w:val="14"/>
                <w:szCs w:val="14"/>
                <w:b w:val="1"/>
                <w:bCs w:val="1"/>
                <w:color w:val="auto"/>
              </w:rPr>
              <w:t>Public Policy</w:t>
            </w:r>
          </w:p>
        </w:tc>
        <w:tc>
          <w:tcPr>
            <w:tcW w:w="1300" w:type="dxa"/>
            <w:vAlign w:val="bottom"/>
          </w:tcPr>
          <w:p>
            <w:pPr>
              <w:ind w:left="600"/>
              <w:spacing w:after="0"/>
              <w:rPr>
                <w:sz w:val="20"/>
                <w:szCs w:val="20"/>
                <w:color w:val="auto"/>
              </w:rPr>
            </w:pPr>
            <w:r>
              <w:rPr>
                <w:rFonts w:ascii="Arial" w:cs="Arial" w:eastAsia="Arial" w:hAnsi="Arial"/>
                <w:sz w:val="14"/>
                <w:szCs w:val="14"/>
                <w:b w:val="1"/>
                <w:bCs w:val="1"/>
                <w:color w:val="auto"/>
              </w:rPr>
              <w:t>Marketing</w:t>
            </w:r>
          </w:p>
        </w:tc>
        <w:tc>
          <w:tcPr>
            <w:tcW w:w="1320" w:type="dxa"/>
            <w:vAlign w:val="bottom"/>
          </w:tcPr>
          <w:p>
            <w:pPr>
              <w:ind w:left="700"/>
              <w:spacing w:after="0"/>
              <w:rPr>
                <w:sz w:val="20"/>
                <w:szCs w:val="20"/>
                <w:color w:val="auto"/>
              </w:rPr>
            </w:pPr>
            <w:r>
              <w:rPr>
                <w:rFonts w:ascii="Arial" w:cs="Arial" w:eastAsia="Arial" w:hAnsi="Arial"/>
                <w:sz w:val="14"/>
                <w:szCs w:val="14"/>
                <w:b w:val="1"/>
                <w:bCs w:val="1"/>
                <w:color w:val="auto"/>
              </w:rPr>
              <w:t>Digital</w:t>
            </w:r>
          </w:p>
        </w:tc>
        <w:tc>
          <w:tcPr>
            <w:tcW w:w="260" w:type="dxa"/>
            <w:vAlign w:val="bottom"/>
          </w:tcPr>
          <w:p>
            <w:pPr>
              <w:spacing w:after="0"/>
              <w:rPr>
                <w:sz w:val="17"/>
                <w:szCs w:val="17"/>
                <w:color w:val="auto"/>
              </w:rPr>
            </w:pP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Strategy</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1029335</wp:posOffset>
            </wp:positionH>
            <wp:positionV relativeFrom="paragraph">
              <wp:posOffset>-264160</wp:posOffset>
            </wp:positionV>
            <wp:extent cx="214630" cy="2146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-264160</wp:posOffset>
            </wp:positionV>
            <wp:extent cx="214630" cy="2146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-264160</wp:posOffset>
            </wp:positionV>
            <wp:extent cx="214630" cy="2146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-264160</wp:posOffset>
            </wp:positionV>
            <wp:extent cx="214630" cy="2146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ectPr>
          <w:pgSz w:w="11900" w:h="16838" w:orient="portrait"/>
          <w:cols w:equalWidth="0" w:num="1">
            <w:col w:w="10119"/>
          </w:cols>
          <w:pgMar w:left="340" w:top="1174" w:right="1440"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154940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174" w:right="1440" w:bottom="1440" w:gutter="0" w:footer="0" w:header="0"/>
          <w:type w:val="continuous"/>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774700</wp:posOffset>
            </wp:positionV>
            <wp:extent cx="1311275" cy="13112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clrChange>
                        <a:clrFrom>
                          <a:srgbClr val="FFFFFF"/>
                        </a:clrFrom>
                        <a:clrTo>
                          <a:srgbClr val="FFFFFF">
                            <a:alpha val="0"/>
                          </a:srgbClr>
                        </a:clrTo>
                      </a:clrChange>
                      <a:extLst>
                        <a:ext uri="{28A0092B-C50C-407E-A947-70E740481C1C}"/>
                      </a:extLst>
                    </a:blip>
                    <a:srcRect/>
                    <a:stretch>
                      <a:fillRect/>
                    </a:stretch>
                  </pic:blipFill>
                  <pic:spPr bwMode="auto">
                    <a:xfrm>
                      <a:off x="0" y="0"/>
                      <a:ext cx="131127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EF3729"/>
        </w:rPr>
        <w:t>Juan R. Luciano</w:t>
      </w:r>
    </w:p>
    <w:p>
      <w:pPr>
        <w:ind w:right="240"/>
        <w:spacing w:after="0" w:line="235" w:lineRule="auto"/>
        <w:rPr>
          <w:sz w:val="20"/>
          <w:szCs w:val="20"/>
          <w:color w:val="auto"/>
        </w:rPr>
      </w:pPr>
      <w:r>
        <w:rPr>
          <w:rFonts w:ascii="Arial" w:cs="Arial" w:eastAsia="Arial" w:hAnsi="Arial"/>
          <w:sz w:val="16"/>
          <w:szCs w:val="16"/>
          <w:color w:val="auto"/>
        </w:rPr>
        <w:t>Lead Independent Director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164465</wp:posOffset>
            </wp:positionV>
            <wp:extent cx="14312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16"/>
          <w:szCs w:val="16"/>
          <w:color w:val="auto"/>
        </w:rPr>
        <w:t>: 61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w:t>
      </w:r>
      <w:r>
        <w:rPr>
          <w:rFonts w:ascii="Arial" w:cs="Arial" w:eastAsia="Arial" w:hAnsi="Arial"/>
          <w:sz w:val="16"/>
          <w:szCs w:val="16"/>
          <w:color w:val="auto"/>
        </w:rPr>
        <w:t>: 2016</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Talent and Compensation</w:t>
      </w:r>
    </w:p>
    <w:p>
      <w:pPr>
        <w:spacing w:after="0" w:line="72" w:lineRule="exact"/>
        <w:rPr>
          <w:sz w:val="20"/>
          <w:szCs w:val="20"/>
          <w:color w:val="auto"/>
        </w:rPr>
      </w:pPr>
    </w:p>
    <w:p>
      <w:pPr>
        <w:ind w:left="340" w:right="100" w:hanging="162"/>
        <w:spacing w:after="0" w:line="281" w:lineRule="auto"/>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Directors and Corporate</w:t>
      </w:r>
      <w:r>
        <w:rPr>
          <w:rFonts w:ascii="Arial" w:cs="Arial" w:eastAsia="Arial" w:hAnsi="Arial"/>
          <w:sz w:val="14"/>
          <w:szCs w:val="14"/>
          <w:color w:val="auto"/>
        </w:rPr>
        <w:t xml:space="preserve"> </w:t>
      </w:r>
      <w:r>
        <w:rPr>
          <w:rFonts w:ascii="Arial" w:cs="Arial" w:eastAsia="Arial" w:hAnsi="Arial"/>
          <w:sz w:val="16"/>
          <w:szCs w:val="16"/>
          <w:color w:val="auto"/>
        </w:rPr>
        <w:t>Governance (chair)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Boards:</w:t>
      </w:r>
    </w:p>
    <w:p>
      <w:pPr>
        <w:spacing w:after="0" w:line="73" w:lineRule="exact"/>
        <w:rPr>
          <w:sz w:val="20"/>
          <w:szCs w:val="20"/>
          <w:color w:val="auto"/>
        </w:rPr>
      </w:pPr>
    </w:p>
    <w:p>
      <w:pPr>
        <w:ind w:left="340" w:right="140" w:hanging="168"/>
        <w:spacing w:after="0" w:line="286" w:lineRule="auto"/>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Archer-Daniels-Midland</w:t>
      </w:r>
      <w:r>
        <w:rPr>
          <w:rFonts w:ascii="Arial" w:cs="Arial" w:eastAsia="Arial" w:hAnsi="Arial"/>
          <w:sz w:val="14"/>
          <w:szCs w:val="14"/>
          <w:color w:val="auto"/>
        </w:rPr>
        <w:t xml:space="preserve"> </w:t>
      </w:r>
      <w:r>
        <w:rPr>
          <w:rFonts w:ascii="Arial" w:cs="Arial" w:eastAsia="Arial" w:hAnsi="Arial"/>
          <w:sz w:val="16"/>
          <w:szCs w:val="16"/>
          <w:color w:val="auto"/>
        </w:rPr>
        <w:t>Company</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Prior Public Boards: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None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55245</wp:posOffset>
            </wp:positionV>
            <wp:extent cx="1234440" cy="6686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34440" cy="668655"/>
                    </a:xfrm>
                    <a:prstGeom prst="rect">
                      <a:avLst/>
                    </a:prstGeom>
                    <a:noFill/>
                  </pic:spPr>
                </pic:pic>
              </a:graphicData>
            </a:graphic>
          </wp:anchor>
        </w:drawing>
        <w:drawing>
          <wp:anchor simplePos="0" relativeHeight="251657728" behindDoc="1" locked="0" layoutInCell="0" allowOverlap="1">
            <wp:simplePos x="0" y="0"/>
            <wp:positionH relativeFrom="column">
              <wp:posOffset>746760</wp:posOffset>
            </wp:positionH>
            <wp:positionV relativeFrom="paragraph">
              <wp:posOffset>3663950</wp:posOffset>
            </wp:positionV>
            <wp:extent cx="214630" cy="2146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FFFFFF"/>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-135890</wp:posOffset>
            </wp:positionV>
            <wp:extent cx="4260215" cy="27349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260215" cy="2734945"/>
                    </a:xfrm>
                    <a:prstGeom prst="rect">
                      <a:avLst/>
                    </a:prstGeom>
                    <a:noFill/>
                  </pic:spPr>
                </pic:pic>
              </a:graphicData>
            </a:graphic>
          </wp:anchor>
        </w:drawing>
      </w:r>
    </w:p>
    <w:p>
      <w:pPr>
        <w:spacing w:after="0" w:line="144" w:lineRule="exact"/>
        <w:rPr>
          <w:sz w:val="20"/>
          <w:szCs w:val="20"/>
          <w:color w:val="auto"/>
        </w:rPr>
      </w:pPr>
    </w:p>
    <w:p>
      <w:pPr>
        <w:ind w:right="1119"/>
        <w:spacing w:after="0" w:line="264" w:lineRule="auto"/>
        <w:rPr>
          <w:sz w:val="20"/>
          <w:szCs w:val="20"/>
          <w:color w:val="auto"/>
        </w:rPr>
      </w:pPr>
      <w:r>
        <w:rPr>
          <w:rFonts w:ascii="Arial" w:cs="Arial" w:eastAsia="Arial" w:hAnsi="Arial"/>
          <w:sz w:val="16"/>
          <w:szCs w:val="16"/>
          <w:i w:val="1"/>
          <w:iCs w:val="1"/>
          <w:color w:val="auto"/>
        </w:rPr>
        <w:t>Mr. Luciano’s decades of experience, including as Chairman and CEO of Archer-Daniels-Midland Company, in leading large organizations, international business, strategy, and operations bring to the board valuable insights into the complexities of operating in a rapidly changing global market. Mr. Luciano has strong leadership qualities that enable him to act as an independent leader for the Board.</w:t>
      </w:r>
    </w:p>
    <w:p>
      <w:pPr>
        <w:spacing w:after="0" w:line="66" w:lineRule="exact"/>
        <w:rPr>
          <w:sz w:val="20"/>
          <w:szCs w:val="20"/>
          <w:color w:val="auto"/>
        </w:rPr>
      </w:pPr>
    </w:p>
    <w:p>
      <w:pPr>
        <w:ind w:left="640" w:right="1319" w:hanging="325"/>
        <w:spacing w:after="0" w:line="265" w:lineRule="auto"/>
        <w:tabs>
          <w:tab w:leader="none" w:pos="636" w:val="left"/>
        </w:tabs>
        <w:numPr>
          <w:ilvl w:val="0"/>
          <w:numId w:val="80"/>
        </w:numPr>
        <w:rPr>
          <w:rFonts w:ascii="Arial" w:cs="Arial" w:eastAsia="Arial" w:hAnsi="Arial"/>
          <w:sz w:val="14"/>
          <w:szCs w:val="14"/>
          <w:color w:val="auto"/>
        </w:rPr>
      </w:pPr>
      <w:r>
        <w:rPr>
          <w:rFonts w:ascii="Arial" w:cs="Arial" w:eastAsia="Arial" w:hAnsi="Arial"/>
          <w:sz w:val="16"/>
          <w:szCs w:val="16"/>
          <w:color w:val="auto"/>
        </w:rPr>
        <w:t>As chairman and CEO of a major global enterprise, Mr. Luciano contributes extensive knowledge of international business and the development and execution of strategy, such as the increased use of innovative technologies to meet customer needs.</w:t>
      </w:r>
    </w:p>
    <w:p>
      <w:pPr>
        <w:spacing w:after="0" w:line="78" w:lineRule="exact"/>
        <w:rPr>
          <w:rFonts w:ascii="Arial" w:cs="Arial" w:eastAsia="Arial" w:hAnsi="Arial"/>
          <w:sz w:val="14"/>
          <w:szCs w:val="14"/>
          <w:color w:val="auto"/>
        </w:rPr>
      </w:pPr>
    </w:p>
    <w:p>
      <w:pPr>
        <w:ind w:left="640" w:right="1059" w:hanging="325"/>
        <w:spacing w:after="0" w:line="266" w:lineRule="auto"/>
        <w:tabs>
          <w:tab w:leader="none" w:pos="636" w:val="left"/>
        </w:tabs>
        <w:numPr>
          <w:ilvl w:val="0"/>
          <w:numId w:val="80"/>
        </w:numPr>
        <w:rPr>
          <w:rFonts w:ascii="Arial" w:cs="Arial" w:eastAsia="Arial" w:hAnsi="Arial"/>
          <w:sz w:val="14"/>
          <w:szCs w:val="14"/>
          <w:color w:val="auto"/>
        </w:rPr>
      </w:pPr>
      <w:r>
        <w:rPr>
          <w:rFonts w:ascii="Arial" w:cs="Arial" w:eastAsia="Arial" w:hAnsi="Arial"/>
          <w:sz w:val="16"/>
          <w:szCs w:val="16"/>
          <w:color w:val="auto"/>
        </w:rPr>
        <w:t>Mr. Luciano’s experience as a chief operating officer and line executive in several product areas also bring a thorough understanding of operations, especially in highly regulated sectors.</w:t>
      </w:r>
    </w:p>
    <w:p>
      <w:pPr>
        <w:spacing w:after="0" w:line="22" w:lineRule="exact"/>
        <w:rPr>
          <w:rFonts w:ascii="Arial" w:cs="Arial" w:eastAsia="Arial" w:hAnsi="Arial"/>
          <w:sz w:val="14"/>
          <w:szCs w:val="14"/>
          <w:color w:val="auto"/>
        </w:rPr>
      </w:pPr>
    </w:p>
    <w:p>
      <w:pPr>
        <w:ind w:left="640" w:right="1139" w:hanging="325"/>
        <w:spacing w:after="0" w:line="275" w:lineRule="auto"/>
        <w:tabs>
          <w:tab w:leader="none" w:pos="636" w:val="left"/>
        </w:tabs>
        <w:numPr>
          <w:ilvl w:val="0"/>
          <w:numId w:val="80"/>
        </w:numPr>
        <w:rPr>
          <w:rFonts w:ascii="Times New Roman" w:cs="Times New Roman" w:eastAsia="Times New Roman" w:hAnsi="Times New Roman"/>
          <w:sz w:val="14"/>
          <w:szCs w:val="14"/>
          <w:color w:val="auto"/>
        </w:rPr>
      </w:pPr>
      <w:r>
        <w:rPr>
          <w:rFonts w:ascii="Arial" w:cs="Arial" w:eastAsia="Arial" w:hAnsi="Arial"/>
          <w:sz w:val="16"/>
          <w:szCs w:val="16"/>
          <w:color w:val="auto"/>
        </w:rPr>
        <w:t>Mr. Luciano’s results-oriented perspective and his experience in leading a major multinational company are particularly valuable to the board and make him a strong lead independent director.</w:t>
      </w:r>
    </w:p>
    <w:p>
      <w:pPr>
        <w:spacing w:after="0" w:line="2" w:lineRule="exact"/>
        <w:rPr>
          <w:rFonts w:ascii="Times New Roman" w:cs="Times New Roman" w:eastAsia="Times New Roman" w:hAnsi="Times New Roman"/>
          <w:sz w:val="14"/>
          <w:szCs w:val="14"/>
          <w:color w:val="auto"/>
        </w:rPr>
      </w:pPr>
    </w:p>
    <w:p>
      <w:pPr>
        <w:ind w:left="640" w:right="1019" w:hanging="325"/>
        <w:spacing w:after="0" w:line="275" w:lineRule="auto"/>
        <w:tabs>
          <w:tab w:leader="none" w:pos="636" w:val="left"/>
        </w:tabs>
        <w:numPr>
          <w:ilvl w:val="0"/>
          <w:numId w:val="80"/>
        </w:numPr>
        <w:rPr>
          <w:rFonts w:ascii="Times New Roman" w:cs="Times New Roman" w:eastAsia="Times New Roman" w:hAnsi="Times New Roman"/>
          <w:sz w:val="14"/>
          <w:szCs w:val="14"/>
          <w:color w:val="auto"/>
        </w:rPr>
      </w:pPr>
      <w:r>
        <w:rPr>
          <w:rFonts w:ascii="Arial" w:cs="Arial" w:eastAsia="Arial" w:hAnsi="Arial"/>
          <w:sz w:val="16"/>
          <w:szCs w:val="16"/>
          <w:color w:val="auto"/>
        </w:rPr>
        <w:t>Mr. Luciano is a well-respected leader of the Board, with the willingness and ability to provide direct, candid feedback to the CEO while acting as a facilitator of discussion and progress.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CAREER HIGHLIGHTS</w:t>
      </w:r>
    </w:p>
    <w:p>
      <w:pPr>
        <w:spacing w:after="0" w:line="40" w:lineRule="exact"/>
        <w:rPr>
          <w:sz w:val="20"/>
          <w:szCs w:val="20"/>
          <w:color w:val="auto"/>
        </w:rPr>
      </w:pPr>
    </w:p>
    <w:p>
      <w:pPr>
        <w:ind w:left="640" w:right="1819" w:hanging="325"/>
        <w:spacing w:after="0" w:line="274" w:lineRule="auto"/>
        <w:tabs>
          <w:tab w:leader="none" w:pos="629" w:val="left"/>
        </w:tabs>
        <w:numPr>
          <w:ilvl w:val="0"/>
          <w:numId w:val="81"/>
        </w:numPr>
        <w:rPr>
          <w:rFonts w:ascii="Arial" w:cs="Arial" w:eastAsia="Arial" w:hAnsi="Arial"/>
          <w:sz w:val="16"/>
          <w:szCs w:val="16"/>
          <w:color w:val="auto"/>
        </w:rPr>
      </w:pPr>
      <w:r>
        <w:rPr>
          <w:rFonts w:ascii="Arial" w:cs="Arial" w:eastAsia="Arial" w:hAnsi="Arial"/>
          <w:sz w:val="18"/>
          <w:szCs w:val="18"/>
          <w:b w:val="1"/>
          <w:bCs w:val="1"/>
          <w:color w:val="auto"/>
        </w:rPr>
        <w:t>Archer-Daniels-Midland Company</w:t>
      </w:r>
      <w:r>
        <w:rPr>
          <w:rFonts w:ascii="Arial" w:cs="Arial" w:eastAsia="Arial" w:hAnsi="Arial"/>
          <w:sz w:val="19"/>
          <w:szCs w:val="19"/>
          <w:b w:val="1"/>
          <w:bCs w:val="1"/>
          <w:color w:val="auto"/>
        </w:rPr>
        <w:t>,</w:t>
      </w:r>
      <w:r>
        <w:rPr>
          <w:rFonts w:ascii="Arial" w:cs="Arial" w:eastAsia="Arial" w:hAnsi="Arial"/>
          <w:sz w:val="18"/>
          <w:szCs w:val="18"/>
          <w:b w:val="1"/>
          <w:bCs w:val="1"/>
          <w:color w:val="auto"/>
        </w:rPr>
        <w:t xml:space="preserve"> </w:t>
      </w:r>
      <w:r>
        <w:rPr>
          <w:rFonts w:ascii="Arial" w:cs="Arial" w:eastAsia="Arial" w:hAnsi="Arial"/>
          <w:sz w:val="16"/>
          <w:szCs w:val="16"/>
          <w:color w:val="auto"/>
        </w:rPr>
        <w:t>a global food processing and</w:t>
      </w:r>
      <w:r>
        <w:rPr>
          <w:rFonts w:ascii="Arial" w:cs="Arial" w:eastAsia="Arial" w:hAnsi="Arial"/>
          <w:sz w:val="18"/>
          <w:szCs w:val="18"/>
          <w:b w:val="1"/>
          <w:bCs w:val="1"/>
          <w:color w:val="auto"/>
        </w:rPr>
        <w:t xml:space="preserve"> </w:t>
      </w:r>
      <w:r>
        <w:rPr>
          <w:rFonts w:ascii="Arial" w:cs="Arial" w:eastAsia="Arial" w:hAnsi="Arial"/>
          <w:sz w:val="16"/>
          <w:szCs w:val="16"/>
          <w:color w:val="auto"/>
        </w:rPr>
        <w:t>commodities-trading company</w:t>
      </w:r>
    </w:p>
    <w:p>
      <w:pPr>
        <w:spacing w:after="0" w:line="1"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Chairman (2016 - present)</w:t>
      </w:r>
    </w:p>
    <w:p>
      <w:pPr>
        <w:spacing w:after="0" w:line="30"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Chief Executive Officer and President (2015 - present)</w:t>
      </w:r>
    </w:p>
    <w:p>
      <w:pPr>
        <w:spacing w:after="0" w:line="8"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President and Chief Operating Officer (2014 - 2015)</w:t>
      </w:r>
    </w:p>
    <w:p>
      <w:pPr>
        <w:spacing w:after="0" w:line="38" w:lineRule="exact"/>
        <w:rPr>
          <w:rFonts w:ascii="Arial" w:cs="Arial" w:eastAsia="Arial" w:hAnsi="Arial"/>
          <w:sz w:val="16"/>
          <w:szCs w:val="16"/>
          <w:color w:val="auto"/>
        </w:rPr>
      </w:pPr>
    </w:p>
    <w:p>
      <w:pPr>
        <w:ind w:left="620" w:hanging="305"/>
        <w:spacing w:after="0"/>
        <w:tabs>
          <w:tab w:leader="none" w:pos="620" w:val="left"/>
        </w:tabs>
        <w:numPr>
          <w:ilvl w:val="0"/>
          <w:numId w:val="81"/>
        </w:numPr>
        <w:rPr>
          <w:rFonts w:ascii="Arial" w:cs="Arial" w:eastAsia="Arial" w:hAnsi="Arial"/>
          <w:sz w:val="16"/>
          <w:szCs w:val="16"/>
          <w:color w:val="auto"/>
        </w:rPr>
      </w:pPr>
      <w:r>
        <w:rPr>
          <w:rFonts w:ascii="Arial" w:cs="Arial" w:eastAsia="Arial" w:hAnsi="Arial"/>
          <w:sz w:val="18"/>
          <w:szCs w:val="18"/>
          <w:b w:val="1"/>
          <w:bCs w:val="1"/>
          <w:color w:val="auto"/>
        </w:rPr>
        <w:t xml:space="preserve">The Dow Chemical Company, </w:t>
      </w:r>
      <w:r>
        <w:rPr>
          <w:rFonts w:ascii="Arial" w:cs="Arial" w:eastAsia="Arial" w:hAnsi="Arial"/>
          <w:sz w:val="16"/>
          <w:szCs w:val="16"/>
          <w:color w:val="auto"/>
        </w:rPr>
        <w:t>a multinational chemical company</w:t>
      </w:r>
    </w:p>
    <w:p>
      <w:pPr>
        <w:spacing w:after="0" w:line="6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Executive Vice President and President, Performance Division (2010 - 2011)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OTHER HIGHLIGHTS</w:t>
      </w:r>
    </w:p>
    <w:p>
      <w:pPr>
        <w:spacing w:after="0" w:line="41" w:lineRule="exact"/>
        <w:rPr>
          <w:sz w:val="20"/>
          <w:szCs w:val="20"/>
          <w:color w:val="auto"/>
        </w:rPr>
      </w:pPr>
    </w:p>
    <w:p>
      <w:pPr>
        <w:ind w:left="640" w:hanging="325"/>
        <w:spacing w:after="0"/>
        <w:tabs>
          <w:tab w:leader="none" w:pos="640" w:val="left"/>
        </w:tabs>
        <w:numPr>
          <w:ilvl w:val="0"/>
          <w:numId w:val="82"/>
        </w:numPr>
        <w:rPr>
          <w:rFonts w:ascii="Cambria" w:cs="Cambria" w:eastAsia="Cambria" w:hAnsi="Cambria"/>
          <w:sz w:val="16"/>
          <w:szCs w:val="16"/>
          <w:b w:val="1"/>
          <w:bCs w:val="1"/>
          <w:color w:val="auto"/>
        </w:rPr>
      </w:pPr>
      <w:r>
        <w:rPr>
          <w:rFonts w:ascii="Arial" w:cs="Arial" w:eastAsia="Arial" w:hAnsi="Arial"/>
          <w:sz w:val="16"/>
          <w:szCs w:val="16"/>
          <w:color w:val="auto"/>
        </w:rPr>
        <w:t>Alternate Director, Wilmar International</w:t>
      </w:r>
    </w:p>
    <w:p>
      <w:pPr>
        <w:spacing w:after="0" w:line="27" w:lineRule="exact"/>
        <w:rPr>
          <w:rFonts w:ascii="Cambria" w:cs="Cambria" w:eastAsia="Cambria" w:hAnsi="Cambria"/>
          <w:sz w:val="16"/>
          <w:szCs w:val="16"/>
          <w:b w:val="1"/>
          <w:bCs w:val="1"/>
          <w:color w:val="auto"/>
        </w:rPr>
      </w:pPr>
    </w:p>
    <w:p>
      <w:pPr>
        <w:ind w:left="640" w:hanging="325"/>
        <w:spacing w:after="0"/>
        <w:tabs>
          <w:tab w:leader="none" w:pos="640" w:val="left"/>
        </w:tabs>
        <w:numPr>
          <w:ilvl w:val="0"/>
          <w:numId w:val="82"/>
        </w:numPr>
        <w:rPr>
          <w:rFonts w:ascii="Cambria" w:cs="Cambria" w:eastAsia="Cambria" w:hAnsi="Cambria"/>
          <w:sz w:val="16"/>
          <w:szCs w:val="16"/>
          <w:b w:val="1"/>
          <w:bCs w:val="1"/>
          <w:color w:val="auto"/>
        </w:rPr>
      </w:pPr>
      <w:r>
        <w:rPr>
          <w:rFonts w:ascii="Arial" w:cs="Arial" w:eastAsia="Arial" w:hAnsi="Arial"/>
          <w:sz w:val="16"/>
          <w:szCs w:val="16"/>
          <w:color w:val="auto"/>
        </w:rPr>
        <w:t>Intersect Illinois, Board</w:t>
      </w:r>
    </w:p>
    <w:p>
      <w:pPr>
        <w:spacing w:after="0" w:line="5" w:lineRule="exact"/>
        <w:rPr>
          <w:rFonts w:ascii="Cambria" w:cs="Cambria" w:eastAsia="Cambria" w:hAnsi="Cambria"/>
          <w:sz w:val="16"/>
          <w:szCs w:val="16"/>
          <w:b w:val="1"/>
          <w:bCs w:val="1"/>
          <w:color w:val="auto"/>
        </w:rPr>
      </w:pPr>
    </w:p>
    <w:p>
      <w:pPr>
        <w:ind w:left="640" w:hanging="325"/>
        <w:spacing w:after="0"/>
        <w:tabs>
          <w:tab w:leader="none" w:pos="640" w:val="left"/>
        </w:tabs>
        <w:numPr>
          <w:ilvl w:val="0"/>
          <w:numId w:val="82"/>
        </w:numPr>
        <w:rPr>
          <w:rFonts w:ascii="Cambria" w:cs="Cambria" w:eastAsia="Cambria" w:hAnsi="Cambria"/>
          <w:sz w:val="16"/>
          <w:szCs w:val="16"/>
          <w:b w:val="1"/>
          <w:bCs w:val="1"/>
          <w:color w:val="auto"/>
        </w:rPr>
      </w:pPr>
      <w:r>
        <w:rPr>
          <w:rFonts w:ascii="Arial" w:cs="Arial" w:eastAsia="Arial" w:hAnsi="Arial"/>
          <w:sz w:val="16"/>
          <w:szCs w:val="16"/>
          <w:color w:val="auto"/>
        </w:rPr>
        <w:t>Rush University Medical Center, Board of Trustees</w:t>
      </w:r>
    </w:p>
    <w:p>
      <w:pPr>
        <w:spacing w:after="0" w:line="11" w:lineRule="exact"/>
        <w:rPr>
          <w:rFonts w:ascii="Cambria" w:cs="Cambria" w:eastAsia="Cambria" w:hAnsi="Cambria"/>
          <w:sz w:val="16"/>
          <w:szCs w:val="16"/>
          <w:b w:val="1"/>
          <w:bCs w:val="1"/>
          <w:color w:val="auto"/>
        </w:rPr>
      </w:pPr>
    </w:p>
    <w:p>
      <w:pPr>
        <w:ind w:left="640" w:hanging="325"/>
        <w:spacing w:after="0"/>
        <w:tabs>
          <w:tab w:leader="none" w:pos="640" w:val="left"/>
        </w:tabs>
        <w:numPr>
          <w:ilvl w:val="0"/>
          <w:numId w:val="82"/>
        </w:numPr>
        <w:rPr>
          <w:rFonts w:ascii="Cambria" w:cs="Cambria" w:eastAsia="Cambria" w:hAnsi="Cambria"/>
          <w:sz w:val="16"/>
          <w:szCs w:val="16"/>
          <w:b w:val="1"/>
          <w:bCs w:val="1"/>
          <w:color w:val="auto"/>
        </w:rPr>
      </w:pPr>
      <w:r>
        <w:rPr>
          <w:rFonts w:ascii="Arial" w:cs="Arial" w:eastAsia="Arial" w:hAnsi="Arial"/>
          <w:sz w:val="16"/>
          <w:szCs w:val="16"/>
          <w:color w:val="auto"/>
        </w:rPr>
        <w:t>The Business Roundtable</w:t>
      </w:r>
    </w:p>
    <w:p>
      <w:pPr>
        <w:spacing w:after="0" w:line="5" w:lineRule="exact"/>
        <w:rPr>
          <w:rFonts w:ascii="Cambria" w:cs="Cambria" w:eastAsia="Cambria" w:hAnsi="Cambria"/>
          <w:sz w:val="16"/>
          <w:szCs w:val="16"/>
          <w:b w:val="1"/>
          <w:bCs w:val="1"/>
          <w:color w:val="auto"/>
        </w:rPr>
      </w:pPr>
    </w:p>
    <w:p>
      <w:pPr>
        <w:ind w:left="640" w:hanging="325"/>
        <w:spacing w:after="0"/>
        <w:tabs>
          <w:tab w:leader="none" w:pos="640" w:val="left"/>
        </w:tabs>
        <w:numPr>
          <w:ilvl w:val="0"/>
          <w:numId w:val="82"/>
        </w:numPr>
        <w:rPr>
          <w:rFonts w:ascii="Cambria" w:cs="Cambria" w:eastAsia="Cambria" w:hAnsi="Cambria"/>
          <w:sz w:val="16"/>
          <w:szCs w:val="16"/>
          <w:b w:val="1"/>
          <w:bCs w:val="1"/>
          <w:color w:val="auto"/>
        </w:rPr>
      </w:pPr>
      <w:r>
        <w:rPr>
          <w:rFonts w:ascii="Arial" w:cs="Arial" w:eastAsia="Arial" w:hAnsi="Arial"/>
          <w:sz w:val="16"/>
          <w:szCs w:val="16"/>
          <w:color w:val="auto"/>
        </w:rPr>
        <w:t>Civic Committee at the Commercial Club of Chicago, Member</w:t>
      </w:r>
    </w:p>
    <w:p>
      <w:pPr>
        <w:spacing w:after="0" w:line="1" w:lineRule="exact"/>
        <w:rPr>
          <w:rFonts w:ascii="Cambria" w:cs="Cambria" w:eastAsia="Cambria" w:hAnsi="Cambria"/>
          <w:sz w:val="16"/>
          <w:szCs w:val="16"/>
          <w:b w:val="1"/>
          <w:bCs w:val="1"/>
          <w:color w:val="auto"/>
        </w:rPr>
      </w:pPr>
    </w:p>
    <w:p>
      <w:pPr>
        <w:ind w:left="640" w:hanging="325"/>
        <w:spacing w:after="0"/>
        <w:tabs>
          <w:tab w:leader="none" w:pos="640" w:val="left"/>
        </w:tabs>
        <w:numPr>
          <w:ilvl w:val="0"/>
          <w:numId w:val="82"/>
        </w:numPr>
        <w:rPr>
          <w:rFonts w:ascii="Cambria" w:cs="Cambria" w:eastAsia="Cambria" w:hAnsi="Cambria"/>
          <w:sz w:val="16"/>
          <w:szCs w:val="16"/>
          <w:b w:val="1"/>
          <w:bCs w:val="1"/>
          <w:color w:val="auto"/>
        </w:rPr>
      </w:pPr>
      <w:r>
        <w:rPr>
          <w:rFonts w:ascii="Arial" w:cs="Arial" w:eastAsia="Arial" w:hAnsi="Arial"/>
          <w:sz w:val="16"/>
          <w:szCs w:val="16"/>
          <w:color w:val="auto"/>
        </w:rPr>
        <w:t>Economic Club of Chicago,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2511425</wp:posOffset>
            </wp:positionV>
            <wp:extent cx="213995" cy="2146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13995" cy="214630"/>
                    </a:xfrm>
                    <a:prstGeom prst="rect">
                      <a:avLst/>
                    </a:prstGeom>
                    <a:noFill/>
                  </pic:spPr>
                </pic:pic>
              </a:graphicData>
            </a:graphic>
          </wp:anchor>
        </w:drawing>
        <w:drawing>
          <wp:anchor simplePos="0" relativeHeight="251657728" behindDoc="1" locked="0" layoutInCell="0" allowOverlap="1">
            <wp:simplePos x="0" y="0"/>
            <wp:positionH relativeFrom="column">
              <wp:posOffset>805815</wp:posOffset>
            </wp:positionH>
            <wp:positionV relativeFrom="paragraph">
              <wp:posOffset>2511425</wp:posOffset>
            </wp:positionV>
            <wp:extent cx="214630" cy="2146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1731645</wp:posOffset>
            </wp:positionH>
            <wp:positionV relativeFrom="paragraph">
              <wp:posOffset>2511425</wp:posOffset>
            </wp:positionV>
            <wp:extent cx="214630" cy="2146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2511425</wp:posOffset>
            </wp:positionV>
            <wp:extent cx="214630" cy="2146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460"/>
            <w:col w:w="7499"/>
          </w:cols>
          <w:pgMar w:left="340" w:top="11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1600" w:type="dxa"/>
        <w:tblCellMar>
          <w:top w:w="0" w:type="dxa"/>
          <w:left w:w="0" w:type="dxa"/>
          <w:bottom w:w="0" w:type="dxa"/>
          <w:right w:w="0" w:type="dxa"/>
        </w:tblCellMar>
      </w:tblPr>
      <w:tr>
        <w:trPr>
          <w:trHeight w:val="175"/>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w w:val="98"/>
              </w:rPr>
              <w:t>CEO</w:t>
            </w:r>
          </w:p>
        </w:tc>
        <w:tc>
          <w:tcPr>
            <w:tcW w:w="80" w:type="dxa"/>
            <w:vAlign w:val="bottom"/>
          </w:tcPr>
          <w:p>
            <w:pPr>
              <w:spacing w:after="0"/>
              <w:rPr>
                <w:sz w:val="15"/>
                <w:szCs w:val="15"/>
                <w:color w:val="auto"/>
              </w:rPr>
            </w:pPr>
          </w:p>
        </w:tc>
        <w:tc>
          <w:tcPr>
            <w:tcW w:w="1300" w:type="dxa"/>
            <w:vAlign w:val="bottom"/>
          </w:tcPr>
          <w:p>
            <w:pPr>
              <w:jc w:val="center"/>
              <w:ind w:right="528"/>
              <w:spacing w:after="0"/>
              <w:rPr>
                <w:sz w:val="20"/>
                <w:szCs w:val="20"/>
                <w:color w:val="auto"/>
              </w:rPr>
            </w:pPr>
            <w:r>
              <w:rPr>
                <w:rFonts w:ascii="Arial" w:cs="Arial" w:eastAsia="Arial" w:hAnsi="Arial"/>
                <w:sz w:val="14"/>
                <w:szCs w:val="14"/>
                <w:b w:val="1"/>
                <w:bCs w:val="1"/>
                <w:color w:val="auto"/>
              </w:rPr>
              <w:t>Finance /</w:t>
            </w:r>
          </w:p>
        </w:tc>
        <w:tc>
          <w:tcPr>
            <w:tcW w:w="1320" w:type="dxa"/>
            <w:vAlign w:val="bottom"/>
          </w:tcPr>
          <w:p>
            <w:pPr>
              <w:jc w:val="center"/>
              <w:ind w:right="308"/>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rPr>
              <w:t>Healthcare</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Science /</w:t>
            </w:r>
          </w:p>
        </w:tc>
        <w:tc>
          <w:tcPr>
            <w:tcW w:w="0" w:type="dxa"/>
            <w:vAlign w:val="bottom"/>
          </w:tcPr>
          <w:p>
            <w:pPr>
              <w:spacing w:after="0"/>
              <w:rPr>
                <w:sz w:val="1"/>
                <w:szCs w:val="1"/>
                <w:color w:val="auto"/>
              </w:rPr>
            </w:pPr>
          </w:p>
        </w:tc>
      </w:tr>
      <w:tr>
        <w:trPr>
          <w:trHeight w:val="196"/>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rPr>
              <w:t>Leadership</w:t>
            </w:r>
          </w:p>
        </w:tc>
        <w:tc>
          <w:tcPr>
            <w:tcW w:w="1380" w:type="dxa"/>
            <w:vAlign w:val="bottom"/>
            <w:gridSpan w:val="2"/>
          </w:tcPr>
          <w:p>
            <w:pPr>
              <w:jc w:val="center"/>
              <w:ind w:right="468"/>
              <w:spacing w:after="0"/>
              <w:rPr>
                <w:sz w:val="20"/>
                <w:szCs w:val="20"/>
                <w:color w:val="auto"/>
              </w:rPr>
            </w:pPr>
            <w:r>
              <w:rPr>
                <w:rFonts w:ascii="Arial" w:cs="Arial" w:eastAsia="Arial" w:hAnsi="Arial"/>
                <w:sz w:val="14"/>
                <w:szCs w:val="14"/>
                <w:b w:val="1"/>
                <w:bCs w:val="1"/>
                <w:color w:val="auto"/>
              </w:rPr>
              <w:t>Accounting</w:t>
            </w:r>
          </w:p>
        </w:tc>
        <w:tc>
          <w:tcPr>
            <w:tcW w:w="1320" w:type="dxa"/>
            <w:vAlign w:val="bottom"/>
          </w:tcPr>
          <w:p>
            <w:pPr>
              <w:jc w:val="center"/>
              <w:ind w:right="328"/>
              <w:spacing w:after="0"/>
              <w:rPr>
                <w:sz w:val="20"/>
                <w:szCs w:val="20"/>
                <w:color w:val="auto"/>
              </w:rPr>
            </w:pPr>
            <w:r>
              <w:rPr>
                <w:rFonts w:ascii="Arial" w:cs="Arial" w:eastAsia="Arial" w:hAnsi="Arial"/>
                <w:sz w:val="14"/>
                <w:szCs w:val="14"/>
                <w:b w:val="1"/>
                <w:bCs w:val="1"/>
                <w:color w:val="auto"/>
              </w:rPr>
              <w:t>Business</w:t>
            </w:r>
          </w:p>
        </w:tc>
        <w:tc>
          <w:tcPr>
            <w:tcW w:w="260" w:type="dxa"/>
            <w:vAlign w:val="bottom"/>
          </w:tcPr>
          <w:p>
            <w:pPr>
              <w:spacing w:after="0"/>
              <w:rPr>
                <w:sz w:val="17"/>
                <w:szCs w:val="17"/>
                <w:color w:val="auto"/>
              </w:rPr>
            </w:pPr>
          </w:p>
        </w:tc>
        <w:tc>
          <w:tcPr>
            <w:tcW w:w="1220" w:type="dxa"/>
            <w:vAlign w:val="bottom"/>
          </w:tcPr>
          <w:p>
            <w:pPr>
              <w:jc w:val="center"/>
              <w:ind w:right="568"/>
              <w:spacing w:after="0"/>
              <w:rPr>
                <w:sz w:val="20"/>
                <w:szCs w:val="20"/>
                <w:color w:val="auto"/>
              </w:rPr>
            </w:pPr>
            <w:r>
              <w:rPr>
                <w:rFonts w:ascii="Arial" w:cs="Arial" w:eastAsia="Arial" w:hAnsi="Arial"/>
                <w:sz w:val="14"/>
                <w:szCs w:val="14"/>
                <w:b w:val="1"/>
                <w:bCs w:val="1"/>
                <w:color w:val="auto"/>
              </w:rPr>
              <w:t>Industry</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w w:val="99"/>
              </w:rPr>
              <w:t>Academia</w:t>
            </w:r>
          </w:p>
        </w:tc>
        <w:tc>
          <w:tcPr>
            <w:tcW w:w="0" w:type="dxa"/>
            <w:vAlign w:val="bottom"/>
          </w:tcPr>
          <w:p>
            <w:pPr>
              <w:spacing w:after="0"/>
              <w:rPr>
                <w:sz w:val="1"/>
                <w:szCs w:val="1"/>
                <w:color w:val="auto"/>
              </w:rPr>
            </w:pPr>
          </w:p>
        </w:tc>
      </w:tr>
      <w:tr>
        <w:trPr>
          <w:trHeight w:val="434"/>
        </w:trPr>
        <w:tc>
          <w:tcPr>
            <w:tcW w:w="1340" w:type="dxa"/>
            <w:vAlign w:val="bottom"/>
          </w:tcPr>
          <w:p>
            <w:pPr>
              <w:ind w:left="480"/>
              <w:spacing w:after="0"/>
              <w:rPr>
                <w:sz w:val="20"/>
                <w:szCs w:val="20"/>
                <w:color w:val="auto"/>
              </w:rPr>
            </w:pPr>
            <w:r>
              <w:rPr>
                <w:rFonts w:ascii="Arial" w:cs="Arial" w:eastAsia="Arial" w:hAnsi="Arial"/>
                <w:sz w:val="14"/>
                <w:szCs w:val="14"/>
                <w:b w:val="1"/>
                <w:bCs w:val="1"/>
                <w:color w:val="auto"/>
              </w:rPr>
              <w:t>Government</w:t>
            </w:r>
          </w:p>
        </w:tc>
        <w:tc>
          <w:tcPr>
            <w:tcW w:w="80" w:type="dxa"/>
            <w:vAlign w:val="bottom"/>
          </w:tcPr>
          <w:p>
            <w:pPr>
              <w:spacing w:after="0"/>
              <w:rPr>
                <w:sz w:val="24"/>
                <w:szCs w:val="24"/>
                <w:color w:val="auto"/>
              </w:rPr>
            </w:pPr>
          </w:p>
        </w:tc>
        <w:tc>
          <w:tcPr>
            <w:tcW w:w="13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Sales /</w:t>
            </w:r>
          </w:p>
        </w:tc>
        <w:tc>
          <w:tcPr>
            <w:tcW w:w="15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w w:val="99"/>
              </w:rPr>
              <w:t>Technology /</w:t>
            </w:r>
          </w:p>
        </w:tc>
        <w:tc>
          <w:tcPr>
            <w:tcW w:w="192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Operations /</w:t>
            </w:r>
          </w:p>
        </w:tc>
        <w:tc>
          <w:tcPr>
            <w:tcW w:w="0" w:type="dxa"/>
            <w:vAlign w:val="bottom"/>
          </w:tcPr>
          <w:p>
            <w:pPr>
              <w:spacing w:after="0"/>
              <w:rPr>
                <w:sz w:val="1"/>
                <w:szCs w:val="1"/>
                <w:color w:val="auto"/>
              </w:rPr>
            </w:pPr>
          </w:p>
        </w:tc>
      </w:tr>
      <w:tr>
        <w:trPr>
          <w:trHeight w:val="135"/>
        </w:trPr>
        <w:tc>
          <w:tcPr>
            <w:tcW w:w="1340" w:type="dxa"/>
            <w:vAlign w:val="bottom"/>
          </w:tcPr>
          <w:p>
            <w:pPr>
              <w:ind w:left="480"/>
              <w:spacing w:after="0" w:line="135" w:lineRule="exact"/>
              <w:rPr>
                <w:sz w:val="20"/>
                <w:szCs w:val="20"/>
                <w:color w:val="auto"/>
              </w:rPr>
            </w:pPr>
            <w:r>
              <w:rPr>
                <w:rFonts w:ascii="Arial" w:cs="Arial" w:eastAsia="Arial" w:hAnsi="Arial"/>
                <w:sz w:val="14"/>
                <w:szCs w:val="14"/>
                <w:b w:val="1"/>
                <w:bCs w:val="1"/>
                <w:color w:val="auto"/>
              </w:rPr>
              <w:t>Relations /</w:t>
            </w:r>
          </w:p>
        </w:tc>
        <w:tc>
          <w:tcPr>
            <w:tcW w:w="8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1420" w:type="dxa"/>
            <w:vAlign w:val="bottom"/>
            <w:gridSpan w:val="2"/>
          </w:tcPr>
          <w:p>
            <w:pPr>
              <w:ind w:left="480"/>
              <w:spacing w:after="0"/>
              <w:rPr>
                <w:sz w:val="20"/>
                <w:szCs w:val="20"/>
                <w:color w:val="auto"/>
              </w:rPr>
            </w:pPr>
            <w:r>
              <w:rPr>
                <w:rFonts w:ascii="Arial" w:cs="Arial" w:eastAsia="Arial" w:hAnsi="Arial"/>
                <w:sz w:val="14"/>
                <w:szCs w:val="14"/>
                <w:b w:val="1"/>
                <w:bCs w:val="1"/>
                <w:color w:val="auto"/>
              </w:rPr>
              <w:t>Public Policy</w:t>
            </w:r>
          </w:p>
        </w:tc>
        <w:tc>
          <w:tcPr>
            <w:tcW w:w="1300" w:type="dxa"/>
            <w:vAlign w:val="bottom"/>
          </w:tcPr>
          <w:p>
            <w:pPr>
              <w:ind w:left="600"/>
              <w:spacing w:after="0"/>
              <w:rPr>
                <w:sz w:val="20"/>
                <w:szCs w:val="20"/>
                <w:color w:val="auto"/>
              </w:rPr>
            </w:pPr>
            <w:r>
              <w:rPr>
                <w:rFonts w:ascii="Arial" w:cs="Arial" w:eastAsia="Arial" w:hAnsi="Arial"/>
                <w:sz w:val="14"/>
                <w:szCs w:val="14"/>
                <w:b w:val="1"/>
                <w:bCs w:val="1"/>
                <w:color w:val="auto"/>
              </w:rPr>
              <w:t>Marketing</w:t>
            </w:r>
          </w:p>
        </w:tc>
        <w:tc>
          <w:tcPr>
            <w:tcW w:w="1320" w:type="dxa"/>
            <w:vAlign w:val="bottom"/>
          </w:tcPr>
          <w:p>
            <w:pPr>
              <w:ind w:left="700"/>
              <w:spacing w:after="0"/>
              <w:rPr>
                <w:sz w:val="20"/>
                <w:szCs w:val="20"/>
                <w:color w:val="auto"/>
              </w:rPr>
            </w:pPr>
            <w:r>
              <w:rPr>
                <w:rFonts w:ascii="Arial" w:cs="Arial" w:eastAsia="Arial" w:hAnsi="Arial"/>
                <w:sz w:val="14"/>
                <w:szCs w:val="14"/>
                <w:b w:val="1"/>
                <w:bCs w:val="1"/>
                <w:color w:val="auto"/>
              </w:rPr>
              <w:t>Digital</w:t>
            </w:r>
          </w:p>
        </w:tc>
        <w:tc>
          <w:tcPr>
            <w:tcW w:w="260" w:type="dxa"/>
            <w:vAlign w:val="bottom"/>
          </w:tcPr>
          <w:p>
            <w:pPr>
              <w:spacing w:after="0"/>
              <w:rPr>
                <w:sz w:val="17"/>
                <w:szCs w:val="17"/>
                <w:color w:val="auto"/>
              </w:rPr>
            </w:pP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Strategy</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1029335</wp:posOffset>
            </wp:positionH>
            <wp:positionV relativeFrom="paragraph">
              <wp:posOffset>-255270</wp:posOffset>
            </wp:positionV>
            <wp:extent cx="214630" cy="2146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-255270</wp:posOffset>
            </wp:positionV>
            <wp:extent cx="214630" cy="2146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-255270</wp:posOffset>
            </wp:positionV>
            <wp:extent cx="214630" cy="2146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-255270</wp:posOffset>
            </wp:positionV>
            <wp:extent cx="214630" cy="2146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ectPr>
          <w:pgSz w:w="11900" w:h="16838" w:orient="portrait"/>
          <w:cols w:equalWidth="0" w:num="1">
            <w:col w:w="10119"/>
          </w:cols>
          <w:pgMar w:left="340" w:top="1174" w:right="1440"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154940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174" w:right="1440"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25"/>
          <w:szCs w:val="25"/>
          <w:b w:val="1"/>
          <w:bCs w:val="1"/>
          <w:color w:val="00A1DE"/>
        </w:rPr>
        <w:t>Director Nominations</w:t>
      </w:r>
    </w:p>
    <w:p>
      <w:pPr>
        <w:spacing w:after="0" w:line="31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Each year, the board proposes a slate of director nominees for election by shareholders at the Annual Meeting. The board has delegated the process of screening potential director candidates to the Directors and Corporate Governance Committee, which receives input from other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34290</wp:posOffset>
            </wp:positionV>
            <wp:extent cx="59690" cy="1714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34290</wp:posOffset>
            </wp:positionV>
            <wp:extent cx="85725" cy="16319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5725" cy="16319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2440" w:type="dxa"/>
            <w:vAlign w:val="bottom"/>
            <w:shd w:val="clear" w:color="auto" w:fill="D52B1E"/>
          </w:tcPr>
          <w:p>
            <w:pPr>
              <w:ind w:left="20"/>
              <w:spacing w:after="0"/>
              <w:rPr>
                <w:sz w:val="20"/>
                <w:szCs w:val="20"/>
                <w:color w:val="auto"/>
              </w:rPr>
            </w:pPr>
            <w:r>
              <w:rPr>
                <w:rFonts w:ascii="Arial" w:cs="Arial" w:eastAsia="Arial" w:hAnsi="Arial"/>
                <w:sz w:val="18"/>
                <w:szCs w:val="18"/>
                <w:color w:val="FFFFFF"/>
              </w:rPr>
              <w:t>Incumbent Directors</w:t>
            </w:r>
          </w:p>
        </w:tc>
        <w:tc>
          <w:tcPr>
            <w:tcW w:w="320" w:type="dxa"/>
            <w:vAlign w:val="bottom"/>
          </w:tcPr>
          <w:p>
            <w:pPr>
              <w:spacing w:after="0"/>
              <w:rPr>
                <w:sz w:val="24"/>
                <w:szCs w:val="24"/>
                <w:color w:val="auto"/>
              </w:rPr>
            </w:pPr>
          </w:p>
        </w:tc>
        <w:tc>
          <w:tcPr>
            <w:tcW w:w="1480" w:type="dxa"/>
            <w:vAlign w:val="bottom"/>
            <w:shd w:val="clear" w:color="auto" w:fill="D52B1E"/>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shd w:val="clear" w:color="auto" w:fill="6D6D6D"/>
          </w:tcPr>
          <w:p>
            <w:pPr>
              <w:spacing w:after="0"/>
              <w:rPr>
                <w:sz w:val="24"/>
                <w:szCs w:val="24"/>
                <w:color w:val="auto"/>
              </w:rPr>
            </w:pPr>
          </w:p>
        </w:tc>
        <w:tc>
          <w:tcPr>
            <w:tcW w:w="2160" w:type="dxa"/>
            <w:vAlign w:val="bottom"/>
            <w:shd w:val="clear" w:color="auto" w:fill="6D6D6D"/>
          </w:tcPr>
          <w:p>
            <w:pPr>
              <w:ind w:left="280"/>
              <w:spacing w:after="0"/>
              <w:rPr>
                <w:sz w:val="20"/>
                <w:szCs w:val="20"/>
                <w:color w:val="auto"/>
              </w:rPr>
            </w:pPr>
            <w:r>
              <w:rPr>
                <w:rFonts w:ascii="Arial" w:cs="Arial" w:eastAsia="Arial" w:hAnsi="Arial"/>
                <w:sz w:val="18"/>
                <w:szCs w:val="18"/>
                <w:color w:val="FFFFFF"/>
              </w:rPr>
              <w:t>In-Depth Review</w:t>
            </w:r>
          </w:p>
        </w:tc>
        <w:tc>
          <w:tcPr>
            <w:tcW w:w="340" w:type="dxa"/>
            <w:vAlign w:val="bottom"/>
          </w:tcPr>
          <w:p>
            <w:pPr>
              <w:spacing w:after="0"/>
              <w:rPr>
                <w:sz w:val="24"/>
                <w:szCs w:val="24"/>
                <w:color w:val="auto"/>
              </w:rPr>
            </w:pPr>
          </w:p>
        </w:tc>
        <w:tc>
          <w:tcPr>
            <w:tcW w:w="1500" w:type="dxa"/>
            <w:vAlign w:val="bottom"/>
            <w:vMerge w:val="restart"/>
            <w:shd w:val="clear" w:color="auto" w:fill="00A1DE"/>
          </w:tcPr>
          <w:p>
            <w:pPr>
              <w:jc w:val="center"/>
              <w:spacing w:after="0"/>
              <w:rPr>
                <w:sz w:val="20"/>
                <w:szCs w:val="20"/>
                <w:color w:val="auto"/>
              </w:rPr>
            </w:pPr>
            <w:r>
              <w:rPr>
                <w:rFonts w:ascii="Arial" w:cs="Arial" w:eastAsia="Arial" w:hAnsi="Arial"/>
                <w:sz w:val="18"/>
                <w:szCs w:val="18"/>
                <w:color w:val="FFFFFF"/>
                <w:w w:val="99"/>
              </w:rPr>
              <w:t>Recommend</w:t>
            </w:r>
          </w:p>
        </w:tc>
        <w:tc>
          <w:tcPr>
            <w:tcW w:w="0" w:type="dxa"/>
            <w:vAlign w:val="bottom"/>
          </w:tcPr>
          <w:p>
            <w:pPr>
              <w:spacing w:after="0"/>
              <w:rPr>
                <w:sz w:val="1"/>
                <w:szCs w:val="1"/>
                <w:color w:val="auto"/>
              </w:rPr>
            </w:pPr>
          </w:p>
        </w:tc>
      </w:tr>
      <w:tr>
        <w:trPr>
          <w:trHeight w:val="63"/>
        </w:trPr>
        <w:tc>
          <w:tcPr>
            <w:tcW w:w="2440" w:type="dxa"/>
            <w:vAlign w:val="bottom"/>
            <w:shd w:val="clear" w:color="auto" w:fill="D52B1E"/>
          </w:tcPr>
          <w:p>
            <w:pPr>
              <w:spacing w:after="0"/>
              <w:rPr>
                <w:sz w:val="5"/>
                <w:szCs w:val="5"/>
                <w:color w:val="auto"/>
              </w:rPr>
            </w:pPr>
          </w:p>
        </w:tc>
        <w:tc>
          <w:tcPr>
            <w:tcW w:w="320" w:type="dxa"/>
            <w:vAlign w:val="bottom"/>
          </w:tcPr>
          <w:p>
            <w:pPr>
              <w:spacing w:after="0"/>
              <w:rPr>
                <w:sz w:val="5"/>
                <w:szCs w:val="5"/>
                <w:color w:val="auto"/>
              </w:rPr>
            </w:pPr>
          </w:p>
        </w:tc>
        <w:tc>
          <w:tcPr>
            <w:tcW w:w="1480" w:type="dxa"/>
            <w:vAlign w:val="bottom"/>
            <w:shd w:val="clear" w:color="auto" w:fill="D52B1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shd w:val="clear" w:color="auto" w:fill="6D6D6D"/>
          </w:tcPr>
          <w:p>
            <w:pPr>
              <w:spacing w:after="0"/>
              <w:rPr>
                <w:sz w:val="5"/>
                <w:szCs w:val="5"/>
                <w:color w:val="auto"/>
              </w:rPr>
            </w:pPr>
          </w:p>
        </w:tc>
        <w:tc>
          <w:tcPr>
            <w:tcW w:w="2160" w:type="dxa"/>
            <w:vAlign w:val="bottom"/>
            <w:shd w:val="clear" w:color="auto" w:fill="6D6D6D"/>
          </w:tcPr>
          <w:p>
            <w:pPr>
              <w:spacing w:after="0"/>
              <w:rPr>
                <w:sz w:val="5"/>
                <w:szCs w:val="5"/>
                <w:color w:val="auto"/>
              </w:rPr>
            </w:pPr>
          </w:p>
        </w:tc>
        <w:tc>
          <w:tcPr>
            <w:tcW w:w="340" w:type="dxa"/>
            <w:vAlign w:val="bottom"/>
            <w:vMerge w:val="restart"/>
          </w:tcPr>
          <w:p>
            <w:pPr>
              <w:spacing w:after="0"/>
              <w:rPr>
                <w:sz w:val="5"/>
                <w:szCs w:val="5"/>
                <w:color w:val="auto"/>
              </w:rPr>
            </w:pPr>
          </w:p>
        </w:tc>
        <w:tc>
          <w:tcPr>
            <w:tcW w:w="1500" w:type="dxa"/>
            <w:vAlign w:val="bottom"/>
            <w:vMerge w:val="continue"/>
            <w:shd w:val="clear" w:color="auto" w:fill="00A1D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80" w:type="dxa"/>
            <w:vAlign w:val="bottom"/>
            <w:shd w:val="clear" w:color="auto" w:fill="D52B1E"/>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16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1500" w:type="dxa"/>
            <w:vAlign w:val="bottom"/>
            <w:vMerge w:val="continue"/>
            <w:shd w:val="clear" w:color="auto" w:fill="00A1DE"/>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80" w:type="dxa"/>
            <w:vAlign w:val="bottom"/>
            <w:vMerge w:val="restart"/>
            <w:shd w:val="clear" w:color="auto" w:fill="D52B1E"/>
          </w:tcPr>
          <w:p>
            <w:pPr>
              <w:ind w:left="340"/>
              <w:spacing w:after="0" w:line="195" w:lineRule="exact"/>
              <w:rPr>
                <w:sz w:val="20"/>
                <w:szCs w:val="20"/>
                <w:color w:val="auto"/>
              </w:rPr>
            </w:pPr>
            <w:r>
              <w:rPr>
                <w:rFonts w:ascii="Arial" w:cs="Arial" w:eastAsia="Arial" w:hAnsi="Arial"/>
                <w:sz w:val="18"/>
                <w:szCs w:val="18"/>
                <w:color w:val="FFFFFF"/>
              </w:rPr>
              <w:t>Candidate</w:t>
            </w: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500" w:type="dxa"/>
            <w:vAlign w:val="bottom"/>
            <w:vMerge w:val="restart"/>
            <w:shd w:val="clear" w:color="auto" w:fill="00A1DE"/>
          </w:tcPr>
          <w:p>
            <w:pPr>
              <w:jc w:val="center"/>
              <w:spacing w:after="0" w:line="195" w:lineRule="exact"/>
              <w:rPr>
                <w:sz w:val="20"/>
                <w:szCs w:val="20"/>
                <w:color w:val="auto"/>
              </w:rPr>
            </w:pPr>
            <w:r>
              <w:rPr>
                <w:rFonts w:ascii="Arial" w:cs="Arial" w:eastAsia="Arial" w:hAnsi="Arial"/>
                <w:sz w:val="18"/>
                <w:szCs w:val="18"/>
                <w:color w:val="FFFFFF"/>
                <w:w w:val="99"/>
              </w:rPr>
              <w:t>Selected</w:t>
            </w:r>
          </w:p>
        </w:tc>
        <w:tc>
          <w:tcPr>
            <w:tcW w:w="0" w:type="dxa"/>
            <w:vAlign w:val="bottom"/>
          </w:tcPr>
          <w:p>
            <w:pPr>
              <w:spacing w:after="0"/>
              <w:rPr>
                <w:sz w:val="1"/>
                <w:szCs w:val="1"/>
                <w:color w:val="auto"/>
              </w:rPr>
            </w:pPr>
          </w:p>
        </w:tc>
      </w:tr>
      <w:tr>
        <w:trPr>
          <w:trHeight w:val="148"/>
        </w:trPr>
        <w:tc>
          <w:tcPr>
            <w:tcW w:w="2440" w:type="dxa"/>
            <w:vAlign w:val="bottom"/>
            <w:vMerge w:val="restart"/>
            <w:shd w:val="clear" w:color="auto" w:fill="D52B1E"/>
          </w:tcPr>
          <w:p>
            <w:pPr>
              <w:ind w:left="20"/>
              <w:spacing w:after="0"/>
              <w:rPr>
                <w:sz w:val="20"/>
                <w:szCs w:val="20"/>
                <w:color w:val="auto"/>
              </w:rPr>
            </w:pPr>
            <w:r>
              <w:rPr>
                <w:rFonts w:ascii="Arial" w:cs="Arial" w:eastAsia="Arial" w:hAnsi="Arial"/>
                <w:sz w:val="18"/>
                <w:szCs w:val="18"/>
                <w:color w:val="FFFFFF"/>
              </w:rPr>
              <w:t>Shareholders</w:t>
            </w:r>
          </w:p>
        </w:tc>
        <w:tc>
          <w:tcPr>
            <w:tcW w:w="320" w:type="dxa"/>
            <w:vAlign w:val="bottom"/>
          </w:tcPr>
          <w:p>
            <w:pPr>
              <w:spacing w:after="0"/>
              <w:rPr>
                <w:sz w:val="12"/>
                <w:szCs w:val="12"/>
                <w:color w:val="auto"/>
              </w:rPr>
            </w:pPr>
          </w:p>
        </w:tc>
        <w:tc>
          <w:tcPr>
            <w:tcW w:w="1480" w:type="dxa"/>
            <w:vAlign w:val="bottom"/>
            <w:vMerge w:val="continue"/>
            <w:shd w:val="clear" w:color="auto" w:fill="D52B1E"/>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vMerge w:val="continue"/>
            <w:shd w:val="clear" w:color="auto" w:fill="00A1D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440" w:type="dxa"/>
            <w:vAlign w:val="bottom"/>
            <w:vMerge w:val="continue"/>
            <w:shd w:val="clear" w:color="auto" w:fill="D52B1E"/>
          </w:tcPr>
          <w:p>
            <w:pPr>
              <w:spacing w:after="0"/>
              <w:rPr>
                <w:sz w:val="4"/>
                <w:szCs w:val="4"/>
                <w:color w:val="auto"/>
              </w:rPr>
            </w:pPr>
          </w:p>
        </w:tc>
        <w:tc>
          <w:tcPr>
            <w:tcW w:w="320" w:type="dxa"/>
            <w:vAlign w:val="bottom"/>
          </w:tcPr>
          <w:p>
            <w:pPr>
              <w:spacing w:after="0"/>
              <w:rPr>
                <w:sz w:val="4"/>
                <w:szCs w:val="4"/>
                <w:color w:val="auto"/>
              </w:rPr>
            </w:pPr>
          </w:p>
        </w:tc>
        <w:tc>
          <w:tcPr>
            <w:tcW w:w="1480" w:type="dxa"/>
            <w:vAlign w:val="bottom"/>
            <w:vMerge w:val="restart"/>
            <w:shd w:val="clear" w:color="auto" w:fill="D52B1E"/>
          </w:tcPr>
          <w:p>
            <w:pPr>
              <w:ind w:left="580"/>
              <w:spacing w:after="0"/>
              <w:rPr>
                <w:sz w:val="20"/>
                <w:szCs w:val="20"/>
                <w:color w:val="auto"/>
              </w:rPr>
            </w:pPr>
            <w:r>
              <w:rPr>
                <w:rFonts w:ascii="Arial" w:cs="Arial" w:eastAsia="Arial" w:hAnsi="Arial"/>
                <w:sz w:val="18"/>
                <w:szCs w:val="18"/>
                <w:color w:val="FFFFFF"/>
              </w:rPr>
              <w:t>Pool</w:t>
            </w: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00" w:type="dxa"/>
            <w:vAlign w:val="bottom"/>
            <w:vMerge w:val="restart"/>
            <w:shd w:val="clear" w:color="auto" w:fill="00A1DE"/>
          </w:tcPr>
          <w:p>
            <w:pPr>
              <w:jc w:val="center"/>
              <w:spacing w:after="0"/>
              <w:rPr>
                <w:sz w:val="20"/>
                <w:szCs w:val="20"/>
                <w:color w:val="auto"/>
              </w:rPr>
            </w:pPr>
            <w:r>
              <w:rPr>
                <w:rFonts w:ascii="Arial" w:cs="Arial" w:eastAsia="Arial" w:hAnsi="Arial"/>
                <w:sz w:val="18"/>
                <w:szCs w:val="18"/>
                <w:color w:val="FFFFFF"/>
              </w:rPr>
              <w:t>Candidates for</w:t>
            </w:r>
          </w:p>
        </w:tc>
        <w:tc>
          <w:tcPr>
            <w:tcW w:w="0" w:type="dxa"/>
            <w:vAlign w:val="bottom"/>
          </w:tcPr>
          <w:p>
            <w:pPr>
              <w:spacing w:after="0"/>
              <w:rPr>
                <w:sz w:val="1"/>
                <w:szCs w:val="1"/>
                <w:color w:val="auto"/>
              </w:rPr>
            </w:pPr>
          </w:p>
        </w:tc>
      </w:tr>
      <w:tr>
        <w:trPr>
          <w:trHeight w:val="169"/>
        </w:trPr>
        <w:tc>
          <w:tcPr>
            <w:tcW w:w="2440" w:type="dxa"/>
            <w:vAlign w:val="bottom"/>
            <w:tcBorders>
              <w:bottom w:val="single" w:sz="8" w:color="D52B1E"/>
            </w:tcBorders>
            <w:vMerge w:val="continue"/>
            <w:shd w:val="clear" w:color="auto" w:fill="D52B1E"/>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Borders>
              <w:bottom w:val="single" w:sz="8" w:color="D52B1E"/>
            </w:tcBorders>
            <w:vMerge w:val="continue"/>
            <w:shd w:val="clear" w:color="auto" w:fill="D52B1E"/>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Borders>
              <w:bottom w:val="single" w:sz="8" w:color="6D6D6D"/>
            </w:tcBorders>
            <w:shd w:val="clear" w:color="auto" w:fill="6D6D6D"/>
          </w:tcPr>
          <w:p>
            <w:pPr>
              <w:ind w:left="180"/>
              <w:spacing w:after="0" w:line="162" w:lineRule="exact"/>
              <w:rPr>
                <w:sz w:val="20"/>
                <w:szCs w:val="20"/>
                <w:color w:val="auto"/>
              </w:rPr>
            </w:pPr>
            <w:r>
              <w:rPr>
                <w:rFonts w:ascii="Arial" w:cs="Arial" w:eastAsia="Arial" w:hAnsi="Arial"/>
                <w:sz w:val="16"/>
                <w:szCs w:val="16"/>
                <w:color w:val="FFFFFF"/>
              </w:rPr>
              <w:t>•</w:t>
            </w:r>
          </w:p>
        </w:tc>
        <w:tc>
          <w:tcPr>
            <w:tcW w:w="2160" w:type="dxa"/>
            <w:vAlign w:val="bottom"/>
            <w:tcBorders>
              <w:bottom w:val="single" w:sz="8" w:color="6D6D6D"/>
            </w:tcBorders>
            <w:shd w:val="clear" w:color="auto" w:fill="6D6D6D"/>
          </w:tcPr>
          <w:p>
            <w:pPr>
              <w:ind w:left="40"/>
              <w:spacing w:after="0" w:line="162" w:lineRule="exact"/>
              <w:rPr>
                <w:sz w:val="20"/>
                <w:szCs w:val="20"/>
                <w:color w:val="auto"/>
              </w:rPr>
            </w:pPr>
            <w:r>
              <w:rPr>
                <w:rFonts w:ascii="Arial" w:cs="Arial" w:eastAsia="Arial" w:hAnsi="Arial"/>
                <w:sz w:val="16"/>
                <w:szCs w:val="16"/>
                <w:color w:val="FFFFFF"/>
              </w:rPr>
              <w:t>Evaluate qualifications</w:t>
            </w:r>
          </w:p>
        </w:tc>
        <w:tc>
          <w:tcPr>
            <w:tcW w:w="340" w:type="dxa"/>
            <w:vAlign w:val="bottom"/>
          </w:tcPr>
          <w:p>
            <w:pPr>
              <w:spacing w:after="0"/>
              <w:rPr>
                <w:sz w:val="14"/>
                <w:szCs w:val="14"/>
                <w:color w:val="auto"/>
              </w:rPr>
            </w:pPr>
          </w:p>
        </w:tc>
        <w:tc>
          <w:tcPr>
            <w:tcW w:w="1500" w:type="dxa"/>
            <w:vAlign w:val="bottom"/>
            <w:tcBorders>
              <w:bottom w:val="single" w:sz="8" w:color="00A1DE"/>
            </w:tcBorders>
            <w:vMerge w:val="continue"/>
            <w:shd w:val="clear" w:color="auto" w:fill="00A1DE"/>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440" w:type="dxa"/>
            <w:vAlign w:val="bottom"/>
            <w:tcBorders>
              <w:bottom w:val="single" w:sz="8" w:color="D52B1E"/>
            </w:tcBorders>
          </w:tcPr>
          <w:p>
            <w:pPr>
              <w:spacing w:after="0"/>
              <w:rPr>
                <w:sz w:val="10"/>
                <w:szCs w:val="10"/>
                <w:color w:val="auto"/>
              </w:rPr>
            </w:pPr>
          </w:p>
        </w:tc>
        <w:tc>
          <w:tcPr>
            <w:tcW w:w="320" w:type="dxa"/>
            <w:vAlign w:val="bottom"/>
          </w:tcPr>
          <w:p>
            <w:pPr>
              <w:spacing w:after="0"/>
              <w:rPr>
                <w:sz w:val="10"/>
                <w:szCs w:val="10"/>
                <w:color w:val="auto"/>
              </w:rPr>
            </w:pPr>
          </w:p>
        </w:tc>
        <w:tc>
          <w:tcPr>
            <w:tcW w:w="1480" w:type="dxa"/>
            <w:vAlign w:val="bottom"/>
            <w:tcBorders>
              <w:bottom w:val="single" w:sz="8" w:color="D52B1E"/>
            </w:tcBorders>
            <w:shd w:val="clear" w:color="auto" w:fill="D52B1E"/>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Borders>
              <w:bottom w:val="single" w:sz="8" w:color="6D6D6D"/>
            </w:tcBorders>
            <w:shd w:val="clear" w:color="auto" w:fill="6D6D6D"/>
          </w:tcPr>
          <w:p>
            <w:pPr>
              <w:spacing w:after="0"/>
              <w:rPr>
                <w:sz w:val="10"/>
                <w:szCs w:val="10"/>
                <w:color w:val="auto"/>
              </w:rPr>
            </w:pPr>
          </w:p>
        </w:tc>
        <w:tc>
          <w:tcPr>
            <w:tcW w:w="2160" w:type="dxa"/>
            <w:vAlign w:val="bottom"/>
            <w:tcBorders>
              <w:bottom w:val="single" w:sz="8" w:color="6D6D6D"/>
            </w:tcBorders>
            <w:shd w:val="clear" w:color="auto" w:fill="6D6D6D"/>
          </w:tcPr>
          <w:p>
            <w:pPr>
              <w:ind w:left="60"/>
              <w:spacing w:after="0" w:line="115" w:lineRule="exact"/>
              <w:rPr>
                <w:sz w:val="20"/>
                <w:szCs w:val="20"/>
                <w:color w:val="auto"/>
              </w:rPr>
            </w:pPr>
            <w:r>
              <w:rPr>
                <w:rFonts w:ascii="Arial" w:cs="Arial" w:eastAsia="Arial" w:hAnsi="Arial"/>
                <w:sz w:val="13"/>
                <w:szCs w:val="13"/>
                <w:color w:val="FFFFFF"/>
              </w:rPr>
              <w:t>– Diverse backgrounds and</w:t>
            </w:r>
          </w:p>
        </w:tc>
        <w:tc>
          <w:tcPr>
            <w:tcW w:w="340" w:type="dxa"/>
            <w:vAlign w:val="bottom"/>
          </w:tcPr>
          <w:p>
            <w:pPr>
              <w:spacing w:after="0"/>
              <w:rPr>
                <w:sz w:val="10"/>
                <w:szCs w:val="10"/>
                <w:color w:val="auto"/>
              </w:rPr>
            </w:pPr>
          </w:p>
        </w:tc>
        <w:tc>
          <w:tcPr>
            <w:tcW w:w="1500" w:type="dxa"/>
            <w:vAlign w:val="bottom"/>
            <w:tcBorders>
              <w:bottom w:val="single" w:sz="8" w:color="00A1DE"/>
            </w:tcBorders>
            <w:shd w:val="clear" w:color="auto" w:fill="00A1DE"/>
          </w:tcPr>
          <w:p>
            <w:pPr>
              <w:jc w:val="center"/>
              <w:spacing w:after="0" w:line="115" w:lineRule="exact"/>
              <w:rPr>
                <w:sz w:val="20"/>
                <w:szCs w:val="20"/>
                <w:color w:val="auto"/>
              </w:rPr>
            </w:pPr>
            <w:r>
              <w:rPr>
                <w:rFonts w:ascii="Arial" w:cs="Arial" w:eastAsia="Arial" w:hAnsi="Arial"/>
                <w:sz w:val="13"/>
                <w:szCs w:val="13"/>
                <w:color w:val="FFFFFF"/>
              </w:rPr>
              <w:t>Election to the</w:t>
            </w:r>
          </w:p>
        </w:tc>
        <w:tc>
          <w:tcPr>
            <w:tcW w:w="0" w:type="dxa"/>
            <w:vAlign w:val="bottom"/>
          </w:tcPr>
          <w:p>
            <w:pPr>
              <w:spacing w:after="0"/>
              <w:rPr>
                <w:sz w:val="1"/>
                <w:szCs w:val="1"/>
                <w:color w:val="auto"/>
              </w:rPr>
            </w:pPr>
          </w:p>
        </w:tc>
      </w:tr>
      <w:tr>
        <w:trPr>
          <w:trHeight w:val="162"/>
        </w:trPr>
        <w:tc>
          <w:tcPr>
            <w:tcW w:w="2440" w:type="dxa"/>
            <w:vAlign w:val="bottom"/>
            <w:vMerge w:val="restart"/>
            <w:shd w:val="clear" w:color="auto" w:fill="D52B1E"/>
          </w:tcPr>
          <w:p>
            <w:pPr>
              <w:ind w:left="20"/>
              <w:spacing w:after="0"/>
              <w:rPr>
                <w:sz w:val="20"/>
                <w:szCs w:val="20"/>
                <w:color w:val="auto"/>
              </w:rPr>
            </w:pPr>
            <w:r>
              <w:rPr>
                <w:rFonts w:ascii="Arial" w:cs="Arial" w:eastAsia="Arial" w:hAnsi="Arial"/>
                <w:sz w:val="18"/>
                <w:szCs w:val="18"/>
                <w:color w:val="FFFFFF"/>
              </w:rPr>
              <w:t>Executive Search Firms</w:t>
            </w:r>
          </w:p>
        </w:tc>
        <w:tc>
          <w:tcPr>
            <w:tcW w:w="320" w:type="dxa"/>
            <w:vAlign w:val="bottom"/>
          </w:tcPr>
          <w:p>
            <w:pPr>
              <w:spacing w:after="0"/>
              <w:rPr>
                <w:sz w:val="14"/>
                <w:szCs w:val="14"/>
                <w:color w:val="auto"/>
              </w:rPr>
            </w:pPr>
          </w:p>
        </w:tc>
        <w:tc>
          <w:tcPr>
            <w:tcW w:w="1480" w:type="dxa"/>
            <w:vAlign w:val="bottom"/>
            <w:shd w:val="clear" w:color="auto" w:fill="D52B1E"/>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shd w:val="clear" w:color="auto" w:fill="6D6D6D"/>
          </w:tcPr>
          <w:p>
            <w:pPr>
              <w:spacing w:after="0"/>
              <w:rPr>
                <w:sz w:val="14"/>
                <w:szCs w:val="14"/>
                <w:color w:val="auto"/>
              </w:rPr>
            </w:pPr>
          </w:p>
        </w:tc>
        <w:tc>
          <w:tcPr>
            <w:tcW w:w="2160" w:type="dxa"/>
            <w:vAlign w:val="bottom"/>
            <w:shd w:val="clear" w:color="auto" w:fill="6D6D6D"/>
          </w:tcPr>
          <w:p>
            <w:pPr>
              <w:ind w:left="220"/>
              <w:spacing w:after="0" w:line="162" w:lineRule="exact"/>
              <w:rPr>
                <w:sz w:val="20"/>
                <w:szCs w:val="20"/>
                <w:color w:val="auto"/>
              </w:rPr>
            </w:pPr>
            <w:r>
              <w:rPr>
                <w:rFonts w:ascii="Arial" w:cs="Arial" w:eastAsia="Arial" w:hAnsi="Arial"/>
                <w:sz w:val="16"/>
                <w:szCs w:val="16"/>
                <w:color w:val="FFFFFF"/>
              </w:rPr>
              <w:t>experiences</w:t>
            </w:r>
          </w:p>
        </w:tc>
        <w:tc>
          <w:tcPr>
            <w:tcW w:w="340" w:type="dxa"/>
            <w:vAlign w:val="bottom"/>
          </w:tcPr>
          <w:p>
            <w:pPr>
              <w:spacing w:after="0"/>
              <w:rPr>
                <w:sz w:val="14"/>
                <w:szCs w:val="14"/>
                <w:color w:val="auto"/>
              </w:rPr>
            </w:pPr>
          </w:p>
        </w:tc>
        <w:tc>
          <w:tcPr>
            <w:tcW w:w="1500" w:type="dxa"/>
            <w:vAlign w:val="bottom"/>
            <w:shd w:val="clear" w:color="auto" w:fill="00A1DE"/>
          </w:tcPr>
          <w:p>
            <w:pPr>
              <w:jc w:val="center"/>
              <w:spacing w:after="0" w:line="162" w:lineRule="exact"/>
              <w:rPr>
                <w:sz w:val="20"/>
                <w:szCs w:val="20"/>
                <w:color w:val="auto"/>
              </w:rPr>
            </w:pPr>
            <w:r>
              <w:rPr>
                <w:rFonts w:ascii="Arial" w:cs="Arial" w:eastAsia="Arial" w:hAnsi="Arial"/>
                <w:sz w:val="18"/>
                <w:szCs w:val="18"/>
                <w:color w:val="FFFFFF"/>
                <w:w w:val="99"/>
              </w:rPr>
              <w:t>Board</w:t>
            </w:r>
          </w:p>
        </w:tc>
        <w:tc>
          <w:tcPr>
            <w:tcW w:w="0" w:type="dxa"/>
            <w:vAlign w:val="bottom"/>
          </w:tcPr>
          <w:p>
            <w:pPr>
              <w:spacing w:after="0"/>
              <w:rPr>
                <w:sz w:val="1"/>
                <w:szCs w:val="1"/>
                <w:color w:val="auto"/>
              </w:rPr>
            </w:pPr>
          </w:p>
        </w:tc>
      </w:tr>
      <w:tr>
        <w:trPr>
          <w:trHeight w:val="139"/>
        </w:trPr>
        <w:tc>
          <w:tcPr>
            <w:tcW w:w="2440" w:type="dxa"/>
            <w:vAlign w:val="bottom"/>
            <w:vMerge w:val="continue"/>
            <w:shd w:val="clear" w:color="auto" w:fill="D52B1E"/>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shd w:val="clear" w:color="auto" w:fill="D52B1E"/>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shd w:val="clear" w:color="auto" w:fill="6D6D6D"/>
          </w:tcPr>
          <w:p>
            <w:pPr>
              <w:spacing w:after="0"/>
              <w:rPr>
                <w:sz w:val="12"/>
                <w:szCs w:val="12"/>
                <w:color w:val="auto"/>
              </w:rPr>
            </w:pPr>
          </w:p>
        </w:tc>
        <w:tc>
          <w:tcPr>
            <w:tcW w:w="2160" w:type="dxa"/>
            <w:vAlign w:val="bottom"/>
            <w:vMerge w:val="restart"/>
            <w:shd w:val="clear" w:color="auto" w:fill="6D6D6D"/>
          </w:tcPr>
          <w:p>
            <w:pPr>
              <w:ind w:left="60"/>
              <w:spacing w:after="0" w:line="162" w:lineRule="exact"/>
              <w:rPr>
                <w:sz w:val="20"/>
                <w:szCs w:val="20"/>
                <w:color w:val="auto"/>
              </w:rPr>
            </w:pPr>
            <w:r>
              <w:rPr>
                <w:rFonts w:ascii="Arial" w:cs="Arial" w:eastAsia="Arial" w:hAnsi="Arial"/>
                <w:sz w:val="16"/>
                <w:szCs w:val="16"/>
                <w:color w:val="FFFFFF"/>
              </w:rPr>
              <w:t>– Review independence</w:t>
            </w:r>
          </w:p>
        </w:tc>
        <w:tc>
          <w:tcPr>
            <w:tcW w:w="340" w:type="dxa"/>
            <w:vAlign w:val="bottom"/>
          </w:tcPr>
          <w:p>
            <w:pPr>
              <w:spacing w:after="0"/>
              <w:rPr>
                <w:sz w:val="12"/>
                <w:szCs w:val="12"/>
                <w:color w:val="auto"/>
              </w:rPr>
            </w:pPr>
          </w:p>
        </w:tc>
        <w:tc>
          <w:tcPr>
            <w:tcW w:w="1500" w:type="dxa"/>
            <w:vAlign w:val="bottom"/>
            <w:shd w:val="clear" w:color="auto" w:fill="00A1D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440" w:type="dxa"/>
            <w:vAlign w:val="bottom"/>
            <w:shd w:val="clear" w:color="auto" w:fill="D52B1E"/>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shd w:val="clear" w:color="auto" w:fill="D52B1E"/>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6D6D6D"/>
          </w:tcPr>
          <w:p>
            <w:pPr>
              <w:spacing w:after="0"/>
              <w:rPr>
                <w:sz w:val="2"/>
                <w:szCs w:val="2"/>
                <w:color w:val="auto"/>
              </w:rPr>
            </w:pPr>
          </w:p>
        </w:tc>
        <w:tc>
          <w:tcPr>
            <w:tcW w:w="2160" w:type="dxa"/>
            <w:vAlign w:val="bottom"/>
            <w:vMerge w:val="continue"/>
            <w:shd w:val="clear" w:color="auto" w:fill="6D6D6D"/>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shd w:val="clear" w:color="auto" w:fill="00A1D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1"/>
        </w:trPr>
        <w:tc>
          <w:tcPr>
            <w:tcW w:w="2440" w:type="dxa"/>
            <w:vAlign w:val="bottom"/>
            <w:shd w:val="clear" w:color="auto" w:fill="D52B1E"/>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shd w:val="clear" w:color="auto" w:fill="D52B1E"/>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shd w:val="clear" w:color="auto" w:fill="6D6D6D"/>
          </w:tcPr>
          <w:p>
            <w:pPr>
              <w:spacing w:after="0"/>
              <w:rPr>
                <w:sz w:val="7"/>
                <w:szCs w:val="7"/>
                <w:color w:val="auto"/>
              </w:rPr>
            </w:pPr>
          </w:p>
        </w:tc>
        <w:tc>
          <w:tcPr>
            <w:tcW w:w="2160" w:type="dxa"/>
            <w:vAlign w:val="bottom"/>
            <w:vMerge w:val="restart"/>
            <w:shd w:val="clear" w:color="auto" w:fill="6D6D6D"/>
          </w:tcPr>
          <w:p>
            <w:pPr>
              <w:ind w:left="60"/>
              <w:spacing w:after="0" w:line="162" w:lineRule="exact"/>
              <w:rPr>
                <w:sz w:val="20"/>
                <w:szCs w:val="20"/>
                <w:color w:val="auto"/>
              </w:rPr>
            </w:pPr>
            <w:r>
              <w:rPr>
                <w:rFonts w:ascii="Arial" w:cs="Arial" w:eastAsia="Arial" w:hAnsi="Arial"/>
                <w:sz w:val="16"/>
                <w:szCs w:val="16"/>
                <w:color w:val="FFFFFF"/>
              </w:rPr>
              <w:t>– Assess skills</w:t>
            </w:r>
          </w:p>
        </w:tc>
        <w:tc>
          <w:tcPr>
            <w:tcW w:w="340" w:type="dxa"/>
            <w:vAlign w:val="bottom"/>
          </w:tcPr>
          <w:p>
            <w:pPr>
              <w:spacing w:after="0"/>
              <w:rPr>
                <w:sz w:val="7"/>
                <w:szCs w:val="7"/>
                <w:color w:val="auto"/>
              </w:rPr>
            </w:pPr>
          </w:p>
        </w:tc>
        <w:tc>
          <w:tcPr>
            <w:tcW w:w="1500" w:type="dxa"/>
            <w:vAlign w:val="bottom"/>
            <w:shd w:val="clear" w:color="auto" w:fill="00A1D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shd w:val="clear" w:color="auto" w:fill="D52B1E"/>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shd w:val="clear" w:color="auto" w:fill="6D6D6D"/>
          </w:tcPr>
          <w:p>
            <w:pPr>
              <w:spacing w:after="0"/>
              <w:rPr>
                <w:sz w:val="7"/>
                <w:szCs w:val="7"/>
                <w:color w:val="auto"/>
              </w:rPr>
            </w:pPr>
          </w:p>
        </w:tc>
        <w:tc>
          <w:tcPr>
            <w:tcW w:w="2160" w:type="dxa"/>
            <w:vAlign w:val="bottom"/>
            <w:vMerge w:val="continue"/>
            <w:shd w:val="clear" w:color="auto" w:fill="6D6D6D"/>
          </w:tcPr>
          <w:p>
            <w:pPr>
              <w:spacing w:after="0"/>
              <w:rPr>
                <w:sz w:val="7"/>
                <w:szCs w:val="7"/>
                <w:color w:val="auto"/>
              </w:rPr>
            </w:pPr>
          </w:p>
        </w:tc>
        <w:tc>
          <w:tcPr>
            <w:tcW w:w="340" w:type="dxa"/>
            <w:vAlign w:val="bottom"/>
          </w:tcPr>
          <w:p>
            <w:pPr>
              <w:spacing w:after="0"/>
              <w:rPr>
                <w:sz w:val="7"/>
                <w:szCs w:val="7"/>
                <w:color w:val="auto"/>
              </w:rPr>
            </w:pPr>
          </w:p>
        </w:tc>
        <w:tc>
          <w:tcPr>
            <w:tcW w:w="1500" w:type="dxa"/>
            <w:vAlign w:val="bottom"/>
            <w:shd w:val="clear" w:color="auto" w:fill="00A1D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shd w:val="clear" w:color="auto" w:fill="D52B1E"/>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vMerge w:val="restart"/>
            <w:shd w:val="clear" w:color="auto" w:fill="6D6D6D"/>
          </w:tcPr>
          <w:p>
            <w:pPr>
              <w:ind w:left="180"/>
              <w:spacing w:after="0"/>
              <w:rPr>
                <w:sz w:val="20"/>
                <w:szCs w:val="20"/>
                <w:color w:val="auto"/>
              </w:rPr>
            </w:pPr>
            <w:r>
              <w:rPr>
                <w:rFonts w:ascii="Arial" w:cs="Arial" w:eastAsia="Arial" w:hAnsi="Arial"/>
                <w:sz w:val="16"/>
                <w:szCs w:val="16"/>
                <w:color w:val="FFFFFF"/>
              </w:rPr>
              <w:t>•</w:t>
            </w:r>
          </w:p>
        </w:tc>
        <w:tc>
          <w:tcPr>
            <w:tcW w:w="2160" w:type="dxa"/>
            <w:vAlign w:val="bottom"/>
            <w:vMerge w:val="restart"/>
            <w:shd w:val="clear" w:color="auto" w:fill="6D6D6D"/>
          </w:tcPr>
          <w:p>
            <w:pPr>
              <w:ind w:left="40"/>
              <w:spacing w:after="0"/>
              <w:rPr>
                <w:sz w:val="20"/>
                <w:szCs w:val="20"/>
                <w:color w:val="auto"/>
              </w:rPr>
            </w:pPr>
            <w:r>
              <w:rPr>
                <w:rFonts w:ascii="Arial" w:cs="Arial" w:eastAsia="Arial" w:hAnsi="Arial"/>
                <w:sz w:val="16"/>
                <w:szCs w:val="16"/>
                <w:color w:val="FFFFFF"/>
              </w:rPr>
              <w:t>Meet with directors</w:t>
            </w:r>
          </w:p>
        </w:tc>
        <w:tc>
          <w:tcPr>
            <w:tcW w:w="340" w:type="dxa"/>
            <w:vAlign w:val="bottom"/>
          </w:tcPr>
          <w:p>
            <w:pPr>
              <w:spacing w:after="0"/>
              <w:rPr>
                <w:sz w:val="2"/>
                <w:szCs w:val="2"/>
                <w:color w:val="auto"/>
              </w:rPr>
            </w:pPr>
          </w:p>
        </w:tc>
        <w:tc>
          <w:tcPr>
            <w:tcW w:w="1500" w:type="dxa"/>
            <w:vAlign w:val="bottom"/>
            <w:shd w:val="clear" w:color="auto" w:fill="00A1D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440" w:type="dxa"/>
            <w:vAlign w:val="bottom"/>
            <w:vMerge w:val="restart"/>
            <w:shd w:val="clear" w:color="auto" w:fill="D52B1E"/>
          </w:tcPr>
          <w:p>
            <w:pPr>
              <w:ind w:left="20"/>
              <w:spacing w:after="0"/>
              <w:rPr>
                <w:sz w:val="20"/>
                <w:szCs w:val="20"/>
                <w:color w:val="auto"/>
              </w:rPr>
            </w:pPr>
            <w:r>
              <w:rPr>
                <w:rFonts w:ascii="Arial" w:cs="Arial" w:eastAsia="Arial" w:hAnsi="Arial"/>
                <w:sz w:val="18"/>
                <w:szCs w:val="18"/>
                <w:color w:val="FFFFFF"/>
              </w:rPr>
              <w:t>Management</w:t>
            </w:r>
          </w:p>
        </w:tc>
        <w:tc>
          <w:tcPr>
            <w:tcW w:w="320" w:type="dxa"/>
            <w:vAlign w:val="bottom"/>
          </w:tcPr>
          <w:p>
            <w:pPr>
              <w:spacing w:after="0"/>
              <w:rPr>
                <w:sz w:val="16"/>
                <w:szCs w:val="16"/>
                <w:color w:val="auto"/>
              </w:rPr>
            </w:pPr>
          </w:p>
        </w:tc>
        <w:tc>
          <w:tcPr>
            <w:tcW w:w="1480" w:type="dxa"/>
            <w:vAlign w:val="bottom"/>
            <w:shd w:val="clear" w:color="auto" w:fill="D52B1E"/>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vMerge w:val="continue"/>
            <w:shd w:val="clear" w:color="auto" w:fill="6D6D6D"/>
          </w:tcPr>
          <w:p>
            <w:pPr>
              <w:spacing w:after="0"/>
              <w:rPr>
                <w:sz w:val="16"/>
                <w:szCs w:val="16"/>
                <w:color w:val="auto"/>
              </w:rPr>
            </w:pPr>
          </w:p>
        </w:tc>
        <w:tc>
          <w:tcPr>
            <w:tcW w:w="2160" w:type="dxa"/>
            <w:vAlign w:val="bottom"/>
            <w:vMerge w:val="continue"/>
            <w:shd w:val="clear" w:color="auto" w:fill="6D6D6D"/>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shd w:val="clear" w:color="auto" w:fill="00A1D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440" w:type="dxa"/>
            <w:vAlign w:val="bottom"/>
            <w:vMerge w:val="continue"/>
            <w:shd w:val="clear" w:color="auto" w:fill="D52B1E"/>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shd w:val="clear" w:color="auto" w:fill="D52B1E"/>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shd w:val="clear" w:color="auto" w:fill="6D6D6D"/>
          </w:tcPr>
          <w:p>
            <w:pPr>
              <w:spacing w:after="0"/>
              <w:rPr>
                <w:sz w:val="12"/>
                <w:szCs w:val="12"/>
                <w:color w:val="auto"/>
              </w:rPr>
            </w:pPr>
          </w:p>
        </w:tc>
        <w:tc>
          <w:tcPr>
            <w:tcW w:w="2160" w:type="dxa"/>
            <w:vAlign w:val="bottom"/>
            <w:shd w:val="clear" w:color="auto" w:fill="6D6D6D"/>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shd w:val="clear" w:color="auto" w:fill="00A1D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440" w:type="dxa"/>
            <w:vAlign w:val="bottom"/>
            <w:shd w:val="clear" w:color="auto" w:fill="D52B1E"/>
          </w:tcPr>
          <w:p>
            <w:pPr>
              <w:spacing w:after="0"/>
              <w:rPr>
                <w:sz w:val="9"/>
                <w:szCs w:val="9"/>
                <w:color w:val="auto"/>
              </w:rPr>
            </w:pPr>
          </w:p>
        </w:tc>
        <w:tc>
          <w:tcPr>
            <w:tcW w:w="320" w:type="dxa"/>
            <w:vAlign w:val="bottom"/>
          </w:tcPr>
          <w:p>
            <w:pPr>
              <w:spacing w:after="0"/>
              <w:rPr>
                <w:sz w:val="9"/>
                <w:szCs w:val="9"/>
                <w:color w:val="auto"/>
              </w:rPr>
            </w:pPr>
          </w:p>
        </w:tc>
        <w:tc>
          <w:tcPr>
            <w:tcW w:w="1480" w:type="dxa"/>
            <w:vAlign w:val="bottom"/>
            <w:shd w:val="clear" w:color="auto" w:fill="D52B1E"/>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shd w:val="clear" w:color="auto" w:fill="6D6D6D"/>
          </w:tcPr>
          <w:p>
            <w:pPr>
              <w:spacing w:after="0"/>
              <w:rPr>
                <w:sz w:val="9"/>
                <w:szCs w:val="9"/>
                <w:color w:val="auto"/>
              </w:rPr>
            </w:pPr>
          </w:p>
        </w:tc>
        <w:tc>
          <w:tcPr>
            <w:tcW w:w="2160" w:type="dxa"/>
            <w:vAlign w:val="bottom"/>
            <w:shd w:val="clear" w:color="auto" w:fill="6D6D6D"/>
          </w:tcPr>
          <w:p>
            <w:pPr>
              <w:spacing w:after="0"/>
              <w:rPr>
                <w:sz w:val="9"/>
                <w:szCs w:val="9"/>
                <w:color w:val="auto"/>
              </w:rPr>
            </w:pPr>
          </w:p>
        </w:tc>
        <w:tc>
          <w:tcPr>
            <w:tcW w:w="340" w:type="dxa"/>
            <w:vAlign w:val="bottom"/>
          </w:tcPr>
          <w:p>
            <w:pPr>
              <w:spacing w:after="0"/>
              <w:rPr>
                <w:sz w:val="9"/>
                <w:szCs w:val="9"/>
                <w:color w:val="auto"/>
              </w:rPr>
            </w:pPr>
          </w:p>
        </w:tc>
        <w:tc>
          <w:tcPr>
            <w:tcW w:w="1500" w:type="dxa"/>
            <w:vAlign w:val="bottom"/>
            <w:shd w:val="clear" w:color="auto" w:fill="00A1D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-633730</wp:posOffset>
            </wp:positionV>
            <wp:extent cx="565785" cy="5657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65785" cy="56578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-728345</wp:posOffset>
            </wp:positionV>
            <wp:extent cx="85725" cy="16319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-711200</wp:posOffset>
            </wp:positionV>
            <wp:extent cx="85725" cy="1371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-488315</wp:posOffset>
            </wp:positionV>
            <wp:extent cx="659765" cy="2743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59765" cy="27432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-976630</wp:posOffset>
            </wp:positionV>
            <wp:extent cx="137160" cy="8572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37160" cy="85725"/>
                    </a:xfrm>
                    <a:prstGeom prst="rect">
                      <a:avLst/>
                    </a:prstGeom>
                    <a:noFill/>
                  </pic:spPr>
                </pic:pic>
              </a:graphicData>
            </a:graphic>
          </wp:anchor>
        </w:drawing>
        <w:drawing>
          <wp:anchor simplePos="0" relativeHeight="251657728" behindDoc="1" locked="0" layoutInCell="0" allowOverlap="1">
            <wp:simplePos x="0" y="0"/>
            <wp:positionH relativeFrom="column">
              <wp:posOffset>1419225</wp:posOffset>
            </wp:positionH>
            <wp:positionV relativeFrom="paragraph">
              <wp:posOffset>-925195</wp:posOffset>
            </wp:positionV>
            <wp:extent cx="59690" cy="1714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-925195</wp:posOffset>
            </wp:positionV>
            <wp:extent cx="85725" cy="16319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1419225</wp:posOffset>
            </wp:positionH>
            <wp:positionV relativeFrom="paragraph">
              <wp:posOffset>-599440</wp:posOffset>
            </wp:positionV>
            <wp:extent cx="59690" cy="1714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-591185</wp:posOffset>
            </wp:positionV>
            <wp:extent cx="85725" cy="1631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1419225</wp:posOffset>
            </wp:positionH>
            <wp:positionV relativeFrom="paragraph">
              <wp:posOffset>-256540</wp:posOffset>
            </wp:positionV>
            <wp:extent cx="59690" cy="1714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-248285</wp:posOffset>
            </wp:positionV>
            <wp:extent cx="85725" cy="1631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5725" cy="163195"/>
                    </a:xfrm>
                    <a:prstGeom prst="rect">
                      <a:avLst/>
                    </a:prstGeom>
                    <a:noFill/>
                  </pic:spPr>
                </pic:pic>
              </a:graphicData>
            </a:graphic>
          </wp:anchor>
        </w:drawing>
      </w:r>
    </w:p>
    <w:p>
      <w:pPr>
        <w:spacing w:after="0" w:line="218"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color w:val="auto"/>
        </w:rPr>
        <w:t xml:space="preserve">Candidate Identification: </w:t>
      </w:r>
      <w:r>
        <w:rPr>
          <w:rFonts w:ascii="Arial" w:cs="Arial" w:eastAsia="Arial" w:hAnsi="Arial"/>
          <w:sz w:val="18"/>
          <w:szCs w:val="18"/>
          <w:color w:val="auto"/>
        </w:rPr>
        <w:t>Director candidates can be identified from several sources, including executive search firms retained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incumbent directors, management, and shareholders.</w:t>
      </w:r>
    </w:p>
    <w:p>
      <w:pPr>
        <w:spacing w:after="0" w:line="45"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 Directors and Corporate Governance Committee employs the same process to evaluate all candidates, including those submitted by shareholders, in accordance with our bylaws and corporate governance guidelines.</w:t>
      </w:r>
    </w:p>
    <w:p>
      <w:pPr>
        <w:spacing w:after="0" w:line="45" w:lineRule="exact"/>
        <w:rPr>
          <w:sz w:val="20"/>
          <w:szCs w:val="20"/>
          <w:color w:val="auto"/>
        </w:rPr>
      </w:pPr>
    </w:p>
    <w:p>
      <w:pPr>
        <w:ind w:left="660" w:hanging="328"/>
        <w:spacing w:after="0" w:line="262" w:lineRule="auto"/>
        <w:tabs>
          <w:tab w:leader="none" w:pos="648"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Evaluate director qualifications</w:t>
      </w:r>
      <w:r>
        <w:rPr>
          <w:rFonts w:ascii="Arial" w:cs="Arial" w:eastAsia="Arial" w:hAnsi="Arial"/>
          <w:sz w:val="18"/>
          <w:szCs w:val="18"/>
          <w:color w:val="auto"/>
        </w:rPr>
        <w:t>. The committee initially evaluates a candidate based on publicly available information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information supplied by the party recommending the candidate. If the candidate appears to satisfy the selection criteria and the committee’s initial evaluation is favorable, the committee, assisted by management or a search firm, gathers additional data on the candidate’s qualifications, availability, probable level of interest, and any potential conflicts of interest.</w:t>
      </w:r>
    </w:p>
    <w:p>
      <w:pPr>
        <w:spacing w:after="0" w:line="122" w:lineRule="exact"/>
        <w:rPr>
          <w:rFonts w:ascii="Arial" w:cs="Arial" w:eastAsia="Arial" w:hAnsi="Arial"/>
          <w:sz w:val="18"/>
          <w:szCs w:val="18"/>
          <w:color w:val="auto"/>
        </w:rPr>
      </w:pPr>
    </w:p>
    <w:p>
      <w:pPr>
        <w:ind w:left="660" w:right="200"/>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 xml:space="preserve">Incumbent Directors </w:t>
      </w:r>
      <w:r>
        <w:rPr>
          <w:rFonts w:ascii="Arial" w:cs="Arial" w:eastAsia="Arial" w:hAnsi="Arial"/>
          <w:sz w:val="18"/>
          <w:szCs w:val="18"/>
          <w:color w:val="auto"/>
        </w:rPr>
        <w:t>- For incumbent directors being considered for re-nomination, the Directors and Corporate Governance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has the additional benefit of (i) feedback from the annual board and committee evaluations and related individual discussions between each director and each of the chair and the lead independent director; (ii) knowledge of attendance and participation at, and preparation for, prior board and committee meetings; and (iii) shareholder feedback, if such nominee has been elected at a prior annual meeting.</w:t>
      </w:r>
    </w:p>
    <w:p>
      <w:pPr>
        <w:spacing w:after="0" w:line="125" w:lineRule="exact"/>
        <w:rPr>
          <w:rFonts w:ascii="Arial" w:cs="Arial" w:eastAsia="Arial" w:hAnsi="Arial"/>
          <w:sz w:val="18"/>
          <w:szCs w:val="18"/>
          <w:color w:val="auto"/>
        </w:rPr>
      </w:pPr>
    </w:p>
    <w:p>
      <w:pPr>
        <w:jc w:val="both"/>
        <w:ind w:left="660" w:right="80" w:hanging="328"/>
        <w:spacing w:after="0" w:line="268" w:lineRule="auto"/>
        <w:tabs>
          <w:tab w:leader="none" w:pos="648"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Meetings with Select Directors. </w:t>
      </w:r>
      <w:r>
        <w:rPr>
          <w:rFonts w:ascii="Arial" w:cs="Arial" w:eastAsia="Arial" w:hAnsi="Arial"/>
          <w:sz w:val="18"/>
          <w:szCs w:val="18"/>
          <w:color w:val="auto"/>
        </w:rPr>
        <w:t>If the committee’s subsequent evaluation continues to be favorable, the candidate is contacted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chair of the board and one or more of the independent directors, including the lead independent director, for direct discussions to determine the mutual level of interest in pursuing the candidacy.</w:t>
      </w:r>
    </w:p>
    <w:p>
      <w:pPr>
        <w:spacing w:after="0" w:line="116" w:lineRule="exact"/>
        <w:rPr>
          <w:rFonts w:ascii="Arial" w:cs="Arial" w:eastAsia="Arial" w:hAnsi="Arial"/>
          <w:sz w:val="18"/>
          <w:szCs w:val="18"/>
          <w:color w:val="auto"/>
        </w:rPr>
      </w:pPr>
    </w:p>
    <w:p>
      <w:pPr>
        <w:ind w:left="660" w:right="700" w:hanging="328"/>
        <w:spacing w:after="0" w:line="287" w:lineRule="auto"/>
        <w:tabs>
          <w:tab w:leader="none" w:pos="648"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Recommendation for Election. </w:t>
      </w:r>
      <w:r>
        <w:rPr>
          <w:rFonts w:ascii="Arial" w:cs="Arial" w:eastAsia="Arial" w:hAnsi="Arial"/>
          <w:sz w:val="18"/>
          <w:szCs w:val="18"/>
          <w:color w:val="auto"/>
        </w:rPr>
        <w:t>If these discussions are favorable, the committee recommends that the board nominate the</w:t>
      </w:r>
      <w:r>
        <w:rPr>
          <w:rFonts w:ascii="Arial" w:cs="Arial" w:eastAsia="Arial" w:hAnsi="Arial"/>
          <w:sz w:val="18"/>
          <w:szCs w:val="18"/>
          <w:b w:val="1"/>
          <w:bCs w:val="1"/>
          <w:color w:val="auto"/>
        </w:rPr>
        <w:t xml:space="preserve"> </w:t>
      </w:r>
      <w:r>
        <w:rPr>
          <w:rFonts w:ascii="Arial" w:cs="Arial" w:eastAsia="Arial" w:hAnsi="Arial"/>
          <w:sz w:val="18"/>
          <w:szCs w:val="18"/>
          <w:color w:val="auto"/>
        </w:rPr>
        <w:t>candidate for election by the shareholders (or for the board to elect the candidate to fill a vacancy,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140335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32" w:name="page33"/>
    <w:bookmarkEnd w:id="32"/>
    <w:p>
      <w:pPr>
        <w:ind w:left="380"/>
        <w:spacing w:after="0"/>
        <w:rPr>
          <w:sz w:val="20"/>
          <w:szCs w:val="20"/>
          <w:color w:val="auto"/>
        </w:rPr>
      </w:pPr>
      <w:r>
        <w:rPr>
          <w:rFonts w:ascii="Arial" w:cs="Arial" w:eastAsia="Arial" w:hAnsi="Arial"/>
          <w:sz w:val="19"/>
          <w:szCs w:val="19"/>
          <w:b w:val="1"/>
          <w:bCs w:val="1"/>
          <w:color w:val="D52B1E"/>
        </w:rPr>
        <w:t>Shareholder 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-45720</wp:posOffset>
            </wp:positionV>
            <wp:extent cx="5768975" cy="75438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768975" cy="7543800"/>
                    </a:xfrm>
                    <a:prstGeom prst="rect">
                      <a:avLst/>
                    </a:prstGeom>
                    <a:noFill/>
                  </pic:spPr>
                </pic:pic>
              </a:graphicData>
            </a:graphic>
          </wp:anchor>
        </w:drawing>
      </w:r>
    </w:p>
    <w:p>
      <w:pPr>
        <w:sectPr>
          <w:pgSz w:w="11900" w:h="16838" w:orient="portrait"/>
          <w:cols w:equalWidth="0" w:num="1">
            <w:col w:w="9699"/>
          </w:cols>
          <w:pgMar w:left="760" w:top="939" w:right="1440" w:bottom="1440" w:gutter="0" w:footer="0" w:header="0"/>
        </w:sectPr>
      </w:pPr>
    </w:p>
    <w:p>
      <w:pPr>
        <w:spacing w:after="0" w:line="197" w:lineRule="exact"/>
        <w:rPr>
          <w:sz w:val="20"/>
          <w:szCs w:val="20"/>
          <w:color w:val="auto"/>
        </w:rPr>
      </w:pPr>
    </w:p>
    <w:p>
      <w:pPr>
        <w:ind w:right="1699"/>
        <w:spacing w:after="0" w:line="267" w:lineRule="auto"/>
        <w:rPr>
          <w:sz w:val="20"/>
          <w:szCs w:val="20"/>
          <w:color w:val="auto"/>
        </w:rPr>
      </w:pPr>
      <w:r>
        <w:rPr>
          <w:rFonts w:ascii="Arial" w:cs="Arial" w:eastAsia="Arial" w:hAnsi="Arial"/>
          <w:sz w:val="19"/>
          <w:szCs w:val="19"/>
          <w:b w:val="1"/>
          <w:bCs w:val="1"/>
          <w:color w:val="auto"/>
        </w:rPr>
        <w:t xml:space="preserve">Shareholder Recommendations of Director Candidates - </w:t>
      </w:r>
      <w:r>
        <w:rPr>
          <w:rFonts w:ascii="Arial" w:cs="Arial" w:eastAsia="Arial" w:hAnsi="Arial"/>
          <w:sz w:val="17"/>
          <w:szCs w:val="17"/>
          <w:color w:val="auto"/>
        </w:rPr>
        <w:t>A shareholder who wishes to</w:t>
      </w:r>
      <w:r>
        <w:rPr>
          <w:rFonts w:ascii="Arial" w:cs="Arial" w:eastAsia="Arial" w:hAnsi="Arial"/>
          <w:sz w:val="19"/>
          <w:szCs w:val="19"/>
          <w:b w:val="1"/>
          <w:bCs w:val="1"/>
          <w:color w:val="auto"/>
        </w:rPr>
        <w:t xml:space="preserve"> </w:t>
      </w:r>
      <w:r>
        <w:rPr>
          <w:rFonts w:ascii="Arial" w:cs="Arial" w:eastAsia="Arial" w:hAnsi="Arial"/>
          <w:sz w:val="17"/>
          <w:szCs w:val="17"/>
          <w:color w:val="auto"/>
        </w:rPr>
        <w:t>recommend a director candidate for evaluation should forward the candidate’s name and information about the candidate’s qualifications by delivery and email to:</w:t>
      </w:r>
    </w:p>
    <w:p>
      <w:pPr>
        <w:spacing w:after="0" w:line="115" w:lineRule="exact"/>
        <w:rPr>
          <w:sz w:val="20"/>
          <w:szCs w:val="20"/>
          <w:color w:val="auto"/>
        </w:rPr>
      </w:pPr>
    </w:p>
    <w:p>
      <w:pPr>
        <w:ind w:left="400" w:right="4439"/>
        <w:spacing w:after="0" w:line="274" w:lineRule="auto"/>
        <w:rPr>
          <w:sz w:val="20"/>
          <w:szCs w:val="20"/>
          <w:color w:val="auto"/>
        </w:rPr>
      </w:pPr>
      <w:r>
        <w:rPr>
          <w:rFonts w:ascii="Arial" w:cs="Arial" w:eastAsia="Arial" w:hAnsi="Arial"/>
          <w:sz w:val="18"/>
          <w:szCs w:val="18"/>
          <w:color w:val="auto"/>
        </w:rPr>
        <w:t>Chair of the Directors and Corporate Governance Committee c/o General Counsel and Secretary Lilly Corporate Center</w:t>
      </w:r>
    </w:p>
    <w:p>
      <w:pPr>
        <w:spacing w:after="0" w:line="19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Indianapolis, IN 46285</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Email: shareholderproposals@lilly.com</w:t>
      </w:r>
    </w:p>
    <w:p>
      <w:pPr>
        <w:spacing w:after="0" w:line="99" w:lineRule="exact"/>
        <w:rPr>
          <w:sz w:val="20"/>
          <w:szCs w:val="20"/>
          <w:color w:val="auto"/>
        </w:rPr>
      </w:pPr>
    </w:p>
    <w:p>
      <w:pPr>
        <w:jc w:val="both"/>
        <w:ind w:right="1479"/>
        <w:spacing w:after="0" w:line="268" w:lineRule="auto"/>
        <w:rPr>
          <w:sz w:val="20"/>
          <w:szCs w:val="20"/>
          <w:color w:val="auto"/>
        </w:rPr>
      </w:pPr>
      <w:r>
        <w:rPr>
          <w:rFonts w:ascii="Arial" w:cs="Arial" w:eastAsia="Arial" w:hAnsi="Arial"/>
          <w:sz w:val="18"/>
          <w:szCs w:val="18"/>
          <w:color w:val="auto"/>
        </w:rPr>
        <w:t>The candidate must meet the selection criteria described above under “</w:t>
      </w:r>
      <w:r>
        <w:rPr>
          <w:rFonts w:ascii="Arial" w:cs="Arial" w:eastAsia="Arial" w:hAnsi="Arial"/>
          <w:sz w:val="18"/>
          <w:szCs w:val="18"/>
          <w:u w:val="single" w:color="auto"/>
          <w:color w:val="0000FF"/>
        </w:rPr>
        <w:t>Governance—How We Build an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Effective Board—Director Qualifications</w:t>
      </w:r>
      <w:r>
        <w:rPr>
          <w:rFonts w:ascii="Arial" w:cs="Arial" w:eastAsia="Arial" w:hAnsi="Arial"/>
          <w:sz w:val="18"/>
          <w:szCs w:val="18"/>
          <w:color w:val="000000"/>
        </w:rPr>
        <w:t>” and must be willing and expressly interested in serving on the</w:t>
      </w:r>
      <w:r>
        <w:rPr>
          <w:rFonts w:ascii="Arial" w:cs="Arial" w:eastAsia="Arial" w:hAnsi="Arial"/>
          <w:sz w:val="18"/>
          <w:szCs w:val="18"/>
          <w:color w:val="0000FF"/>
        </w:rPr>
        <w:t xml:space="preserve"> </w:t>
      </w:r>
      <w:r>
        <w:rPr>
          <w:rFonts w:ascii="Arial" w:cs="Arial" w:eastAsia="Arial" w:hAnsi="Arial"/>
          <w:sz w:val="18"/>
          <w:szCs w:val="18"/>
          <w:color w:val="000000"/>
        </w:rPr>
        <w:t>board.</w:t>
      </w:r>
    </w:p>
    <w:p>
      <w:pPr>
        <w:spacing w:after="0" w:line="203" w:lineRule="exact"/>
        <w:rPr>
          <w:sz w:val="20"/>
          <w:szCs w:val="20"/>
          <w:color w:val="auto"/>
        </w:rPr>
      </w:pPr>
    </w:p>
    <w:p>
      <w:pPr>
        <w:ind w:right="1399"/>
        <w:spacing w:after="0" w:line="263" w:lineRule="auto"/>
        <w:rPr>
          <w:sz w:val="20"/>
          <w:szCs w:val="20"/>
          <w:color w:val="auto"/>
        </w:rPr>
      </w:pPr>
      <w:r>
        <w:rPr>
          <w:rFonts w:ascii="Arial" w:cs="Arial" w:eastAsia="Arial" w:hAnsi="Arial"/>
          <w:sz w:val="19"/>
          <w:szCs w:val="19"/>
          <w:b w:val="1"/>
          <w:bCs w:val="1"/>
          <w:color w:val="auto"/>
        </w:rPr>
        <w:t xml:space="preserve">Shareholder Nominations for Director Candidates for Inclusion in the Proxy Statement (“Proxy Access”) - </w:t>
      </w:r>
      <w:r>
        <w:rPr>
          <w:rFonts w:ascii="Arial" w:cs="Arial" w:eastAsia="Arial" w:hAnsi="Arial"/>
          <w:sz w:val="17"/>
          <w:szCs w:val="17"/>
          <w:color w:val="auto"/>
        </w:rPr>
        <w:t>If a shareholder or group of shareholders wishes to nominate one or more director</w:t>
      </w:r>
      <w:r>
        <w:rPr>
          <w:rFonts w:ascii="Arial" w:cs="Arial" w:eastAsia="Arial" w:hAnsi="Arial"/>
          <w:sz w:val="19"/>
          <w:szCs w:val="19"/>
          <w:b w:val="1"/>
          <w:bCs w:val="1"/>
          <w:color w:val="auto"/>
        </w:rPr>
        <w:t xml:space="preserve"> </w:t>
      </w:r>
      <w:r>
        <w:rPr>
          <w:rFonts w:ascii="Arial" w:cs="Arial" w:eastAsia="Arial" w:hAnsi="Arial"/>
          <w:sz w:val="17"/>
          <w:szCs w:val="17"/>
          <w:color w:val="auto"/>
        </w:rPr>
        <w:t>candidates to be included in the proxy statement for the 2024 annual meeting pursuant to the “proxy access” provisions of the company’s bylaws (section 1.10), such shareholder or group of shareholders must deliver to the company’s Secretary, and the company’s Secretary must receive, written notice no later than November 18, 2023, and no earlier than October 19, 2023. However, if the date of the 2024 annual meeting is changed by more than 30 days from May 1, 2024 (the date contemplated for the 2024 annual meeting as set forth in this proxy statement), a shareholder must give the company written notice no earlier than 150 days in advance of the date of the 2024 meeting and no later than the close of business on the later of 120 days in advance of the 2024 annual meeting or 10 days following the date we first publicly announce the date of 2024 annual meeting. Any such notice must also comply with the timing, disclosure, procedural, and other requirements as set forth in the bylaws.</w:t>
      </w:r>
    </w:p>
    <w:p>
      <w:pPr>
        <w:spacing w:after="0" w:line="229" w:lineRule="exact"/>
        <w:rPr>
          <w:sz w:val="20"/>
          <w:szCs w:val="20"/>
          <w:color w:val="auto"/>
        </w:rPr>
      </w:pPr>
    </w:p>
    <w:p>
      <w:pPr>
        <w:ind w:right="1339"/>
        <w:spacing w:after="0" w:line="265" w:lineRule="auto"/>
        <w:rPr>
          <w:sz w:val="20"/>
          <w:szCs w:val="20"/>
          <w:color w:val="auto"/>
        </w:rPr>
      </w:pPr>
      <w:r>
        <w:rPr>
          <w:rFonts w:ascii="Arial" w:cs="Arial" w:eastAsia="Arial" w:hAnsi="Arial"/>
          <w:sz w:val="19"/>
          <w:szCs w:val="19"/>
          <w:b w:val="1"/>
          <w:bCs w:val="1"/>
          <w:color w:val="auto"/>
        </w:rPr>
        <w:t xml:space="preserve">Other Shareholder Nominations for Director Candidates - </w:t>
      </w:r>
      <w:r>
        <w:rPr>
          <w:rFonts w:ascii="Arial" w:cs="Arial" w:eastAsia="Arial" w:hAnsi="Arial"/>
          <w:sz w:val="17"/>
          <w:szCs w:val="17"/>
          <w:color w:val="auto"/>
        </w:rPr>
        <w:t>In addition, under Section 1.9 of the</w:t>
      </w:r>
      <w:r>
        <w:rPr>
          <w:rFonts w:ascii="Arial" w:cs="Arial" w:eastAsia="Arial" w:hAnsi="Arial"/>
          <w:sz w:val="19"/>
          <w:szCs w:val="19"/>
          <w:b w:val="1"/>
          <w:bCs w:val="1"/>
          <w:color w:val="auto"/>
        </w:rPr>
        <w:t xml:space="preserve"> </w:t>
      </w:r>
      <w:r>
        <w:rPr>
          <w:rFonts w:ascii="Arial" w:cs="Arial" w:eastAsia="Arial" w:hAnsi="Arial"/>
          <w:sz w:val="17"/>
          <w:szCs w:val="17"/>
          <w:color w:val="auto"/>
        </w:rPr>
        <w:t xml:space="preserve">company’s bylaws, any shareholder of record wishing to directly nominate a director candidate at the 2024 annual meeting of shareholders (i.e., to propose a candidate for election who is not otherwise nominated by the board through the recommendation process described above and not pursuant to the “proxy access” provisions described above) must deliver to the company’s Secretary, and the company’s Secretary must receive, written notice no later than the close of business on November 18, 2023, and no earlier than the close of business on September 19, 2023. However, if the date of the 2024 annual meeting is changed by more than 30 days from May 1, 2024 (the date contemplated for the 2024 annual meeting as set forth in this proxy statement), a shareholder must give the company written notice no later than the close of business on the later of 120 days in advance of the 2024 annual meeting or 10 days following the date we first publicly announce the date of 2024 annual meeting. Any such notice must also comply with the timing, disclosure, procedural and other requirements as set forth in the bylaws. A copy of the bylaws is available online at </w:t>
      </w:r>
      <w:r>
        <w:rPr>
          <w:rFonts w:ascii="Arial" w:cs="Arial" w:eastAsia="Arial" w:hAnsi="Arial"/>
          <w:sz w:val="17"/>
          <w:szCs w:val="17"/>
          <w:color w:val="D52B1E"/>
        </w:rPr>
        <w:t>lilly.com/leadership/governance</w:t>
      </w:r>
      <w:r>
        <w:rPr>
          <w:rFonts w:ascii="Arial" w:cs="Arial" w:eastAsia="Arial" w:hAnsi="Arial"/>
          <w:sz w:val="17"/>
          <w:szCs w:val="17"/>
          <w:color w:val="auto"/>
        </w:rPr>
        <w:t>.</w:t>
      </w:r>
    </w:p>
    <w:p>
      <w:pPr>
        <w:spacing w:after="0" w:line="208" w:lineRule="exact"/>
        <w:rPr>
          <w:sz w:val="20"/>
          <w:szCs w:val="20"/>
          <w:color w:val="auto"/>
        </w:rPr>
      </w:pPr>
    </w:p>
    <w:p>
      <w:pPr>
        <w:ind w:right="1339"/>
        <w:spacing w:after="0" w:line="265" w:lineRule="auto"/>
        <w:rPr>
          <w:sz w:val="20"/>
          <w:szCs w:val="20"/>
          <w:color w:val="auto"/>
        </w:rPr>
      </w:pPr>
      <w:r>
        <w:rPr>
          <w:rFonts w:ascii="Arial" w:cs="Arial" w:eastAsia="Arial" w:hAnsi="Arial"/>
          <w:sz w:val="19"/>
          <w:szCs w:val="19"/>
          <w:b w:val="1"/>
          <w:bCs w:val="1"/>
          <w:color w:val="auto"/>
        </w:rPr>
        <w:t xml:space="preserve">Universal Proxy for Shareholder Nominations - </w:t>
      </w:r>
      <w:r>
        <w:rPr>
          <w:rFonts w:ascii="Arial" w:cs="Arial" w:eastAsia="Arial" w:hAnsi="Arial"/>
          <w:sz w:val="17"/>
          <w:szCs w:val="17"/>
          <w:color w:val="auto"/>
        </w:rPr>
        <w:t>In addition to satisfying the requirements under our</w:t>
      </w:r>
      <w:r>
        <w:rPr>
          <w:rFonts w:ascii="Arial" w:cs="Arial" w:eastAsia="Arial" w:hAnsi="Arial"/>
          <w:sz w:val="19"/>
          <w:szCs w:val="19"/>
          <w:b w:val="1"/>
          <w:bCs w:val="1"/>
          <w:color w:val="auto"/>
        </w:rPr>
        <w:t xml:space="preserve"> </w:t>
      </w:r>
      <w:r>
        <w:rPr>
          <w:rFonts w:ascii="Arial" w:cs="Arial" w:eastAsia="Arial" w:hAnsi="Arial"/>
          <w:sz w:val="17"/>
          <w:szCs w:val="17"/>
          <w:color w:val="auto"/>
        </w:rPr>
        <w:t>bylaws, if a shareholder intends to comply with the SEC’s universal proxy rules and to solicit proxies in support of director nominees other than the company’s nominees, the shareholder must provide notice that sets forth the information required by Rule 14a-19 under the Exchange Act, which notice must be postmarked or transmitted electronically to us at the address stated above for shareholder recommendations no later than 60 calendar days prior to the one-year anniversary date of the Annual Meeting (for the 2024 annual meeting of shareholders, no later than March 2, 2024). If the date of the 2024 annual meeting of shareholders is changed by more than 30 calendar days from such anniversary date, however, then the shareholder must provide notice by the later of 60 calendar days prior to the date of the 2024 annual meeting of shareholders and the 10th calendar day following the date on which public announcement of the date of the 2024 annual meeting of shareholders is first made by the company.</w:t>
      </w:r>
    </w:p>
    <w:p>
      <w:pPr>
        <w:sectPr>
          <w:pgSz w:w="11900" w:h="16838" w:orient="portrait"/>
          <w:cols w:equalWidth="0" w:num="1">
            <w:col w:w="9699"/>
          </w:cols>
          <w:pgMar w:left="760" w:top="93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154940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99"/>
          </w:cols>
          <w:pgMar w:left="760" w:top="939" w:right="1440"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32"/>
          <w:szCs w:val="32"/>
          <w:b w:val="1"/>
          <w:bCs w:val="1"/>
          <w:color w:val="D52B1E"/>
        </w:rPr>
        <w:t>Item 1. Election of Directors</w:t>
      </w:r>
    </w:p>
    <w:p>
      <w:pPr>
        <w:spacing w:after="0" w:line="89"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Under our articles of incorporation, the board is divided into three classes with approximately one-third of the directors standing for election each year. The Directors and Corporate Governance Committee has recommended that each of the following four nominees be elected at the Annual Meeting. Each of the director nominees is currently serving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102870</wp:posOffset>
            </wp:positionV>
            <wp:extent cx="4834890" cy="2057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834890" cy="205740"/>
                    </a:xfrm>
                    <a:prstGeom prst="rect">
                      <a:avLst/>
                    </a:prstGeom>
                    <a:noFill/>
                  </pic:spPr>
                </pic:pic>
              </a:graphicData>
            </a:graphic>
          </wp:anchor>
        </w:drawing>
      </w:r>
    </w:p>
    <w:p>
      <w:pPr>
        <w:spacing w:after="0" w:line="168"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2023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29210</wp:posOffset>
            </wp:positionV>
            <wp:extent cx="4834890" cy="8147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83489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740" w:type="dxa"/>
        <w:tblCellMar>
          <w:top w:w="0" w:type="dxa"/>
          <w:left w:w="0" w:type="dxa"/>
          <w:bottom w:w="0" w:type="dxa"/>
          <w:right w:w="0" w:type="dxa"/>
        </w:tblCellMar>
      </w:tblPr>
      <w:tr>
        <w:trPr>
          <w:trHeight w:val="418"/>
        </w:trPr>
        <w:tc>
          <w:tcPr>
            <w:tcW w:w="1960" w:type="dxa"/>
            <w:vAlign w:val="bottom"/>
            <w:tcBorders>
              <w:top w:val="single" w:sz="8" w:color="6D6D6D"/>
            </w:tcBorders>
            <w:shd w:val="clear" w:color="auto" w:fill="F2F2F2"/>
          </w:tcPr>
          <w:p>
            <w:pPr>
              <w:jc w:val="center"/>
              <w:spacing w:after="0"/>
              <w:rPr>
                <w:sz w:val="20"/>
                <w:szCs w:val="20"/>
                <w:color w:val="auto"/>
              </w:rPr>
            </w:pPr>
            <w:r>
              <w:rPr>
                <w:rFonts w:ascii="Arial" w:cs="Arial" w:eastAsia="Arial" w:hAnsi="Arial"/>
                <w:sz w:val="19"/>
                <w:szCs w:val="19"/>
                <w:b w:val="1"/>
                <w:bCs w:val="1"/>
                <w:color w:val="auto"/>
                <w:w w:val="99"/>
              </w:rPr>
              <w:t>William G. Kaelin,</w:t>
            </w:r>
          </w:p>
        </w:tc>
        <w:tc>
          <w:tcPr>
            <w:tcW w:w="1700" w:type="dxa"/>
            <w:vAlign w:val="bottom"/>
            <w:tcBorders>
              <w:top w:val="single" w:sz="8" w:color="6D6D6D"/>
            </w:tcBorders>
            <w:shd w:val="clear" w:color="auto" w:fill="F2F2F2"/>
          </w:tcPr>
          <w:p>
            <w:pPr>
              <w:jc w:val="center"/>
              <w:spacing w:after="0"/>
              <w:rPr>
                <w:sz w:val="20"/>
                <w:szCs w:val="20"/>
                <w:color w:val="auto"/>
              </w:rPr>
            </w:pPr>
            <w:r>
              <w:rPr>
                <w:rFonts w:ascii="Arial" w:cs="Arial" w:eastAsia="Arial" w:hAnsi="Arial"/>
                <w:sz w:val="19"/>
                <w:szCs w:val="19"/>
                <w:b w:val="1"/>
                <w:bCs w:val="1"/>
                <w:color w:val="auto"/>
                <w:w w:val="99"/>
              </w:rPr>
              <w:t>David A. Ricks</w:t>
            </w:r>
          </w:p>
        </w:tc>
        <w:tc>
          <w:tcPr>
            <w:tcW w:w="2160" w:type="dxa"/>
            <w:vAlign w:val="bottom"/>
            <w:tcBorders>
              <w:top w:val="single" w:sz="8" w:color="6D6D6D"/>
            </w:tcBorders>
            <w:shd w:val="clear" w:color="auto" w:fill="F2F2F2"/>
          </w:tcPr>
          <w:p>
            <w:pPr>
              <w:jc w:val="center"/>
              <w:spacing w:after="0"/>
              <w:rPr>
                <w:sz w:val="20"/>
                <w:szCs w:val="20"/>
                <w:color w:val="auto"/>
              </w:rPr>
            </w:pPr>
            <w:r>
              <w:rPr>
                <w:rFonts w:ascii="Arial" w:cs="Arial" w:eastAsia="Arial" w:hAnsi="Arial"/>
                <w:sz w:val="19"/>
                <w:szCs w:val="19"/>
                <w:b w:val="1"/>
                <w:bCs w:val="1"/>
                <w:color w:val="auto"/>
                <w:w w:val="99"/>
              </w:rPr>
              <w:t>Marschall S. Runge,</w:t>
            </w:r>
          </w:p>
        </w:tc>
        <w:tc>
          <w:tcPr>
            <w:tcW w:w="1800" w:type="dxa"/>
            <w:vAlign w:val="bottom"/>
            <w:tcBorders>
              <w:top w:val="single" w:sz="8" w:color="6D6D6D"/>
            </w:tcBorders>
            <w:shd w:val="clear" w:color="auto" w:fill="F2F2F2"/>
          </w:tcPr>
          <w:p>
            <w:pPr>
              <w:jc w:val="center"/>
              <w:ind w:right="37"/>
              <w:spacing w:after="0"/>
              <w:rPr>
                <w:sz w:val="20"/>
                <w:szCs w:val="20"/>
                <w:color w:val="auto"/>
              </w:rPr>
            </w:pPr>
            <w:r>
              <w:rPr>
                <w:rFonts w:ascii="Arial" w:cs="Arial" w:eastAsia="Arial" w:hAnsi="Arial"/>
                <w:sz w:val="19"/>
                <w:szCs w:val="19"/>
                <w:b w:val="1"/>
                <w:bCs w:val="1"/>
                <w:color w:val="auto"/>
                <w:w w:val="98"/>
              </w:rPr>
              <w:t>Karen Walker</w:t>
            </w:r>
          </w:p>
        </w:tc>
      </w:tr>
      <w:tr>
        <w:trPr>
          <w:trHeight w:val="259"/>
        </w:trPr>
        <w:tc>
          <w:tcPr>
            <w:tcW w:w="1960" w:type="dxa"/>
            <w:vAlign w:val="bottom"/>
            <w:shd w:val="clear" w:color="auto" w:fill="F2F2F2"/>
          </w:tcPr>
          <w:p>
            <w:pPr>
              <w:jc w:val="center"/>
              <w:spacing w:after="0"/>
              <w:rPr>
                <w:sz w:val="20"/>
                <w:szCs w:val="20"/>
                <w:color w:val="auto"/>
              </w:rPr>
            </w:pPr>
            <w:r>
              <w:rPr>
                <w:rFonts w:ascii="Arial" w:cs="Arial" w:eastAsia="Arial" w:hAnsi="Arial"/>
                <w:sz w:val="19"/>
                <w:szCs w:val="19"/>
                <w:b w:val="1"/>
                <w:bCs w:val="1"/>
                <w:color w:val="auto"/>
                <w:w w:val="97"/>
              </w:rPr>
              <w:t>Jr., M.D.</w:t>
            </w:r>
          </w:p>
        </w:tc>
        <w:tc>
          <w:tcPr>
            <w:tcW w:w="17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Chair of the Board</w:t>
            </w:r>
          </w:p>
        </w:tc>
        <w:tc>
          <w:tcPr>
            <w:tcW w:w="2160" w:type="dxa"/>
            <w:vAlign w:val="bottom"/>
            <w:shd w:val="clear" w:color="auto" w:fill="F2F2F2"/>
          </w:tcPr>
          <w:p>
            <w:pPr>
              <w:jc w:val="center"/>
              <w:spacing w:after="0"/>
              <w:rPr>
                <w:sz w:val="20"/>
                <w:szCs w:val="20"/>
                <w:color w:val="auto"/>
              </w:rPr>
            </w:pPr>
            <w:r>
              <w:rPr>
                <w:rFonts w:ascii="Arial" w:cs="Arial" w:eastAsia="Arial" w:hAnsi="Arial"/>
                <w:sz w:val="19"/>
                <w:szCs w:val="19"/>
                <w:b w:val="1"/>
                <w:bCs w:val="1"/>
                <w:color w:val="auto"/>
              </w:rPr>
              <w:t>M.D., Ph.D.</w:t>
            </w:r>
          </w:p>
        </w:tc>
        <w:tc>
          <w:tcPr>
            <w:tcW w:w="1800" w:type="dxa"/>
            <w:vAlign w:val="bottom"/>
            <w:shd w:val="clear" w:color="auto" w:fill="F2F2F2"/>
          </w:tcPr>
          <w:p>
            <w:pPr>
              <w:jc w:val="center"/>
              <w:ind w:right="57"/>
              <w:spacing w:after="0"/>
              <w:rPr>
                <w:sz w:val="20"/>
                <w:szCs w:val="20"/>
                <w:color w:val="auto"/>
              </w:rPr>
            </w:pPr>
            <w:r>
              <w:rPr>
                <w:rFonts w:ascii="Arial" w:cs="Arial" w:eastAsia="Arial" w:hAnsi="Arial"/>
                <w:sz w:val="14"/>
                <w:szCs w:val="14"/>
                <w:color w:val="auto"/>
              </w:rPr>
              <w:t>Independent Director</w:t>
            </w:r>
          </w:p>
        </w:tc>
      </w:tr>
      <w:tr>
        <w:trPr>
          <w:trHeight w:val="207"/>
        </w:trPr>
        <w:tc>
          <w:tcPr>
            <w:tcW w:w="19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Independent Director</w:t>
            </w:r>
          </w:p>
        </w:tc>
        <w:tc>
          <w:tcPr>
            <w:tcW w:w="1700" w:type="dxa"/>
            <w:vAlign w:val="bottom"/>
            <w:tcBorders>
              <w:bottom w:val="single" w:sz="8" w:color="F2F2F2"/>
            </w:tcBorders>
            <w:shd w:val="clear" w:color="auto" w:fill="F2F2F2"/>
          </w:tcPr>
          <w:p>
            <w:pPr>
              <w:spacing w:after="0"/>
              <w:rPr>
                <w:sz w:val="18"/>
                <w:szCs w:val="18"/>
                <w:color w:val="auto"/>
              </w:rPr>
            </w:pPr>
          </w:p>
        </w:tc>
        <w:tc>
          <w:tcPr>
            <w:tcW w:w="21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Independent Director</w:t>
            </w:r>
          </w:p>
        </w:tc>
        <w:tc>
          <w:tcPr>
            <w:tcW w:w="1800" w:type="dxa"/>
            <w:vAlign w:val="bottom"/>
            <w:tcBorders>
              <w:bottom w:val="single" w:sz="8" w:color="F2F2F2"/>
            </w:tcBorders>
            <w:shd w:val="clear" w:color="auto" w:fill="F2F2F2"/>
          </w:tcPr>
          <w:p>
            <w:pPr>
              <w:spacing w:after="0"/>
              <w:rPr>
                <w:sz w:val="18"/>
                <w:szCs w:val="18"/>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r>
    </w:tbl>
    <w:p>
      <w:pPr>
        <w:spacing w:after="0" w:line="22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term for directors to be elected this year will expire at the annual meeting of shareholders held in 2026. Each of the director nominees above has agreed to serve for that term. Nominees are elected to serve until his or her successor is duly elected and qualified. If a nominee set forth in this proxy statement is unable to serve or for good cause will not serve, proxy holders may vote for another nominee proposed by the board or, as an alternative, the board may reduce the number of directors to be elected at the Annual Meeting.</w:t>
      </w:r>
    </w:p>
    <w:p>
      <w:pPr>
        <w:spacing w:after="0" w:line="12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For more information about each of the nominees and the other directors serving on our board, please see “</w:t>
      </w:r>
      <w:r>
        <w:rPr>
          <w:rFonts w:ascii="Arial" w:cs="Arial" w:eastAsia="Arial" w:hAnsi="Arial"/>
          <w:sz w:val="18"/>
          <w:szCs w:val="18"/>
          <w:u w:val="single" w:color="auto"/>
          <w:color w:val="0000FF"/>
        </w:rPr>
        <w:t>Director Experience</w:t>
      </w:r>
      <w:r>
        <w:rPr>
          <w:rFonts w:ascii="Arial" w:cs="Arial" w:eastAsia="Arial" w:hAnsi="Arial"/>
          <w:sz w:val="18"/>
          <w:szCs w:val="18"/>
          <w:color w:val="auto"/>
        </w:rPr>
        <w:t>”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5768975" cy="9944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768975" cy="994410"/>
                    </a:xfrm>
                    <a:prstGeom prst="rect">
                      <a:avLst/>
                    </a:prstGeom>
                    <a:noFill/>
                  </pic:spPr>
                </pic:pic>
              </a:graphicData>
            </a:graphic>
          </wp:anchor>
        </w:drawing>
      </w:r>
    </w:p>
    <w:p>
      <w:pPr>
        <w:spacing w:after="0" w:line="209" w:lineRule="exact"/>
        <w:rPr>
          <w:sz w:val="20"/>
          <w:szCs w:val="20"/>
          <w:color w:val="auto"/>
        </w:rPr>
      </w:pPr>
    </w:p>
    <w:p>
      <w:pPr>
        <w:ind w:left="1020"/>
        <w:spacing w:after="0"/>
        <w:rPr>
          <w:sz w:val="20"/>
          <w:szCs w:val="20"/>
          <w:color w:val="auto"/>
        </w:rPr>
      </w:pPr>
      <w:r>
        <w:rPr>
          <w:rFonts w:ascii="Arial" w:cs="Arial" w:eastAsia="Arial" w:hAnsi="Arial"/>
          <w:sz w:val="20"/>
          <w:szCs w:val="20"/>
          <w:b w:val="1"/>
          <w:bCs w:val="1"/>
          <w:color w:val="D52B1E"/>
        </w:rPr>
        <w:t>RECOMMENDATION FOR</w:t>
      </w:r>
    </w:p>
    <w:p>
      <w:pPr>
        <w:spacing w:after="0" w:line="166" w:lineRule="exact"/>
        <w:rPr>
          <w:sz w:val="20"/>
          <w:szCs w:val="20"/>
          <w:color w:val="auto"/>
        </w:rPr>
      </w:pPr>
    </w:p>
    <w:p>
      <w:pPr>
        <w:ind w:left="200" w:right="2420"/>
        <w:spacing w:after="0" w:line="262" w:lineRule="auto"/>
        <w:rPr>
          <w:sz w:val="20"/>
          <w:szCs w:val="20"/>
          <w:color w:val="auto"/>
        </w:rPr>
      </w:pPr>
      <w:r>
        <w:rPr>
          <w:rFonts w:ascii="Arial" w:cs="Arial" w:eastAsia="Arial" w:hAnsi="Arial"/>
          <w:sz w:val="18"/>
          <w:szCs w:val="18"/>
          <w:color w:val="auto"/>
        </w:rPr>
        <w:t xml:space="preserve">The board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each of the board’s nominees, </w:t>
      </w:r>
      <w:r>
        <w:rPr>
          <w:rFonts w:ascii="Arial" w:cs="Arial" w:eastAsia="Arial" w:hAnsi="Arial"/>
          <w:sz w:val="18"/>
          <w:szCs w:val="18"/>
          <w:b w:val="1"/>
          <w:bCs w:val="1"/>
          <w:color w:val="auto"/>
        </w:rPr>
        <w:t>William G. Kaelin,</w:t>
      </w:r>
      <w:r>
        <w:rPr>
          <w:rFonts w:ascii="Arial" w:cs="Arial" w:eastAsia="Arial" w:hAnsi="Arial"/>
          <w:sz w:val="18"/>
          <w:szCs w:val="18"/>
          <w:color w:val="auto"/>
        </w:rPr>
        <w:t xml:space="preserve"> </w:t>
      </w:r>
      <w:r>
        <w:rPr>
          <w:rFonts w:ascii="Arial" w:cs="Arial" w:eastAsia="Arial" w:hAnsi="Arial"/>
          <w:sz w:val="18"/>
          <w:szCs w:val="18"/>
          <w:b w:val="1"/>
          <w:bCs w:val="1"/>
          <w:color w:val="auto"/>
        </w:rPr>
        <w:t>Jr., M.D., David A. Ricks, Marschall S. Runge, M.D., Ph.D., and Karen Walker</w:t>
      </w:r>
      <w:r>
        <w:rPr>
          <w:rFonts w:ascii="Arial" w:cs="Arial" w:eastAsia="Arial" w:hAnsi="Arial"/>
          <w:sz w:val="18"/>
          <w:szCs w:val="18"/>
          <w:color w:val="auto"/>
        </w:rPr>
        <w:t>, to serve as directors until</w:t>
      </w:r>
      <w:r>
        <w:rPr>
          <w:rFonts w:ascii="Arial" w:cs="Arial" w:eastAsia="Arial" w:hAnsi="Arial"/>
          <w:sz w:val="18"/>
          <w:szCs w:val="18"/>
          <w:b w:val="1"/>
          <w:bCs w:val="1"/>
          <w:color w:val="auto"/>
        </w:rPr>
        <w:t xml:space="preserve"> </w:t>
      </w:r>
      <w:r>
        <w:rPr>
          <w:rFonts w:ascii="Arial" w:cs="Arial" w:eastAsia="Arial" w:hAnsi="Arial"/>
          <w:sz w:val="18"/>
          <w:szCs w:val="18"/>
          <w:color w:val="auto"/>
        </w:rPr>
        <w:t>our 2026 Annual Meeting of Shareholders and until their successors are duly elected and qualified, or until their earlier death, resignation, or removal.</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How We Operate an Effective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120015</wp:posOffset>
            </wp:positionV>
            <wp:extent cx="3488690" cy="16802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488690" cy="1680210"/>
                    </a:xfrm>
                    <a:prstGeom prst="rect">
                      <a:avLst/>
                    </a:prstGeom>
                    <a:noFill/>
                  </pic:spPr>
                </pic:pic>
              </a:graphicData>
            </a:graphic>
          </wp:anchor>
        </w:drawing>
      </w:r>
    </w:p>
    <w:p>
      <w:pPr>
        <w:spacing w:after="0" w:line="177" w:lineRule="exact"/>
        <w:rPr>
          <w:sz w:val="20"/>
          <w:szCs w:val="20"/>
          <w:color w:val="auto"/>
        </w:rPr>
      </w:pPr>
    </w:p>
    <w:p>
      <w:pPr>
        <w:ind w:left="20" w:right="8080"/>
        <w:spacing w:after="0" w:line="254" w:lineRule="auto"/>
        <w:rPr>
          <w:sz w:val="20"/>
          <w:szCs w:val="20"/>
          <w:color w:val="auto"/>
        </w:rPr>
      </w:pPr>
      <w:r>
        <w:rPr>
          <w:rFonts w:ascii="Arial" w:cs="Arial" w:eastAsia="Arial" w:hAnsi="Arial"/>
          <w:sz w:val="18"/>
          <w:szCs w:val="18"/>
          <w:color w:val="auto"/>
        </w:rPr>
        <w:t>We believe that high board effectiveness promotes the long-term interests of our shareholders, strengthens the accountability of the board of directors and management, and improves our standing as a trusted member of the communities we serve. In addition to having the right mix of directors, there are many factors involved in operating an effective board.</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Working Dynamics</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Leadership Structure</w:t>
      </w:r>
    </w:p>
    <w:p>
      <w:pPr>
        <w:spacing w:after="0" w:line="1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board believes that there is no “one-size-fits-all” approach to board leadership and recognizes that one of its key responsibilities is to evaluate its optimal leadership structure to ensure both independent oversight of management and an engaged board with complementary qualities, perspectives, and experiences. The board regularly reviews its leadership structure and developments in the area of corporate governance to ensure that our chosen leadership structure continues to strike the appropriate balance for the company and our stakeholders and enables us to promote the long-term interests of our shareholders.</w:t>
      </w:r>
    </w:p>
    <w:p>
      <w:pPr>
        <w:sectPr>
          <w:pgSz w:w="11900" w:h="16838" w:orient="portrait"/>
          <w:cols w:equalWidth="0" w:num="1">
            <w:col w:w="11220"/>
          </w:cols>
          <w:pgMar w:left="320" w:top="1135" w:right="35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5" w:right="359" w:bottom="1440" w:gutter="0" w:footer="0" w:header="0"/>
          <w:type w:val="continuous"/>
        </w:sectPr>
      </w:pPr>
    </w:p>
    <w:bookmarkStart w:id="34" w:name="page35"/>
    <w:bookmarkEnd w:id="34"/>
    <w:p>
      <w:pPr>
        <w:ind w:right="80"/>
        <w:spacing w:after="0" w:line="257" w:lineRule="auto"/>
        <w:rPr>
          <w:sz w:val="20"/>
          <w:szCs w:val="20"/>
          <w:color w:val="auto"/>
        </w:rPr>
      </w:pPr>
      <w:r>
        <w:rPr>
          <w:rFonts w:ascii="Arial" w:cs="Arial" w:eastAsia="Arial" w:hAnsi="Arial"/>
          <w:sz w:val="18"/>
          <w:szCs w:val="18"/>
          <w:color w:val="auto"/>
        </w:rPr>
        <w:t>In 2022, the board continued its proactive assessment of board succession and refreshment. After thoughtful consideration of our business, long-term strategy, and related risks, and the strength of our lead independent director, the independent directors believe that the combination of the chair and CEO roles, coupled with a strong lead independent director position, continues to be in the best interest of the company and our shareholders. The board believes that Mr. Ricks’ extensive knowledge of, and experience in, the pharmaceutical industry enables him to effectively set the long-term strategic direction of the company and provide diligent, long-term leadership and direction for management and our board.</w:t>
      </w:r>
    </w:p>
    <w:p>
      <w:pPr>
        <w:spacing w:after="0" w:line="12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Mr. Luciano serves as the current lead independent director. Mr. Luciano is a strong lead independent director who fulfills the duties below. As the CEO and president of Archer-Daniels-Midland Company, he brings valuable and diverse experience and outside perspective to his lead independent director role, which permits him to serve as a trusted adviser to Mr. Ricks and ensure effective board management and risk oversight.</w:t>
      </w:r>
    </w:p>
    <w:p>
      <w:pPr>
        <w:spacing w:after="0" w:line="195"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D52B1E"/>
        </w:rPr>
        <w:t>Lead Independent Director Responsibilities and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5768975" cy="46031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768975" cy="4603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2022, the independent directors, led by Mr. Luciano, met at each regularly scheduled board meeting in executive session to discuss various matters related to the oversight of the company, the management of the board’s affairs, and the CEO’s performance. We believe Mr. Luciano fosters an open and constructive dialogue during these sessions as well as during individual discussions with the independent directors. Mr. Luciano informs Mr. Ricks of the independent directors’ discussions, including providing performance feedback.</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Fostering Independent Oversight</w:t>
      </w:r>
    </w:p>
    <w:p>
      <w:pPr>
        <w:spacing w:after="0" w:line="54"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In addition to a strong lead independent director role, the board has put in place a number of governance practices to ensure effective independent oversight, including:</w:t>
      </w:r>
    </w:p>
    <w:p>
      <w:pPr>
        <w:spacing w:after="0" w:line="13" w:lineRule="exact"/>
        <w:rPr>
          <w:sz w:val="20"/>
          <w:szCs w:val="20"/>
          <w:color w:val="auto"/>
        </w:rPr>
      </w:pPr>
    </w:p>
    <w:p>
      <w:pPr>
        <w:ind w:left="660" w:right="360" w:hanging="328"/>
        <w:spacing w:after="0" w:line="253" w:lineRule="auto"/>
        <w:tabs>
          <w:tab w:leader="none" w:pos="649" w:val="left"/>
        </w:tabs>
        <w:numPr>
          <w:ilvl w:val="0"/>
          <w:numId w:val="84"/>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Executive sessions of the independent directors: </w:t>
      </w:r>
      <w:r>
        <w:rPr>
          <w:rFonts w:ascii="Arial" w:cs="Arial" w:eastAsia="Arial" w:hAnsi="Arial"/>
          <w:sz w:val="17"/>
          <w:szCs w:val="17"/>
          <w:color w:val="000000"/>
        </w:rPr>
        <w:t>Held after every regular board meeting and presided over by the lead</w:t>
      </w:r>
      <w:r>
        <w:rPr>
          <w:rFonts w:ascii="Arial" w:cs="Arial" w:eastAsia="Arial" w:hAnsi="Arial"/>
          <w:sz w:val="20"/>
          <w:szCs w:val="20"/>
          <w:b w:val="1"/>
          <w:bCs w:val="1"/>
          <w:color w:val="D52B1E"/>
        </w:rPr>
        <w:t xml:space="preserve"> </w:t>
      </w:r>
      <w:r>
        <w:rPr>
          <w:rFonts w:ascii="Arial" w:cs="Arial" w:eastAsia="Arial" w:hAnsi="Arial"/>
          <w:sz w:val="17"/>
          <w:szCs w:val="17"/>
          <w:color w:val="000000"/>
        </w:rPr>
        <w:t>independent director.</w:t>
      </w:r>
    </w:p>
    <w:p>
      <w:pPr>
        <w:sectPr>
          <w:pgSz w:w="11900" w:h="16838" w:orient="portrait"/>
          <w:cols w:equalWidth="0" w:num="1">
            <w:col w:w="11180"/>
          </w:cols>
          <w:pgMar w:left="320" w:top="769" w:right="399" w:bottom="1440" w:gutter="0" w:footer="0" w:header="0"/>
        </w:sect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type w:val="continuous"/>
        </w:sectPr>
      </w:pPr>
    </w:p>
    <w:bookmarkStart w:id="35" w:name="page36"/>
    <w:bookmarkEnd w:id="35"/>
    <w:p>
      <w:pPr>
        <w:jc w:val="both"/>
        <w:ind w:left="660" w:right="300" w:hanging="328"/>
        <w:spacing w:after="0" w:line="266" w:lineRule="auto"/>
        <w:tabs>
          <w:tab w:leader="none" w:pos="649" w:val="left"/>
        </w:tabs>
        <w:numPr>
          <w:ilvl w:val="0"/>
          <w:numId w:val="85"/>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Annual performance evaluation of the chair and CEO: </w:t>
      </w:r>
      <w:r>
        <w:rPr>
          <w:rFonts w:ascii="Arial" w:cs="Arial" w:eastAsia="Arial" w:hAnsi="Arial"/>
          <w:sz w:val="17"/>
          <w:szCs w:val="17"/>
          <w:color w:val="000000"/>
        </w:rPr>
        <w:t>Conducted by the independent directors, the results of which are</w:t>
      </w:r>
      <w:r>
        <w:rPr>
          <w:rFonts w:ascii="Arial" w:cs="Arial" w:eastAsia="Arial" w:hAnsi="Arial"/>
          <w:sz w:val="20"/>
          <w:szCs w:val="20"/>
          <w:b w:val="1"/>
          <w:bCs w:val="1"/>
          <w:color w:val="D52B1E"/>
        </w:rPr>
        <w:t xml:space="preserve"> </w:t>
      </w:r>
      <w:r>
        <w:rPr>
          <w:rFonts w:ascii="Arial" w:cs="Arial" w:eastAsia="Arial" w:hAnsi="Arial"/>
          <w:sz w:val="17"/>
          <w:szCs w:val="17"/>
          <w:color w:val="000000"/>
        </w:rPr>
        <w:t>reviewed with the CEO and considered by the Talent and Compensation Committee and independent directors in establishing the CEO’s compensation for the following year.</w:t>
      </w:r>
    </w:p>
    <w:p>
      <w:pPr>
        <w:spacing w:after="0" w:line="29" w:lineRule="exact"/>
        <w:rPr>
          <w:rFonts w:ascii="Arial" w:cs="Arial" w:eastAsia="Arial" w:hAnsi="Arial"/>
          <w:sz w:val="16"/>
          <w:szCs w:val="16"/>
          <w:b w:val="1"/>
          <w:bCs w:val="1"/>
          <w:color w:val="D52B1E"/>
        </w:rPr>
      </w:pPr>
    </w:p>
    <w:p>
      <w:pPr>
        <w:ind w:left="660" w:right="100" w:hanging="328"/>
        <w:spacing w:after="0" w:line="278" w:lineRule="auto"/>
        <w:tabs>
          <w:tab w:leader="none" w:pos="655" w:val="left"/>
        </w:tabs>
        <w:numPr>
          <w:ilvl w:val="0"/>
          <w:numId w:val="85"/>
        </w:numPr>
        <w:rPr>
          <w:rFonts w:ascii="Arial" w:cs="Arial" w:eastAsia="Arial" w:hAnsi="Arial"/>
          <w:sz w:val="18"/>
          <w:szCs w:val="18"/>
          <w:b w:val="1"/>
          <w:bCs w:val="1"/>
          <w:color w:val="D52B1E"/>
        </w:rPr>
      </w:pPr>
      <w:r>
        <w:rPr>
          <w:rFonts w:ascii="Arial" w:cs="Arial" w:eastAsia="Arial" w:hAnsi="Arial"/>
          <w:sz w:val="20"/>
          <w:szCs w:val="20"/>
          <w:b w:val="1"/>
          <w:bCs w:val="1"/>
          <w:color w:val="D52B1E"/>
        </w:rPr>
        <w:t xml:space="preserve">Lead independent director assessment: </w:t>
      </w:r>
      <w:r>
        <w:rPr>
          <w:rFonts w:ascii="Arial" w:cs="Arial" w:eastAsia="Arial" w:hAnsi="Arial"/>
          <w:sz w:val="17"/>
          <w:szCs w:val="17"/>
          <w:color w:val="000000"/>
        </w:rPr>
        <w:t>The lead independent director is elected by and from among the independent</w:t>
      </w:r>
      <w:r>
        <w:rPr>
          <w:rFonts w:ascii="Arial" w:cs="Arial" w:eastAsia="Arial" w:hAnsi="Arial"/>
          <w:sz w:val="20"/>
          <w:szCs w:val="20"/>
          <w:b w:val="1"/>
          <w:bCs w:val="1"/>
          <w:color w:val="D52B1E"/>
        </w:rPr>
        <w:t xml:space="preserve"> </w:t>
      </w:r>
      <w:r>
        <w:rPr>
          <w:rFonts w:ascii="Arial" w:cs="Arial" w:eastAsia="Arial" w:hAnsi="Arial"/>
          <w:sz w:val="17"/>
          <w:szCs w:val="17"/>
          <w:color w:val="000000"/>
        </w:rPr>
        <w:t>directors of the board, which conducts an assessment of his or her performance as part of the annual board assessment process as well as an assessment of key characteristics for the lead independent director position.</w:t>
      </w:r>
    </w:p>
    <w:p>
      <w:pPr>
        <w:spacing w:after="0" w:line="23" w:lineRule="exact"/>
        <w:rPr>
          <w:rFonts w:ascii="Arial" w:cs="Arial" w:eastAsia="Arial" w:hAnsi="Arial"/>
          <w:sz w:val="18"/>
          <w:szCs w:val="18"/>
          <w:b w:val="1"/>
          <w:bCs w:val="1"/>
          <w:color w:val="D52B1E"/>
        </w:rPr>
      </w:pPr>
    </w:p>
    <w:p>
      <w:pPr>
        <w:ind w:left="660" w:right="280" w:hanging="328"/>
        <w:spacing w:after="0" w:line="267" w:lineRule="auto"/>
        <w:tabs>
          <w:tab w:leader="none" w:pos="649" w:val="left"/>
        </w:tabs>
        <w:numPr>
          <w:ilvl w:val="0"/>
          <w:numId w:val="85"/>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Director access to independent advisors: </w:t>
      </w:r>
      <w:r>
        <w:rPr>
          <w:rFonts w:ascii="Arial" w:cs="Arial" w:eastAsia="Arial" w:hAnsi="Arial"/>
          <w:sz w:val="17"/>
          <w:szCs w:val="17"/>
          <w:color w:val="000000"/>
        </w:rPr>
        <w:t>The independent directors and all committees have the ability to retain their own</w:t>
      </w:r>
      <w:r>
        <w:rPr>
          <w:rFonts w:ascii="Arial" w:cs="Arial" w:eastAsia="Arial" w:hAnsi="Arial"/>
          <w:sz w:val="20"/>
          <w:szCs w:val="20"/>
          <w:b w:val="1"/>
          <w:bCs w:val="1"/>
          <w:color w:val="D52B1E"/>
        </w:rPr>
        <w:t xml:space="preserve"> </w:t>
      </w:r>
      <w:r>
        <w:rPr>
          <w:rFonts w:ascii="Arial" w:cs="Arial" w:eastAsia="Arial" w:hAnsi="Arial"/>
          <w:sz w:val="17"/>
          <w:szCs w:val="17"/>
          <w:color w:val="000000"/>
        </w:rPr>
        <w:t>independent advisors, at the company’s expense, whenever they deem it desirable to do so.</w:t>
      </w:r>
    </w:p>
    <w:p>
      <w:pPr>
        <w:spacing w:after="0" w:line="1" w:lineRule="exact"/>
        <w:rPr>
          <w:rFonts w:ascii="Arial" w:cs="Arial" w:eastAsia="Arial" w:hAnsi="Arial"/>
          <w:sz w:val="16"/>
          <w:szCs w:val="16"/>
          <w:b w:val="1"/>
          <w:bCs w:val="1"/>
          <w:color w:val="D52B1E"/>
        </w:rPr>
      </w:pPr>
    </w:p>
    <w:p>
      <w:pPr>
        <w:ind w:left="660" w:right="40" w:hanging="328"/>
        <w:spacing w:after="0" w:line="253" w:lineRule="auto"/>
        <w:tabs>
          <w:tab w:leader="none" w:pos="649" w:val="left"/>
        </w:tabs>
        <w:numPr>
          <w:ilvl w:val="0"/>
          <w:numId w:val="85"/>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Director access to management: </w:t>
      </w:r>
      <w:r>
        <w:rPr>
          <w:rFonts w:ascii="Arial" w:cs="Arial" w:eastAsia="Arial" w:hAnsi="Arial"/>
          <w:sz w:val="17"/>
          <w:szCs w:val="17"/>
          <w:color w:val="000000"/>
        </w:rPr>
        <w:t>Independent directors have direct access to members of management whenever they deem it</w:t>
      </w:r>
      <w:r>
        <w:rPr>
          <w:rFonts w:ascii="Arial" w:cs="Arial" w:eastAsia="Arial" w:hAnsi="Arial"/>
          <w:sz w:val="20"/>
          <w:szCs w:val="20"/>
          <w:b w:val="1"/>
          <w:bCs w:val="1"/>
          <w:color w:val="D52B1E"/>
        </w:rPr>
        <w:t xml:space="preserve"> </w:t>
      </w:r>
      <w:r>
        <w:rPr>
          <w:rFonts w:ascii="Arial" w:cs="Arial" w:eastAsia="Arial" w:hAnsi="Arial"/>
          <w:sz w:val="17"/>
          <w:szCs w:val="17"/>
          <w:color w:val="000000"/>
        </w:rPr>
        <w:t>necessary, and certain of the company’s executive officers attend part of each regularly scheduled board meeting.</w:t>
      </w:r>
    </w:p>
    <w:p>
      <w:pPr>
        <w:spacing w:after="0" w:line="122"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Board Structure</w:t>
      </w:r>
    </w:p>
    <w:p>
      <w:pPr>
        <w:spacing w:after="0" w:line="8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board has established five standing committees: Audit, Talent and Compensation, Directors and Corporate Governance, Science and Technology, and Ethics and Compliance. Our independent directors are appointed to committees to take advantage of their diverse skill sets and enable deep focus on a specific scope of matters. The board annually reviews committee memberships and chair positions, seeking the best blend of continuity and innovative perspectives on the committees.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Each of our committees:</w:t>
      </w:r>
    </w:p>
    <w:p>
      <w:pPr>
        <w:spacing w:after="0" w:line="171" w:lineRule="exact"/>
        <w:rPr>
          <w:sz w:val="20"/>
          <w:szCs w:val="20"/>
          <w:color w:val="auto"/>
        </w:rPr>
      </w:pPr>
    </w:p>
    <w:p>
      <w:pPr>
        <w:ind w:left="640" w:hanging="308"/>
        <w:spacing w:after="0"/>
        <w:tabs>
          <w:tab w:leader="none" w:pos="640" w:val="left"/>
        </w:tabs>
        <w:numPr>
          <w:ilvl w:val="0"/>
          <w:numId w:val="86"/>
        </w:numPr>
        <w:rPr>
          <w:rFonts w:ascii="Arial" w:cs="Arial" w:eastAsia="Arial" w:hAnsi="Arial"/>
          <w:sz w:val="16"/>
          <w:szCs w:val="16"/>
          <w:color w:val="auto"/>
        </w:rPr>
      </w:pPr>
      <w:r>
        <w:rPr>
          <w:rFonts w:ascii="Arial" w:cs="Arial" w:eastAsia="Arial" w:hAnsi="Arial"/>
          <w:sz w:val="18"/>
          <w:szCs w:val="18"/>
          <w:color w:val="auto"/>
        </w:rPr>
        <w:t xml:space="preserve">operates pursuant to a written charter (available on our website at </w:t>
      </w:r>
      <w:r>
        <w:rPr>
          <w:rFonts w:ascii="Arial" w:cs="Arial" w:eastAsia="Arial" w:hAnsi="Arial"/>
          <w:sz w:val="18"/>
          <w:szCs w:val="18"/>
          <w:color w:val="D52B1E"/>
        </w:rPr>
        <w:t>lilly.com/leadership/governance</w:t>
      </w:r>
      <w:r>
        <w:rPr>
          <w:rFonts w:ascii="Arial" w:cs="Arial" w:eastAsia="Arial" w:hAnsi="Arial"/>
          <w:sz w:val="18"/>
          <w:szCs w:val="18"/>
          <w:color w:val="auto"/>
        </w:rPr>
        <w:t>),</w:t>
      </w:r>
    </w:p>
    <w:p>
      <w:pPr>
        <w:spacing w:after="0" w:line="63" w:lineRule="exact"/>
        <w:rPr>
          <w:rFonts w:ascii="Arial" w:cs="Arial" w:eastAsia="Arial" w:hAnsi="Arial"/>
          <w:sz w:val="16"/>
          <w:szCs w:val="16"/>
          <w:color w:val="auto"/>
        </w:rPr>
      </w:pPr>
    </w:p>
    <w:p>
      <w:pPr>
        <w:ind w:left="640" w:hanging="308"/>
        <w:spacing w:after="0"/>
        <w:tabs>
          <w:tab w:leader="none" w:pos="640" w:val="left"/>
        </w:tabs>
        <w:numPr>
          <w:ilvl w:val="0"/>
          <w:numId w:val="86"/>
        </w:numPr>
        <w:rPr>
          <w:rFonts w:ascii="Arial" w:cs="Arial" w:eastAsia="Arial" w:hAnsi="Arial"/>
          <w:sz w:val="16"/>
          <w:szCs w:val="16"/>
          <w:color w:val="auto"/>
        </w:rPr>
      </w:pPr>
      <w:r>
        <w:rPr>
          <w:rFonts w:ascii="Arial" w:cs="Arial" w:eastAsia="Arial" w:hAnsi="Arial"/>
          <w:sz w:val="18"/>
          <w:szCs w:val="18"/>
          <w:color w:val="auto"/>
        </w:rPr>
        <w:t>evaluates its performance annually,</w:t>
      </w:r>
    </w:p>
    <w:p>
      <w:pPr>
        <w:spacing w:after="0" w:line="63" w:lineRule="exact"/>
        <w:rPr>
          <w:rFonts w:ascii="Arial" w:cs="Arial" w:eastAsia="Arial" w:hAnsi="Arial"/>
          <w:sz w:val="16"/>
          <w:szCs w:val="16"/>
          <w:color w:val="auto"/>
        </w:rPr>
      </w:pPr>
    </w:p>
    <w:p>
      <w:pPr>
        <w:ind w:left="640" w:hanging="308"/>
        <w:spacing w:after="0"/>
        <w:tabs>
          <w:tab w:leader="none" w:pos="640" w:val="left"/>
        </w:tabs>
        <w:numPr>
          <w:ilvl w:val="0"/>
          <w:numId w:val="86"/>
        </w:numPr>
        <w:rPr>
          <w:rFonts w:ascii="Arial" w:cs="Arial" w:eastAsia="Arial" w:hAnsi="Arial"/>
          <w:sz w:val="16"/>
          <w:szCs w:val="16"/>
          <w:color w:val="auto"/>
        </w:rPr>
      </w:pPr>
      <w:r>
        <w:rPr>
          <w:rFonts w:ascii="Arial" w:cs="Arial" w:eastAsia="Arial" w:hAnsi="Arial"/>
          <w:sz w:val="18"/>
          <w:szCs w:val="18"/>
          <w:color w:val="auto"/>
        </w:rPr>
        <w:t>reviews its charter annually, and</w:t>
      </w:r>
    </w:p>
    <w:p>
      <w:pPr>
        <w:spacing w:after="0" w:line="63" w:lineRule="exact"/>
        <w:rPr>
          <w:rFonts w:ascii="Arial" w:cs="Arial" w:eastAsia="Arial" w:hAnsi="Arial"/>
          <w:sz w:val="16"/>
          <w:szCs w:val="16"/>
          <w:color w:val="auto"/>
        </w:rPr>
      </w:pPr>
    </w:p>
    <w:p>
      <w:pPr>
        <w:ind w:left="660" w:right="1060" w:hanging="328"/>
        <w:spacing w:after="0" w:line="287" w:lineRule="auto"/>
        <w:tabs>
          <w:tab w:leader="none" w:pos="649" w:val="left"/>
        </w:tabs>
        <w:numPr>
          <w:ilvl w:val="0"/>
          <w:numId w:val="86"/>
        </w:numPr>
        <w:rPr>
          <w:rFonts w:ascii="Arial" w:cs="Arial" w:eastAsia="Arial" w:hAnsi="Arial"/>
          <w:sz w:val="16"/>
          <w:szCs w:val="16"/>
          <w:color w:val="auto"/>
        </w:rPr>
      </w:pPr>
      <w:r>
        <w:rPr>
          <w:rFonts w:ascii="Arial" w:cs="Arial" w:eastAsia="Arial" w:hAnsi="Arial"/>
          <w:sz w:val="18"/>
          <w:szCs w:val="18"/>
          <w:color w:val="auto"/>
        </w:rPr>
        <w:t>is composed only of members that have been determined by the board to be independent as defined in the NYSE listing requirements and Lilly’s independence standards.</w:t>
      </w:r>
    </w:p>
    <w:p>
      <w:pPr>
        <w:spacing w:after="0" w:line="9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addition, the members of the Audit and Talent and Compensation Committees each meet the additional independence requirements applicable to them as members of those committees. For more information on director independence, see “</w:t>
      </w:r>
      <w:r>
        <w:rPr>
          <w:rFonts w:ascii="Arial" w:cs="Arial" w:eastAsia="Arial" w:hAnsi="Arial"/>
          <w:sz w:val="18"/>
          <w:szCs w:val="18"/>
          <w:u w:val="single" w:color="auto"/>
          <w:color w:val="0000FF"/>
        </w:rPr>
        <w:t>Governance—How We Build an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Effective Board—Director Qualifications—Independence</w:t>
      </w:r>
      <w:r>
        <w:rPr>
          <w:rFonts w:ascii="Arial" w:cs="Arial" w:eastAsia="Arial" w:hAnsi="Arial"/>
          <w:sz w:val="18"/>
          <w:szCs w:val="18"/>
          <w:color w:val="000000"/>
        </w:rPr>
        <w:t>.”</w:t>
      </w:r>
    </w:p>
    <w:p>
      <w:pPr>
        <w:spacing w:after="0" w:line="10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chair of each committee determines the frequency and agenda of committee meetings, subject to any minimums specified in the relevant committee charter, and the committees meet alone in executive session on a regular basis.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Meetings of the Board and Its Committees</w:t>
      </w:r>
    </w:p>
    <w:p>
      <w:pPr>
        <w:spacing w:after="0" w:line="4" w:lineRule="exact"/>
        <w:rPr>
          <w:sz w:val="20"/>
          <w:szCs w:val="20"/>
          <w:color w:val="auto"/>
        </w:rPr>
      </w:pPr>
    </w:p>
    <w:p>
      <w:pPr>
        <w:ind w:right="280"/>
        <w:spacing w:after="0" w:line="234" w:lineRule="auto"/>
        <w:rPr>
          <w:sz w:val="20"/>
          <w:szCs w:val="20"/>
          <w:color w:val="auto"/>
        </w:rPr>
      </w:pPr>
      <w:r>
        <w:rPr>
          <w:rFonts w:ascii="Arial" w:cs="Arial" w:eastAsia="Arial" w:hAnsi="Arial"/>
          <w:sz w:val="18"/>
          <w:szCs w:val="18"/>
          <w:color w:val="auto"/>
        </w:rPr>
        <w:t>In 2022, our board met seven times, and each director attended at least 75 percent of the total number of meetings of the board and the committees on which he or she served during his or her tenure as a board or committee member. In addition, all board members are expected to attend the Annual Meeting. All directors then serving on the board attended the 2022 annual meeting of shareholders with the</w:t>
      </w:r>
    </w:p>
    <w:p>
      <w:pPr>
        <w:spacing w:after="0" w:line="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exception of Mr. Eskew, who retired following the 2022 annual meeting. Key responsibilities, current committee membership and the number of meetings of the board and each committee held in 2022 are shown in the table below.</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36" w:name="page37"/>
    <w:bookmarkEnd w:id="36"/>
    <w:p>
      <w:pPr>
        <w:jc w:val="right"/>
        <w:ind w:right="3279"/>
        <w:spacing w:after="0"/>
        <w:rPr>
          <w:sz w:val="20"/>
          <w:szCs w:val="20"/>
          <w:color w:val="auto"/>
        </w:rPr>
      </w:pPr>
      <w:r>
        <w:rPr>
          <w:rFonts w:ascii="Arial" w:cs="Arial" w:eastAsia="Arial" w:hAnsi="Arial"/>
          <w:sz w:val="22"/>
          <w:szCs w:val="22"/>
          <w:b w:val="1"/>
          <w:bCs w:val="1"/>
          <w:color w:val="auto"/>
        </w:rPr>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06374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-158750</wp:posOffset>
            </wp:positionV>
            <wp:extent cx="706374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106045</wp:posOffset>
            </wp:positionV>
            <wp:extent cx="539750" cy="4718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39750" cy="471805"/>
                    </a:xfrm>
                    <a:prstGeom prst="rect">
                      <a:avLst/>
                    </a:prstGeom>
                    <a:noFill/>
                  </pic:spPr>
                </pic:pic>
              </a:graphicData>
            </a:graphic>
          </wp:anchor>
        </w:drawing>
      </w:r>
    </w:p>
    <w:p>
      <w:pPr>
        <w:spacing w:after="0" w:line="366" w:lineRule="exact"/>
        <w:rPr>
          <w:sz w:val="20"/>
          <w:szCs w:val="20"/>
          <w:color w:val="auto"/>
        </w:rPr>
      </w:pPr>
    </w:p>
    <w:p>
      <w:pPr>
        <w:ind w:left="1140"/>
        <w:spacing w:after="0"/>
        <w:rPr>
          <w:sz w:val="20"/>
          <w:szCs w:val="20"/>
          <w:color w:val="auto"/>
        </w:rPr>
      </w:pPr>
      <w:r>
        <w:rPr>
          <w:rFonts w:ascii="Arial" w:cs="Arial" w:eastAsia="Arial" w:hAnsi="Arial"/>
          <w:sz w:val="20"/>
          <w:szCs w:val="20"/>
          <w:b w:val="1"/>
          <w:bCs w:val="1"/>
          <w:color w:val="D52B1E"/>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1775460</wp:posOffset>
            </wp:positionH>
            <wp:positionV relativeFrom="paragraph">
              <wp:posOffset>-53340</wp:posOffset>
            </wp:positionV>
            <wp:extent cx="397764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977640" cy="8255"/>
                    </a:xfrm>
                    <a:prstGeom prst="rect">
                      <a:avLst/>
                    </a:prstGeom>
                    <a:noFill/>
                  </pic:spPr>
                </pic:pic>
              </a:graphicData>
            </a:graphic>
          </wp:anchor>
        </w:drawing>
      </w:r>
    </w:p>
    <w:p>
      <w:pPr>
        <w:sectPr>
          <w:pgSz w:w="11900" w:h="16838" w:orient="portrait"/>
          <w:cols w:equalWidth="0" w:num="1">
            <w:col w:w="10119"/>
          </w:cols>
          <w:pgMar w:left="340" w:top="975"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w:t>
      </w:r>
      <w:r>
        <w:rPr>
          <w:rFonts w:ascii="Arial" w:cs="Arial" w:eastAsia="Arial" w:hAnsi="Arial"/>
          <w:sz w:val="18"/>
          <w:szCs w:val="18"/>
          <w:color w:val="auto"/>
        </w:rPr>
        <w:t>:</w:t>
      </w:r>
    </w:p>
    <w:p>
      <w:pPr>
        <w:spacing w:after="0" w:line="225" w:lineRule="exact"/>
        <w:rPr>
          <w:sz w:val="20"/>
          <w:szCs w:val="20"/>
          <w:color w:val="auto"/>
        </w:rPr>
      </w:pPr>
    </w:p>
    <w:p>
      <w:pPr>
        <w:ind w:left="240" w:hanging="153"/>
        <w:spacing w:after="0"/>
        <w:tabs>
          <w:tab w:leader="none" w:pos="240" w:val="left"/>
        </w:tabs>
        <w:numPr>
          <w:ilvl w:val="1"/>
          <w:numId w:val="87"/>
        </w:numPr>
        <w:rPr>
          <w:rFonts w:ascii="Arial" w:cs="Arial" w:eastAsia="Arial" w:hAnsi="Arial"/>
          <w:sz w:val="16"/>
          <w:szCs w:val="16"/>
          <w:color w:val="auto"/>
        </w:rPr>
      </w:pPr>
      <w:r>
        <w:rPr>
          <w:rFonts w:ascii="Arial" w:cs="Arial" w:eastAsia="Arial" w:hAnsi="Arial"/>
          <w:sz w:val="18"/>
          <w:szCs w:val="18"/>
          <w:color w:val="auto"/>
        </w:rPr>
        <w:t>Mr. Alvarez*</w:t>
      </w:r>
    </w:p>
    <w:p>
      <w:pPr>
        <w:spacing w:after="0" w:line="63" w:lineRule="exact"/>
        <w:rPr>
          <w:rFonts w:ascii="Arial" w:cs="Arial" w:eastAsia="Arial" w:hAnsi="Arial"/>
          <w:sz w:val="16"/>
          <w:szCs w:val="16"/>
          <w:color w:val="auto"/>
        </w:rPr>
      </w:pPr>
    </w:p>
    <w:p>
      <w:pPr>
        <w:ind w:left="240" w:hanging="153"/>
        <w:spacing w:after="0"/>
        <w:tabs>
          <w:tab w:leader="none" w:pos="240" w:val="left"/>
        </w:tabs>
        <w:numPr>
          <w:ilvl w:val="1"/>
          <w:numId w:val="87"/>
        </w:numPr>
        <w:rPr>
          <w:rFonts w:ascii="Arial" w:cs="Arial" w:eastAsia="Arial" w:hAnsi="Arial"/>
          <w:sz w:val="15"/>
          <w:szCs w:val="15"/>
          <w:color w:val="auto"/>
        </w:rPr>
      </w:pPr>
      <w:r>
        <w:rPr>
          <w:rFonts w:ascii="Arial" w:cs="Arial" w:eastAsia="Arial" w:hAnsi="Arial"/>
          <w:sz w:val="17"/>
          <w:szCs w:val="17"/>
          <w:color w:val="auto"/>
        </w:rPr>
        <w:t>Mr. Jackson* (Chair)</w:t>
      </w:r>
    </w:p>
    <w:p>
      <w:pPr>
        <w:spacing w:after="0" w:line="74" w:lineRule="exact"/>
        <w:rPr>
          <w:rFonts w:ascii="Arial" w:cs="Arial" w:eastAsia="Arial" w:hAnsi="Arial"/>
          <w:sz w:val="15"/>
          <w:szCs w:val="15"/>
          <w:color w:val="auto"/>
        </w:rPr>
      </w:pPr>
    </w:p>
    <w:p>
      <w:pPr>
        <w:ind w:left="240" w:hanging="153"/>
        <w:spacing w:after="0"/>
        <w:tabs>
          <w:tab w:leader="none" w:pos="240" w:val="left"/>
        </w:tabs>
        <w:numPr>
          <w:ilvl w:val="1"/>
          <w:numId w:val="87"/>
        </w:numPr>
        <w:rPr>
          <w:rFonts w:ascii="Arial" w:cs="Arial" w:eastAsia="Arial" w:hAnsi="Arial"/>
          <w:sz w:val="16"/>
          <w:szCs w:val="16"/>
          <w:color w:val="auto"/>
        </w:rPr>
      </w:pPr>
      <w:r>
        <w:rPr>
          <w:rFonts w:ascii="Arial" w:cs="Arial" w:eastAsia="Arial" w:hAnsi="Arial"/>
          <w:sz w:val="18"/>
          <w:szCs w:val="18"/>
          <w:color w:val="auto"/>
        </w:rPr>
        <w:t>Ms. Sulzberger*</w:t>
      </w:r>
    </w:p>
    <w:p>
      <w:pPr>
        <w:spacing w:after="0" w:line="63" w:lineRule="exact"/>
        <w:rPr>
          <w:rFonts w:ascii="Arial" w:cs="Arial" w:eastAsia="Arial" w:hAnsi="Arial"/>
          <w:sz w:val="16"/>
          <w:szCs w:val="16"/>
          <w:color w:val="auto"/>
        </w:rPr>
      </w:pPr>
    </w:p>
    <w:p>
      <w:pPr>
        <w:ind w:left="240" w:hanging="153"/>
        <w:spacing w:after="0"/>
        <w:tabs>
          <w:tab w:leader="none" w:pos="240" w:val="left"/>
        </w:tabs>
        <w:numPr>
          <w:ilvl w:val="1"/>
          <w:numId w:val="87"/>
        </w:numPr>
        <w:rPr>
          <w:rFonts w:ascii="Arial" w:cs="Arial" w:eastAsia="Arial" w:hAnsi="Arial"/>
          <w:sz w:val="16"/>
          <w:szCs w:val="16"/>
          <w:color w:val="auto"/>
        </w:rPr>
      </w:pPr>
      <w:r>
        <w:rPr>
          <w:rFonts w:ascii="Arial" w:cs="Arial" w:eastAsia="Arial" w:hAnsi="Arial"/>
          <w:sz w:val="18"/>
          <w:szCs w:val="18"/>
          <w:color w:val="auto"/>
        </w:rPr>
        <w:t>Mr. Tai*</w:t>
      </w:r>
    </w:p>
    <w:p>
      <w:pPr>
        <w:spacing w:after="0" w:line="63" w:lineRule="exact"/>
        <w:rPr>
          <w:rFonts w:ascii="Arial" w:cs="Arial" w:eastAsia="Arial" w:hAnsi="Arial"/>
          <w:sz w:val="16"/>
          <w:szCs w:val="16"/>
          <w:color w:val="auto"/>
        </w:rPr>
      </w:pPr>
    </w:p>
    <w:p>
      <w:pPr>
        <w:ind w:left="240" w:hanging="153"/>
        <w:spacing w:after="0"/>
        <w:tabs>
          <w:tab w:leader="none" w:pos="240" w:val="left"/>
        </w:tabs>
        <w:numPr>
          <w:ilvl w:val="1"/>
          <w:numId w:val="87"/>
        </w:numPr>
        <w:rPr>
          <w:rFonts w:ascii="Arial" w:cs="Arial" w:eastAsia="Arial" w:hAnsi="Arial"/>
          <w:sz w:val="16"/>
          <w:szCs w:val="16"/>
          <w:color w:val="auto"/>
        </w:rPr>
      </w:pPr>
      <w:r>
        <w:rPr>
          <w:rFonts w:ascii="Arial" w:cs="Arial" w:eastAsia="Arial" w:hAnsi="Arial"/>
          <w:sz w:val="18"/>
          <w:szCs w:val="18"/>
          <w:color w:val="auto"/>
        </w:rPr>
        <w:t>Ms. Walker</w:t>
      </w:r>
    </w:p>
    <w:p>
      <w:pPr>
        <w:spacing w:after="0" w:line="6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i w:val="1"/>
          <w:iCs w:val="1"/>
          <w:color w:val="auto"/>
        </w:rPr>
        <w:t>* Financial Experts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Meetings in 2022: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1457960</wp:posOffset>
            </wp:positionV>
            <wp:extent cx="531495" cy="4718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31495" cy="4718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responsibilities and areas of risk oversight:</w:t>
      </w:r>
    </w:p>
    <w:p>
      <w:pPr>
        <w:spacing w:after="0" w:line="63" w:lineRule="exact"/>
        <w:rPr>
          <w:sz w:val="20"/>
          <w:szCs w:val="20"/>
          <w:color w:val="auto"/>
        </w:rPr>
      </w:pPr>
    </w:p>
    <w:p>
      <w:pPr>
        <w:ind w:left="660" w:right="1259" w:hanging="331"/>
        <w:spacing w:after="0" w:line="281" w:lineRule="auto"/>
        <w:tabs>
          <w:tab w:leader="none" w:pos="649" w:val="left"/>
        </w:tabs>
        <w:numPr>
          <w:ilvl w:val="0"/>
          <w:numId w:val="88"/>
        </w:numPr>
        <w:rPr>
          <w:rFonts w:ascii="Arial" w:cs="Arial" w:eastAsia="Arial" w:hAnsi="Arial"/>
          <w:sz w:val="16"/>
          <w:szCs w:val="16"/>
          <w:color w:val="auto"/>
        </w:rPr>
      </w:pPr>
      <w:r>
        <w:rPr>
          <w:rFonts w:ascii="Arial" w:cs="Arial" w:eastAsia="Arial" w:hAnsi="Arial"/>
          <w:sz w:val="18"/>
          <w:szCs w:val="18"/>
          <w:color w:val="auto"/>
        </w:rPr>
        <w:t>oversees integrity of financial information provided to our shareholders and others</w:t>
      </w:r>
    </w:p>
    <w:p>
      <w:pPr>
        <w:spacing w:after="0" w:line="1" w:lineRule="exact"/>
        <w:rPr>
          <w:rFonts w:ascii="Arial" w:cs="Arial" w:eastAsia="Arial" w:hAnsi="Arial"/>
          <w:sz w:val="16"/>
          <w:szCs w:val="16"/>
          <w:color w:val="auto"/>
        </w:rPr>
      </w:pPr>
    </w:p>
    <w:p>
      <w:pPr>
        <w:ind w:left="660" w:right="1459" w:hanging="331"/>
        <w:spacing w:after="0" w:line="281" w:lineRule="auto"/>
        <w:tabs>
          <w:tab w:leader="none" w:pos="649" w:val="left"/>
        </w:tabs>
        <w:numPr>
          <w:ilvl w:val="0"/>
          <w:numId w:val="88"/>
        </w:numPr>
        <w:rPr>
          <w:rFonts w:ascii="Arial" w:cs="Arial" w:eastAsia="Arial" w:hAnsi="Arial"/>
          <w:sz w:val="16"/>
          <w:szCs w:val="16"/>
          <w:color w:val="auto"/>
        </w:rPr>
      </w:pPr>
      <w:r>
        <w:rPr>
          <w:rFonts w:ascii="Arial" w:cs="Arial" w:eastAsia="Arial" w:hAnsi="Arial"/>
          <w:sz w:val="18"/>
          <w:szCs w:val="18"/>
          <w:color w:val="auto"/>
        </w:rPr>
        <w:t>oversees management’s systems of internal controls and disclosure controls</w:t>
      </w:r>
    </w:p>
    <w:p>
      <w:pPr>
        <w:spacing w:after="0" w:line="1" w:lineRule="exact"/>
        <w:rPr>
          <w:rFonts w:ascii="Arial" w:cs="Arial" w:eastAsia="Arial" w:hAnsi="Arial"/>
          <w:sz w:val="16"/>
          <w:szCs w:val="16"/>
          <w:color w:val="auto"/>
        </w:rPr>
      </w:pPr>
    </w:p>
    <w:p>
      <w:pPr>
        <w:ind w:left="640" w:hanging="311"/>
        <w:spacing w:after="0"/>
        <w:tabs>
          <w:tab w:leader="none" w:pos="640" w:val="left"/>
        </w:tabs>
        <w:numPr>
          <w:ilvl w:val="0"/>
          <w:numId w:val="88"/>
        </w:numPr>
        <w:rPr>
          <w:rFonts w:ascii="Arial" w:cs="Arial" w:eastAsia="Arial" w:hAnsi="Arial"/>
          <w:sz w:val="16"/>
          <w:szCs w:val="16"/>
          <w:color w:val="auto"/>
        </w:rPr>
      </w:pPr>
      <w:r>
        <w:rPr>
          <w:rFonts w:ascii="Arial" w:cs="Arial" w:eastAsia="Arial" w:hAnsi="Arial"/>
          <w:sz w:val="18"/>
          <w:szCs w:val="18"/>
          <w:color w:val="auto"/>
        </w:rPr>
        <w:t>oversees performance of internal and independent audit functions</w:t>
      </w:r>
    </w:p>
    <w:p>
      <w:pPr>
        <w:spacing w:after="0" w:line="63" w:lineRule="exact"/>
        <w:rPr>
          <w:rFonts w:ascii="Arial" w:cs="Arial" w:eastAsia="Arial" w:hAnsi="Arial"/>
          <w:sz w:val="16"/>
          <w:szCs w:val="16"/>
          <w:color w:val="auto"/>
        </w:rPr>
      </w:pPr>
    </w:p>
    <w:p>
      <w:pPr>
        <w:ind w:left="660" w:right="1899" w:hanging="331"/>
        <w:spacing w:after="0" w:line="281" w:lineRule="auto"/>
        <w:tabs>
          <w:tab w:leader="none" w:pos="649" w:val="left"/>
        </w:tabs>
        <w:numPr>
          <w:ilvl w:val="0"/>
          <w:numId w:val="88"/>
        </w:numPr>
        <w:rPr>
          <w:rFonts w:ascii="Arial" w:cs="Arial" w:eastAsia="Arial" w:hAnsi="Arial"/>
          <w:sz w:val="16"/>
          <w:szCs w:val="16"/>
          <w:color w:val="auto"/>
        </w:rPr>
      </w:pPr>
      <w:r>
        <w:rPr>
          <w:rFonts w:ascii="Arial" w:cs="Arial" w:eastAsia="Arial" w:hAnsi="Arial"/>
          <w:sz w:val="18"/>
          <w:szCs w:val="18"/>
          <w:color w:val="auto"/>
        </w:rPr>
        <w:t>establishes qualifications and determines independence of the company’s independent auditor</w:t>
      </w:r>
    </w:p>
    <w:p>
      <w:pPr>
        <w:spacing w:after="0" w:line="1" w:lineRule="exact"/>
        <w:rPr>
          <w:rFonts w:ascii="Arial" w:cs="Arial" w:eastAsia="Arial" w:hAnsi="Arial"/>
          <w:sz w:val="16"/>
          <w:szCs w:val="16"/>
          <w:color w:val="auto"/>
        </w:rPr>
      </w:pPr>
    </w:p>
    <w:p>
      <w:pPr>
        <w:ind w:left="640" w:hanging="311"/>
        <w:spacing w:after="0"/>
        <w:tabs>
          <w:tab w:leader="none" w:pos="640" w:val="left"/>
        </w:tabs>
        <w:numPr>
          <w:ilvl w:val="0"/>
          <w:numId w:val="88"/>
        </w:numPr>
        <w:rPr>
          <w:rFonts w:ascii="Arial" w:cs="Arial" w:eastAsia="Arial" w:hAnsi="Arial"/>
          <w:sz w:val="16"/>
          <w:szCs w:val="16"/>
          <w:color w:val="auto"/>
        </w:rPr>
      </w:pPr>
      <w:r>
        <w:rPr>
          <w:rFonts w:ascii="Arial" w:cs="Arial" w:eastAsia="Arial" w:hAnsi="Arial"/>
          <w:sz w:val="18"/>
          <w:szCs w:val="18"/>
          <w:color w:val="auto"/>
        </w:rPr>
        <w:t>has sole authority to appoint or replace the independent auditor</w:t>
      </w:r>
    </w:p>
    <w:p>
      <w:pPr>
        <w:spacing w:after="0" w:line="63" w:lineRule="exact"/>
        <w:rPr>
          <w:rFonts w:ascii="Arial" w:cs="Arial" w:eastAsia="Arial" w:hAnsi="Arial"/>
          <w:sz w:val="16"/>
          <w:szCs w:val="16"/>
          <w:color w:val="auto"/>
        </w:rPr>
      </w:pPr>
    </w:p>
    <w:p>
      <w:pPr>
        <w:ind w:left="640" w:hanging="311"/>
        <w:spacing w:after="0"/>
        <w:tabs>
          <w:tab w:leader="none" w:pos="640" w:val="left"/>
        </w:tabs>
        <w:numPr>
          <w:ilvl w:val="0"/>
          <w:numId w:val="88"/>
        </w:numPr>
        <w:rPr>
          <w:rFonts w:ascii="Arial" w:cs="Arial" w:eastAsia="Arial" w:hAnsi="Arial"/>
          <w:sz w:val="16"/>
          <w:szCs w:val="16"/>
          <w:color w:val="auto"/>
        </w:rPr>
      </w:pPr>
      <w:r>
        <w:rPr>
          <w:rFonts w:ascii="Arial" w:cs="Arial" w:eastAsia="Arial" w:hAnsi="Arial"/>
          <w:sz w:val="18"/>
          <w:szCs w:val="18"/>
          <w:color w:val="auto"/>
        </w:rPr>
        <w:t>oversees compliance with legal and regulatory requirements</w:t>
      </w:r>
    </w:p>
    <w:p>
      <w:pPr>
        <w:spacing w:after="0" w:line="63" w:lineRule="exact"/>
        <w:rPr>
          <w:rFonts w:ascii="Arial" w:cs="Arial" w:eastAsia="Arial" w:hAnsi="Arial"/>
          <w:sz w:val="16"/>
          <w:szCs w:val="16"/>
          <w:color w:val="auto"/>
        </w:rPr>
      </w:pPr>
    </w:p>
    <w:p>
      <w:pPr>
        <w:ind w:left="660" w:right="1119" w:hanging="331"/>
        <w:spacing w:after="0" w:line="281" w:lineRule="auto"/>
        <w:tabs>
          <w:tab w:leader="none" w:pos="649" w:val="left"/>
        </w:tabs>
        <w:numPr>
          <w:ilvl w:val="0"/>
          <w:numId w:val="88"/>
        </w:numPr>
        <w:rPr>
          <w:rFonts w:ascii="Arial" w:cs="Arial" w:eastAsia="Arial" w:hAnsi="Arial"/>
          <w:sz w:val="16"/>
          <w:szCs w:val="16"/>
          <w:color w:val="auto"/>
        </w:rPr>
      </w:pPr>
      <w:r>
        <w:rPr>
          <w:rFonts w:ascii="Arial" w:cs="Arial" w:eastAsia="Arial" w:hAnsi="Arial"/>
          <w:sz w:val="18"/>
          <w:szCs w:val="18"/>
          <w:color w:val="auto"/>
        </w:rPr>
        <w:t>oversees processes and procedures related to identifying and mitigating enterprise-level risks</w:t>
      </w:r>
    </w:p>
    <w:p>
      <w:pPr>
        <w:spacing w:after="0" w:line="1" w:lineRule="exact"/>
        <w:rPr>
          <w:rFonts w:ascii="Arial" w:cs="Arial" w:eastAsia="Arial" w:hAnsi="Arial"/>
          <w:sz w:val="16"/>
          <w:szCs w:val="16"/>
          <w:color w:val="auto"/>
        </w:rPr>
      </w:pPr>
    </w:p>
    <w:p>
      <w:pPr>
        <w:ind w:left="660" w:right="1679" w:hanging="331"/>
        <w:spacing w:after="0" w:line="268" w:lineRule="auto"/>
        <w:tabs>
          <w:tab w:leader="none" w:pos="649" w:val="left"/>
        </w:tabs>
        <w:numPr>
          <w:ilvl w:val="0"/>
          <w:numId w:val="88"/>
        </w:numPr>
        <w:rPr>
          <w:rFonts w:ascii="Arial" w:cs="Arial" w:eastAsia="Arial" w:hAnsi="Arial"/>
          <w:sz w:val="16"/>
          <w:szCs w:val="16"/>
          <w:color w:val="auto"/>
        </w:rPr>
      </w:pPr>
      <w:r>
        <w:rPr>
          <w:rFonts w:ascii="Arial" w:cs="Arial" w:eastAsia="Arial" w:hAnsi="Arial"/>
          <w:sz w:val="18"/>
          <w:szCs w:val="18"/>
          <w:color w:val="auto"/>
        </w:rPr>
        <w:t>oversees the company’s programs, policies, procedures, and risk management activities related to information security and data protection</w:t>
      </w:r>
    </w:p>
    <w:p>
      <w:pPr>
        <w:spacing w:after="0" w:line="8" w:lineRule="exact"/>
        <w:rPr>
          <w:rFonts w:ascii="Arial" w:cs="Arial" w:eastAsia="Arial" w:hAnsi="Arial"/>
          <w:sz w:val="16"/>
          <w:szCs w:val="16"/>
          <w:color w:val="auto"/>
        </w:rPr>
      </w:pPr>
    </w:p>
    <w:p>
      <w:pPr>
        <w:ind w:left="660" w:right="1679" w:hanging="331"/>
        <w:spacing w:after="0" w:line="260" w:lineRule="auto"/>
        <w:tabs>
          <w:tab w:leader="none" w:pos="649" w:val="left"/>
        </w:tabs>
        <w:numPr>
          <w:ilvl w:val="0"/>
          <w:numId w:val="88"/>
        </w:numPr>
        <w:rPr>
          <w:rFonts w:ascii="Arial" w:cs="Arial" w:eastAsia="Arial" w:hAnsi="Arial"/>
          <w:sz w:val="16"/>
          <w:szCs w:val="16"/>
          <w:color w:val="auto"/>
        </w:rPr>
      </w:pPr>
      <w:r>
        <w:rPr>
          <w:rFonts w:ascii="Arial" w:cs="Arial" w:eastAsia="Arial" w:hAnsi="Arial"/>
          <w:sz w:val="18"/>
          <w:szCs w:val="18"/>
          <w:color w:val="auto"/>
        </w:rPr>
        <w:t>together with the ethics and compliance committee, oversees the company’s compliance with the company’s code of</w:t>
      </w:r>
    </w:p>
    <w:p>
      <w:pPr>
        <w:spacing w:after="0" w:line="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ethics</w:t>
      </w:r>
    </w:p>
    <w:p>
      <w:pPr>
        <w:spacing w:after="0" w:line="200" w:lineRule="exact"/>
        <w:rPr>
          <w:sz w:val="20"/>
          <w:szCs w:val="20"/>
          <w:color w:val="auto"/>
        </w:rPr>
      </w:pPr>
    </w:p>
    <w:p>
      <w:pPr>
        <w:sectPr>
          <w:pgSz w:w="11900" w:h="16838" w:orient="portrait"/>
          <w:cols w:equalWidth="0" w:num="2">
            <w:col w:w="1900" w:space="720"/>
            <w:col w:w="7499"/>
          </w:cols>
          <w:pgMar w:left="340" w:top="975" w:right="1440" w:bottom="1440" w:gutter="0" w:footer="0" w:header="0"/>
          <w:type w:val="continuous"/>
        </w:sectPr>
      </w:pPr>
    </w:p>
    <w:p>
      <w:pPr>
        <w:spacing w:after="0" w:line="340" w:lineRule="exact"/>
        <w:rPr>
          <w:sz w:val="20"/>
          <w:szCs w:val="20"/>
          <w:color w:val="auto"/>
        </w:rPr>
      </w:pPr>
    </w:p>
    <w:p>
      <w:pPr>
        <w:ind w:left="1160"/>
        <w:spacing w:after="0"/>
        <w:rPr>
          <w:sz w:val="20"/>
          <w:szCs w:val="20"/>
          <w:color w:val="auto"/>
        </w:rPr>
      </w:pPr>
      <w:r>
        <w:rPr>
          <w:rFonts w:ascii="Arial" w:cs="Arial" w:eastAsia="Arial" w:hAnsi="Arial"/>
          <w:sz w:val="19"/>
          <w:szCs w:val="19"/>
          <w:b w:val="1"/>
          <w:bCs w:val="1"/>
          <w:color w:val="D52B1E"/>
        </w:rPr>
        <w:t>Talent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3018155</wp:posOffset>
            </wp:positionH>
            <wp:positionV relativeFrom="paragraph">
              <wp:posOffset>-45720</wp:posOffset>
            </wp:positionV>
            <wp:extent cx="273431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ectPr>
          <w:pgSz w:w="11900" w:h="16838" w:orient="portrait"/>
          <w:cols w:equalWidth="0" w:num="1">
            <w:col w:w="10119"/>
          </w:cols>
          <w:pgMar w:left="340" w:top="975" w:right="1440"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w:t>
      </w:r>
      <w:r>
        <w:rPr>
          <w:rFonts w:ascii="Arial" w:cs="Arial" w:eastAsia="Arial" w:hAnsi="Arial"/>
          <w:sz w:val="18"/>
          <w:szCs w:val="18"/>
          <w:color w:val="auto"/>
        </w:rPr>
        <w:t>:</w:t>
      </w:r>
    </w:p>
    <w:p>
      <w:pPr>
        <w:spacing w:after="0" w:line="225" w:lineRule="exact"/>
        <w:rPr>
          <w:sz w:val="20"/>
          <w:szCs w:val="20"/>
          <w:color w:val="auto"/>
        </w:rPr>
      </w:pPr>
    </w:p>
    <w:p>
      <w:pPr>
        <w:ind w:left="240" w:hanging="153"/>
        <w:spacing w:after="0"/>
        <w:tabs>
          <w:tab w:leader="none" w:pos="240" w:val="left"/>
        </w:tabs>
        <w:numPr>
          <w:ilvl w:val="0"/>
          <w:numId w:val="89"/>
        </w:numPr>
        <w:rPr>
          <w:rFonts w:ascii="Arial" w:cs="Arial" w:eastAsia="Arial" w:hAnsi="Arial"/>
          <w:sz w:val="15"/>
          <w:szCs w:val="15"/>
          <w:color w:val="auto"/>
        </w:rPr>
      </w:pPr>
      <w:r>
        <w:rPr>
          <w:rFonts w:ascii="Arial" w:cs="Arial" w:eastAsia="Arial" w:hAnsi="Arial"/>
          <w:sz w:val="17"/>
          <w:szCs w:val="17"/>
          <w:color w:val="auto"/>
        </w:rPr>
        <w:t>Mr. Alvarez (Chair)</w:t>
      </w:r>
    </w:p>
    <w:p>
      <w:pPr>
        <w:spacing w:after="0" w:line="74" w:lineRule="exact"/>
        <w:rPr>
          <w:rFonts w:ascii="Arial" w:cs="Arial" w:eastAsia="Arial" w:hAnsi="Arial"/>
          <w:sz w:val="15"/>
          <w:szCs w:val="15"/>
          <w:color w:val="auto"/>
        </w:rPr>
      </w:pPr>
    </w:p>
    <w:p>
      <w:pPr>
        <w:ind w:left="240" w:hanging="153"/>
        <w:spacing w:after="0"/>
        <w:tabs>
          <w:tab w:leader="none" w:pos="240" w:val="left"/>
        </w:tabs>
        <w:numPr>
          <w:ilvl w:val="0"/>
          <w:numId w:val="89"/>
        </w:numPr>
        <w:rPr>
          <w:rFonts w:ascii="Arial" w:cs="Arial" w:eastAsia="Arial" w:hAnsi="Arial"/>
          <w:sz w:val="16"/>
          <w:szCs w:val="16"/>
          <w:color w:val="auto"/>
        </w:rPr>
      </w:pPr>
      <w:r>
        <w:rPr>
          <w:rFonts w:ascii="Arial" w:cs="Arial" w:eastAsia="Arial" w:hAnsi="Arial"/>
          <w:sz w:val="18"/>
          <w:szCs w:val="18"/>
          <w:color w:val="auto"/>
        </w:rPr>
        <w:t>Mr. Fyrwald</w:t>
      </w:r>
    </w:p>
    <w:p>
      <w:pPr>
        <w:spacing w:after="0" w:line="63" w:lineRule="exact"/>
        <w:rPr>
          <w:rFonts w:ascii="Arial" w:cs="Arial" w:eastAsia="Arial" w:hAnsi="Arial"/>
          <w:sz w:val="16"/>
          <w:szCs w:val="16"/>
          <w:color w:val="auto"/>
        </w:rPr>
      </w:pPr>
    </w:p>
    <w:p>
      <w:pPr>
        <w:ind w:left="240" w:hanging="153"/>
        <w:spacing w:after="0"/>
        <w:tabs>
          <w:tab w:leader="none" w:pos="240" w:val="left"/>
        </w:tabs>
        <w:numPr>
          <w:ilvl w:val="0"/>
          <w:numId w:val="89"/>
        </w:numPr>
        <w:rPr>
          <w:rFonts w:ascii="Arial" w:cs="Arial" w:eastAsia="Arial" w:hAnsi="Arial"/>
          <w:sz w:val="16"/>
          <w:szCs w:val="16"/>
          <w:color w:val="auto"/>
        </w:rPr>
      </w:pPr>
      <w:r>
        <w:rPr>
          <w:rFonts w:ascii="Arial" w:cs="Arial" w:eastAsia="Arial" w:hAnsi="Arial"/>
          <w:sz w:val="18"/>
          <w:szCs w:val="18"/>
          <w:color w:val="auto"/>
        </w:rPr>
        <w:t>Ms. Johnson</w:t>
      </w:r>
    </w:p>
    <w:p>
      <w:pPr>
        <w:spacing w:after="0" w:line="63" w:lineRule="exact"/>
        <w:rPr>
          <w:rFonts w:ascii="Arial" w:cs="Arial" w:eastAsia="Arial" w:hAnsi="Arial"/>
          <w:sz w:val="16"/>
          <w:szCs w:val="16"/>
          <w:color w:val="auto"/>
        </w:rPr>
      </w:pPr>
    </w:p>
    <w:p>
      <w:pPr>
        <w:ind w:left="240" w:hanging="153"/>
        <w:spacing w:after="0"/>
        <w:tabs>
          <w:tab w:leader="none" w:pos="240" w:val="left"/>
        </w:tabs>
        <w:numPr>
          <w:ilvl w:val="0"/>
          <w:numId w:val="89"/>
        </w:numPr>
        <w:rPr>
          <w:rFonts w:ascii="Arial" w:cs="Arial" w:eastAsia="Arial" w:hAnsi="Arial"/>
          <w:sz w:val="16"/>
          <w:szCs w:val="16"/>
          <w:color w:val="auto"/>
        </w:rPr>
      </w:pPr>
      <w:r>
        <w:rPr>
          <w:rFonts w:ascii="Arial" w:cs="Arial" w:eastAsia="Arial" w:hAnsi="Arial"/>
          <w:sz w:val="18"/>
          <w:szCs w:val="18"/>
          <w:color w:val="auto"/>
        </w:rPr>
        <w:t>Mr. Luciano</w:t>
      </w:r>
    </w:p>
    <w:p>
      <w:pPr>
        <w:spacing w:after="0" w:line="63" w:lineRule="exact"/>
        <w:rPr>
          <w:rFonts w:ascii="Arial" w:cs="Arial" w:eastAsia="Arial" w:hAnsi="Arial"/>
          <w:sz w:val="16"/>
          <w:szCs w:val="16"/>
          <w:color w:val="auto"/>
        </w:rPr>
      </w:pPr>
    </w:p>
    <w:p>
      <w:pPr>
        <w:ind w:left="240" w:hanging="153"/>
        <w:spacing w:after="0"/>
        <w:tabs>
          <w:tab w:leader="none" w:pos="240" w:val="left"/>
        </w:tabs>
        <w:numPr>
          <w:ilvl w:val="0"/>
          <w:numId w:val="89"/>
        </w:numPr>
        <w:rPr>
          <w:rFonts w:ascii="Arial" w:cs="Arial" w:eastAsia="Arial" w:hAnsi="Arial"/>
          <w:sz w:val="16"/>
          <w:szCs w:val="16"/>
          <w:color w:val="auto"/>
        </w:rPr>
      </w:pPr>
      <w:r>
        <w:rPr>
          <w:rFonts w:ascii="Arial" w:cs="Arial" w:eastAsia="Arial" w:hAnsi="Arial"/>
          <w:sz w:val="18"/>
          <w:szCs w:val="18"/>
          <w:color w:val="auto"/>
        </w:rPr>
        <w:t>Ms. Walker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Meetings in 2022: 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responsibilities and areas of risk oversight:</w:t>
      </w:r>
    </w:p>
    <w:p>
      <w:pPr>
        <w:spacing w:after="0" w:line="63" w:lineRule="exact"/>
        <w:rPr>
          <w:sz w:val="20"/>
          <w:szCs w:val="20"/>
          <w:color w:val="auto"/>
        </w:rPr>
      </w:pPr>
    </w:p>
    <w:p>
      <w:pPr>
        <w:ind w:left="660" w:right="1179" w:hanging="331"/>
        <w:spacing w:after="0" w:line="268" w:lineRule="auto"/>
        <w:tabs>
          <w:tab w:leader="none" w:pos="649" w:val="left"/>
        </w:tabs>
        <w:numPr>
          <w:ilvl w:val="0"/>
          <w:numId w:val="90"/>
        </w:numPr>
        <w:rPr>
          <w:rFonts w:ascii="Arial" w:cs="Arial" w:eastAsia="Arial" w:hAnsi="Arial"/>
          <w:sz w:val="16"/>
          <w:szCs w:val="16"/>
          <w:color w:val="auto"/>
        </w:rPr>
      </w:pPr>
      <w:r>
        <w:rPr>
          <w:rFonts w:ascii="Arial" w:cs="Arial" w:eastAsia="Arial" w:hAnsi="Arial"/>
          <w:sz w:val="18"/>
          <w:szCs w:val="18"/>
          <w:color w:val="auto"/>
        </w:rPr>
        <w:t>establishes the compensation of CEO (in consultation with independent directors and external compensation consultant) and other executive officers</w:t>
      </w:r>
    </w:p>
    <w:p>
      <w:pPr>
        <w:spacing w:after="0" w:line="8" w:lineRule="exact"/>
        <w:rPr>
          <w:rFonts w:ascii="Arial" w:cs="Arial" w:eastAsia="Arial" w:hAnsi="Arial"/>
          <w:sz w:val="16"/>
          <w:szCs w:val="16"/>
          <w:color w:val="auto"/>
        </w:rPr>
      </w:pPr>
    </w:p>
    <w:p>
      <w:pPr>
        <w:ind w:left="660" w:right="1459" w:hanging="331"/>
        <w:spacing w:after="0" w:line="281" w:lineRule="auto"/>
        <w:tabs>
          <w:tab w:leader="none" w:pos="649" w:val="left"/>
        </w:tabs>
        <w:numPr>
          <w:ilvl w:val="0"/>
          <w:numId w:val="90"/>
        </w:numPr>
        <w:rPr>
          <w:rFonts w:ascii="Arial" w:cs="Arial" w:eastAsia="Arial" w:hAnsi="Arial"/>
          <w:sz w:val="16"/>
          <w:szCs w:val="16"/>
          <w:color w:val="auto"/>
        </w:rPr>
      </w:pPr>
      <w:r>
        <w:rPr>
          <w:rFonts w:ascii="Arial" w:cs="Arial" w:eastAsia="Arial" w:hAnsi="Arial"/>
          <w:sz w:val="18"/>
          <w:szCs w:val="18"/>
          <w:color w:val="auto"/>
        </w:rPr>
        <w:t>oversees global compensation philosophy and human management capital efforts, including DEI efforts</w:t>
      </w:r>
    </w:p>
    <w:p>
      <w:pPr>
        <w:spacing w:after="0" w:line="1" w:lineRule="exact"/>
        <w:rPr>
          <w:rFonts w:ascii="Arial" w:cs="Arial" w:eastAsia="Arial" w:hAnsi="Arial"/>
          <w:sz w:val="16"/>
          <w:szCs w:val="16"/>
          <w:color w:val="auto"/>
        </w:rPr>
      </w:pPr>
    </w:p>
    <w:p>
      <w:pPr>
        <w:ind w:left="640" w:hanging="311"/>
        <w:spacing w:after="0"/>
        <w:tabs>
          <w:tab w:leader="none" w:pos="640" w:val="left"/>
        </w:tabs>
        <w:numPr>
          <w:ilvl w:val="0"/>
          <w:numId w:val="90"/>
        </w:numPr>
        <w:rPr>
          <w:rFonts w:ascii="Arial" w:cs="Arial" w:eastAsia="Arial" w:hAnsi="Arial"/>
          <w:sz w:val="16"/>
          <w:szCs w:val="16"/>
          <w:color w:val="auto"/>
        </w:rPr>
      </w:pPr>
      <w:r>
        <w:rPr>
          <w:rFonts w:ascii="Arial" w:cs="Arial" w:eastAsia="Arial" w:hAnsi="Arial"/>
          <w:sz w:val="18"/>
          <w:szCs w:val="18"/>
          <w:color w:val="auto"/>
        </w:rPr>
        <w:t>has authority to appoint or replace the compensation consultant</w:t>
      </w:r>
    </w:p>
    <w:p>
      <w:pPr>
        <w:spacing w:after="0" w:line="63" w:lineRule="exact"/>
        <w:rPr>
          <w:rFonts w:ascii="Arial" w:cs="Arial" w:eastAsia="Arial" w:hAnsi="Arial"/>
          <w:sz w:val="16"/>
          <w:szCs w:val="16"/>
          <w:color w:val="auto"/>
        </w:rPr>
      </w:pPr>
    </w:p>
    <w:p>
      <w:pPr>
        <w:jc w:val="both"/>
        <w:ind w:left="660" w:right="1179" w:hanging="331"/>
        <w:spacing w:after="0" w:line="268" w:lineRule="auto"/>
        <w:tabs>
          <w:tab w:leader="none" w:pos="649" w:val="left"/>
        </w:tabs>
        <w:numPr>
          <w:ilvl w:val="0"/>
          <w:numId w:val="90"/>
        </w:numPr>
        <w:rPr>
          <w:rFonts w:ascii="Arial" w:cs="Arial" w:eastAsia="Arial" w:hAnsi="Arial"/>
          <w:sz w:val="16"/>
          <w:szCs w:val="16"/>
          <w:color w:val="auto"/>
        </w:rPr>
      </w:pPr>
      <w:r>
        <w:rPr>
          <w:rFonts w:ascii="Arial" w:cs="Arial" w:eastAsia="Arial" w:hAnsi="Arial"/>
          <w:sz w:val="18"/>
          <w:szCs w:val="18"/>
          <w:color w:val="auto"/>
        </w:rPr>
        <w:t>acts as the oversight committee with respect to the company’s deferred compensation plans, management stock plans, and other management incentive and benefit programs</w:t>
      </w:r>
    </w:p>
    <w:p>
      <w:pPr>
        <w:spacing w:after="0" w:line="8" w:lineRule="exact"/>
        <w:rPr>
          <w:rFonts w:ascii="Arial" w:cs="Arial" w:eastAsia="Arial" w:hAnsi="Arial"/>
          <w:sz w:val="16"/>
          <w:szCs w:val="16"/>
          <w:color w:val="auto"/>
        </w:rPr>
      </w:pPr>
    </w:p>
    <w:p>
      <w:pPr>
        <w:ind w:left="660" w:right="1259" w:hanging="331"/>
        <w:spacing w:after="0" w:line="298" w:lineRule="auto"/>
        <w:tabs>
          <w:tab w:leader="none" w:pos="649" w:val="left"/>
        </w:tabs>
        <w:numPr>
          <w:ilvl w:val="0"/>
          <w:numId w:val="90"/>
        </w:numPr>
        <w:rPr>
          <w:rFonts w:ascii="Arial" w:cs="Arial" w:eastAsia="Arial" w:hAnsi="Arial"/>
          <w:sz w:val="15"/>
          <w:szCs w:val="15"/>
          <w:color w:val="auto"/>
        </w:rPr>
      </w:pPr>
      <w:r>
        <w:rPr>
          <w:rFonts w:ascii="Arial" w:cs="Arial" w:eastAsia="Arial" w:hAnsi="Arial"/>
          <w:sz w:val="17"/>
          <w:szCs w:val="17"/>
          <w:color w:val="auto"/>
        </w:rPr>
        <w:t>reviews succession plans for the CEO and other key senior leadership positions, including a broad review of our succession management</w:t>
      </w:r>
    </w:p>
    <w:p>
      <w:pPr>
        <w:ind w:left="660" w:right="1239" w:hanging="331"/>
        <w:spacing w:after="0" w:line="268" w:lineRule="auto"/>
        <w:tabs>
          <w:tab w:leader="none" w:pos="649" w:val="left"/>
        </w:tabs>
        <w:numPr>
          <w:ilvl w:val="0"/>
          <w:numId w:val="90"/>
        </w:numPr>
        <w:rPr>
          <w:rFonts w:ascii="Arial" w:cs="Arial" w:eastAsia="Arial" w:hAnsi="Arial"/>
          <w:sz w:val="16"/>
          <w:szCs w:val="16"/>
          <w:color w:val="auto"/>
        </w:rPr>
      </w:pPr>
      <w:r>
        <w:rPr>
          <w:rFonts w:ascii="Arial" w:cs="Arial" w:eastAsia="Arial" w:hAnsi="Arial"/>
          <w:sz w:val="18"/>
          <w:szCs w:val="18"/>
          <w:color w:val="auto"/>
        </w:rPr>
        <w:t>advises our management and the board regarding other human capital management, DEI efforts, and employee compensation and benefits matters</w:t>
      </w:r>
    </w:p>
    <w:p>
      <w:pPr>
        <w:spacing w:after="0" w:line="8" w:lineRule="exact"/>
        <w:rPr>
          <w:rFonts w:ascii="Arial" w:cs="Arial" w:eastAsia="Arial" w:hAnsi="Arial"/>
          <w:sz w:val="16"/>
          <w:szCs w:val="16"/>
          <w:color w:val="auto"/>
        </w:rPr>
      </w:pPr>
    </w:p>
    <w:p>
      <w:pPr>
        <w:ind w:left="660" w:right="1819" w:hanging="331"/>
        <w:spacing w:after="0" w:line="281" w:lineRule="auto"/>
        <w:tabs>
          <w:tab w:leader="none" w:pos="649" w:val="left"/>
        </w:tabs>
        <w:numPr>
          <w:ilvl w:val="0"/>
          <w:numId w:val="90"/>
        </w:numPr>
        <w:rPr>
          <w:rFonts w:ascii="Arial" w:cs="Arial" w:eastAsia="Arial" w:hAnsi="Arial"/>
          <w:sz w:val="16"/>
          <w:szCs w:val="16"/>
          <w:color w:val="auto"/>
        </w:rPr>
      </w:pPr>
      <w:r>
        <w:rPr>
          <w:rFonts w:ascii="Arial" w:cs="Arial" w:eastAsia="Arial" w:hAnsi="Arial"/>
          <w:sz w:val="18"/>
          <w:szCs w:val="18"/>
          <w:color w:val="auto"/>
        </w:rPr>
        <w:t>reviews, monitors, and oversees stock ownership guidelines for executive officers</w:t>
      </w:r>
    </w:p>
    <w:p>
      <w:pPr>
        <w:spacing w:after="0" w:line="1" w:lineRule="exact"/>
        <w:rPr>
          <w:rFonts w:ascii="Arial" w:cs="Arial" w:eastAsia="Arial" w:hAnsi="Arial"/>
          <w:sz w:val="16"/>
          <w:szCs w:val="16"/>
          <w:color w:val="auto"/>
        </w:rPr>
      </w:pPr>
    </w:p>
    <w:p>
      <w:pPr>
        <w:ind w:left="640" w:hanging="311"/>
        <w:spacing w:after="0"/>
        <w:tabs>
          <w:tab w:leader="none" w:pos="640" w:val="left"/>
        </w:tabs>
        <w:numPr>
          <w:ilvl w:val="0"/>
          <w:numId w:val="90"/>
        </w:numPr>
        <w:rPr>
          <w:rFonts w:ascii="Arial" w:cs="Arial" w:eastAsia="Arial" w:hAnsi="Arial"/>
          <w:sz w:val="16"/>
          <w:szCs w:val="16"/>
          <w:color w:val="auto"/>
        </w:rPr>
      </w:pPr>
      <w:r>
        <w:rPr>
          <w:rFonts w:ascii="Arial" w:cs="Arial" w:eastAsia="Arial" w:hAnsi="Arial"/>
          <w:sz w:val="18"/>
          <w:szCs w:val="18"/>
          <w:color w:val="auto"/>
        </w:rPr>
        <w:t>oversees the company’s executive compensation recovery policy</w:t>
      </w:r>
    </w:p>
    <w:p>
      <w:pPr>
        <w:spacing w:after="0" w:line="63" w:lineRule="exact"/>
        <w:rPr>
          <w:rFonts w:ascii="Arial" w:cs="Arial" w:eastAsia="Arial" w:hAnsi="Arial"/>
          <w:sz w:val="16"/>
          <w:szCs w:val="16"/>
          <w:color w:val="auto"/>
        </w:rPr>
      </w:pPr>
    </w:p>
    <w:p>
      <w:pPr>
        <w:ind w:left="660" w:right="1119" w:hanging="331"/>
        <w:spacing w:after="0" w:line="268" w:lineRule="auto"/>
        <w:tabs>
          <w:tab w:leader="none" w:pos="649" w:val="left"/>
        </w:tabs>
        <w:numPr>
          <w:ilvl w:val="0"/>
          <w:numId w:val="90"/>
        </w:numPr>
        <w:rPr>
          <w:rFonts w:ascii="Arial" w:cs="Arial" w:eastAsia="Arial" w:hAnsi="Arial"/>
          <w:sz w:val="16"/>
          <w:szCs w:val="16"/>
          <w:color w:val="auto"/>
        </w:rPr>
      </w:pPr>
      <w:r>
        <w:rPr>
          <w:rFonts w:ascii="Arial" w:cs="Arial" w:eastAsia="Arial" w:hAnsi="Arial"/>
          <w:sz w:val="18"/>
          <w:szCs w:val="18"/>
          <w:color w:val="auto"/>
        </w:rPr>
        <w:t>oversees the company’s engagement with shareholders regarding executive compensation matters, including reviewing and evaluating the results of advisory votes on executive compensation</w:t>
      </w:r>
    </w:p>
    <w:p>
      <w:pPr>
        <w:spacing w:after="0" w:line="200" w:lineRule="exact"/>
        <w:rPr>
          <w:sz w:val="20"/>
          <w:szCs w:val="20"/>
          <w:color w:val="auto"/>
        </w:rPr>
      </w:pPr>
    </w:p>
    <w:p>
      <w:pPr>
        <w:sectPr>
          <w:pgSz w:w="11900" w:h="16838" w:orient="portrait"/>
          <w:cols w:equalWidth="0" w:num="2">
            <w:col w:w="1900" w:space="720"/>
            <w:col w:w="7499"/>
          </w:cols>
          <w:pgMar w:left="340" w:top="975" w:right="1440" w:bottom="1440" w:gutter="0" w:footer="0" w:header="0"/>
          <w:type w:val="continuous"/>
        </w:sectPr>
      </w:pPr>
    </w:p>
    <w:p>
      <w:pPr>
        <w:spacing w:after="0" w:line="232"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154940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975" w:right="1440" w:bottom="1440" w:gutter="0" w:footer="0" w:header="0"/>
          <w:type w:val="continuous"/>
        </w:sectPr>
      </w:pPr>
    </w:p>
    <w:bookmarkStart w:id="37" w:name="page38"/>
    <w:bookmarkEnd w:id="37"/>
    <w:p>
      <w:pPr>
        <w:ind w:left="1100"/>
        <w:spacing w:after="0"/>
        <w:rPr>
          <w:sz w:val="20"/>
          <w:szCs w:val="20"/>
          <w:color w:val="auto"/>
        </w:rPr>
      </w:pPr>
      <w:r>
        <w:rPr>
          <w:rFonts w:ascii="Arial" w:cs="Arial" w:eastAsia="Arial" w:hAnsi="Arial"/>
          <w:sz w:val="19"/>
          <w:szCs w:val="19"/>
          <w:b w:val="1"/>
          <w:bCs w:val="1"/>
          <w:color w:val="D52B1E"/>
        </w:rPr>
        <w:drawing>
          <wp:anchor simplePos="0" relativeHeight="251657728" behindDoc="1" locked="0" layoutInCell="0" allowOverlap="1">
            <wp:simplePos x="0" y="0"/>
            <wp:positionH relativeFrom="page">
              <wp:posOffset>208280</wp:posOffset>
            </wp:positionH>
            <wp:positionV relativeFrom="page">
              <wp:posOffset>517525</wp:posOffset>
            </wp:positionV>
            <wp:extent cx="531495" cy="4718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31495" cy="471805"/>
                    </a:xfrm>
                    <a:prstGeom prst="rect">
                      <a:avLst/>
                    </a:prstGeom>
                    <a:noFill/>
                  </pic:spPr>
                </pic:pic>
              </a:graphicData>
            </a:graphic>
          </wp:anchor>
        </w:drawing>
        <w:t>Directors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3627120</wp:posOffset>
            </wp:positionH>
            <wp:positionV relativeFrom="paragraph">
              <wp:posOffset>-45720</wp:posOffset>
            </wp:positionV>
            <wp:extent cx="21259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ectPr>
          <w:pgSz w:w="11900" w:h="16838" w:orient="portrait"/>
          <w:cols w:equalWidth="0" w:num="1">
            <w:col w:w="10119"/>
          </w:cols>
          <w:pgMar w:left="340" w:top="1034"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w:t>
      </w:r>
      <w:r>
        <w:rPr>
          <w:rFonts w:ascii="Arial" w:cs="Arial" w:eastAsia="Arial" w:hAnsi="Arial"/>
          <w:sz w:val="18"/>
          <w:szCs w:val="18"/>
          <w:color w:val="auto"/>
        </w:rPr>
        <w:t>:</w:t>
      </w:r>
    </w:p>
    <w:p>
      <w:pPr>
        <w:spacing w:after="0" w:line="225" w:lineRule="exact"/>
        <w:rPr>
          <w:sz w:val="20"/>
          <w:szCs w:val="20"/>
          <w:color w:val="auto"/>
        </w:rPr>
      </w:pPr>
    </w:p>
    <w:p>
      <w:pPr>
        <w:ind w:left="240" w:hanging="153"/>
        <w:spacing w:after="0"/>
        <w:tabs>
          <w:tab w:leader="none" w:pos="240" w:val="left"/>
        </w:tabs>
        <w:numPr>
          <w:ilvl w:val="0"/>
          <w:numId w:val="91"/>
        </w:numPr>
        <w:rPr>
          <w:rFonts w:ascii="Arial" w:cs="Arial" w:eastAsia="Arial" w:hAnsi="Arial"/>
          <w:sz w:val="16"/>
          <w:szCs w:val="16"/>
          <w:color w:val="auto"/>
        </w:rPr>
      </w:pPr>
      <w:r>
        <w:rPr>
          <w:rFonts w:ascii="Arial" w:cs="Arial" w:eastAsia="Arial" w:hAnsi="Arial"/>
          <w:sz w:val="18"/>
          <w:szCs w:val="18"/>
          <w:color w:val="auto"/>
        </w:rPr>
        <w:t>Dr. Kaelin</w:t>
      </w:r>
    </w:p>
    <w:p>
      <w:pPr>
        <w:spacing w:after="0" w:line="63" w:lineRule="exact"/>
        <w:rPr>
          <w:rFonts w:ascii="Arial" w:cs="Arial" w:eastAsia="Arial" w:hAnsi="Arial"/>
          <w:sz w:val="16"/>
          <w:szCs w:val="16"/>
          <w:color w:val="auto"/>
        </w:rPr>
      </w:pPr>
    </w:p>
    <w:p>
      <w:pPr>
        <w:ind w:left="240" w:hanging="153"/>
        <w:spacing w:after="0"/>
        <w:tabs>
          <w:tab w:leader="none" w:pos="240" w:val="left"/>
        </w:tabs>
        <w:numPr>
          <w:ilvl w:val="0"/>
          <w:numId w:val="91"/>
        </w:numPr>
        <w:rPr>
          <w:rFonts w:ascii="Arial" w:cs="Arial" w:eastAsia="Arial" w:hAnsi="Arial"/>
          <w:sz w:val="15"/>
          <w:szCs w:val="15"/>
          <w:color w:val="auto"/>
        </w:rPr>
      </w:pPr>
      <w:r>
        <w:rPr>
          <w:rFonts w:ascii="Arial" w:cs="Arial" w:eastAsia="Arial" w:hAnsi="Arial"/>
          <w:sz w:val="17"/>
          <w:szCs w:val="17"/>
          <w:color w:val="auto"/>
        </w:rPr>
        <w:t>Mr. Luciano (Chair)</w:t>
      </w:r>
    </w:p>
    <w:p>
      <w:pPr>
        <w:spacing w:after="0" w:line="74" w:lineRule="exact"/>
        <w:rPr>
          <w:rFonts w:ascii="Arial" w:cs="Arial" w:eastAsia="Arial" w:hAnsi="Arial"/>
          <w:sz w:val="15"/>
          <w:szCs w:val="15"/>
          <w:color w:val="auto"/>
        </w:rPr>
      </w:pPr>
    </w:p>
    <w:p>
      <w:pPr>
        <w:ind w:left="240" w:hanging="153"/>
        <w:spacing w:after="0"/>
        <w:tabs>
          <w:tab w:leader="none" w:pos="240" w:val="left"/>
        </w:tabs>
        <w:numPr>
          <w:ilvl w:val="0"/>
          <w:numId w:val="91"/>
        </w:numPr>
        <w:rPr>
          <w:rFonts w:ascii="Arial" w:cs="Arial" w:eastAsia="Arial" w:hAnsi="Arial"/>
          <w:sz w:val="16"/>
          <w:szCs w:val="16"/>
          <w:color w:val="auto"/>
        </w:rPr>
      </w:pPr>
      <w:r>
        <w:rPr>
          <w:rFonts w:ascii="Arial" w:cs="Arial" w:eastAsia="Arial" w:hAnsi="Arial"/>
          <w:sz w:val="18"/>
          <w:szCs w:val="18"/>
          <w:color w:val="auto"/>
        </w:rPr>
        <w:t>Ms. Sulzberger</w:t>
      </w:r>
    </w:p>
    <w:p>
      <w:pPr>
        <w:spacing w:after="0" w:line="63" w:lineRule="exact"/>
        <w:rPr>
          <w:rFonts w:ascii="Arial" w:cs="Arial" w:eastAsia="Arial" w:hAnsi="Arial"/>
          <w:sz w:val="16"/>
          <w:szCs w:val="16"/>
          <w:color w:val="auto"/>
        </w:rPr>
      </w:pPr>
    </w:p>
    <w:p>
      <w:pPr>
        <w:ind w:left="240" w:hanging="153"/>
        <w:spacing w:after="0"/>
        <w:tabs>
          <w:tab w:leader="none" w:pos="240" w:val="left"/>
        </w:tabs>
        <w:numPr>
          <w:ilvl w:val="0"/>
          <w:numId w:val="91"/>
        </w:numPr>
        <w:rPr>
          <w:rFonts w:ascii="Arial" w:cs="Arial" w:eastAsia="Arial" w:hAnsi="Arial"/>
          <w:sz w:val="16"/>
          <w:szCs w:val="16"/>
          <w:color w:val="auto"/>
        </w:rPr>
      </w:pPr>
      <w:r>
        <w:rPr>
          <w:rFonts w:ascii="Arial" w:cs="Arial" w:eastAsia="Arial" w:hAnsi="Arial"/>
          <w:sz w:val="18"/>
          <w:szCs w:val="18"/>
          <w:color w:val="auto"/>
        </w:rPr>
        <w:t>Mr. Tai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Meetings in 2022: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1440815</wp:posOffset>
            </wp:positionV>
            <wp:extent cx="531495" cy="4718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31495" cy="4718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responsibilities and areas of risk oversight:</w:t>
      </w:r>
    </w:p>
    <w:p>
      <w:pPr>
        <w:spacing w:after="0" w:line="63" w:lineRule="exact"/>
        <w:rPr>
          <w:sz w:val="20"/>
          <w:szCs w:val="20"/>
          <w:color w:val="auto"/>
        </w:rPr>
      </w:pPr>
    </w:p>
    <w:p>
      <w:pPr>
        <w:ind w:left="660" w:right="1259" w:hanging="331"/>
        <w:spacing w:after="0" w:line="281" w:lineRule="auto"/>
        <w:tabs>
          <w:tab w:leader="none" w:pos="649" w:val="left"/>
        </w:tabs>
        <w:numPr>
          <w:ilvl w:val="0"/>
          <w:numId w:val="92"/>
        </w:numPr>
        <w:rPr>
          <w:rFonts w:ascii="Arial" w:cs="Arial" w:eastAsia="Arial" w:hAnsi="Arial"/>
          <w:sz w:val="16"/>
          <w:szCs w:val="16"/>
          <w:color w:val="auto"/>
        </w:rPr>
      </w:pPr>
      <w:r>
        <w:rPr>
          <w:rFonts w:ascii="Arial" w:cs="Arial" w:eastAsia="Arial" w:hAnsi="Arial"/>
          <w:sz w:val="18"/>
          <w:szCs w:val="18"/>
          <w:color w:val="auto"/>
        </w:rPr>
        <w:t>reviews and recommends to the board the size and composition of the board and its committees</w:t>
      </w:r>
    </w:p>
    <w:p>
      <w:pPr>
        <w:spacing w:after="0" w:line="1" w:lineRule="exact"/>
        <w:rPr>
          <w:rFonts w:ascii="Arial" w:cs="Arial" w:eastAsia="Arial" w:hAnsi="Arial"/>
          <w:sz w:val="16"/>
          <w:szCs w:val="16"/>
          <w:color w:val="auto"/>
        </w:rPr>
      </w:pPr>
    </w:p>
    <w:p>
      <w:pPr>
        <w:ind w:left="660" w:right="1759" w:hanging="331"/>
        <w:spacing w:after="0" w:line="281" w:lineRule="auto"/>
        <w:tabs>
          <w:tab w:leader="none" w:pos="649" w:val="left"/>
        </w:tabs>
        <w:numPr>
          <w:ilvl w:val="0"/>
          <w:numId w:val="92"/>
        </w:numPr>
        <w:rPr>
          <w:rFonts w:ascii="Arial" w:cs="Arial" w:eastAsia="Arial" w:hAnsi="Arial"/>
          <w:sz w:val="16"/>
          <w:szCs w:val="16"/>
          <w:color w:val="auto"/>
        </w:rPr>
      </w:pPr>
      <w:r>
        <w:rPr>
          <w:rFonts w:ascii="Arial" w:cs="Arial" w:eastAsia="Arial" w:hAnsi="Arial"/>
          <w:sz w:val="18"/>
          <w:szCs w:val="18"/>
          <w:color w:val="auto"/>
        </w:rPr>
        <w:t>leads the process for director recruitment, together with the lead independent director</w:t>
      </w:r>
    </w:p>
    <w:p>
      <w:pPr>
        <w:spacing w:after="0" w:line="1" w:lineRule="exact"/>
        <w:rPr>
          <w:rFonts w:ascii="Arial" w:cs="Arial" w:eastAsia="Arial" w:hAnsi="Arial"/>
          <w:sz w:val="16"/>
          <w:szCs w:val="16"/>
          <w:color w:val="auto"/>
        </w:rPr>
      </w:pPr>
    </w:p>
    <w:p>
      <w:pPr>
        <w:ind w:left="640" w:hanging="311"/>
        <w:spacing w:after="0"/>
        <w:tabs>
          <w:tab w:leader="none" w:pos="640" w:val="left"/>
        </w:tabs>
        <w:numPr>
          <w:ilvl w:val="0"/>
          <w:numId w:val="92"/>
        </w:numPr>
        <w:rPr>
          <w:rFonts w:ascii="Arial" w:cs="Arial" w:eastAsia="Arial" w:hAnsi="Arial"/>
          <w:sz w:val="16"/>
          <w:szCs w:val="16"/>
          <w:color w:val="auto"/>
        </w:rPr>
      </w:pPr>
      <w:r>
        <w:rPr>
          <w:rFonts w:ascii="Arial" w:cs="Arial" w:eastAsia="Arial" w:hAnsi="Arial"/>
          <w:sz w:val="18"/>
          <w:szCs w:val="18"/>
          <w:color w:val="auto"/>
        </w:rPr>
        <w:t>reviews recommendations for nominees for the board of directors</w:t>
      </w:r>
    </w:p>
    <w:p>
      <w:pPr>
        <w:spacing w:after="0" w:line="63" w:lineRule="exact"/>
        <w:rPr>
          <w:rFonts w:ascii="Arial" w:cs="Arial" w:eastAsia="Arial" w:hAnsi="Arial"/>
          <w:sz w:val="16"/>
          <w:szCs w:val="16"/>
          <w:color w:val="auto"/>
        </w:rPr>
      </w:pPr>
    </w:p>
    <w:p>
      <w:pPr>
        <w:ind w:left="660" w:right="1199" w:hanging="331"/>
        <w:spacing w:after="0" w:line="262" w:lineRule="auto"/>
        <w:tabs>
          <w:tab w:leader="none" w:pos="649" w:val="left"/>
        </w:tabs>
        <w:numPr>
          <w:ilvl w:val="0"/>
          <w:numId w:val="92"/>
        </w:numPr>
        <w:rPr>
          <w:rFonts w:ascii="Arial" w:cs="Arial" w:eastAsia="Arial" w:hAnsi="Arial"/>
          <w:sz w:val="16"/>
          <w:szCs w:val="16"/>
          <w:color w:val="auto"/>
        </w:rPr>
      </w:pPr>
      <w:r>
        <w:rPr>
          <w:rFonts w:ascii="Arial" w:cs="Arial" w:eastAsia="Arial" w:hAnsi="Arial"/>
          <w:sz w:val="18"/>
          <w:szCs w:val="18"/>
          <w:color w:val="auto"/>
        </w:rPr>
        <w:t>oversees matters of corporate governance, including board performance, non-employee director independence and compensation, corporate governance guidelines, and shareholder engagement on governance matters</w:t>
      </w:r>
    </w:p>
    <w:p>
      <w:pPr>
        <w:spacing w:after="0" w:line="14" w:lineRule="exact"/>
        <w:rPr>
          <w:rFonts w:ascii="Arial" w:cs="Arial" w:eastAsia="Arial" w:hAnsi="Arial"/>
          <w:sz w:val="16"/>
          <w:szCs w:val="16"/>
          <w:color w:val="auto"/>
        </w:rPr>
      </w:pPr>
    </w:p>
    <w:p>
      <w:pPr>
        <w:ind w:left="660" w:right="1199" w:hanging="331"/>
        <w:spacing w:after="0" w:line="262" w:lineRule="auto"/>
        <w:tabs>
          <w:tab w:leader="none" w:pos="649" w:val="left"/>
        </w:tabs>
        <w:numPr>
          <w:ilvl w:val="0"/>
          <w:numId w:val="92"/>
        </w:numPr>
        <w:rPr>
          <w:rFonts w:ascii="Arial" w:cs="Arial" w:eastAsia="Arial" w:hAnsi="Arial"/>
          <w:sz w:val="16"/>
          <w:szCs w:val="16"/>
          <w:color w:val="auto"/>
        </w:rPr>
      </w:pPr>
      <w:r>
        <w:rPr>
          <w:rFonts w:ascii="Arial" w:cs="Arial" w:eastAsia="Arial" w:hAnsi="Arial"/>
          <w:sz w:val="18"/>
          <w:szCs w:val="18"/>
          <w:color w:val="auto"/>
        </w:rPr>
        <w:t>identifies and brings to the attention of the board as appropriate current and emerging environmental, social, political, and governance trends and public policy issues that may affect the business operations, performance, or reputation of the company</w:t>
      </w:r>
    </w:p>
    <w:p>
      <w:pPr>
        <w:spacing w:after="0" w:line="14" w:lineRule="exact"/>
        <w:rPr>
          <w:rFonts w:ascii="Arial" w:cs="Arial" w:eastAsia="Arial" w:hAnsi="Arial"/>
          <w:sz w:val="16"/>
          <w:szCs w:val="16"/>
          <w:color w:val="auto"/>
        </w:rPr>
      </w:pPr>
    </w:p>
    <w:p>
      <w:pPr>
        <w:ind w:left="660" w:right="1139" w:hanging="331"/>
        <w:spacing w:after="0" w:line="287" w:lineRule="auto"/>
        <w:tabs>
          <w:tab w:leader="none" w:pos="649" w:val="left"/>
        </w:tabs>
        <w:numPr>
          <w:ilvl w:val="0"/>
          <w:numId w:val="92"/>
        </w:numPr>
        <w:rPr>
          <w:rFonts w:ascii="Arial" w:cs="Arial" w:eastAsia="Arial" w:hAnsi="Arial"/>
          <w:sz w:val="16"/>
          <w:szCs w:val="16"/>
          <w:color w:val="auto"/>
        </w:rPr>
      </w:pPr>
      <w:r>
        <w:rPr>
          <w:rFonts w:ascii="Arial" w:cs="Arial" w:eastAsia="Arial" w:hAnsi="Arial"/>
          <w:sz w:val="18"/>
          <w:szCs w:val="18"/>
          <w:color w:val="auto"/>
        </w:rPr>
        <w:t>annually assesses the performance of the board, board committees and board processes, and reviews such findings with the board</w:t>
      </w:r>
    </w:p>
    <w:p>
      <w:pPr>
        <w:spacing w:after="0" w:line="200" w:lineRule="exact"/>
        <w:rPr>
          <w:sz w:val="20"/>
          <w:szCs w:val="20"/>
          <w:color w:val="auto"/>
        </w:rPr>
      </w:pPr>
    </w:p>
    <w:p>
      <w:pPr>
        <w:sectPr>
          <w:pgSz w:w="11900" w:h="16838" w:orient="portrait"/>
          <w:cols w:equalWidth="0" w:num="2">
            <w:col w:w="1900" w:space="720"/>
            <w:col w:w="7499"/>
          </w:cols>
          <w:pgMar w:left="340" w:top="1034" w:right="1440" w:bottom="1440" w:gutter="0" w:footer="0" w:header="0"/>
          <w:type w:val="continuous"/>
        </w:sectPr>
      </w:pPr>
    </w:p>
    <w:p>
      <w:pPr>
        <w:spacing w:after="0" w:line="326" w:lineRule="exact"/>
        <w:rPr>
          <w:sz w:val="20"/>
          <w:szCs w:val="20"/>
          <w:color w:val="auto"/>
        </w:rPr>
      </w:pPr>
    </w:p>
    <w:p>
      <w:pPr>
        <w:ind w:left="1180"/>
        <w:spacing w:after="0"/>
        <w:rPr>
          <w:sz w:val="20"/>
          <w:szCs w:val="20"/>
          <w:color w:val="auto"/>
        </w:rPr>
      </w:pPr>
      <w:r>
        <w:rPr>
          <w:rFonts w:ascii="Arial" w:cs="Arial" w:eastAsia="Arial" w:hAnsi="Arial"/>
          <w:sz w:val="19"/>
          <w:szCs w:val="19"/>
          <w:b w:val="1"/>
          <w:bCs w:val="1"/>
          <w:color w:val="D52B1E"/>
        </w:rPr>
        <w:t>Ethics and Compliance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-45720</wp:posOffset>
            </wp:positionV>
            <wp:extent cx="286321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ectPr>
          <w:pgSz w:w="11900" w:h="16838" w:orient="portrait"/>
          <w:cols w:equalWidth="0" w:num="1">
            <w:col w:w="10119"/>
          </w:cols>
          <w:pgMar w:left="340" w:top="1034" w:right="1440"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w:t>
      </w:r>
      <w:r>
        <w:rPr>
          <w:rFonts w:ascii="Arial" w:cs="Arial" w:eastAsia="Arial" w:hAnsi="Arial"/>
          <w:sz w:val="18"/>
          <w:szCs w:val="18"/>
          <w:color w:val="auto"/>
        </w:rPr>
        <w:t>:</w:t>
      </w:r>
    </w:p>
    <w:p>
      <w:pPr>
        <w:spacing w:after="0" w:line="225" w:lineRule="exact"/>
        <w:rPr>
          <w:sz w:val="20"/>
          <w:szCs w:val="20"/>
          <w:color w:val="auto"/>
        </w:rPr>
      </w:pPr>
    </w:p>
    <w:p>
      <w:pPr>
        <w:ind w:left="240" w:hanging="153"/>
        <w:spacing w:after="0"/>
        <w:tabs>
          <w:tab w:leader="none" w:pos="240" w:val="left"/>
        </w:tabs>
        <w:numPr>
          <w:ilvl w:val="0"/>
          <w:numId w:val="93"/>
        </w:numPr>
        <w:rPr>
          <w:rFonts w:ascii="Arial" w:cs="Arial" w:eastAsia="Arial" w:hAnsi="Arial"/>
          <w:sz w:val="15"/>
          <w:szCs w:val="15"/>
          <w:color w:val="auto"/>
        </w:rPr>
      </w:pPr>
      <w:r>
        <w:rPr>
          <w:rFonts w:ascii="Arial" w:cs="Arial" w:eastAsia="Arial" w:hAnsi="Arial"/>
          <w:sz w:val="17"/>
          <w:szCs w:val="17"/>
          <w:color w:val="auto"/>
        </w:rPr>
        <w:t>Dr. Baicker (Chair)</w:t>
      </w:r>
    </w:p>
    <w:p>
      <w:pPr>
        <w:spacing w:after="0" w:line="74" w:lineRule="exact"/>
        <w:rPr>
          <w:rFonts w:ascii="Arial" w:cs="Arial" w:eastAsia="Arial" w:hAnsi="Arial"/>
          <w:sz w:val="15"/>
          <w:szCs w:val="15"/>
          <w:color w:val="auto"/>
        </w:rPr>
      </w:pPr>
    </w:p>
    <w:p>
      <w:pPr>
        <w:ind w:left="240" w:hanging="153"/>
        <w:spacing w:after="0"/>
        <w:tabs>
          <w:tab w:leader="none" w:pos="240" w:val="left"/>
        </w:tabs>
        <w:numPr>
          <w:ilvl w:val="0"/>
          <w:numId w:val="93"/>
        </w:numPr>
        <w:rPr>
          <w:rFonts w:ascii="Arial" w:cs="Arial" w:eastAsia="Arial" w:hAnsi="Arial"/>
          <w:sz w:val="16"/>
          <w:szCs w:val="16"/>
          <w:color w:val="auto"/>
        </w:rPr>
      </w:pPr>
      <w:r>
        <w:rPr>
          <w:rFonts w:ascii="Arial" w:cs="Arial" w:eastAsia="Arial" w:hAnsi="Arial"/>
          <w:sz w:val="18"/>
          <w:szCs w:val="18"/>
          <w:color w:val="auto"/>
        </w:rPr>
        <w:t>Dr. Hedley</w:t>
      </w:r>
    </w:p>
    <w:p>
      <w:pPr>
        <w:spacing w:after="0" w:line="63" w:lineRule="exact"/>
        <w:rPr>
          <w:rFonts w:ascii="Arial" w:cs="Arial" w:eastAsia="Arial" w:hAnsi="Arial"/>
          <w:sz w:val="16"/>
          <w:szCs w:val="16"/>
          <w:color w:val="auto"/>
        </w:rPr>
      </w:pPr>
    </w:p>
    <w:p>
      <w:pPr>
        <w:ind w:left="240" w:hanging="153"/>
        <w:spacing w:after="0"/>
        <w:tabs>
          <w:tab w:leader="none" w:pos="240" w:val="left"/>
        </w:tabs>
        <w:numPr>
          <w:ilvl w:val="0"/>
          <w:numId w:val="93"/>
        </w:numPr>
        <w:rPr>
          <w:rFonts w:ascii="Arial" w:cs="Arial" w:eastAsia="Arial" w:hAnsi="Arial"/>
          <w:sz w:val="16"/>
          <w:szCs w:val="16"/>
          <w:color w:val="auto"/>
        </w:rPr>
      </w:pPr>
      <w:r>
        <w:rPr>
          <w:rFonts w:ascii="Arial" w:cs="Arial" w:eastAsia="Arial" w:hAnsi="Arial"/>
          <w:sz w:val="18"/>
          <w:szCs w:val="18"/>
          <w:color w:val="auto"/>
        </w:rPr>
        <w:t>Mr. Jackson</w:t>
      </w:r>
    </w:p>
    <w:p>
      <w:pPr>
        <w:spacing w:after="0" w:line="63" w:lineRule="exact"/>
        <w:rPr>
          <w:rFonts w:ascii="Arial" w:cs="Arial" w:eastAsia="Arial" w:hAnsi="Arial"/>
          <w:sz w:val="16"/>
          <w:szCs w:val="16"/>
          <w:color w:val="auto"/>
        </w:rPr>
      </w:pPr>
    </w:p>
    <w:p>
      <w:pPr>
        <w:ind w:left="240" w:hanging="153"/>
        <w:spacing w:after="0"/>
        <w:tabs>
          <w:tab w:leader="none" w:pos="240" w:val="left"/>
        </w:tabs>
        <w:numPr>
          <w:ilvl w:val="0"/>
          <w:numId w:val="93"/>
        </w:numPr>
        <w:rPr>
          <w:rFonts w:ascii="Arial" w:cs="Arial" w:eastAsia="Arial" w:hAnsi="Arial"/>
          <w:sz w:val="16"/>
          <w:szCs w:val="16"/>
          <w:color w:val="auto"/>
        </w:rPr>
      </w:pPr>
      <w:r>
        <w:rPr>
          <w:rFonts w:ascii="Arial" w:cs="Arial" w:eastAsia="Arial" w:hAnsi="Arial"/>
          <w:sz w:val="18"/>
          <w:szCs w:val="18"/>
          <w:color w:val="auto"/>
        </w:rPr>
        <w:t>Ms. Johnson</w:t>
      </w:r>
    </w:p>
    <w:p>
      <w:pPr>
        <w:spacing w:after="0" w:line="63" w:lineRule="exact"/>
        <w:rPr>
          <w:rFonts w:ascii="Arial" w:cs="Arial" w:eastAsia="Arial" w:hAnsi="Arial"/>
          <w:sz w:val="16"/>
          <w:szCs w:val="16"/>
          <w:color w:val="auto"/>
        </w:rPr>
      </w:pPr>
    </w:p>
    <w:p>
      <w:pPr>
        <w:ind w:left="240" w:hanging="153"/>
        <w:spacing w:after="0"/>
        <w:tabs>
          <w:tab w:leader="none" w:pos="240" w:val="left"/>
        </w:tabs>
        <w:numPr>
          <w:ilvl w:val="0"/>
          <w:numId w:val="93"/>
        </w:numPr>
        <w:rPr>
          <w:rFonts w:ascii="Arial" w:cs="Arial" w:eastAsia="Arial" w:hAnsi="Arial"/>
          <w:sz w:val="16"/>
          <w:szCs w:val="16"/>
          <w:color w:val="auto"/>
        </w:rPr>
      </w:pPr>
      <w:r>
        <w:rPr>
          <w:rFonts w:ascii="Arial" w:cs="Arial" w:eastAsia="Arial" w:hAnsi="Arial"/>
          <w:sz w:val="18"/>
          <w:szCs w:val="18"/>
          <w:color w:val="auto"/>
        </w:rPr>
        <w:t>Dr. Runge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Meetings in 2022: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386080</wp:posOffset>
            </wp:positionV>
            <wp:extent cx="531495" cy="4718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31495" cy="4718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responsibilities and areas of risk oversight:</w:t>
      </w:r>
    </w:p>
    <w:p>
      <w:pPr>
        <w:spacing w:after="0" w:line="63" w:lineRule="exact"/>
        <w:rPr>
          <w:sz w:val="20"/>
          <w:szCs w:val="20"/>
          <w:color w:val="auto"/>
        </w:rPr>
      </w:pPr>
    </w:p>
    <w:p>
      <w:pPr>
        <w:ind w:left="660" w:right="1259" w:hanging="331"/>
        <w:spacing w:after="0" w:line="262" w:lineRule="auto"/>
        <w:tabs>
          <w:tab w:leader="none" w:pos="649" w:val="left"/>
        </w:tabs>
        <w:numPr>
          <w:ilvl w:val="0"/>
          <w:numId w:val="94"/>
        </w:numPr>
        <w:rPr>
          <w:rFonts w:ascii="Arial" w:cs="Arial" w:eastAsia="Arial" w:hAnsi="Arial"/>
          <w:sz w:val="16"/>
          <w:szCs w:val="16"/>
          <w:color w:val="auto"/>
        </w:rPr>
      </w:pPr>
      <w:r>
        <w:rPr>
          <w:rFonts w:ascii="Arial" w:cs="Arial" w:eastAsia="Arial" w:hAnsi="Arial"/>
          <w:sz w:val="18"/>
          <w:szCs w:val="18"/>
          <w:color w:val="auto"/>
        </w:rPr>
        <w:t>reviews, identifies and, when appropriate, brings to the attention of the board legal and regulatory trends and issues, and compliance and quality matters that may have an impact on the business operations, financial performance, or reputation of the company</w:t>
      </w:r>
    </w:p>
    <w:p>
      <w:pPr>
        <w:spacing w:after="0" w:line="14" w:lineRule="exact"/>
        <w:rPr>
          <w:rFonts w:ascii="Arial" w:cs="Arial" w:eastAsia="Arial" w:hAnsi="Arial"/>
          <w:sz w:val="16"/>
          <w:szCs w:val="16"/>
          <w:color w:val="auto"/>
        </w:rPr>
      </w:pPr>
    </w:p>
    <w:p>
      <w:pPr>
        <w:ind w:left="660" w:right="1259" w:hanging="331"/>
        <w:spacing w:after="0" w:line="268" w:lineRule="auto"/>
        <w:tabs>
          <w:tab w:leader="none" w:pos="649" w:val="left"/>
        </w:tabs>
        <w:numPr>
          <w:ilvl w:val="0"/>
          <w:numId w:val="94"/>
        </w:numPr>
        <w:rPr>
          <w:rFonts w:ascii="Arial" w:cs="Arial" w:eastAsia="Arial" w:hAnsi="Arial"/>
          <w:sz w:val="16"/>
          <w:szCs w:val="16"/>
          <w:color w:val="auto"/>
        </w:rPr>
      </w:pPr>
      <w:r>
        <w:rPr>
          <w:rFonts w:ascii="Arial" w:cs="Arial" w:eastAsia="Arial" w:hAnsi="Arial"/>
          <w:sz w:val="18"/>
          <w:szCs w:val="18"/>
          <w:color w:val="auto"/>
        </w:rPr>
        <w:t>reviews, monitors, and makes recommendations to the board on corporate policies and practices related to compliance, including those related to employee health and safety</w:t>
      </w:r>
    </w:p>
    <w:p>
      <w:pPr>
        <w:spacing w:after="0" w:line="8" w:lineRule="exact"/>
        <w:rPr>
          <w:rFonts w:ascii="Arial" w:cs="Arial" w:eastAsia="Arial" w:hAnsi="Arial"/>
          <w:sz w:val="16"/>
          <w:szCs w:val="16"/>
          <w:color w:val="auto"/>
        </w:rPr>
      </w:pPr>
    </w:p>
    <w:p>
      <w:pPr>
        <w:ind w:left="660" w:right="1339" w:hanging="331"/>
        <w:spacing w:after="0" w:line="268" w:lineRule="auto"/>
        <w:tabs>
          <w:tab w:leader="none" w:pos="649" w:val="left"/>
        </w:tabs>
        <w:numPr>
          <w:ilvl w:val="0"/>
          <w:numId w:val="94"/>
        </w:numPr>
        <w:rPr>
          <w:rFonts w:ascii="Arial" w:cs="Arial" w:eastAsia="Arial" w:hAnsi="Arial"/>
          <w:sz w:val="16"/>
          <w:szCs w:val="16"/>
          <w:color w:val="auto"/>
        </w:rPr>
      </w:pPr>
      <w:r>
        <w:rPr>
          <w:rFonts w:ascii="Arial" w:cs="Arial" w:eastAsia="Arial" w:hAnsi="Arial"/>
          <w:sz w:val="18"/>
          <w:szCs w:val="18"/>
          <w:color w:val="auto"/>
        </w:rPr>
        <w:t>together with the audit committee, assists the board in its oversight of legal and regulatory compliance and oversees the company’s compliance with its code of ethics</w:t>
      </w:r>
    </w:p>
    <w:p>
      <w:pPr>
        <w:spacing w:after="0" w:line="200" w:lineRule="exact"/>
        <w:rPr>
          <w:sz w:val="20"/>
          <w:szCs w:val="20"/>
          <w:color w:val="auto"/>
        </w:rPr>
      </w:pPr>
    </w:p>
    <w:p>
      <w:pPr>
        <w:sectPr>
          <w:pgSz w:w="11900" w:h="16838" w:orient="portrait"/>
          <w:cols w:equalWidth="0" w:num="2">
            <w:col w:w="1900" w:space="720"/>
            <w:col w:w="7499"/>
          </w:cols>
          <w:pgMar w:left="340" w:top="1034" w:right="1440" w:bottom="1440" w:gutter="0" w:footer="0" w:header="0"/>
          <w:type w:val="continuous"/>
        </w:sectPr>
      </w:pPr>
    </w:p>
    <w:p>
      <w:pPr>
        <w:spacing w:after="0" w:line="195" w:lineRule="exact"/>
        <w:rPr>
          <w:sz w:val="20"/>
          <w:szCs w:val="20"/>
          <w:color w:val="auto"/>
        </w:rPr>
      </w:pPr>
    </w:p>
    <w:p>
      <w:pPr>
        <w:ind w:left="1120"/>
        <w:spacing w:after="0"/>
        <w:rPr>
          <w:sz w:val="20"/>
          <w:szCs w:val="20"/>
          <w:color w:val="auto"/>
        </w:rPr>
      </w:pPr>
      <w:r>
        <w:rPr>
          <w:rFonts w:ascii="Arial" w:cs="Arial" w:eastAsia="Arial" w:hAnsi="Arial"/>
          <w:sz w:val="19"/>
          <w:szCs w:val="19"/>
          <w:b w:val="1"/>
          <w:bCs w:val="1"/>
          <w:color w:val="D52B1E"/>
        </w:rPr>
        <w:t>Science and Technology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-45720</wp:posOffset>
            </wp:positionV>
            <wp:extent cx="286321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ectPr>
          <w:pgSz w:w="11900" w:h="16838" w:orient="portrait"/>
          <w:cols w:equalWidth="0" w:num="1">
            <w:col w:w="10119"/>
          </w:cols>
          <w:pgMar w:left="340" w:top="1034" w:right="1440"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w:t>
      </w:r>
      <w:r>
        <w:rPr>
          <w:rFonts w:ascii="Arial" w:cs="Arial" w:eastAsia="Arial" w:hAnsi="Arial"/>
          <w:sz w:val="18"/>
          <w:szCs w:val="18"/>
          <w:color w:val="auto"/>
        </w:rPr>
        <w:t>:</w:t>
      </w:r>
    </w:p>
    <w:p>
      <w:pPr>
        <w:spacing w:after="0" w:line="225" w:lineRule="exact"/>
        <w:rPr>
          <w:sz w:val="20"/>
          <w:szCs w:val="20"/>
          <w:color w:val="auto"/>
        </w:rPr>
      </w:pPr>
    </w:p>
    <w:p>
      <w:pPr>
        <w:ind w:left="240" w:hanging="153"/>
        <w:spacing w:after="0"/>
        <w:tabs>
          <w:tab w:leader="none" w:pos="240" w:val="left"/>
        </w:tabs>
        <w:numPr>
          <w:ilvl w:val="0"/>
          <w:numId w:val="95"/>
        </w:numPr>
        <w:rPr>
          <w:rFonts w:ascii="Arial" w:cs="Arial" w:eastAsia="Arial" w:hAnsi="Arial"/>
          <w:sz w:val="16"/>
          <w:szCs w:val="16"/>
          <w:color w:val="auto"/>
        </w:rPr>
      </w:pPr>
      <w:r>
        <w:rPr>
          <w:rFonts w:ascii="Arial" w:cs="Arial" w:eastAsia="Arial" w:hAnsi="Arial"/>
          <w:sz w:val="18"/>
          <w:szCs w:val="18"/>
          <w:color w:val="auto"/>
        </w:rPr>
        <w:t>Dr. Baicker</w:t>
      </w:r>
    </w:p>
    <w:p>
      <w:pPr>
        <w:spacing w:after="0" w:line="63" w:lineRule="exact"/>
        <w:rPr>
          <w:rFonts w:ascii="Arial" w:cs="Arial" w:eastAsia="Arial" w:hAnsi="Arial"/>
          <w:sz w:val="16"/>
          <w:szCs w:val="16"/>
          <w:color w:val="auto"/>
        </w:rPr>
      </w:pPr>
    </w:p>
    <w:p>
      <w:pPr>
        <w:ind w:left="240" w:hanging="153"/>
        <w:spacing w:after="0"/>
        <w:tabs>
          <w:tab w:leader="none" w:pos="240" w:val="left"/>
        </w:tabs>
        <w:numPr>
          <w:ilvl w:val="0"/>
          <w:numId w:val="95"/>
        </w:numPr>
        <w:rPr>
          <w:rFonts w:ascii="Arial" w:cs="Arial" w:eastAsia="Arial" w:hAnsi="Arial"/>
          <w:sz w:val="16"/>
          <w:szCs w:val="16"/>
          <w:color w:val="auto"/>
        </w:rPr>
      </w:pPr>
      <w:r>
        <w:rPr>
          <w:rFonts w:ascii="Arial" w:cs="Arial" w:eastAsia="Arial" w:hAnsi="Arial"/>
          <w:sz w:val="18"/>
          <w:szCs w:val="18"/>
          <w:color w:val="auto"/>
        </w:rPr>
        <w:t>Mr. Fyrwald</w:t>
      </w:r>
    </w:p>
    <w:p>
      <w:pPr>
        <w:spacing w:after="0" w:line="63" w:lineRule="exact"/>
        <w:rPr>
          <w:rFonts w:ascii="Arial" w:cs="Arial" w:eastAsia="Arial" w:hAnsi="Arial"/>
          <w:sz w:val="16"/>
          <w:szCs w:val="16"/>
          <w:color w:val="auto"/>
        </w:rPr>
      </w:pPr>
    </w:p>
    <w:p>
      <w:pPr>
        <w:ind w:left="240" w:hanging="153"/>
        <w:spacing w:after="0"/>
        <w:tabs>
          <w:tab w:leader="none" w:pos="240" w:val="left"/>
        </w:tabs>
        <w:numPr>
          <w:ilvl w:val="0"/>
          <w:numId w:val="95"/>
        </w:numPr>
        <w:rPr>
          <w:rFonts w:ascii="Arial" w:cs="Arial" w:eastAsia="Arial" w:hAnsi="Arial"/>
          <w:sz w:val="16"/>
          <w:szCs w:val="16"/>
          <w:color w:val="auto"/>
        </w:rPr>
      </w:pPr>
      <w:r>
        <w:rPr>
          <w:rFonts w:ascii="Arial" w:cs="Arial" w:eastAsia="Arial" w:hAnsi="Arial"/>
          <w:sz w:val="18"/>
          <w:szCs w:val="18"/>
          <w:color w:val="auto"/>
        </w:rPr>
        <w:t>Dr. Hedley</w:t>
      </w:r>
    </w:p>
    <w:p>
      <w:pPr>
        <w:spacing w:after="0" w:line="63" w:lineRule="exact"/>
        <w:rPr>
          <w:rFonts w:ascii="Arial" w:cs="Arial" w:eastAsia="Arial" w:hAnsi="Arial"/>
          <w:sz w:val="16"/>
          <w:szCs w:val="16"/>
          <w:color w:val="auto"/>
        </w:rPr>
      </w:pPr>
    </w:p>
    <w:p>
      <w:pPr>
        <w:ind w:left="240" w:hanging="153"/>
        <w:spacing w:after="0"/>
        <w:tabs>
          <w:tab w:leader="none" w:pos="240" w:val="left"/>
        </w:tabs>
        <w:numPr>
          <w:ilvl w:val="0"/>
          <w:numId w:val="95"/>
        </w:numPr>
        <w:rPr>
          <w:rFonts w:ascii="Arial" w:cs="Arial" w:eastAsia="Arial" w:hAnsi="Arial"/>
          <w:sz w:val="15"/>
          <w:szCs w:val="15"/>
          <w:color w:val="auto"/>
        </w:rPr>
      </w:pPr>
      <w:r>
        <w:rPr>
          <w:rFonts w:ascii="Arial" w:cs="Arial" w:eastAsia="Arial" w:hAnsi="Arial"/>
          <w:sz w:val="17"/>
          <w:szCs w:val="17"/>
          <w:color w:val="auto"/>
        </w:rPr>
        <w:t>Dr. Kaelin (Chair)</w:t>
      </w:r>
    </w:p>
    <w:p>
      <w:pPr>
        <w:spacing w:after="0" w:line="74" w:lineRule="exact"/>
        <w:rPr>
          <w:rFonts w:ascii="Arial" w:cs="Arial" w:eastAsia="Arial" w:hAnsi="Arial"/>
          <w:sz w:val="15"/>
          <w:szCs w:val="15"/>
          <w:color w:val="auto"/>
        </w:rPr>
      </w:pPr>
    </w:p>
    <w:p>
      <w:pPr>
        <w:ind w:left="240" w:hanging="153"/>
        <w:spacing w:after="0"/>
        <w:tabs>
          <w:tab w:leader="none" w:pos="240" w:val="left"/>
        </w:tabs>
        <w:numPr>
          <w:ilvl w:val="0"/>
          <w:numId w:val="95"/>
        </w:numPr>
        <w:rPr>
          <w:rFonts w:ascii="Arial" w:cs="Arial" w:eastAsia="Arial" w:hAnsi="Arial"/>
          <w:sz w:val="16"/>
          <w:szCs w:val="16"/>
          <w:color w:val="auto"/>
        </w:rPr>
      </w:pPr>
      <w:r>
        <w:rPr>
          <w:rFonts w:ascii="Arial" w:cs="Arial" w:eastAsia="Arial" w:hAnsi="Arial"/>
          <w:sz w:val="18"/>
          <w:szCs w:val="18"/>
          <w:color w:val="auto"/>
        </w:rPr>
        <w:t>Dr. Runge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Meetings in 2022: 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responsibilities and areas of risk oversight:</w:t>
      </w:r>
    </w:p>
    <w:p>
      <w:pPr>
        <w:spacing w:after="0" w:line="63" w:lineRule="exact"/>
        <w:rPr>
          <w:sz w:val="20"/>
          <w:szCs w:val="20"/>
          <w:color w:val="auto"/>
        </w:rPr>
      </w:pPr>
    </w:p>
    <w:p>
      <w:pPr>
        <w:ind w:left="660" w:right="1599" w:hanging="331"/>
        <w:spacing w:after="0" w:line="268" w:lineRule="auto"/>
        <w:tabs>
          <w:tab w:leader="none" w:pos="649" w:val="left"/>
        </w:tabs>
        <w:numPr>
          <w:ilvl w:val="0"/>
          <w:numId w:val="96"/>
        </w:numPr>
        <w:rPr>
          <w:rFonts w:ascii="Arial" w:cs="Arial" w:eastAsia="Arial" w:hAnsi="Arial"/>
          <w:sz w:val="16"/>
          <w:szCs w:val="16"/>
          <w:color w:val="auto"/>
        </w:rPr>
      </w:pPr>
      <w:r>
        <w:rPr>
          <w:rFonts w:ascii="Arial" w:cs="Arial" w:eastAsia="Arial" w:hAnsi="Arial"/>
          <w:sz w:val="18"/>
          <w:szCs w:val="18"/>
          <w:color w:val="auto"/>
        </w:rPr>
        <w:t>reviews and advises the board regarding the company’s long-term strategic goals and objectives and the quality and direction of the company’s research and development programs</w:t>
      </w:r>
    </w:p>
    <w:p>
      <w:pPr>
        <w:spacing w:after="0" w:line="8" w:lineRule="exact"/>
        <w:rPr>
          <w:rFonts w:ascii="Arial" w:cs="Arial" w:eastAsia="Arial" w:hAnsi="Arial"/>
          <w:sz w:val="16"/>
          <w:szCs w:val="16"/>
          <w:color w:val="auto"/>
        </w:rPr>
      </w:pPr>
    </w:p>
    <w:p>
      <w:pPr>
        <w:ind w:left="660" w:right="1519" w:hanging="331"/>
        <w:spacing w:after="0" w:line="262" w:lineRule="auto"/>
        <w:tabs>
          <w:tab w:leader="none" w:pos="649" w:val="left"/>
        </w:tabs>
        <w:numPr>
          <w:ilvl w:val="0"/>
          <w:numId w:val="96"/>
        </w:numPr>
        <w:rPr>
          <w:rFonts w:ascii="Arial" w:cs="Arial" w:eastAsia="Arial" w:hAnsi="Arial"/>
          <w:sz w:val="16"/>
          <w:szCs w:val="16"/>
          <w:color w:val="auto"/>
        </w:rPr>
      </w:pPr>
      <w:r>
        <w:rPr>
          <w:rFonts w:ascii="Arial" w:cs="Arial" w:eastAsia="Arial" w:hAnsi="Arial"/>
          <w:sz w:val="18"/>
          <w:szCs w:val="18"/>
          <w:color w:val="auto"/>
        </w:rPr>
        <w:t>reviews and advises the board and management on the company’s major technology positions and strategies relative to emerging technologies, emerging concepts of therapy and health care, and changing market requirements</w:t>
      </w:r>
    </w:p>
    <w:p>
      <w:pPr>
        <w:spacing w:after="0" w:line="14" w:lineRule="exact"/>
        <w:rPr>
          <w:rFonts w:ascii="Arial" w:cs="Arial" w:eastAsia="Arial" w:hAnsi="Arial"/>
          <w:sz w:val="16"/>
          <w:szCs w:val="16"/>
          <w:color w:val="auto"/>
        </w:rPr>
      </w:pPr>
    </w:p>
    <w:p>
      <w:pPr>
        <w:ind w:left="660" w:right="1579" w:hanging="331"/>
        <w:spacing w:after="0" w:line="281" w:lineRule="auto"/>
        <w:tabs>
          <w:tab w:leader="none" w:pos="649" w:val="left"/>
        </w:tabs>
        <w:numPr>
          <w:ilvl w:val="0"/>
          <w:numId w:val="96"/>
        </w:numPr>
        <w:rPr>
          <w:rFonts w:ascii="Arial" w:cs="Arial" w:eastAsia="Arial" w:hAnsi="Arial"/>
          <w:sz w:val="16"/>
          <w:szCs w:val="16"/>
          <w:color w:val="auto"/>
        </w:rPr>
      </w:pPr>
      <w:r>
        <w:rPr>
          <w:rFonts w:ascii="Arial" w:cs="Arial" w:eastAsia="Arial" w:hAnsi="Arial"/>
          <w:sz w:val="18"/>
          <w:szCs w:val="18"/>
          <w:color w:val="auto"/>
        </w:rPr>
        <w:t>monitors and evaluates developments, technologies, and trends in pharmaceutical research and development</w:t>
      </w:r>
    </w:p>
    <w:p>
      <w:pPr>
        <w:spacing w:after="0" w:line="1" w:lineRule="exact"/>
        <w:rPr>
          <w:rFonts w:ascii="Arial" w:cs="Arial" w:eastAsia="Arial" w:hAnsi="Arial"/>
          <w:sz w:val="16"/>
          <w:szCs w:val="16"/>
          <w:color w:val="auto"/>
        </w:rPr>
      </w:pPr>
    </w:p>
    <w:p>
      <w:pPr>
        <w:ind w:left="640" w:hanging="311"/>
        <w:spacing w:after="0"/>
        <w:tabs>
          <w:tab w:leader="none" w:pos="640" w:val="left"/>
        </w:tabs>
        <w:numPr>
          <w:ilvl w:val="0"/>
          <w:numId w:val="96"/>
        </w:numPr>
        <w:rPr>
          <w:rFonts w:ascii="Arial" w:cs="Arial" w:eastAsia="Arial" w:hAnsi="Arial"/>
          <w:sz w:val="16"/>
          <w:szCs w:val="16"/>
          <w:color w:val="auto"/>
        </w:rPr>
      </w:pPr>
      <w:r>
        <w:rPr>
          <w:rFonts w:ascii="Arial" w:cs="Arial" w:eastAsia="Arial" w:hAnsi="Arial"/>
          <w:sz w:val="18"/>
          <w:szCs w:val="18"/>
          <w:color w:val="auto"/>
        </w:rPr>
        <w:t>regularly reviews the company’s product pipeline</w:t>
      </w:r>
    </w:p>
    <w:p>
      <w:pPr>
        <w:spacing w:after="0" w:line="63" w:lineRule="exact"/>
        <w:rPr>
          <w:rFonts w:ascii="Arial" w:cs="Arial" w:eastAsia="Arial" w:hAnsi="Arial"/>
          <w:sz w:val="16"/>
          <w:szCs w:val="16"/>
          <w:color w:val="auto"/>
        </w:rPr>
      </w:pPr>
    </w:p>
    <w:p>
      <w:pPr>
        <w:ind w:left="660" w:right="1579" w:hanging="331"/>
        <w:spacing w:after="0" w:line="268" w:lineRule="auto"/>
        <w:tabs>
          <w:tab w:leader="none" w:pos="649" w:val="left"/>
        </w:tabs>
        <w:numPr>
          <w:ilvl w:val="0"/>
          <w:numId w:val="96"/>
        </w:numPr>
        <w:rPr>
          <w:rFonts w:ascii="Arial" w:cs="Arial" w:eastAsia="Arial" w:hAnsi="Arial"/>
          <w:sz w:val="16"/>
          <w:szCs w:val="16"/>
          <w:color w:val="auto"/>
        </w:rPr>
      </w:pPr>
      <w:r>
        <w:rPr>
          <w:rFonts w:ascii="Arial" w:cs="Arial" w:eastAsia="Arial" w:hAnsi="Arial"/>
          <w:sz w:val="18"/>
          <w:szCs w:val="18"/>
          <w:color w:val="auto"/>
        </w:rPr>
        <w:t>assists the board with its oversight responsibility for enterprise risk management in areas affecting the company’s research and development</w:t>
      </w:r>
    </w:p>
    <w:p>
      <w:pPr>
        <w:spacing w:after="0" w:line="200" w:lineRule="exact"/>
        <w:rPr>
          <w:sz w:val="20"/>
          <w:szCs w:val="20"/>
          <w:color w:val="auto"/>
        </w:rPr>
      </w:pPr>
    </w:p>
    <w:p>
      <w:pPr>
        <w:sectPr>
          <w:pgSz w:w="11900" w:h="16838" w:orient="portrait"/>
          <w:cols w:equalWidth="0" w:num="2">
            <w:col w:w="1900" w:space="720"/>
            <w:col w:w="7499"/>
          </w:cols>
          <w:pgMar w:left="340" w:top="1034" w:right="1440" w:bottom="144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154940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034" w:right="1440"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54"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During the year ended December 31, 2022, Mr. Alvarez, Mr. Fyrwald, Ms. Johnson, Mr. Luciano, and Ms. Walker served on the Talent and Compensation Committee.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None of the Talent and Compensation Committee members:</w:t>
      </w:r>
    </w:p>
    <w:p>
      <w:pPr>
        <w:spacing w:after="0" w:line="63" w:lineRule="exact"/>
        <w:rPr>
          <w:sz w:val="20"/>
          <w:szCs w:val="20"/>
          <w:color w:val="auto"/>
        </w:rPr>
      </w:pPr>
    </w:p>
    <w:p>
      <w:pPr>
        <w:ind w:left="640" w:hanging="308"/>
        <w:spacing w:after="0"/>
        <w:tabs>
          <w:tab w:leader="none" w:pos="640" w:val="left"/>
        </w:tabs>
        <w:numPr>
          <w:ilvl w:val="0"/>
          <w:numId w:val="97"/>
        </w:numPr>
        <w:rPr>
          <w:rFonts w:ascii="Arial" w:cs="Arial" w:eastAsia="Arial" w:hAnsi="Arial"/>
          <w:sz w:val="16"/>
          <w:szCs w:val="16"/>
          <w:color w:val="auto"/>
        </w:rPr>
      </w:pPr>
      <w:r>
        <w:rPr>
          <w:rFonts w:ascii="Arial" w:cs="Arial" w:eastAsia="Arial" w:hAnsi="Arial"/>
          <w:sz w:val="18"/>
          <w:szCs w:val="18"/>
          <w:color w:val="auto"/>
        </w:rPr>
        <w:t>has ever been an officer or employee of the company,</w:t>
      </w:r>
    </w:p>
    <w:p>
      <w:pPr>
        <w:spacing w:after="0" w:line="63" w:lineRule="exact"/>
        <w:rPr>
          <w:rFonts w:ascii="Arial" w:cs="Arial" w:eastAsia="Arial" w:hAnsi="Arial"/>
          <w:sz w:val="16"/>
          <w:szCs w:val="16"/>
          <w:color w:val="auto"/>
        </w:rPr>
      </w:pPr>
    </w:p>
    <w:p>
      <w:pPr>
        <w:ind w:left="660" w:right="160" w:hanging="328"/>
        <w:spacing w:after="0" w:line="268" w:lineRule="auto"/>
        <w:tabs>
          <w:tab w:leader="none" w:pos="649" w:val="left"/>
        </w:tabs>
        <w:numPr>
          <w:ilvl w:val="0"/>
          <w:numId w:val="97"/>
        </w:numPr>
        <w:rPr>
          <w:rFonts w:ascii="Arial" w:cs="Arial" w:eastAsia="Arial" w:hAnsi="Arial"/>
          <w:sz w:val="16"/>
          <w:szCs w:val="16"/>
          <w:color w:val="auto"/>
        </w:rPr>
      </w:pPr>
      <w:r>
        <w:rPr>
          <w:rFonts w:ascii="Arial" w:cs="Arial" w:eastAsia="Arial" w:hAnsi="Arial"/>
          <w:sz w:val="18"/>
          <w:szCs w:val="18"/>
          <w:color w:val="auto"/>
        </w:rPr>
        <w:t>is or has been a participant in a related person transaction with the company (see “</w:t>
      </w:r>
      <w:r>
        <w:rPr>
          <w:rFonts w:ascii="Arial" w:cs="Arial" w:eastAsia="Arial" w:hAnsi="Arial"/>
          <w:sz w:val="18"/>
          <w:szCs w:val="18"/>
          <w:u w:val="single" w:color="auto"/>
          <w:color w:val="0000FF"/>
        </w:rPr>
        <w:t>Governance—How We Operate an Effective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Board—Board Alignment—Conflicts of Interest and Transactions with Related Persons—Review and Approval of Transactions with Related Persons</w:t>
      </w:r>
      <w:r>
        <w:rPr>
          <w:rFonts w:ascii="Arial" w:cs="Arial" w:eastAsia="Arial" w:hAnsi="Arial"/>
          <w:sz w:val="18"/>
          <w:szCs w:val="18"/>
          <w:color w:val="000000"/>
        </w:rPr>
        <w:t>” for a description of our policy on related person transactions), or</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97"/>
        </w:numPr>
        <w:rPr>
          <w:rFonts w:ascii="Arial" w:cs="Arial" w:eastAsia="Arial" w:hAnsi="Arial"/>
          <w:sz w:val="16"/>
          <w:szCs w:val="16"/>
          <w:color w:val="auto"/>
        </w:rPr>
      </w:pPr>
      <w:r>
        <w:rPr>
          <w:rFonts w:ascii="Arial" w:cs="Arial" w:eastAsia="Arial" w:hAnsi="Arial"/>
          <w:sz w:val="18"/>
          <w:szCs w:val="18"/>
          <w:color w:val="auto"/>
        </w:rPr>
        <w:t>has any other interlocking relationships requiring disclosure under applicable SEC rules.</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Governance Practices</w:t>
      </w:r>
    </w:p>
    <w:p>
      <w:pPr>
        <w:spacing w:after="0" w:line="8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We are committed to good corporate governance, which promotes the long-term interests of shareholders and other company stakeholders, builds confidence in our leadership, and strengthens accountability by the board and management.</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Oversight</w:t>
      </w:r>
    </w:p>
    <w:p>
      <w:pPr>
        <w:spacing w:after="0" w:line="18"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color w:val="auto"/>
        </w:rPr>
        <w:t>The board exercises oversight over a broad range of areas, but the board’s key responsibilities include the following (certain of which are carried out through the board’s committees):</w:t>
      </w:r>
    </w:p>
    <w:p>
      <w:pPr>
        <w:spacing w:after="0" w:line="9" w:lineRule="exact"/>
        <w:rPr>
          <w:sz w:val="20"/>
          <w:szCs w:val="20"/>
          <w:color w:val="auto"/>
        </w:rPr>
      </w:pPr>
    </w:p>
    <w:p>
      <w:pPr>
        <w:ind w:left="640" w:hanging="308"/>
        <w:spacing w:after="0"/>
        <w:tabs>
          <w:tab w:leader="none" w:pos="640" w:val="left"/>
        </w:tabs>
        <w:numPr>
          <w:ilvl w:val="0"/>
          <w:numId w:val="98"/>
        </w:numPr>
        <w:rPr>
          <w:rFonts w:ascii="Arial" w:cs="Arial" w:eastAsia="Arial" w:hAnsi="Arial"/>
          <w:sz w:val="16"/>
          <w:szCs w:val="16"/>
          <w:color w:val="auto"/>
        </w:rPr>
      </w:pPr>
      <w:r>
        <w:rPr>
          <w:rFonts w:ascii="Arial" w:cs="Arial" w:eastAsia="Arial" w:hAnsi="Arial"/>
          <w:sz w:val="18"/>
          <w:szCs w:val="18"/>
          <w:color w:val="auto"/>
        </w:rPr>
        <w:t>providing general oversight of the business</w:t>
      </w:r>
    </w:p>
    <w:p>
      <w:pPr>
        <w:spacing w:after="0" w:line="63" w:lineRule="exact"/>
        <w:rPr>
          <w:rFonts w:ascii="Arial" w:cs="Arial" w:eastAsia="Arial" w:hAnsi="Arial"/>
          <w:sz w:val="16"/>
          <w:szCs w:val="16"/>
          <w:color w:val="auto"/>
        </w:rPr>
      </w:pPr>
    </w:p>
    <w:p>
      <w:pPr>
        <w:ind w:left="640" w:hanging="308"/>
        <w:spacing w:after="0"/>
        <w:tabs>
          <w:tab w:leader="none" w:pos="640" w:val="left"/>
        </w:tabs>
        <w:numPr>
          <w:ilvl w:val="0"/>
          <w:numId w:val="98"/>
        </w:numPr>
        <w:rPr>
          <w:rFonts w:ascii="Arial" w:cs="Arial" w:eastAsia="Arial" w:hAnsi="Arial"/>
          <w:sz w:val="16"/>
          <w:szCs w:val="16"/>
          <w:color w:val="auto"/>
        </w:rPr>
      </w:pPr>
      <w:r>
        <w:rPr>
          <w:rFonts w:ascii="Arial" w:cs="Arial" w:eastAsia="Arial" w:hAnsi="Arial"/>
          <w:sz w:val="18"/>
          <w:szCs w:val="18"/>
          <w:color w:val="auto"/>
        </w:rPr>
        <w:t>approving corporate strategy</w:t>
      </w:r>
    </w:p>
    <w:p>
      <w:pPr>
        <w:spacing w:after="0" w:line="63" w:lineRule="exact"/>
        <w:rPr>
          <w:rFonts w:ascii="Arial" w:cs="Arial" w:eastAsia="Arial" w:hAnsi="Arial"/>
          <w:sz w:val="16"/>
          <w:szCs w:val="16"/>
          <w:color w:val="auto"/>
        </w:rPr>
      </w:pPr>
    </w:p>
    <w:p>
      <w:pPr>
        <w:ind w:left="640" w:hanging="308"/>
        <w:spacing w:after="0"/>
        <w:tabs>
          <w:tab w:leader="none" w:pos="640" w:val="left"/>
        </w:tabs>
        <w:numPr>
          <w:ilvl w:val="0"/>
          <w:numId w:val="98"/>
        </w:numPr>
        <w:rPr>
          <w:rFonts w:ascii="Arial" w:cs="Arial" w:eastAsia="Arial" w:hAnsi="Arial"/>
          <w:sz w:val="16"/>
          <w:szCs w:val="16"/>
          <w:color w:val="auto"/>
        </w:rPr>
      </w:pPr>
      <w:r>
        <w:rPr>
          <w:rFonts w:ascii="Arial" w:cs="Arial" w:eastAsia="Arial" w:hAnsi="Arial"/>
          <w:sz w:val="18"/>
          <w:szCs w:val="18"/>
          <w:color w:val="auto"/>
        </w:rPr>
        <w:t>approving major management initiatives</w:t>
      </w:r>
    </w:p>
    <w:p>
      <w:pPr>
        <w:spacing w:after="0" w:line="63" w:lineRule="exact"/>
        <w:rPr>
          <w:rFonts w:ascii="Arial" w:cs="Arial" w:eastAsia="Arial" w:hAnsi="Arial"/>
          <w:sz w:val="16"/>
          <w:szCs w:val="16"/>
          <w:color w:val="auto"/>
        </w:rPr>
      </w:pPr>
    </w:p>
    <w:p>
      <w:pPr>
        <w:ind w:left="640" w:hanging="308"/>
        <w:spacing w:after="0"/>
        <w:tabs>
          <w:tab w:leader="none" w:pos="640" w:val="left"/>
        </w:tabs>
        <w:numPr>
          <w:ilvl w:val="0"/>
          <w:numId w:val="98"/>
        </w:numPr>
        <w:rPr>
          <w:rFonts w:ascii="Arial" w:cs="Arial" w:eastAsia="Arial" w:hAnsi="Arial"/>
          <w:sz w:val="16"/>
          <w:szCs w:val="16"/>
          <w:color w:val="auto"/>
        </w:rPr>
      </w:pPr>
      <w:r>
        <w:rPr>
          <w:rFonts w:ascii="Arial" w:cs="Arial" w:eastAsia="Arial" w:hAnsi="Arial"/>
          <w:sz w:val="18"/>
          <w:szCs w:val="18"/>
          <w:color w:val="auto"/>
        </w:rPr>
        <w:t>overseeing significant capital allocation</w:t>
      </w:r>
    </w:p>
    <w:p>
      <w:pPr>
        <w:spacing w:after="0" w:line="63" w:lineRule="exact"/>
        <w:rPr>
          <w:rFonts w:ascii="Arial" w:cs="Arial" w:eastAsia="Arial" w:hAnsi="Arial"/>
          <w:sz w:val="16"/>
          <w:szCs w:val="16"/>
          <w:color w:val="auto"/>
        </w:rPr>
      </w:pPr>
    </w:p>
    <w:p>
      <w:pPr>
        <w:ind w:left="640" w:hanging="308"/>
        <w:spacing w:after="0"/>
        <w:tabs>
          <w:tab w:leader="none" w:pos="640" w:val="left"/>
        </w:tabs>
        <w:numPr>
          <w:ilvl w:val="0"/>
          <w:numId w:val="98"/>
        </w:numPr>
        <w:rPr>
          <w:rFonts w:ascii="Arial" w:cs="Arial" w:eastAsia="Arial" w:hAnsi="Arial"/>
          <w:sz w:val="16"/>
          <w:szCs w:val="16"/>
          <w:color w:val="auto"/>
        </w:rPr>
      </w:pPr>
      <w:r>
        <w:rPr>
          <w:rFonts w:ascii="Arial" w:cs="Arial" w:eastAsia="Arial" w:hAnsi="Arial"/>
          <w:sz w:val="18"/>
          <w:szCs w:val="18"/>
          <w:color w:val="auto"/>
        </w:rPr>
        <w:t>selecting, compensating, evaluating, and, when necessary, replacing the CEO, and compensating other senior executives</w:t>
      </w:r>
    </w:p>
    <w:p>
      <w:pPr>
        <w:spacing w:after="0" w:line="63" w:lineRule="exact"/>
        <w:rPr>
          <w:rFonts w:ascii="Arial" w:cs="Arial" w:eastAsia="Arial" w:hAnsi="Arial"/>
          <w:sz w:val="16"/>
          <w:szCs w:val="16"/>
          <w:color w:val="auto"/>
        </w:rPr>
      </w:pPr>
    </w:p>
    <w:p>
      <w:pPr>
        <w:ind w:left="660" w:right="760" w:hanging="328"/>
        <w:spacing w:after="0" w:line="281" w:lineRule="auto"/>
        <w:tabs>
          <w:tab w:leader="none" w:pos="649" w:val="left"/>
        </w:tabs>
        <w:numPr>
          <w:ilvl w:val="0"/>
          <w:numId w:val="98"/>
        </w:numPr>
        <w:rPr>
          <w:rFonts w:ascii="Arial" w:cs="Arial" w:eastAsia="Arial" w:hAnsi="Arial"/>
          <w:sz w:val="16"/>
          <w:szCs w:val="16"/>
          <w:color w:val="auto"/>
        </w:rPr>
      </w:pPr>
      <w:r>
        <w:rPr>
          <w:rFonts w:ascii="Arial" w:cs="Arial" w:eastAsia="Arial" w:hAnsi="Arial"/>
          <w:sz w:val="18"/>
          <w:szCs w:val="18"/>
          <w:color w:val="auto"/>
        </w:rPr>
        <w:t>ensuring that an effective succession plan is in place for all key senior leadership positions and reviewing our broader talent management process, including human capital management strategies, overall corporate culture, and DEI programs</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98"/>
        </w:numPr>
        <w:rPr>
          <w:rFonts w:ascii="Arial" w:cs="Arial" w:eastAsia="Arial" w:hAnsi="Arial"/>
          <w:sz w:val="16"/>
          <w:szCs w:val="16"/>
          <w:color w:val="auto"/>
        </w:rPr>
      </w:pPr>
      <w:r>
        <w:rPr>
          <w:rFonts w:ascii="Arial" w:cs="Arial" w:eastAsia="Arial" w:hAnsi="Arial"/>
          <w:sz w:val="18"/>
          <w:szCs w:val="18"/>
          <w:color w:val="auto"/>
        </w:rPr>
        <w:t>overseeing the company’s ethics and compliance program and management of significant business risks</w:t>
      </w:r>
    </w:p>
    <w:p>
      <w:pPr>
        <w:spacing w:after="0" w:line="63" w:lineRule="exact"/>
        <w:rPr>
          <w:rFonts w:ascii="Arial" w:cs="Arial" w:eastAsia="Arial" w:hAnsi="Arial"/>
          <w:sz w:val="16"/>
          <w:szCs w:val="16"/>
          <w:color w:val="auto"/>
        </w:rPr>
      </w:pPr>
    </w:p>
    <w:p>
      <w:pPr>
        <w:ind w:left="640" w:hanging="308"/>
        <w:spacing w:after="0"/>
        <w:tabs>
          <w:tab w:leader="none" w:pos="640" w:val="left"/>
        </w:tabs>
        <w:numPr>
          <w:ilvl w:val="0"/>
          <w:numId w:val="98"/>
        </w:numPr>
        <w:rPr>
          <w:rFonts w:ascii="Arial" w:cs="Arial" w:eastAsia="Arial" w:hAnsi="Arial"/>
          <w:sz w:val="16"/>
          <w:szCs w:val="16"/>
          <w:color w:val="auto"/>
        </w:rPr>
      </w:pPr>
      <w:r>
        <w:rPr>
          <w:rFonts w:ascii="Arial" w:cs="Arial" w:eastAsia="Arial" w:hAnsi="Arial"/>
          <w:sz w:val="18"/>
          <w:szCs w:val="18"/>
          <w:color w:val="auto"/>
        </w:rPr>
        <w:t>selecting, compensating, and evaluating directors, and evaluating board processes and performance</w:t>
      </w:r>
    </w:p>
    <w:p>
      <w:pPr>
        <w:spacing w:after="0" w:line="63" w:lineRule="exact"/>
        <w:rPr>
          <w:rFonts w:ascii="Arial" w:cs="Arial" w:eastAsia="Arial" w:hAnsi="Arial"/>
          <w:sz w:val="16"/>
          <w:szCs w:val="16"/>
          <w:color w:val="auto"/>
        </w:rPr>
      </w:pPr>
    </w:p>
    <w:p>
      <w:pPr>
        <w:ind w:left="660" w:right="220" w:hanging="328"/>
        <w:spacing w:after="0" w:line="281" w:lineRule="auto"/>
        <w:tabs>
          <w:tab w:leader="none" w:pos="649" w:val="left"/>
        </w:tabs>
        <w:numPr>
          <w:ilvl w:val="0"/>
          <w:numId w:val="98"/>
        </w:numPr>
        <w:rPr>
          <w:rFonts w:ascii="Arial" w:cs="Arial" w:eastAsia="Arial" w:hAnsi="Arial"/>
          <w:sz w:val="16"/>
          <w:szCs w:val="16"/>
          <w:color w:val="auto"/>
        </w:rPr>
      </w:pPr>
      <w:r>
        <w:rPr>
          <w:rFonts w:ascii="Arial" w:cs="Arial" w:eastAsia="Arial" w:hAnsi="Arial"/>
          <w:sz w:val="18"/>
          <w:szCs w:val="18"/>
          <w:color w:val="auto"/>
        </w:rPr>
        <w:t>overseeing the company’s enterprise risk management program, including receiving regular briefings on cybersecurity, technology, and information risks</w:t>
      </w:r>
    </w:p>
    <w:p>
      <w:pPr>
        <w:spacing w:after="0" w:line="1" w:lineRule="exact"/>
        <w:rPr>
          <w:rFonts w:ascii="Arial" w:cs="Arial" w:eastAsia="Arial" w:hAnsi="Arial"/>
          <w:sz w:val="16"/>
          <w:szCs w:val="16"/>
          <w:color w:val="auto"/>
        </w:rPr>
      </w:pPr>
    </w:p>
    <w:p>
      <w:pPr>
        <w:ind w:left="660" w:right="480" w:hanging="328"/>
        <w:spacing w:after="0" w:line="281" w:lineRule="auto"/>
        <w:tabs>
          <w:tab w:leader="none" w:pos="649" w:val="left"/>
        </w:tabs>
        <w:numPr>
          <w:ilvl w:val="0"/>
          <w:numId w:val="98"/>
        </w:numPr>
        <w:rPr>
          <w:rFonts w:ascii="Arial" w:cs="Arial" w:eastAsia="Arial" w:hAnsi="Arial"/>
          <w:sz w:val="16"/>
          <w:szCs w:val="16"/>
          <w:color w:val="auto"/>
        </w:rPr>
      </w:pPr>
      <w:r>
        <w:rPr>
          <w:rFonts w:ascii="Arial" w:cs="Arial" w:eastAsia="Arial" w:hAnsi="Arial"/>
          <w:sz w:val="18"/>
          <w:szCs w:val="18"/>
          <w:color w:val="auto"/>
        </w:rPr>
        <w:t>overseeing the company’s approach to current and emerging environmental, social, political, and governance trends and public policy issues that may affect the business operations, performance or reputation of the company, and</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98"/>
        </w:numPr>
        <w:rPr>
          <w:rFonts w:ascii="Arial" w:cs="Arial" w:eastAsia="Arial" w:hAnsi="Arial"/>
          <w:sz w:val="16"/>
          <w:szCs w:val="16"/>
          <w:color w:val="auto"/>
        </w:rPr>
      </w:pPr>
      <w:r>
        <w:rPr>
          <w:rFonts w:ascii="Arial" w:cs="Arial" w:eastAsia="Arial" w:hAnsi="Arial"/>
          <w:sz w:val="18"/>
          <w:szCs w:val="18"/>
          <w:color w:val="auto"/>
        </w:rPr>
        <w:t>overseeing the company’s political expenditures and lobbying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579501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795010" cy="8255"/>
                    </a:xfrm>
                    <a:prstGeom prst="rect">
                      <a:avLst/>
                    </a:prstGeom>
                    <a:noFill/>
                  </pic:spPr>
                </pic:pic>
              </a:graphicData>
            </a:graphic>
          </wp:anchor>
        </w:drawing>
      </w:r>
    </w:p>
    <w:p>
      <w:pPr>
        <w:spacing w:after="0" w:line="290" w:lineRule="exact"/>
        <w:rPr>
          <w:sz w:val="20"/>
          <w:szCs w:val="20"/>
          <w:color w:val="auto"/>
        </w:rPr>
      </w:pPr>
    </w:p>
    <w:p>
      <w:pPr>
        <w:ind w:left="1660"/>
        <w:spacing w:after="0"/>
        <w:rPr>
          <w:sz w:val="20"/>
          <w:szCs w:val="20"/>
          <w:color w:val="auto"/>
        </w:rPr>
      </w:pPr>
      <w:r>
        <w:rPr>
          <w:rFonts w:ascii="Arial" w:cs="Arial" w:eastAsia="Arial" w:hAnsi="Arial"/>
          <w:sz w:val="22"/>
          <w:szCs w:val="22"/>
          <w:b w:val="1"/>
          <w:bCs w:val="1"/>
          <w:color w:val="auto"/>
        </w:rPr>
        <w:t>Key Areas of Oversight by the Board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579501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7950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166370</wp:posOffset>
            </wp:positionV>
            <wp:extent cx="539750" cy="4889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39750" cy="4889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D52B1E"/>
        </w:rPr>
        <w:t>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-53340</wp:posOffset>
            </wp:positionV>
            <wp:extent cx="446595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465955" cy="8255"/>
                    </a:xfrm>
                    <a:prstGeom prst="rect">
                      <a:avLst/>
                    </a:prstGeom>
                    <a:noFill/>
                  </pic:spPr>
                </pic:pic>
              </a:graphicData>
            </a:graphic>
          </wp:anchor>
        </w:drawing>
      </w:r>
    </w:p>
    <w:p>
      <w:pPr>
        <w:spacing w:after="0" w:line="362" w:lineRule="exact"/>
        <w:rPr>
          <w:sz w:val="20"/>
          <w:szCs w:val="20"/>
          <w:color w:val="auto"/>
        </w:rPr>
      </w:pPr>
    </w:p>
    <w:p>
      <w:pPr>
        <w:ind w:firstLine="972"/>
        <w:spacing w:after="0" w:line="257" w:lineRule="auto"/>
        <w:rPr>
          <w:sz w:val="20"/>
          <w:szCs w:val="20"/>
          <w:color w:val="auto"/>
        </w:rPr>
      </w:pPr>
      <w:r>
        <w:rPr>
          <w:rFonts w:ascii="Arial" w:cs="Arial" w:eastAsia="Arial" w:hAnsi="Arial"/>
          <w:sz w:val="18"/>
          <w:szCs w:val="18"/>
          <w:color w:val="auto"/>
        </w:rPr>
        <w:t>The board takes an active role in overseeing the development and execution of the company’s business strategy. Each year, the board and executive management conduct an extended review and discussion of the company’s strategy, goals, external environment, and key risks. Board meetings include discussions of company performance relative to its strategy. The board also reviews strategic focus areas for the company, such as innovation, information security, cybersecurity, and human capital management. Decisions reached in this session are reevaluated throughout the year, including as the board discusses the company’s financial performance, the performance of our business units, and progress in our product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140335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39" w:name="page40"/>
    <w:bookmarkEnd w:id="39"/>
    <w:p>
      <w:pPr>
        <w:ind w:left="1100"/>
        <w:spacing w:after="0"/>
        <w:rPr>
          <w:sz w:val="20"/>
          <w:szCs w:val="20"/>
          <w:color w:val="auto"/>
        </w:rPr>
      </w:pPr>
      <w:r>
        <w:rPr>
          <w:rFonts w:ascii="Arial" w:cs="Arial" w:eastAsia="Arial" w:hAnsi="Arial"/>
          <w:sz w:val="20"/>
          <w:szCs w:val="20"/>
          <w:b w:val="1"/>
          <w:bCs w:val="1"/>
          <w:color w:val="D52B1E"/>
        </w:rPr>
        <w:drawing>
          <wp:anchor simplePos="0" relativeHeight="251657728" behindDoc="1" locked="0" layoutInCell="0" allowOverlap="1">
            <wp:simplePos x="0" y="0"/>
            <wp:positionH relativeFrom="page">
              <wp:posOffset>208280</wp:posOffset>
            </wp:positionH>
            <wp:positionV relativeFrom="page">
              <wp:posOffset>517525</wp:posOffset>
            </wp:positionV>
            <wp:extent cx="531495" cy="4718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31495" cy="471805"/>
                    </a:xfrm>
                    <a:prstGeom prst="rect">
                      <a:avLst/>
                    </a:prstGeom>
                    <a:noFill/>
                  </pic:spPr>
                </pic:pic>
              </a:graphicData>
            </a:graphic>
          </wp:anchor>
        </w:drawing>
        <w:t>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-53340</wp:posOffset>
            </wp:positionV>
            <wp:extent cx="425196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pacing w:after="0" w:line="349" w:lineRule="exact"/>
        <w:rPr>
          <w:sz w:val="20"/>
          <w:szCs w:val="20"/>
          <w:color w:val="auto"/>
        </w:rPr>
      </w:pPr>
    </w:p>
    <w:p>
      <w:pPr>
        <w:ind w:firstLine="972"/>
        <w:spacing w:after="0" w:line="275" w:lineRule="auto"/>
        <w:rPr>
          <w:sz w:val="20"/>
          <w:szCs w:val="20"/>
          <w:color w:val="auto"/>
        </w:rPr>
      </w:pPr>
      <w:r>
        <w:rPr>
          <w:rFonts w:ascii="Arial" w:cs="Arial" w:eastAsia="Arial" w:hAnsi="Arial"/>
          <w:sz w:val="17"/>
          <w:szCs w:val="17"/>
          <w:color w:val="auto"/>
        </w:rPr>
        <w:t>The board, together with its committees, oversees the processes by which the company conducts its business to ensure the company operates in a manner that complies with laws and regulations and reflects the highest standards of integrity. The Ethics and Compliance Committee meets at least four times per year, including semi-annual private sessions to discuss compliance with the company’s chief ethics and compliance officer, the general auditor, and the executive vice president, global quality. On an annual basis, the full board reviews the company’s overall state of compliance and the Ethics and Compliance Committee receives an update on compliance at each committee meeting. The chief ethics and compliance officer and the executive vice president, global quality report directly to the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531495" cy="4718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31495" cy="471805"/>
                    </a:xfrm>
                    <a:prstGeom prst="rect">
                      <a:avLst/>
                    </a:prstGeom>
                    <a:noFill/>
                  </pic:spPr>
                </pic:pic>
              </a:graphicData>
            </a:graphic>
          </wp:anchor>
        </w:drawing>
      </w:r>
    </w:p>
    <w:p>
      <w:pPr>
        <w:spacing w:after="0" w:line="359"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D52B1E"/>
        </w:rPr>
        <w:t>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-53340</wp:posOffset>
            </wp:positionV>
            <wp:extent cx="390906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335" w:lineRule="exact"/>
        <w:rPr>
          <w:sz w:val="20"/>
          <w:szCs w:val="20"/>
          <w:color w:val="auto"/>
        </w:rPr>
      </w:pPr>
    </w:p>
    <w:p>
      <w:pPr>
        <w:ind w:right="100" w:firstLine="972"/>
        <w:spacing w:after="0" w:line="262" w:lineRule="auto"/>
        <w:rPr>
          <w:sz w:val="20"/>
          <w:szCs w:val="20"/>
          <w:color w:val="auto"/>
        </w:rPr>
      </w:pPr>
      <w:r>
        <w:rPr>
          <w:rFonts w:ascii="Arial" w:cs="Arial" w:eastAsia="Arial" w:hAnsi="Arial"/>
          <w:sz w:val="18"/>
          <w:szCs w:val="18"/>
          <w:color w:val="auto"/>
        </w:rPr>
        <w:t xml:space="preserve">Our board, as a whole, is responsible for broad oversight of all existing and emerging enterprise risk (over the short-, mid- and long-term) and of management’s development and execution of mitigation strategies designed to address those risks. In this capacity, the board has designated committees to assist in its oversight of particular key risks as described in </w:t>
      </w:r>
      <w:r>
        <w:rPr>
          <w:rFonts w:ascii="Arial" w:cs="Arial" w:eastAsia="Arial" w:hAnsi="Arial"/>
          <w:sz w:val="18"/>
          <w:szCs w:val="18"/>
          <w:u w:val="single" w:color="auto"/>
          <w:color w:val="0000FF"/>
        </w:rPr>
        <w:t>Board Structure—Committee Descriptions</w:t>
      </w:r>
      <w:r>
        <w:rPr>
          <w:rFonts w:ascii="Arial" w:cs="Arial" w:eastAsia="Arial" w:hAnsi="Arial"/>
          <w:sz w:val="18"/>
          <w:szCs w:val="18"/>
          <w:color w:val="auto"/>
        </w:rPr>
        <w:t>. Oversight of additional matters of potential risk not delegated remain the responsibility of the full board.</w:t>
      </w:r>
    </w:p>
    <w:p>
      <w:pPr>
        <w:spacing w:after="0" w:line="12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While the board and its committees oversee risk management, the company’s senior management is responsible for identifying, assessing and mitigating risk on a day-to-day basis. Each committee of our board meets regularly with key management personnel and, as desired by the applicable committee, outside advisors (including outside counsel, consultants and experts) to oversee risks associated with their respective principal areas of focus. In turn, each committee reports to the board regularly, fostering awareness and communication of significant matters among all directors, and promoting a coordinated and cohesive approach to enterprise risk oversight.</w:t>
      </w:r>
    </w:p>
    <w:p>
      <w:pPr>
        <w:spacing w:after="0" w:line="125"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The company’s enterprise risk management program, which is overseen by the Audit Committee, is directed by its chief ethics and compliance officer. Enterprise risks are identified and prioritized by management through both top-down and bottom-up processes. Management uses robust internal processes and controls to manage risk. The enterprise-level risks are reviewed annually at a full board meeting, and relevant enterprise risks are also addressed in periodic business function reviews and at the annual board and senior management strategy session. Management frequently collaborates throughout the year to keep an open dialogue on emerging risks identified from a variety of internal and external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531495" cy="4718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31495" cy="471805"/>
                    </a:xfrm>
                    <a:prstGeom prst="rect">
                      <a:avLst/>
                    </a:prstGeom>
                    <a:noFill/>
                  </pic:spPr>
                </pic:pic>
              </a:graphicData>
            </a:graphic>
          </wp:anchor>
        </w:drawing>
      </w:r>
    </w:p>
    <w:p>
      <w:pPr>
        <w:spacing w:after="0" w:line="373"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D52B1E"/>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-53340</wp:posOffset>
            </wp:positionV>
            <wp:extent cx="421767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217670" cy="8890"/>
                    </a:xfrm>
                    <a:prstGeom prst="rect">
                      <a:avLst/>
                    </a:prstGeom>
                    <a:noFill/>
                  </pic:spPr>
                </pic:pic>
              </a:graphicData>
            </a:graphic>
          </wp:anchor>
        </w:drawing>
      </w:r>
    </w:p>
    <w:p>
      <w:pPr>
        <w:spacing w:after="0" w:line="354" w:lineRule="exact"/>
        <w:rPr>
          <w:sz w:val="20"/>
          <w:szCs w:val="20"/>
          <w:color w:val="auto"/>
        </w:rPr>
      </w:pPr>
    </w:p>
    <w:p>
      <w:pPr>
        <w:ind w:right="180" w:firstLine="972"/>
        <w:spacing w:after="0" w:line="300" w:lineRule="auto"/>
        <w:rPr>
          <w:sz w:val="20"/>
          <w:szCs w:val="20"/>
          <w:color w:val="auto"/>
        </w:rPr>
      </w:pPr>
      <w:r>
        <w:rPr>
          <w:rFonts w:ascii="Arial" w:cs="Arial" w:eastAsia="Arial" w:hAnsi="Arial"/>
          <w:sz w:val="19"/>
          <w:szCs w:val="19"/>
          <w:b w:val="1"/>
          <w:bCs w:val="1"/>
          <w:color w:val="auto"/>
        </w:rPr>
        <w:t xml:space="preserve">Corporate Governance Guidelines </w:t>
      </w:r>
      <w:r>
        <w:rPr>
          <w:rFonts w:ascii="Arial" w:cs="Arial" w:eastAsia="Arial" w:hAnsi="Arial"/>
          <w:sz w:val="17"/>
          <w:szCs w:val="17"/>
          <w:color w:val="auto"/>
        </w:rPr>
        <w:t>- The board has adopted corporate governance guidelines that set forth the company’s</w:t>
      </w:r>
      <w:r>
        <w:rPr>
          <w:rFonts w:ascii="Arial" w:cs="Arial" w:eastAsia="Arial" w:hAnsi="Arial"/>
          <w:sz w:val="19"/>
          <w:szCs w:val="19"/>
          <w:b w:val="1"/>
          <w:bCs w:val="1"/>
          <w:color w:val="auto"/>
        </w:rPr>
        <w:t xml:space="preserve"> </w:t>
      </w:r>
      <w:r>
        <w:rPr>
          <w:rFonts w:ascii="Arial" w:cs="Arial" w:eastAsia="Arial" w:hAnsi="Arial"/>
          <w:sz w:val="17"/>
          <w:szCs w:val="17"/>
          <w:color w:val="auto"/>
        </w:rPr>
        <w:t xml:space="preserve">key principles of corporate governance and are available at </w:t>
      </w:r>
      <w:r>
        <w:rPr>
          <w:rFonts w:ascii="Arial" w:cs="Arial" w:eastAsia="Arial" w:hAnsi="Arial"/>
          <w:sz w:val="17"/>
          <w:szCs w:val="17"/>
          <w:color w:val="D52B1E"/>
        </w:rPr>
        <w:t>lilly.com/leadership/governance</w:t>
      </w:r>
      <w:r>
        <w:rPr>
          <w:rFonts w:ascii="Arial" w:cs="Arial" w:eastAsia="Arial" w:hAnsi="Arial"/>
          <w:sz w:val="17"/>
          <w:szCs w:val="17"/>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Code of Ethics </w:t>
      </w:r>
      <w:r>
        <w:rPr>
          <w:rFonts w:ascii="Arial" w:cs="Arial" w:eastAsia="Arial" w:hAnsi="Arial"/>
          <w:sz w:val="17"/>
          <w:szCs w:val="17"/>
          <w:color w:val="auto"/>
        </w:rPr>
        <w:t>- The board approves the company’s code of ethics, which is set out in:</w:t>
      </w:r>
    </w:p>
    <w:p>
      <w:pPr>
        <w:spacing w:after="0" w:line="60" w:lineRule="exact"/>
        <w:rPr>
          <w:sz w:val="20"/>
          <w:szCs w:val="20"/>
          <w:color w:val="auto"/>
        </w:rPr>
      </w:pPr>
    </w:p>
    <w:p>
      <w:pPr>
        <w:ind w:left="500" w:right="240" w:hanging="242"/>
        <w:spacing w:after="0" w:line="268" w:lineRule="auto"/>
        <w:rPr>
          <w:sz w:val="20"/>
          <w:szCs w:val="20"/>
          <w:color w:val="auto"/>
        </w:rPr>
      </w:pPr>
      <w:r>
        <w:rPr>
          <w:rFonts w:ascii="Arial" w:cs="Arial" w:eastAsia="Arial" w:hAnsi="Arial"/>
          <w:sz w:val="18"/>
          <w:szCs w:val="18"/>
          <w:color w:val="00A1DE"/>
        </w:rPr>
        <w:t>The Red Book</w:t>
      </w:r>
      <w:r>
        <w:rPr>
          <w:rFonts w:ascii="Arial" w:cs="Arial" w:eastAsia="Arial" w:hAnsi="Arial"/>
          <w:sz w:val="18"/>
          <w:szCs w:val="18"/>
          <w:color w:val="000000"/>
        </w:rPr>
        <w:t>: A code of ethical and legal business conduct applicable to all employees worldwide and to our board. The Red Book is</w:t>
      </w:r>
      <w:r>
        <w:rPr>
          <w:rFonts w:ascii="Arial" w:cs="Arial" w:eastAsia="Arial" w:hAnsi="Arial"/>
          <w:sz w:val="18"/>
          <w:szCs w:val="18"/>
          <w:color w:val="00A1DE"/>
        </w:rPr>
        <w:t xml:space="preserve"> </w:t>
      </w:r>
      <w:r>
        <w:rPr>
          <w:rFonts w:ascii="Arial" w:cs="Arial" w:eastAsia="Arial" w:hAnsi="Arial"/>
          <w:sz w:val="18"/>
          <w:szCs w:val="18"/>
          <w:color w:val="000000"/>
        </w:rPr>
        <w:t>reviewed and approved annually by the board. In 2022, we revised The Red Book training to update our Global Conduct in the Workplace procedure to continue to help ensure that we maintain a respectful, safe, inclusive, and professional workplace.</w:t>
      </w:r>
    </w:p>
    <w:p>
      <w:pPr>
        <w:spacing w:after="0" w:line="117" w:lineRule="exact"/>
        <w:rPr>
          <w:sz w:val="20"/>
          <w:szCs w:val="20"/>
          <w:color w:val="auto"/>
        </w:rPr>
      </w:pPr>
    </w:p>
    <w:p>
      <w:pPr>
        <w:ind w:left="500" w:right="20" w:hanging="242"/>
        <w:spacing w:after="0" w:line="318" w:lineRule="auto"/>
        <w:rPr>
          <w:sz w:val="20"/>
          <w:szCs w:val="20"/>
          <w:color w:val="auto"/>
        </w:rPr>
      </w:pPr>
      <w:r>
        <w:rPr>
          <w:rFonts w:ascii="Arial" w:cs="Arial" w:eastAsia="Arial" w:hAnsi="Arial"/>
          <w:sz w:val="17"/>
          <w:szCs w:val="17"/>
          <w:color w:val="00A1DE"/>
        </w:rPr>
        <w:t xml:space="preserve">Code of Ethical Conduct for Lilly Financial Management: </w:t>
      </w:r>
      <w:r>
        <w:rPr>
          <w:rFonts w:ascii="Arial" w:cs="Arial" w:eastAsia="Arial" w:hAnsi="Arial"/>
          <w:sz w:val="17"/>
          <w:szCs w:val="17"/>
          <w:color w:val="000000"/>
        </w:rPr>
        <w:t>A supplemental code for our CEO and all members of financial management in</w:t>
      </w:r>
      <w:r>
        <w:rPr>
          <w:rFonts w:ascii="Arial" w:cs="Arial" w:eastAsia="Arial" w:hAnsi="Arial"/>
          <w:sz w:val="17"/>
          <w:szCs w:val="17"/>
          <w:color w:val="00A1DE"/>
        </w:rPr>
        <w:t xml:space="preserve"> </w:t>
      </w:r>
      <w:r>
        <w:rPr>
          <w:rFonts w:ascii="Arial" w:cs="Arial" w:eastAsia="Arial" w:hAnsi="Arial"/>
          <w:sz w:val="17"/>
          <w:szCs w:val="17"/>
          <w:color w:val="000000"/>
        </w:rPr>
        <w:t>recognition of their unique responsibilities to ensure proper accounting, financial reporting, internal controls, and financial stewardship.</w:t>
      </w:r>
    </w:p>
    <w:p>
      <w:pPr>
        <w:spacing w:after="0" w:line="76" w:lineRule="exact"/>
        <w:rPr>
          <w:sz w:val="20"/>
          <w:szCs w:val="20"/>
          <w:color w:val="auto"/>
        </w:rPr>
      </w:pPr>
    </w:p>
    <w:p>
      <w:pPr>
        <w:ind w:left="260"/>
        <w:spacing w:after="0" w:line="259" w:lineRule="auto"/>
        <w:rPr>
          <w:sz w:val="20"/>
          <w:szCs w:val="20"/>
          <w:color w:val="auto"/>
        </w:rPr>
      </w:pPr>
      <w:r>
        <w:rPr>
          <w:rFonts w:ascii="Arial" w:cs="Arial" w:eastAsia="Arial" w:hAnsi="Arial"/>
          <w:sz w:val="18"/>
          <w:szCs w:val="18"/>
          <w:color w:val="auto"/>
        </w:rPr>
        <w:t xml:space="preserve">These documents are available at </w:t>
      </w:r>
      <w:r>
        <w:rPr>
          <w:rFonts w:ascii="Arial" w:cs="Arial" w:eastAsia="Arial" w:hAnsi="Arial"/>
          <w:sz w:val="18"/>
          <w:szCs w:val="18"/>
          <w:color w:val="D52B1E"/>
        </w:rPr>
        <w:t>lilly.com/operating-responsibly/ethics-compliance</w:t>
      </w:r>
      <w:r>
        <w:rPr>
          <w:rFonts w:ascii="Arial" w:cs="Arial" w:eastAsia="Arial" w:hAnsi="Arial"/>
          <w:sz w:val="18"/>
          <w:szCs w:val="18"/>
          <w:color w:val="auto"/>
        </w:rPr>
        <w:t xml:space="preserve"> and </w:t>
      </w:r>
      <w:r>
        <w:rPr>
          <w:rFonts w:ascii="Arial" w:cs="Arial" w:eastAsia="Arial" w:hAnsi="Arial"/>
          <w:sz w:val="18"/>
          <w:szCs w:val="18"/>
          <w:color w:val="D52B1E"/>
        </w:rPr>
        <w:t>lilly.com/operating-responsibly/ethics-compliance/financial-management-ethical-conduct</w:t>
      </w:r>
      <w:r>
        <w:rPr>
          <w:rFonts w:ascii="Arial" w:cs="Arial" w:eastAsia="Arial" w:hAnsi="Arial"/>
          <w:sz w:val="18"/>
          <w:szCs w:val="18"/>
          <w:color w:val="000000"/>
        </w:rPr>
        <w:t>. In the event of any amendments to, or waivers from, a provision of the code affecting</w:t>
      </w:r>
      <w:r>
        <w:rPr>
          <w:rFonts w:ascii="Arial" w:cs="Arial" w:eastAsia="Arial" w:hAnsi="Arial"/>
          <w:sz w:val="18"/>
          <w:szCs w:val="18"/>
          <w:color w:val="D52B1E"/>
        </w:rPr>
        <w:t xml:space="preserve"> </w:t>
      </w:r>
      <w:r>
        <w:rPr>
          <w:rFonts w:ascii="Arial" w:cs="Arial" w:eastAsia="Arial" w:hAnsi="Arial"/>
          <w:sz w:val="18"/>
          <w:szCs w:val="18"/>
          <w:color w:val="000000"/>
        </w:rPr>
        <w:t>the CEO, chief financial officer, chief accounting officer, controller, or persons performing similar functions, we intend to post on the above website, within four business days after the event, a description of the amendment or waiver as required under applicable SEC rules. We will maintain that information on our website for at least 12 months.</w:t>
      </w:r>
    </w:p>
    <w:p>
      <w:pPr>
        <w:spacing w:after="0" w:line="200" w:lineRule="exact"/>
        <w:rPr>
          <w:sz w:val="20"/>
          <w:szCs w:val="20"/>
          <w:color w:val="auto"/>
        </w:rPr>
      </w:pPr>
    </w:p>
    <w:p>
      <w:pPr>
        <w:spacing w:after="0" w:line="335"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34" w:right="419" w:bottom="1440" w:gutter="0" w:footer="0" w:header="0"/>
        </w:sectPr>
      </w:pPr>
    </w:p>
    <w:bookmarkStart w:id="40" w:name="page41"/>
    <w:bookmarkEnd w:id="40"/>
    <w:p>
      <w:pPr>
        <w:ind w:left="1100"/>
        <w:spacing w:after="0"/>
        <w:rPr>
          <w:sz w:val="20"/>
          <w:szCs w:val="20"/>
          <w:color w:val="auto"/>
        </w:rPr>
      </w:pPr>
      <w:r>
        <w:rPr>
          <w:rFonts w:ascii="Arial" w:cs="Arial" w:eastAsia="Arial" w:hAnsi="Arial"/>
          <w:sz w:val="20"/>
          <w:szCs w:val="20"/>
          <w:b w:val="1"/>
          <w:bCs w:val="1"/>
          <w:color w:val="D52B1E"/>
        </w:rPr>
        <w:drawing>
          <wp:anchor simplePos="0" relativeHeight="251657728" behindDoc="1" locked="0" layoutInCell="0" allowOverlap="1">
            <wp:simplePos x="0" y="0"/>
            <wp:positionH relativeFrom="page">
              <wp:posOffset>208280</wp:posOffset>
            </wp:positionH>
            <wp:positionV relativeFrom="page">
              <wp:posOffset>517525</wp:posOffset>
            </wp:positionV>
            <wp:extent cx="531495" cy="4718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31495" cy="471805"/>
                    </a:xfrm>
                    <a:prstGeom prst="rect">
                      <a:avLst/>
                    </a:prstGeom>
                    <a:noFill/>
                  </pic:spPr>
                </pic:pic>
              </a:graphicData>
            </a:graphic>
          </wp:anchor>
        </w:drawing>
        <w:t>CEO 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-53340</wp:posOffset>
            </wp:positionV>
            <wp:extent cx="34372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349" w:lineRule="exact"/>
        <w:rPr>
          <w:sz w:val="20"/>
          <w:szCs w:val="20"/>
          <w:color w:val="auto"/>
        </w:rPr>
      </w:pPr>
    </w:p>
    <w:p>
      <w:pPr>
        <w:ind w:right="120" w:firstLine="972"/>
        <w:spacing w:after="0" w:line="318" w:lineRule="auto"/>
        <w:rPr>
          <w:sz w:val="20"/>
          <w:szCs w:val="20"/>
          <w:color w:val="auto"/>
        </w:rPr>
      </w:pPr>
      <w:r>
        <w:rPr>
          <w:rFonts w:ascii="Arial" w:cs="Arial" w:eastAsia="Arial" w:hAnsi="Arial"/>
          <w:sz w:val="17"/>
          <w:szCs w:val="17"/>
          <w:color w:val="auto"/>
        </w:rPr>
        <w:t>At least annually, the Talent and Compensation Committee, board, and CEO review the company’s succession plans for the CEO and other key senior leadership positions. The independent directors also meet without the CEO to discuss CEO succession planning.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During these reviews, the CEO and directors discuss:</w:t>
      </w:r>
    </w:p>
    <w:p>
      <w:pPr>
        <w:spacing w:after="0" w:line="63" w:lineRule="exact"/>
        <w:rPr>
          <w:sz w:val="20"/>
          <w:szCs w:val="20"/>
          <w:color w:val="auto"/>
        </w:rPr>
      </w:pPr>
    </w:p>
    <w:p>
      <w:pPr>
        <w:ind w:left="720" w:hanging="307"/>
        <w:spacing w:after="0"/>
        <w:tabs>
          <w:tab w:leader="none" w:pos="720" w:val="left"/>
        </w:tabs>
        <w:numPr>
          <w:ilvl w:val="0"/>
          <w:numId w:val="99"/>
        </w:numPr>
        <w:rPr>
          <w:rFonts w:ascii="Arial" w:cs="Arial" w:eastAsia="Arial" w:hAnsi="Arial"/>
          <w:sz w:val="16"/>
          <w:szCs w:val="16"/>
          <w:color w:val="auto"/>
        </w:rPr>
      </w:pPr>
      <w:r>
        <w:rPr>
          <w:rFonts w:ascii="Arial" w:cs="Arial" w:eastAsia="Arial" w:hAnsi="Arial"/>
          <w:sz w:val="18"/>
          <w:szCs w:val="18"/>
          <w:color w:val="auto"/>
        </w:rPr>
        <w:t>future candidates for the CEO and other senior leadership positions;</w:t>
      </w:r>
    </w:p>
    <w:p>
      <w:pPr>
        <w:spacing w:after="0" w:line="63" w:lineRule="exact"/>
        <w:rPr>
          <w:rFonts w:ascii="Arial" w:cs="Arial" w:eastAsia="Arial" w:hAnsi="Arial"/>
          <w:sz w:val="16"/>
          <w:szCs w:val="16"/>
          <w:color w:val="auto"/>
        </w:rPr>
      </w:pPr>
    </w:p>
    <w:p>
      <w:pPr>
        <w:ind w:left="720" w:hanging="307"/>
        <w:spacing w:after="0"/>
        <w:tabs>
          <w:tab w:leader="none" w:pos="720" w:val="left"/>
        </w:tabs>
        <w:numPr>
          <w:ilvl w:val="0"/>
          <w:numId w:val="99"/>
        </w:numPr>
        <w:rPr>
          <w:rFonts w:ascii="Arial" w:cs="Arial" w:eastAsia="Arial" w:hAnsi="Arial"/>
          <w:sz w:val="16"/>
          <w:szCs w:val="16"/>
          <w:color w:val="auto"/>
        </w:rPr>
      </w:pPr>
      <w:r>
        <w:rPr>
          <w:rFonts w:ascii="Arial" w:cs="Arial" w:eastAsia="Arial" w:hAnsi="Arial"/>
          <w:sz w:val="18"/>
          <w:szCs w:val="18"/>
          <w:color w:val="auto"/>
        </w:rPr>
        <w:t>succession timing; and</w:t>
      </w:r>
    </w:p>
    <w:p>
      <w:pPr>
        <w:spacing w:after="0" w:line="63" w:lineRule="exact"/>
        <w:rPr>
          <w:rFonts w:ascii="Arial" w:cs="Arial" w:eastAsia="Arial" w:hAnsi="Arial"/>
          <w:sz w:val="16"/>
          <w:szCs w:val="16"/>
          <w:color w:val="auto"/>
        </w:rPr>
      </w:pPr>
    </w:p>
    <w:p>
      <w:pPr>
        <w:ind w:left="720" w:hanging="307"/>
        <w:spacing w:after="0"/>
        <w:tabs>
          <w:tab w:leader="none" w:pos="720" w:val="left"/>
        </w:tabs>
        <w:numPr>
          <w:ilvl w:val="0"/>
          <w:numId w:val="99"/>
        </w:numPr>
        <w:rPr>
          <w:rFonts w:ascii="Arial" w:cs="Arial" w:eastAsia="Arial" w:hAnsi="Arial"/>
          <w:sz w:val="16"/>
          <w:szCs w:val="16"/>
          <w:color w:val="auto"/>
        </w:rPr>
      </w:pPr>
      <w:r>
        <w:rPr>
          <w:rFonts w:ascii="Arial" w:cs="Arial" w:eastAsia="Arial" w:hAnsi="Arial"/>
          <w:sz w:val="18"/>
          <w:szCs w:val="18"/>
          <w:color w:val="auto"/>
        </w:rPr>
        <w:t>development plans for potential candidates.</w:t>
      </w:r>
    </w:p>
    <w:p>
      <w:pPr>
        <w:spacing w:after="0" w:line="171"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independent directors and the CEO maintain a confidential plan for the timely and efficient transfer of the CEO’s responsibilities in the event of an emergency or his sudden departure, incapacitation, or death.</w:t>
      </w:r>
    </w:p>
    <w:p>
      <w:pPr>
        <w:spacing w:after="0" w:line="99"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The company ensures that the directors have multiple opportunities to interact with the company’s top leadership talent in both formal and informal settings to allow them to most effectively assess the candidates’ qualifications and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531495" cy="4718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31495" cy="471805"/>
                    </a:xfrm>
                    <a:prstGeom prst="rect">
                      <a:avLst/>
                    </a:prstGeom>
                    <a:noFill/>
                  </pic:spPr>
                </pic:pic>
              </a:graphicData>
            </a:graphic>
          </wp:anchor>
        </w:drawing>
      </w:r>
    </w:p>
    <w:p>
      <w:pPr>
        <w:spacing w:after="0" w:line="344"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D52B1E"/>
        </w:rPr>
        <w:t>Environmental, Social,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-53340</wp:posOffset>
            </wp:positionV>
            <wp:extent cx="263144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35" w:lineRule="exact"/>
        <w:rPr>
          <w:sz w:val="20"/>
          <w:szCs w:val="20"/>
          <w:color w:val="auto"/>
        </w:rPr>
      </w:pPr>
    </w:p>
    <w:p>
      <w:pPr>
        <w:ind w:right="140" w:firstLine="972"/>
        <w:spacing w:after="0" w:line="257" w:lineRule="auto"/>
        <w:rPr>
          <w:sz w:val="20"/>
          <w:szCs w:val="20"/>
          <w:color w:val="auto"/>
        </w:rPr>
      </w:pPr>
      <w:r>
        <w:rPr>
          <w:rFonts w:ascii="Arial" w:cs="Arial" w:eastAsia="Arial" w:hAnsi="Arial"/>
          <w:sz w:val="18"/>
          <w:szCs w:val="18"/>
          <w:color w:val="auto"/>
        </w:rPr>
        <w:t>Our approach to ESG governance includes board oversight, management accountability, corporate policies and management systems, and stated public policies and positions on key ESG topics. Our full board is engaged in strategic ESG oversight, receives regular updates on ESG matters, reviews our long-term environmental goals, and weighs in on significant strategic investments, including those related to ESG. The Directors and Corporate Governance Committee is also responsible for identifying and bringing to the attention of the board, as appropriate, current and emerging environmental, social, political, and governance trends and public policy issues that may affect our business operations, performance, or reputation.</w:t>
      </w:r>
    </w:p>
    <w:p>
      <w:pPr>
        <w:spacing w:after="0" w:line="128"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In addition, we have formed an ESG Governance Committee that includes senior leaders across many of our business functions. The committee reports to our senior leadership Executive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531495" cy="4718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31495" cy="471805"/>
                    </a:xfrm>
                    <a:prstGeom prst="rect">
                      <a:avLst/>
                    </a:prstGeom>
                    <a:noFill/>
                  </pic:spPr>
                </pic:pic>
              </a:graphicData>
            </a:graphic>
          </wp:anchor>
        </w:drawing>
      </w:r>
    </w:p>
    <w:p>
      <w:pPr>
        <w:spacing w:after="0" w:line="344"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D52B1E"/>
        </w:rPr>
        <w:t>Human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-53340</wp:posOffset>
            </wp:positionV>
            <wp:extent cx="330009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49" w:lineRule="exact"/>
        <w:rPr>
          <w:sz w:val="20"/>
          <w:szCs w:val="20"/>
          <w:color w:val="auto"/>
        </w:rPr>
      </w:pPr>
    </w:p>
    <w:p>
      <w:pPr>
        <w:ind w:right="300" w:firstLine="972"/>
        <w:spacing w:after="0" w:line="257" w:lineRule="auto"/>
        <w:rPr>
          <w:sz w:val="20"/>
          <w:szCs w:val="20"/>
          <w:color w:val="auto"/>
        </w:rPr>
      </w:pPr>
      <w:r>
        <w:rPr>
          <w:rFonts w:ascii="Arial" w:cs="Arial" w:eastAsia="Arial" w:hAnsi="Arial"/>
          <w:sz w:val="18"/>
          <w:szCs w:val="18"/>
          <w:color w:val="auto"/>
        </w:rPr>
        <w:t>The board exercises active oversight over our overall talent management process, including human capital management strategies, corporate culture, and DEI programs. The board also oversees the work of its committees in developing corporate policies and frameworks designed to attract, retain, engage, and develop a workforce that aligns with our values and mission. The Talent and Compensation Committee advises the board and management on and is responsible for oversight of human capital management, DEI efforts, and employee compensation and benefits matters, and annually reviews our leadership development and succession planning practices.</w:t>
      </w:r>
    </w:p>
    <w:p>
      <w:pPr>
        <w:spacing w:after="0" w:line="12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board also oversees human capital management by regularly engaging with management and facilitating a system of reporting that highlights the importance of DEI to Lilly. For example, as part of our commitment to DEI, our board considers the contributions related to DEI of our CEO and other executive committee members when determining their compensation. Our board also oversees the activities of our CEO and executive committee in setting expectations for inclusive leadership and holding leaders accountable for building diverse and inclusive teams. Our CEO receives regular reports from Lilly’s executive vice president for human resources and diversity. In addition, our chief DEI officer is a senior vice president who also has responsibility for all aspects of talent management in the company, which enables full integration of DEI into our talent systems. The senior vice president of DEI and talent management reports to the executive vice president for human resources and diversity, who is a member of our executive committee. We believe this system of oversight and reporting by the board and our key executives is critical to our success in fostering an inclusive, supportive, and rewarding workplace.</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4" w:right="359" w:bottom="1440" w:gutter="0" w:footer="0" w:header="0"/>
        </w:sectPr>
      </w:pPr>
    </w:p>
    <w:bookmarkStart w:id="41" w:name="page42"/>
    <w:bookmarkEnd w:id="41"/>
    <w:p>
      <w:pPr>
        <w:ind w:left="1100"/>
        <w:spacing w:after="0"/>
        <w:rPr>
          <w:sz w:val="20"/>
          <w:szCs w:val="20"/>
          <w:color w:val="auto"/>
        </w:rPr>
      </w:pPr>
      <w:r>
        <w:rPr>
          <w:rFonts w:ascii="Arial" w:cs="Arial" w:eastAsia="Arial" w:hAnsi="Arial"/>
          <w:sz w:val="20"/>
          <w:szCs w:val="20"/>
          <w:b w:val="1"/>
          <w:bCs w:val="1"/>
          <w:color w:val="D52B1E"/>
        </w:rPr>
        <w:drawing>
          <wp:anchor simplePos="0" relativeHeight="251657728" behindDoc="1" locked="0" layoutInCell="0" allowOverlap="1">
            <wp:simplePos x="0" y="0"/>
            <wp:positionH relativeFrom="page">
              <wp:posOffset>208280</wp:posOffset>
            </wp:positionH>
            <wp:positionV relativeFrom="page">
              <wp:posOffset>517525</wp:posOffset>
            </wp:positionV>
            <wp:extent cx="531495" cy="47180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31495" cy="471805"/>
                    </a:xfrm>
                    <a:prstGeom prst="rect">
                      <a:avLst/>
                    </a:prstGeom>
                    <a:noFill/>
                  </pic:spPr>
                </pic:pic>
              </a:graphicData>
            </a:graphic>
          </wp:anchor>
        </w:drawing>
        <w:t>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-53340</wp:posOffset>
            </wp:positionV>
            <wp:extent cx="41230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349" w:lineRule="exact"/>
        <w:rPr>
          <w:sz w:val="20"/>
          <w:szCs w:val="20"/>
          <w:color w:val="auto"/>
        </w:rPr>
      </w:pPr>
    </w:p>
    <w:p>
      <w:pPr>
        <w:ind w:firstLine="972"/>
        <w:spacing w:after="0" w:line="268" w:lineRule="auto"/>
        <w:rPr>
          <w:sz w:val="20"/>
          <w:szCs w:val="20"/>
          <w:color w:val="auto"/>
        </w:rPr>
      </w:pPr>
      <w:r>
        <w:rPr>
          <w:rFonts w:ascii="Arial" w:cs="Arial" w:eastAsia="Arial" w:hAnsi="Arial"/>
          <w:sz w:val="18"/>
          <w:szCs w:val="18"/>
          <w:color w:val="auto"/>
        </w:rPr>
        <w:t>Our board and Audit Committee receive regular presentations on cybersecurity and information technology from our management as part of their oversight of enterprise-level risks. In addition to regular presentations, management promptly updates our board regarding significant threats or incidents as they arise, as well as changes to the broader cybersecurity landscape.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531495" cy="5918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31495" cy="59182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D52B1E"/>
        </w:rPr>
        <w:t>Political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-53340</wp:posOffset>
            </wp:positionV>
            <wp:extent cx="390017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right="20" w:firstLine="972"/>
        <w:spacing w:after="0" w:line="274" w:lineRule="auto"/>
        <w:rPr>
          <w:sz w:val="20"/>
          <w:szCs w:val="20"/>
          <w:color w:val="auto"/>
        </w:rPr>
      </w:pPr>
      <w:r>
        <w:rPr>
          <w:rFonts w:ascii="Arial" w:cs="Arial" w:eastAsia="Arial" w:hAnsi="Arial"/>
          <w:sz w:val="17"/>
          <w:szCs w:val="17"/>
          <w:color w:val="auto"/>
        </w:rPr>
        <w:t>Our board exercises governance oversight of our political expenditures and lobbying activities, ensuring our commitment to stewardship of corporate funds and risk minimization with respect to such activities. The Directors and Corporate Governance Committee is responsible for identifying current and emerging environmental, social, political, and governance trends and public policy issues that may affect the business operations, performance, or reputation of the company. In addition, the board receives regular updates at board meetings from our executive vice president, corporate affairs, and communications, which include updates on public policy issues and the company’s political corporate activity, as needed. The board also receives semi-annual updates on political engagement, including information on the contributions made by our employee political action committee (LillyPAC) and the company, as well as trade association memberships.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Environmental, Social and Governance</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Overview</w:t>
      </w:r>
    </w:p>
    <w:p>
      <w:pPr>
        <w:spacing w:after="0" w:line="58"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Our purpose is to unite caring with discovery to create medicines that make life better for people around the world. This purpose guides our business and ESG strategy.</w:t>
      </w:r>
    </w:p>
    <w:p>
      <w:pPr>
        <w:spacing w:after="0" w:line="9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We have undertaken a detailed review of our sustainability efforts, how we communicate progress toward our ESG goals, and our broader ESG strategy. In 2021, we adopted additional prevalent reporting frameworks, established new 2030 sustainability goals, and held an ESG stakeholder day to share our strategy and progress. In 2021, we also issued Lilly’s first sustainability bond, which will help fund projects intended to contribute to our ESG objectives.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Reporting Frameworks: </w:t>
      </w:r>
      <w:r>
        <w:rPr>
          <w:rFonts w:ascii="Arial" w:cs="Arial" w:eastAsia="Arial" w:hAnsi="Arial"/>
          <w:sz w:val="18"/>
          <w:szCs w:val="18"/>
          <w:color w:val="auto"/>
        </w:rPr>
        <w:t>We have adopted and communicate our progress toward our ESG objectives related with the respect to the:</w:t>
      </w:r>
    </w:p>
    <w:p>
      <w:pPr>
        <w:spacing w:after="0" w:line="171" w:lineRule="exact"/>
        <w:rPr>
          <w:sz w:val="20"/>
          <w:szCs w:val="20"/>
          <w:color w:val="auto"/>
        </w:rPr>
      </w:pPr>
    </w:p>
    <w:p>
      <w:pPr>
        <w:ind w:left="640" w:hanging="308"/>
        <w:spacing w:after="0"/>
        <w:tabs>
          <w:tab w:leader="none" w:pos="6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Sustainability Accounting Standards Board (SASB) for Biotechnology and Pharmaceuticals,</w:t>
      </w:r>
    </w:p>
    <w:p>
      <w:pPr>
        <w:spacing w:after="0" w:line="27" w:lineRule="exact"/>
        <w:rPr>
          <w:rFonts w:ascii="Arial" w:cs="Arial" w:eastAsia="Arial" w:hAnsi="Arial"/>
          <w:sz w:val="18"/>
          <w:szCs w:val="18"/>
          <w:color w:val="auto"/>
        </w:rPr>
      </w:pPr>
    </w:p>
    <w:p>
      <w:pPr>
        <w:ind w:left="640" w:hanging="308"/>
        <w:spacing w:after="0"/>
        <w:tabs>
          <w:tab w:leader="none" w:pos="6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Task Force on Climate-Related Financial Disclosures, and</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United Nations Sustainable Development Goals.</w:t>
      </w:r>
    </w:p>
    <w:p>
      <w:pPr>
        <w:spacing w:after="0" w:line="153"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color w:val="auto"/>
        </w:rPr>
        <w:t xml:space="preserve">Additional information </w:t>
      </w:r>
      <w:r>
        <w:rPr>
          <w:rFonts w:ascii="Arial" w:cs="Arial" w:eastAsia="Arial" w:hAnsi="Arial"/>
          <w:sz w:val="18"/>
          <w:szCs w:val="18"/>
          <w:color w:val="auto"/>
        </w:rPr>
        <w:t>on our ESG efforts is available in our ESG report on our website. The information on our website is not,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be deemed to be, a part of this proxy statement or incorporated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579501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795010" cy="8890"/>
                    </a:xfrm>
                    <a:prstGeom prst="rect">
                      <a:avLst/>
                    </a:prstGeom>
                    <a:noFill/>
                  </pic:spPr>
                </pic:pic>
              </a:graphicData>
            </a:graphic>
          </wp:anchor>
        </w:drawing>
      </w:r>
    </w:p>
    <w:p>
      <w:pPr>
        <w:spacing w:after="0" w:line="218" w:lineRule="exact"/>
        <w:rPr>
          <w:sz w:val="20"/>
          <w:szCs w:val="20"/>
          <w:color w:val="auto"/>
        </w:rPr>
      </w:pPr>
    </w:p>
    <w:p>
      <w:pPr>
        <w:ind w:left="3140"/>
        <w:spacing w:after="0"/>
        <w:rPr>
          <w:sz w:val="20"/>
          <w:szCs w:val="20"/>
          <w:color w:val="auto"/>
        </w:rPr>
      </w:pPr>
      <w:r>
        <w:rPr>
          <w:rFonts w:ascii="Arial" w:cs="Arial" w:eastAsia="Arial" w:hAnsi="Arial"/>
          <w:sz w:val="22"/>
          <w:szCs w:val="22"/>
          <w:b w:val="1"/>
          <w:bCs w:val="1"/>
          <w:color w:val="auto"/>
        </w:rPr>
        <w:t>Highlights of 2022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579501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795010" cy="825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We made progress toward our ESG goals in 2022 by, among other things:</w:t>
      </w:r>
    </w:p>
    <w:p>
      <w:pPr>
        <w:spacing w:after="0" w:line="171" w:lineRule="exact"/>
        <w:rPr>
          <w:sz w:val="20"/>
          <w:szCs w:val="20"/>
          <w:color w:val="auto"/>
        </w:rPr>
      </w:pPr>
    </w:p>
    <w:p>
      <w:pPr>
        <w:ind w:left="660" w:right="260" w:hanging="328"/>
        <w:spacing w:after="0" w:line="287" w:lineRule="auto"/>
        <w:tabs>
          <w:tab w:leader="none" w:pos="649" w:val="left"/>
        </w:tabs>
        <w:numPr>
          <w:ilvl w:val="0"/>
          <w:numId w:val="101"/>
        </w:numPr>
        <w:rPr>
          <w:rFonts w:ascii="Arial" w:cs="Arial" w:eastAsia="Arial" w:hAnsi="Arial"/>
          <w:sz w:val="16"/>
          <w:szCs w:val="16"/>
          <w:color w:val="auto"/>
        </w:rPr>
      </w:pPr>
      <w:r>
        <w:rPr>
          <w:rFonts w:ascii="Arial" w:cs="Arial" w:eastAsia="Arial" w:hAnsi="Arial"/>
          <w:sz w:val="18"/>
          <w:szCs w:val="18"/>
          <w:color w:val="auto"/>
        </w:rPr>
        <w:t>Establishing a collaboration to deliver high-quality, affordable human and analogue insulin to at least one million people living with type 1 and type 2 diabetes in low- to middle-income countries, most of which are in Africa.</w:t>
      </w:r>
    </w:p>
    <w:p>
      <w:pPr>
        <w:spacing w:after="0" w:line="98" w:lineRule="exact"/>
        <w:rPr>
          <w:rFonts w:ascii="Arial" w:cs="Arial" w:eastAsia="Arial" w:hAnsi="Arial"/>
          <w:sz w:val="16"/>
          <w:szCs w:val="16"/>
          <w:color w:val="auto"/>
        </w:rPr>
      </w:pPr>
    </w:p>
    <w:p>
      <w:pPr>
        <w:ind w:left="660" w:right="420" w:hanging="328"/>
        <w:spacing w:after="0" w:line="287" w:lineRule="auto"/>
        <w:tabs>
          <w:tab w:leader="none" w:pos="649" w:val="left"/>
        </w:tabs>
        <w:numPr>
          <w:ilvl w:val="0"/>
          <w:numId w:val="101"/>
        </w:numPr>
        <w:rPr>
          <w:rFonts w:ascii="Arial" w:cs="Arial" w:eastAsia="Arial" w:hAnsi="Arial"/>
          <w:sz w:val="16"/>
          <w:szCs w:val="16"/>
          <w:color w:val="auto"/>
        </w:rPr>
      </w:pPr>
      <w:r>
        <w:rPr>
          <w:rFonts w:ascii="Arial" w:cs="Arial" w:eastAsia="Arial" w:hAnsi="Arial"/>
          <w:sz w:val="18"/>
          <w:szCs w:val="18"/>
          <w:color w:val="auto"/>
        </w:rPr>
        <w:t>Installing a new solar parking canopy at our facility in Fegersheim, France capable of producing approximately 4,200 megawatt-hours of electricity a year as part of our 2030 goal to be carbon neutral in our own operations.</w:t>
      </w:r>
    </w:p>
    <w:p>
      <w:pPr>
        <w:spacing w:after="0" w:line="98" w:lineRule="exact"/>
        <w:rPr>
          <w:rFonts w:ascii="Arial" w:cs="Arial" w:eastAsia="Arial" w:hAnsi="Arial"/>
          <w:sz w:val="16"/>
          <w:szCs w:val="16"/>
          <w:color w:val="auto"/>
        </w:rPr>
      </w:pPr>
    </w:p>
    <w:p>
      <w:pPr>
        <w:ind w:left="640" w:hanging="308"/>
        <w:spacing w:after="0"/>
        <w:tabs>
          <w:tab w:leader="none" w:pos="640" w:val="left"/>
        </w:tabs>
        <w:numPr>
          <w:ilvl w:val="0"/>
          <w:numId w:val="101"/>
        </w:numPr>
        <w:rPr>
          <w:rFonts w:ascii="Arial" w:cs="Arial" w:eastAsia="Arial" w:hAnsi="Arial"/>
          <w:sz w:val="16"/>
          <w:szCs w:val="16"/>
          <w:color w:val="auto"/>
        </w:rPr>
      </w:pPr>
      <w:r>
        <w:rPr>
          <w:rFonts w:ascii="Arial" w:cs="Arial" w:eastAsia="Arial" w:hAnsi="Arial"/>
          <w:sz w:val="18"/>
          <w:szCs w:val="18"/>
          <w:color w:val="auto"/>
        </w:rPr>
        <w:t>Publishing the first allocation report for our sustainability bond.</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4" w:right="379" w:bottom="1440" w:gutter="0" w:footer="0" w:header="0"/>
        </w:sectPr>
      </w:pPr>
    </w:p>
    <w:bookmarkStart w:id="42" w:name="page43"/>
    <w:bookmarkEnd w:id="42"/>
    <w:p>
      <w:pPr>
        <w:ind w:left="1100"/>
        <w:spacing w:after="0"/>
        <w:rPr>
          <w:sz w:val="20"/>
          <w:szCs w:val="20"/>
          <w:color w:val="auto"/>
        </w:rPr>
      </w:pPr>
      <w:r>
        <w:rPr>
          <w:rFonts w:ascii="Arial" w:cs="Arial" w:eastAsia="Arial" w:hAnsi="Arial"/>
          <w:sz w:val="20"/>
          <w:szCs w:val="20"/>
          <w:b w:val="1"/>
          <w:bCs w:val="1"/>
          <w:color w:val="D52B1E"/>
        </w:rPr>
        <w:drawing>
          <wp:anchor simplePos="0" relativeHeight="251657728" behindDoc="1" locked="0" layoutInCell="0" allowOverlap="1">
            <wp:simplePos x="0" y="0"/>
            <wp:positionH relativeFrom="page">
              <wp:posOffset>208280</wp:posOffset>
            </wp:positionH>
            <wp:positionV relativeFrom="page">
              <wp:posOffset>517525</wp:posOffset>
            </wp:positionV>
            <wp:extent cx="531495" cy="4718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31495" cy="471805"/>
                    </a:xfrm>
                    <a:prstGeom prst="rect">
                      <a:avLst/>
                    </a:prstGeom>
                    <a:noFill/>
                  </pic:spPr>
                </pic:pic>
              </a:graphicData>
            </a:graphic>
          </wp:anchor>
        </w:drawing>
        <w:t>Increase Access to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-53340</wp:posOffset>
            </wp:positionV>
            <wp:extent cx="324040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49" w:lineRule="exact"/>
        <w:rPr>
          <w:sz w:val="20"/>
          <w:szCs w:val="20"/>
          <w:color w:val="auto"/>
        </w:rPr>
      </w:pPr>
    </w:p>
    <w:p>
      <w:pPr>
        <w:ind w:right="240" w:firstLine="972"/>
        <w:spacing w:after="0" w:line="262" w:lineRule="auto"/>
        <w:rPr>
          <w:sz w:val="20"/>
          <w:szCs w:val="20"/>
          <w:color w:val="auto"/>
        </w:rPr>
      </w:pPr>
      <w:r>
        <w:rPr>
          <w:rFonts w:ascii="Arial" w:cs="Arial" w:eastAsia="Arial" w:hAnsi="Arial"/>
          <w:sz w:val="18"/>
          <w:szCs w:val="18"/>
          <w:color w:val="auto"/>
        </w:rPr>
        <w:t>We are deeply committed to equitable and affordable access to our medicines so our breakthroughs can transform more lives. We are also committed to expanding our impact on society by addressing complex global health challenges, with a focus on communities with limited resources. Reaching across industry boundaries, we collaborate with partners to reach more people, and our collective work seeking to benefit individual patients and the global health system.</w:t>
      </w:r>
    </w:p>
    <w:p>
      <w:pPr>
        <w:spacing w:after="0" w:line="122" w:lineRule="exact"/>
        <w:rPr>
          <w:sz w:val="20"/>
          <w:szCs w:val="20"/>
          <w:color w:val="auto"/>
        </w:rPr>
      </w:pPr>
    </w:p>
    <w:p>
      <w:pPr>
        <w:jc w:val="both"/>
        <w:ind w:right="440"/>
        <w:spacing w:after="0" w:line="262" w:lineRule="auto"/>
        <w:rPr>
          <w:sz w:val="20"/>
          <w:szCs w:val="20"/>
          <w:color w:val="auto"/>
        </w:rPr>
      </w:pPr>
      <w:r>
        <w:rPr>
          <w:rFonts w:ascii="Arial" w:cs="Arial" w:eastAsia="Arial" w:hAnsi="Arial"/>
          <w:sz w:val="18"/>
          <w:szCs w:val="18"/>
          <w:color w:val="auto"/>
        </w:rPr>
        <w:t>We offer a variety of affordability solutions through patient support programs and copay assistance across our major products, including medicines for diabetes, migraine, immunology diseases and cancer. For migraine and immunology, we have designed copay assistance programs to bring eligible patients’ monthly out-of-pocket costs to $25 or lower. For cancer treatment, we have created a Lilly Oncology Support Center that assists eligible patients in identifying affordability options related to our products in their treatment.</w:t>
      </w:r>
    </w:p>
    <w:p>
      <w:pPr>
        <w:spacing w:after="0" w:line="12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millions of people with diabetes, insulin is a life-saving medicine. Over the last century, this medical miracle has improved and extended countless lives around the world. Lilly takes its role as a leading diabetes company seriously — and we believe that includes affordable access to treatments. Today, anyone in the United States is eligible to obtain their monthly prescription of Lilly insulin for $35 or less — regardless of the number of vials or pens — whether they are uninsured or use commercial insurance, Medicaid or a participating Medicare Part D plan.</w:t>
      </w:r>
    </w:p>
    <w:p>
      <w:pPr>
        <w:spacing w:after="0" w:line="12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As a global company, we are particularly aware of the social and economic circumstances in many developing countries that may make access to medicines difficult. In response, Lilly is researching and implementing alternative business models, recognizing particular access challenges in lower-income countries. We also support efforts to decrease the final price of medicines to patients, such as minimizing taxes and limiting markups applied in the supply chain.</w:t>
      </w:r>
    </w:p>
    <w:p>
      <w:pPr>
        <w:spacing w:after="0" w:line="12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Through investments in people, medicines and health systems, we aim to improve access to quality health care for 30 million people living in settings with limited resources annually by 2030. We call this global effort Lilly 30x30. To achieve our goal, we are leveraging the company’s resources and working with leading health organizations to increase access to Lilly medicines and address complex global health challenges. Our Lilly 30x30 goal is intended to advance health equity across three areas of impact: our pipeline and external pipelines we help support, programs to increase access to Lilly medicines, and partnerships. In each of these areas, we are working to develop high-impact, scalable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539750" cy="47180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39750" cy="471805"/>
                    </a:xfrm>
                    <a:prstGeom prst="rect">
                      <a:avLst/>
                    </a:prstGeom>
                    <a:noFill/>
                  </pic:spPr>
                </pic:pic>
              </a:graphicData>
            </a:graphic>
          </wp:anchor>
        </w:drawing>
      </w:r>
    </w:p>
    <w:p>
      <w:pPr>
        <w:spacing w:after="0" w:line="373"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D52B1E"/>
        </w:rPr>
        <w:t>Improve Lives and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-53340</wp:posOffset>
            </wp:positionV>
            <wp:extent cx="303466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335" w:lineRule="exact"/>
        <w:rPr>
          <w:sz w:val="20"/>
          <w:szCs w:val="20"/>
          <w:color w:val="auto"/>
        </w:rPr>
      </w:pPr>
    </w:p>
    <w:p>
      <w:pPr>
        <w:ind w:right="140" w:firstLine="972"/>
        <w:spacing w:after="0" w:line="262" w:lineRule="auto"/>
        <w:rPr>
          <w:sz w:val="20"/>
          <w:szCs w:val="20"/>
          <w:color w:val="auto"/>
        </w:rPr>
      </w:pPr>
      <w:r>
        <w:rPr>
          <w:rFonts w:ascii="Arial" w:cs="Arial" w:eastAsia="Arial" w:hAnsi="Arial"/>
          <w:sz w:val="18"/>
          <w:szCs w:val="18"/>
          <w:color w:val="auto"/>
        </w:rPr>
        <w:t>Beyond our medicines, we invest our time, expertise, and resources to drive positive social impact with a focus on health. We focus on action and advocacy designed to build stronger communities where people and companies can prosper and thrive. We collaborate with organizations that have proven track records of social impact. We also encourage our employees to volunteer and give in meaningful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539750" cy="47117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39750" cy="471170"/>
                    </a:xfrm>
                    <a:prstGeom prst="rect">
                      <a:avLst/>
                    </a:prstGeom>
                    <a:noFill/>
                  </pic:spPr>
                </pic:pic>
              </a:graphicData>
            </a:graphic>
          </wp:anchor>
        </w:drawing>
      </w:r>
    </w:p>
    <w:p>
      <w:pPr>
        <w:spacing w:after="0" w:line="367"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D52B1E"/>
        </w:rPr>
        <w:t>Empower a Diverse Workforce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-53340</wp:posOffset>
            </wp:positionV>
            <wp:extent cx="31800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349" w:lineRule="exact"/>
        <w:rPr>
          <w:sz w:val="20"/>
          <w:szCs w:val="20"/>
          <w:color w:val="auto"/>
        </w:rPr>
      </w:pPr>
    </w:p>
    <w:p>
      <w:pPr>
        <w:ind w:right="20" w:firstLine="972"/>
        <w:spacing w:after="0" w:line="262" w:lineRule="auto"/>
        <w:rPr>
          <w:sz w:val="20"/>
          <w:szCs w:val="20"/>
          <w:color w:val="auto"/>
        </w:rPr>
      </w:pPr>
      <w:r>
        <w:rPr>
          <w:rFonts w:ascii="Arial" w:cs="Arial" w:eastAsia="Arial" w:hAnsi="Arial"/>
          <w:sz w:val="18"/>
          <w:szCs w:val="18"/>
          <w:color w:val="auto"/>
        </w:rPr>
        <w:t>DEI is at the core of how we do business. Our long-standing values of integrity, excellence, and respect for people foster an environment where team members are encouraged to speak up, share ideas, and be fully engaged in our work, while bringing their full authentic selves to work every day. By doing so, we help innovate, accelerate, and deliver life-changing medicines that make a difference for people around the world. See below under “</w:t>
      </w:r>
      <w:r>
        <w:rPr>
          <w:rFonts w:ascii="Arial" w:cs="Arial" w:eastAsia="Arial" w:hAnsi="Arial"/>
          <w:sz w:val="18"/>
          <w:szCs w:val="18"/>
          <w:u w:val="single" w:color="auto"/>
          <w:color w:val="0000FF"/>
        </w:rPr>
        <w:t>—Human Capital Management</w:t>
      </w:r>
      <w:r>
        <w:rPr>
          <w:rFonts w:ascii="Arial" w:cs="Arial" w:eastAsia="Arial" w:hAnsi="Arial"/>
          <w:sz w:val="18"/>
          <w:szCs w:val="18"/>
          <w:color w:val="auto"/>
        </w:rPr>
        <w:t>” for additional information regarding our DEI efforts and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539750" cy="47180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39750" cy="471805"/>
                    </a:xfrm>
                    <a:prstGeom prst="rect">
                      <a:avLst/>
                    </a:prstGeom>
                    <a:noFill/>
                  </pic:spPr>
                </pic:pic>
              </a:graphicData>
            </a:graphic>
          </wp:anchor>
        </w:drawing>
      </w:r>
    </w:p>
    <w:p>
      <w:pPr>
        <w:spacing w:after="0" w:line="367"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D52B1E"/>
        </w:rPr>
        <w:t>Operate Ethically and Responsibly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-53340</wp:posOffset>
            </wp:positionV>
            <wp:extent cx="294894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349" w:lineRule="exact"/>
        <w:rPr>
          <w:sz w:val="20"/>
          <w:szCs w:val="20"/>
          <w:color w:val="auto"/>
        </w:rPr>
      </w:pPr>
    </w:p>
    <w:p>
      <w:pPr>
        <w:ind w:right="340" w:firstLine="972"/>
        <w:spacing w:after="0" w:line="287" w:lineRule="auto"/>
        <w:rPr>
          <w:sz w:val="20"/>
          <w:szCs w:val="20"/>
          <w:color w:val="auto"/>
        </w:rPr>
      </w:pPr>
      <w:r>
        <w:rPr>
          <w:rFonts w:ascii="Arial" w:cs="Arial" w:eastAsia="Arial" w:hAnsi="Arial"/>
          <w:sz w:val="18"/>
          <w:szCs w:val="18"/>
          <w:color w:val="auto"/>
        </w:rPr>
        <w:t>We strive to earn and maintain the trust of people we serve by acting ethically and responsibly. We set high standards for our products, operations and performance, and we show caring and respect for those</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43" w:name="page44"/>
    <w:bookmarkEnd w:id="43"/>
    <w:p>
      <w:pPr>
        <w:spacing w:after="0" w:line="287" w:lineRule="auto"/>
        <w:rPr>
          <w:sz w:val="20"/>
          <w:szCs w:val="20"/>
          <w:color w:val="auto"/>
        </w:rPr>
      </w:pPr>
      <w:r>
        <w:rPr>
          <w:rFonts w:ascii="Arial" w:cs="Arial" w:eastAsia="Arial" w:hAnsi="Arial"/>
          <w:sz w:val="18"/>
          <w:szCs w:val="18"/>
          <w:color w:val="auto"/>
        </w:rPr>
        <w:t>touched by our work. Our actions are grounded in our company’s core values of integrity, excellence, and respect for people. See “</w:t>
      </w:r>
      <w:r>
        <w:rPr>
          <w:rFonts w:ascii="Arial" w:cs="Arial" w:eastAsia="Arial" w:hAnsi="Arial"/>
          <w:sz w:val="18"/>
          <w:szCs w:val="18"/>
          <w:u w:val="single" w:color="auto"/>
          <w:color w:val="0000FF"/>
        </w:rPr>
        <w:t>Key Areas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of Oversight by the Board and Its Committees—Governance</w:t>
      </w:r>
      <w:r>
        <w:rPr>
          <w:rFonts w:ascii="Arial" w:cs="Arial" w:eastAsia="Arial" w:hAnsi="Arial"/>
          <w:sz w:val="18"/>
          <w:szCs w:val="18"/>
          <w:color w:val="000000"/>
        </w:rPr>
        <w:t>”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539750" cy="47180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39750" cy="471805"/>
                    </a:xfrm>
                    <a:prstGeom prst="rect">
                      <a:avLst/>
                    </a:prstGeom>
                    <a:noFill/>
                  </pic:spPr>
                </pic:pic>
              </a:graphicData>
            </a:graphic>
          </wp:anchor>
        </w:drawing>
      </w:r>
    </w:p>
    <w:p>
      <w:pPr>
        <w:spacing w:after="0" w:line="344"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D52B1E"/>
        </w:rPr>
        <w:t>Minimize our Environmental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-53340</wp:posOffset>
            </wp:positionV>
            <wp:extent cx="288861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349" w:lineRule="exact"/>
        <w:rPr>
          <w:sz w:val="20"/>
          <w:szCs w:val="20"/>
          <w:color w:val="auto"/>
        </w:rPr>
      </w:pPr>
    </w:p>
    <w:p>
      <w:pPr>
        <w:ind w:right="100" w:firstLine="972"/>
        <w:spacing w:after="0" w:line="262" w:lineRule="auto"/>
        <w:rPr>
          <w:sz w:val="20"/>
          <w:szCs w:val="20"/>
          <w:color w:val="auto"/>
        </w:rPr>
      </w:pPr>
      <w:r>
        <w:rPr>
          <w:rFonts w:ascii="Arial" w:cs="Arial" w:eastAsia="Arial" w:hAnsi="Arial"/>
          <w:sz w:val="18"/>
          <w:szCs w:val="18"/>
          <w:color w:val="auto"/>
        </w:rPr>
        <w:t>We believe that making life better means protecting and preserving the world in which we live. While making medicines requires the use of valuable resources, including energy, water, and raw materials, we remain committed to improving our environmental impact across our product life cycles and supply chain. We have set 2030 sustainability goals to reduce our emissions and waste and to continue using water responsibly and efficiently.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Human Capital Management</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Overview</w:t>
      </w:r>
    </w:p>
    <w:p>
      <w:pPr>
        <w:spacing w:after="0" w:line="5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At Lilly, dedication to human capital management is a core component of our corporate governance and culture. Our comprehensive approach to human capital management is grounded in our core values of integrity, excellence, and respect for people, which reflect our commitment to creating a safe, supportive, ethical, and rewarding work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579501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795010" cy="8255"/>
                    </a:xfrm>
                    <a:prstGeom prst="rect">
                      <a:avLst/>
                    </a:prstGeom>
                    <a:noFill/>
                  </pic:spPr>
                </pic:pic>
              </a:graphicData>
            </a:graphic>
          </wp:anchor>
        </w:drawing>
      </w:r>
    </w:p>
    <w:p>
      <w:pPr>
        <w:spacing w:after="0" w:line="249" w:lineRule="exact"/>
        <w:rPr>
          <w:sz w:val="20"/>
          <w:szCs w:val="20"/>
          <w:color w:val="auto"/>
        </w:rPr>
      </w:pPr>
    </w:p>
    <w:p>
      <w:pPr>
        <w:ind w:left="1760"/>
        <w:spacing w:after="0"/>
        <w:rPr>
          <w:sz w:val="20"/>
          <w:szCs w:val="20"/>
          <w:color w:val="auto"/>
        </w:rPr>
      </w:pPr>
      <w:r>
        <w:rPr>
          <w:rFonts w:ascii="Arial" w:cs="Arial" w:eastAsia="Arial" w:hAnsi="Arial"/>
          <w:sz w:val="22"/>
          <w:szCs w:val="22"/>
          <w:b w:val="1"/>
          <w:bCs w:val="1"/>
          <w:color w:val="auto"/>
        </w:rPr>
        <w:t>Measuring Progress on Diversity, Equity, and Inclusion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579501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795010" cy="8255"/>
                    </a:xfrm>
                    <a:prstGeom prst="rect">
                      <a:avLst/>
                    </a:prstGeom>
                    <a:noFill/>
                  </pic:spPr>
                </pic:pic>
              </a:graphicData>
            </a:graphic>
          </wp:anchor>
        </w:drawing>
      </w:r>
    </w:p>
    <w:p>
      <w:pPr>
        <w:spacing w:after="0" w:line="290"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We are committed to fairness and nondiscrimination in our employment practices, and we deeply value diverse backgrounds, skills, and global perspectives. To fulfill our purpose, we believe we must look at challenges from multiple viewpoints and understand the diverse experiences of the patients who depend on us. In short, we believe that diverse representation at all levels makes Lilly a stronger and more innovative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522605" cy="4718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22605" cy="471805"/>
                    </a:xfrm>
                    <a:prstGeom prst="rect">
                      <a:avLst/>
                    </a:prstGeom>
                    <a:noFill/>
                  </pic:spPr>
                </pic:pic>
              </a:graphicData>
            </a:graphic>
          </wp:anchor>
        </w:drawing>
      </w:r>
    </w:p>
    <w:p>
      <w:pPr>
        <w:spacing w:after="0" w:line="325"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D52B1E"/>
        </w:rPr>
        <w:t>Employee Journeys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-53340</wp:posOffset>
            </wp:positionV>
            <wp:extent cx="381444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335" w:lineRule="exact"/>
        <w:rPr>
          <w:sz w:val="20"/>
          <w:szCs w:val="20"/>
          <w:color w:val="auto"/>
        </w:rPr>
      </w:pPr>
    </w:p>
    <w:p>
      <w:pPr>
        <w:ind w:firstLine="972"/>
        <w:spacing w:after="0" w:line="254" w:lineRule="auto"/>
        <w:rPr>
          <w:sz w:val="20"/>
          <w:szCs w:val="20"/>
          <w:color w:val="auto"/>
        </w:rPr>
      </w:pPr>
      <w:r>
        <w:rPr>
          <w:rFonts w:ascii="Arial" w:cs="Arial" w:eastAsia="Arial" w:hAnsi="Arial"/>
          <w:sz w:val="18"/>
          <w:szCs w:val="18"/>
          <w:color w:val="auto"/>
        </w:rPr>
        <w:t>We believe that fostering DEI begins with understanding, and we have approached DEI with the same rigor as our other business-critical priorities. Our Employee Journeys research has yielded important insights about the experiences of women, Black/African American, Latinx, Asian, and LGBTQ+ employees at Lilly. In response to insights from our Employee Journeys research, we developed, among others, an education and awareness program to help build cultural literacy and foster an understanding of employee expectations for feeling psychologically safe at work. More than 3,500 leaders and more than 13,000 employees have participated in required training to gain greater awareness of how unconscious bias and microaggressions can harm team cohesiveness and hurt employee engagement. Our Employee Journeys research has also resulted in growing energy around DEI, with a company-wide network of DEI champions, initiatives, and teams across business areas—and an expanding appreciation of the value of different perspectives. The results of this research are reviewed by our senior leadership, and we deploy actions and activities in response to these insights to improve our workplace and corporate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522605" cy="4883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22605" cy="488315"/>
                    </a:xfrm>
                    <a:prstGeom prst="rect">
                      <a:avLst/>
                    </a:prstGeom>
                    <a:noFill/>
                  </pic:spPr>
                </pic:pic>
              </a:graphicData>
            </a:graphic>
          </wp:anchor>
        </w:drawing>
      </w:r>
    </w:p>
    <w:p>
      <w:pPr>
        <w:spacing w:after="0" w:line="390"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D52B1E"/>
        </w:rPr>
        <w:t>Racial Justice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-53340</wp:posOffset>
            </wp:positionV>
            <wp:extent cx="337756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362" w:lineRule="exact"/>
        <w:rPr>
          <w:sz w:val="20"/>
          <w:szCs w:val="20"/>
          <w:color w:val="auto"/>
        </w:rPr>
      </w:pPr>
    </w:p>
    <w:p>
      <w:pPr>
        <w:ind w:right="100" w:firstLine="972"/>
        <w:spacing w:after="0" w:line="256" w:lineRule="auto"/>
        <w:rPr>
          <w:sz w:val="20"/>
          <w:szCs w:val="20"/>
          <w:color w:val="auto"/>
        </w:rPr>
      </w:pPr>
      <w:r>
        <w:rPr>
          <w:rFonts w:ascii="Arial" w:cs="Arial" w:eastAsia="Arial" w:hAnsi="Arial"/>
          <w:sz w:val="18"/>
          <w:szCs w:val="18"/>
          <w:color w:val="auto"/>
        </w:rPr>
        <w:t>In 2020, Lilly and the Lilly Foundation launched the Racial Justice Commitment, with Lilly pledging 25,000 volunteer hours over five years and the Lilly Foundation committing $25 million over five years to help decrease the burden of racial injustice and its effects on communities of color. The Racial Justice Commitment aims to drive change across five areas: internal people development, health equity, social impact, diversity partners, and family sustaining jobs, through the use of financial and people resources. From 2020 through 2022, we have made progress in these efforts, including nearly tripling our spend with Black-owned businesses, committing over $98 million to minority-led venture capital firms, serving over 30,000 volunteer hours to advance racial justice initiatives, and expanding our Skills First Program at Lilly for individuals without four-year college degrees.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4" w:name="page45"/>
    <w:bookmarkEnd w:id="44"/>
    <w:p>
      <w:pPr>
        <w:ind w:left="1080"/>
        <w:spacing w:after="0"/>
        <w:rPr>
          <w:sz w:val="20"/>
          <w:szCs w:val="20"/>
          <w:color w:val="auto"/>
        </w:rPr>
      </w:pPr>
      <w:r>
        <w:rPr>
          <w:rFonts w:ascii="Arial" w:cs="Arial" w:eastAsia="Arial" w:hAnsi="Arial"/>
          <w:sz w:val="20"/>
          <w:szCs w:val="20"/>
          <w:b w:val="1"/>
          <w:bCs w:val="1"/>
          <w:color w:val="D52B1E"/>
        </w:rPr>
        <w:drawing>
          <wp:anchor simplePos="0" relativeHeight="251657728" behindDoc="1" locked="0" layoutInCell="0" allowOverlap="1">
            <wp:simplePos x="0" y="0"/>
            <wp:positionH relativeFrom="page">
              <wp:posOffset>208280</wp:posOffset>
            </wp:positionH>
            <wp:positionV relativeFrom="page">
              <wp:posOffset>620395</wp:posOffset>
            </wp:positionV>
            <wp:extent cx="522605" cy="4889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22605" cy="488950"/>
                    </a:xfrm>
                    <a:prstGeom prst="rect">
                      <a:avLst/>
                    </a:prstGeom>
                    <a:noFill/>
                  </pic:spPr>
                </pic:pic>
              </a:graphicData>
            </a:graphic>
          </wp:anchor>
        </w:drawing>
        <w:t>Workforce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-53340</wp:posOffset>
            </wp:positionV>
            <wp:extent cx="381444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814445" cy="8890"/>
                    </a:xfrm>
                    <a:prstGeom prst="rect">
                      <a:avLst/>
                    </a:prstGeom>
                    <a:noFill/>
                  </pic:spPr>
                </pic:pic>
              </a:graphicData>
            </a:graphic>
          </wp:anchor>
        </w:drawing>
      </w:r>
    </w:p>
    <w:p>
      <w:pPr>
        <w:spacing w:after="0" w:line="362" w:lineRule="exact"/>
        <w:rPr>
          <w:sz w:val="20"/>
          <w:szCs w:val="20"/>
          <w:color w:val="auto"/>
        </w:rPr>
      </w:pPr>
    </w:p>
    <w:p>
      <w:pPr>
        <w:ind w:firstLine="972"/>
        <w:spacing w:after="0" w:line="255" w:lineRule="auto"/>
        <w:rPr>
          <w:sz w:val="20"/>
          <w:szCs w:val="20"/>
          <w:color w:val="auto"/>
        </w:rPr>
      </w:pPr>
      <w:r>
        <w:rPr>
          <w:rFonts w:ascii="Arial" w:cs="Arial" w:eastAsia="Arial" w:hAnsi="Arial"/>
          <w:sz w:val="18"/>
          <w:szCs w:val="18"/>
          <w:color w:val="auto"/>
        </w:rPr>
        <w:t>Since 2017, we have committed to increasing women, Black/African American, Latinx, and Asian representation in leadership roles, and we actively monitor our progress. From the end of 2018 through the end of 2022, we increased the percentage of women in management globally from 42 percent to 49 percent. For MGM in the United States, over the same period, we increased management representation from 19 percent to 25 percent. Across all levels of our workforce, from the end of 2018 through the end of 2022, we have seen increased representation for MGMs in the United States and women globally.</w:t>
      </w:r>
    </w:p>
    <w:p>
      <w:pPr>
        <w:spacing w:after="0" w:line="3" w:lineRule="exact"/>
        <w:rPr>
          <w:sz w:val="20"/>
          <w:szCs w:val="20"/>
          <w:color w:val="auto"/>
        </w:rPr>
      </w:pPr>
    </w:p>
    <w:tbl>
      <w:tblPr>
        <w:tblLayout w:type="fixed"/>
        <w:tblInd w:w="960" w:type="dxa"/>
        <w:tblCellMar>
          <w:top w:w="0" w:type="dxa"/>
          <w:left w:w="0" w:type="dxa"/>
          <w:bottom w:w="0" w:type="dxa"/>
          <w:right w:w="0" w:type="dxa"/>
        </w:tblCellMar>
      </w:tblPr>
      <w:tr>
        <w:trPr>
          <w:trHeight w:val="386"/>
        </w:trPr>
        <w:tc>
          <w:tcPr>
            <w:tcW w:w="1740" w:type="dxa"/>
            <w:vAlign w:val="bottom"/>
          </w:tcPr>
          <w:p>
            <w:pPr>
              <w:jc w:val="center"/>
              <w:spacing w:after="0"/>
              <w:rPr>
                <w:sz w:val="20"/>
                <w:szCs w:val="20"/>
                <w:color w:val="auto"/>
              </w:rPr>
            </w:pPr>
            <w:r>
              <w:rPr>
                <w:rFonts w:ascii="Arial" w:cs="Arial" w:eastAsia="Arial" w:hAnsi="Arial"/>
                <w:sz w:val="32"/>
                <w:szCs w:val="32"/>
                <w:color w:val="D52B1E"/>
              </w:rPr>
              <w:t>5</w:t>
            </w:r>
          </w:p>
        </w:tc>
        <w:tc>
          <w:tcPr>
            <w:tcW w:w="1940" w:type="dxa"/>
            <w:vAlign w:val="bottom"/>
          </w:tcPr>
          <w:p>
            <w:pPr>
              <w:jc w:val="center"/>
              <w:spacing w:after="0"/>
              <w:rPr>
                <w:sz w:val="20"/>
                <w:szCs w:val="20"/>
                <w:color w:val="auto"/>
              </w:rPr>
            </w:pPr>
            <w:r>
              <w:rPr>
                <w:rFonts w:ascii="Arial" w:cs="Arial" w:eastAsia="Arial" w:hAnsi="Arial"/>
                <w:sz w:val="32"/>
                <w:szCs w:val="32"/>
                <w:color w:val="D52B1E"/>
              </w:rPr>
              <w:t>3</w:t>
            </w:r>
          </w:p>
        </w:tc>
        <w:tc>
          <w:tcPr>
            <w:tcW w:w="1700" w:type="dxa"/>
            <w:vAlign w:val="bottom"/>
          </w:tcPr>
          <w:p>
            <w:pPr>
              <w:jc w:val="center"/>
              <w:ind w:right="12"/>
              <w:spacing w:after="0"/>
              <w:rPr>
                <w:sz w:val="20"/>
                <w:szCs w:val="20"/>
                <w:color w:val="auto"/>
              </w:rPr>
            </w:pPr>
            <w:r>
              <w:rPr>
                <w:rFonts w:ascii="Arial" w:cs="Arial" w:eastAsia="Arial" w:hAnsi="Arial"/>
                <w:sz w:val="32"/>
                <w:szCs w:val="32"/>
                <w:color w:val="D52B1E"/>
              </w:rPr>
              <w:t>5</w:t>
            </w:r>
          </w:p>
        </w:tc>
        <w:tc>
          <w:tcPr>
            <w:tcW w:w="1580" w:type="dxa"/>
            <w:vAlign w:val="bottom"/>
          </w:tcPr>
          <w:p>
            <w:pPr>
              <w:jc w:val="center"/>
              <w:ind w:left="132"/>
              <w:spacing w:after="0"/>
              <w:rPr>
                <w:sz w:val="20"/>
                <w:szCs w:val="20"/>
                <w:color w:val="auto"/>
              </w:rPr>
            </w:pPr>
            <w:r>
              <w:rPr>
                <w:rFonts w:ascii="Arial" w:cs="Arial" w:eastAsia="Arial" w:hAnsi="Arial"/>
                <w:sz w:val="32"/>
                <w:szCs w:val="32"/>
                <w:color w:val="D52B1E"/>
              </w:rPr>
              <w:t>6</w:t>
            </w:r>
          </w:p>
        </w:tc>
      </w:tr>
      <w:tr>
        <w:trPr>
          <w:trHeight w:val="280"/>
        </w:trPr>
        <w:tc>
          <w:tcPr>
            <w:tcW w:w="1740" w:type="dxa"/>
            <w:vAlign w:val="bottom"/>
          </w:tcPr>
          <w:p>
            <w:pPr>
              <w:jc w:val="center"/>
              <w:spacing w:after="0"/>
              <w:rPr>
                <w:sz w:val="20"/>
                <w:szCs w:val="20"/>
                <w:color w:val="auto"/>
              </w:rPr>
            </w:pPr>
            <w:r>
              <w:rPr>
                <w:rFonts w:ascii="Arial" w:cs="Arial" w:eastAsia="Arial" w:hAnsi="Arial"/>
                <w:sz w:val="22"/>
                <w:szCs w:val="22"/>
                <w:b w:val="1"/>
                <w:bCs w:val="1"/>
                <w:color w:val="auto"/>
                <w:w w:val="98"/>
              </w:rPr>
              <w:t>Women</w:t>
            </w:r>
          </w:p>
        </w:tc>
        <w:tc>
          <w:tcPr>
            <w:tcW w:w="1940" w:type="dxa"/>
            <w:vAlign w:val="bottom"/>
          </w:tcPr>
          <w:p>
            <w:pPr>
              <w:jc w:val="center"/>
              <w:spacing w:after="0"/>
              <w:rPr>
                <w:sz w:val="20"/>
                <w:szCs w:val="20"/>
                <w:color w:val="auto"/>
              </w:rPr>
            </w:pPr>
            <w:r>
              <w:rPr>
                <w:rFonts w:ascii="Arial" w:cs="Arial" w:eastAsia="Arial" w:hAnsi="Arial"/>
                <w:sz w:val="22"/>
                <w:szCs w:val="22"/>
                <w:b w:val="1"/>
                <w:bCs w:val="1"/>
                <w:color w:val="auto"/>
                <w:w w:val="96"/>
              </w:rPr>
              <w:t>MGMs</w:t>
            </w:r>
          </w:p>
        </w:tc>
        <w:tc>
          <w:tcPr>
            <w:tcW w:w="1700" w:type="dxa"/>
            <w:vAlign w:val="bottom"/>
          </w:tcPr>
          <w:p>
            <w:pPr>
              <w:jc w:val="center"/>
              <w:ind w:right="12"/>
              <w:spacing w:after="0"/>
              <w:rPr>
                <w:sz w:val="20"/>
                <w:szCs w:val="20"/>
                <w:color w:val="auto"/>
              </w:rPr>
            </w:pPr>
            <w:r>
              <w:rPr>
                <w:rFonts w:ascii="Arial" w:cs="Arial" w:eastAsia="Arial" w:hAnsi="Arial"/>
                <w:sz w:val="22"/>
                <w:szCs w:val="22"/>
                <w:b w:val="1"/>
                <w:bCs w:val="1"/>
                <w:color w:val="auto"/>
                <w:w w:val="98"/>
              </w:rPr>
              <w:t>Women</w:t>
            </w:r>
          </w:p>
        </w:tc>
        <w:tc>
          <w:tcPr>
            <w:tcW w:w="1580" w:type="dxa"/>
            <w:vAlign w:val="bottom"/>
          </w:tcPr>
          <w:p>
            <w:pPr>
              <w:jc w:val="center"/>
              <w:ind w:left="132"/>
              <w:spacing w:after="0"/>
              <w:rPr>
                <w:sz w:val="20"/>
                <w:szCs w:val="20"/>
                <w:color w:val="auto"/>
              </w:rPr>
            </w:pPr>
            <w:r>
              <w:rPr>
                <w:rFonts w:ascii="Arial" w:cs="Arial" w:eastAsia="Arial" w:hAnsi="Arial"/>
                <w:sz w:val="22"/>
                <w:szCs w:val="22"/>
                <w:b w:val="1"/>
                <w:bCs w:val="1"/>
                <w:color w:val="auto"/>
                <w:w w:val="99"/>
              </w:rPr>
              <w:t>MGMs</w:t>
            </w:r>
          </w:p>
        </w:tc>
      </w:tr>
      <w:tr>
        <w:trPr>
          <w:trHeight w:val="181"/>
        </w:trPr>
        <w:tc>
          <w:tcPr>
            <w:tcW w:w="1740" w:type="dxa"/>
            <w:vAlign w:val="bottom"/>
          </w:tcPr>
          <w:p>
            <w:pPr>
              <w:jc w:val="center"/>
              <w:spacing w:after="0" w:line="181" w:lineRule="exact"/>
              <w:rPr>
                <w:sz w:val="20"/>
                <w:szCs w:val="20"/>
                <w:color w:val="auto"/>
              </w:rPr>
            </w:pPr>
            <w:r>
              <w:rPr>
                <w:rFonts w:ascii="Arial" w:cs="Arial" w:eastAsia="Arial" w:hAnsi="Arial"/>
                <w:sz w:val="18"/>
                <w:szCs w:val="18"/>
                <w:color w:val="auto"/>
                <w:w w:val="99"/>
              </w:rPr>
              <w:t>out of 15 current</w:t>
            </w:r>
          </w:p>
        </w:tc>
        <w:tc>
          <w:tcPr>
            <w:tcW w:w="1940" w:type="dxa"/>
            <w:vAlign w:val="bottom"/>
          </w:tcPr>
          <w:p>
            <w:pPr>
              <w:jc w:val="center"/>
              <w:spacing w:after="0" w:line="181" w:lineRule="exact"/>
              <w:rPr>
                <w:sz w:val="20"/>
                <w:szCs w:val="20"/>
                <w:color w:val="auto"/>
              </w:rPr>
            </w:pPr>
            <w:r>
              <w:rPr>
                <w:rFonts w:ascii="Arial" w:cs="Arial" w:eastAsia="Arial" w:hAnsi="Arial"/>
                <w:sz w:val="18"/>
                <w:szCs w:val="18"/>
                <w:color w:val="auto"/>
              </w:rPr>
              <w:t>out of 15 current</w:t>
            </w:r>
          </w:p>
        </w:tc>
        <w:tc>
          <w:tcPr>
            <w:tcW w:w="1700" w:type="dxa"/>
            <w:vAlign w:val="bottom"/>
          </w:tcPr>
          <w:p>
            <w:pPr>
              <w:jc w:val="center"/>
              <w:spacing w:after="0" w:line="181" w:lineRule="exact"/>
              <w:rPr>
                <w:sz w:val="20"/>
                <w:szCs w:val="20"/>
                <w:color w:val="auto"/>
              </w:rPr>
            </w:pPr>
            <w:r>
              <w:rPr>
                <w:rFonts w:ascii="Arial" w:cs="Arial" w:eastAsia="Arial" w:hAnsi="Arial"/>
                <w:sz w:val="18"/>
                <w:szCs w:val="18"/>
                <w:color w:val="auto"/>
              </w:rPr>
              <w:t>out of 13 current</w:t>
            </w:r>
          </w:p>
        </w:tc>
        <w:tc>
          <w:tcPr>
            <w:tcW w:w="1580" w:type="dxa"/>
            <w:vAlign w:val="bottom"/>
          </w:tcPr>
          <w:p>
            <w:pPr>
              <w:jc w:val="center"/>
              <w:ind w:left="132"/>
              <w:spacing w:after="0" w:line="181" w:lineRule="exact"/>
              <w:rPr>
                <w:sz w:val="20"/>
                <w:szCs w:val="20"/>
                <w:color w:val="auto"/>
              </w:rPr>
            </w:pPr>
            <w:r>
              <w:rPr>
                <w:rFonts w:ascii="Arial" w:cs="Arial" w:eastAsia="Arial" w:hAnsi="Arial"/>
                <w:sz w:val="18"/>
                <w:szCs w:val="18"/>
                <w:color w:val="auto"/>
                <w:w w:val="99"/>
              </w:rPr>
              <w:t>out of 13 current</w:t>
            </w:r>
          </w:p>
        </w:tc>
      </w:tr>
      <w:tr>
        <w:trPr>
          <w:trHeight w:val="176"/>
        </w:trPr>
        <w:tc>
          <w:tcPr>
            <w:tcW w:w="17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executive</w:t>
            </w:r>
          </w:p>
        </w:tc>
        <w:tc>
          <w:tcPr>
            <w:tcW w:w="19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executive committee</w:t>
            </w:r>
          </w:p>
        </w:tc>
        <w:tc>
          <w:tcPr>
            <w:tcW w:w="17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 xml:space="preserve">directors </w:t>
            </w:r>
            <w:r>
              <w:rPr>
                <w:rFonts w:ascii="Arial" w:cs="Arial" w:eastAsia="Arial" w:hAnsi="Arial"/>
                <w:sz w:val="18"/>
                <w:szCs w:val="18"/>
                <w:color w:val="auto"/>
                <w:w w:val="99"/>
              </w:rPr>
              <w:t>on our</w:t>
            </w:r>
          </w:p>
        </w:tc>
        <w:tc>
          <w:tcPr>
            <w:tcW w:w="1580" w:type="dxa"/>
            <w:vAlign w:val="bottom"/>
          </w:tcPr>
          <w:p>
            <w:pPr>
              <w:jc w:val="center"/>
              <w:ind w:left="132"/>
              <w:spacing w:after="0" w:line="176" w:lineRule="exact"/>
              <w:rPr>
                <w:sz w:val="20"/>
                <w:szCs w:val="20"/>
                <w:color w:val="auto"/>
              </w:rPr>
            </w:pPr>
            <w:r>
              <w:rPr>
                <w:rFonts w:ascii="Arial" w:cs="Arial" w:eastAsia="Arial" w:hAnsi="Arial"/>
                <w:sz w:val="18"/>
                <w:szCs w:val="18"/>
                <w:b w:val="1"/>
                <w:bCs w:val="1"/>
                <w:color w:val="auto"/>
              </w:rPr>
              <w:t xml:space="preserve">directors </w:t>
            </w:r>
            <w:r>
              <w:rPr>
                <w:rFonts w:ascii="Arial" w:cs="Arial" w:eastAsia="Arial" w:hAnsi="Arial"/>
                <w:sz w:val="18"/>
                <w:szCs w:val="18"/>
                <w:color w:val="auto"/>
              </w:rPr>
              <w:t>on our</w:t>
            </w:r>
          </w:p>
        </w:tc>
      </w:tr>
      <w:tr>
        <w:trPr>
          <w:trHeight w:val="247"/>
        </w:trPr>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9"/>
              </w:rPr>
              <w:t xml:space="preserve">committee </w:t>
            </w:r>
            <w:r>
              <w:rPr>
                <w:rFonts w:ascii="Arial" w:cs="Arial" w:eastAsia="Arial" w:hAnsi="Arial"/>
                <w:sz w:val="18"/>
                <w:szCs w:val="18"/>
                <w:color w:val="auto"/>
                <w:w w:val="99"/>
              </w:rPr>
              <w:t>members</w:t>
            </w:r>
          </w:p>
        </w:tc>
        <w:tc>
          <w:tcPr>
            <w:tcW w:w="1940" w:type="dxa"/>
            <w:vAlign w:val="bottom"/>
          </w:tcPr>
          <w:p>
            <w:pPr>
              <w:jc w:val="center"/>
              <w:spacing w:after="0"/>
              <w:rPr>
                <w:sz w:val="20"/>
                <w:szCs w:val="20"/>
                <w:color w:val="auto"/>
              </w:rPr>
            </w:pPr>
            <w:r>
              <w:rPr>
                <w:rFonts w:ascii="Arial" w:cs="Arial" w:eastAsia="Arial" w:hAnsi="Arial"/>
                <w:sz w:val="18"/>
                <w:szCs w:val="18"/>
                <w:color w:val="auto"/>
              </w:rPr>
              <w:t>members</w:t>
            </w:r>
          </w:p>
        </w:tc>
        <w:tc>
          <w:tcPr>
            <w:tcW w:w="1700" w:type="dxa"/>
            <w:vAlign w:val="bottom"/>
          </w:tcPr>
          <w:p>
            <w:pPr>
              <w:jc w:val="center"/>
              <w:ind w:right="12"/>
              <w:spacing w:after="0"/>
              <w:rPr>
                <w:sz w:val="20"/>
                <w:szCs w:val="20"/>
                <w:color w:val="auto"/>
              </w:rPr>
            </w:pPr>
            <w:r>
              <w:rPr>
                <w:rFonts w:ascii="Arial" w:cs="Arial" w:eastAsia="Arial" w:hAnsi="Arial"/>
                <w:sz w:val="18"/>
                <w:szCs w:val="18"/>
                <w:color w:val="auto"/>
                <w:w w:val="99"/>
              </w:rPr>
              <w:t>board</w:t>
            </w:r>
          </w:p>
        </w:tc>
        <w:tc>
          <w:tcPr>
            <w:tcW w:w="1580" w:type="dxa"/>
            <w:vAlign w:val="bottom"/>
          </w:tcPr>
          <w:p>
            <w:pPr>
              <w:jc w:val="center"/>
              <w:ind w:left="132"/>
              <w:spacing w:after="0"/>
              <w:rPr>
                <w:sz w:val="20"/>
                <w:szCs w:val="20"/>
                <w:color w:val="auto"/>
              </w:rPr>
            </w:pPr>
            <w:r>
              <w:rPr>
                <w:rFonts w:ascii="Arial" w:cs="Arial" w:eastAsia="Arial" w:hAnsi="Arial"/>
                <w:sz w:val="18"/>
                <w:szCs w:val="18"/>
                <w:color w:val="auto"/>
                <w:w w:val="99"/>
              </w:rPr>
              <w:t>board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5760720" cy="342011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760720" cy="3420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20"/>
        <w:spacing w:after="0"/>
        <w:rPr>
          <w:sz w:val="20"/>
          <w:szCs w:val="20"/>
          <w:color w:val="auto"/>
        </w:rPr>
      </w:pPr>
      <w:r>
        <w:rPr>
          <w:rFonts w:ascii="Arial" w:cs="Arial" w:eastAsia="Arial" w:hAnsi="Arial"/>
          <w:sz w:val="19"/>
          <w:szCs w:val="19"/>
          <w:b w:val="1"/>
          <w:bCs w:val="1"/>
          <w:color w:val="D52B1E"/>
        </w:rPr>
        <w:t>Spotlight on Level 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5768975" cy="90043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768975" cy="900430"/>
                    </a:xfrm>
                    <a:prstGeom prst="rect">
                      <a:avLst/>
                    </a:prstGeom>
                    <a:noFill/>
                  </pic:spPr>
                </pic:pic>
              </a:graphicData>
            </a:graphic>
          </wp:anchor>
        </w:drawing>
      </w:r>
    </w:p>
    <w:p>
      <w:pPr>
        <w:spacing w:after="0" w:line="67" w:lineRule="exact"/>
        <w:rPr>
          <w:sz w:val="20"/>
          <w:szCs w:val="20"/>
          <w:color w:val="auto"/>
        </w:rPr>
      </w:pPr>
    </w:p>
    <w:p>
      <w:pPr>
        <w:ind w:left="280" w:right="2620"/>
        <w:spacing w:after="0" w:line="259" w:lineRule="auto"/>
        <w:rPr>
          <w:sz w:val="20"/>
          <w:szCs w:val="20"/>
          <w:color w:val="auto"/>
        </w:rPr>
      </w:pPr>
      <w:r>
        <w:rPr>
          <w:rFonts w:ascii="Arial" w:cs="Arial" w:eastAsia="Arial" w:hAnsi="Arial"/>
          <w:sz w:val="18"/>
          <w:szCs w:val="18"/>
          <w:color w:val="auto"/>
        </w:rPr>
        <w:t>In 2022 Lilly hosted our biggest ever Global DEI conference, ‘Level Up’, with approximately 6,000 employees attending virtually and in person. The conference brought together employees and leaders across the company to embrace the rich dimensions of difference that exist across Team Lilly and to help become advocates for equity and inclusion through a variety of interactive workshops and external speakers.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Recognition</w:t>
      </w:r>
    </w:p>
    <w:p>
      <w:pPr>
        <w:spacing w:after="0" w:line="58"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At Lilly we strive to be leaders in DEI and workplace benefits, and we are honored when we receive recognition for our efforts to improve the lives of our employees. Below are some of our accolades for 2022:</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346"/>
        </w:trPr>
        <w:tc>
          <w:tcPr>
            <w:tcW w:w="1980" w:type="dxa"/>
            <w:vAlign w:val="bottom"/>
            <w:tcBorders>
              <w:right w:val="single" w:sz="8" w:color="auto"/>
            </w:tcBorders>
          </w:tcPr>
          <w:p>
            <w:pPr>
              <w:ind w:left="20"/>
              <w:spacing w:after="0"/>
              <w:rPr>
                <w:sz w:val="20"/>
                <w:szCs w:val="20"/>
                <w:color w:val="auto"/>
              </w:rPr>
            </w:pPr>
            <w:r>
              <w:rPr>
                <w:rFonts w:ascii="Arial" w:cs="Arial" w:eastAsia="Arial" w:hAnsi="Arial"/>
                <w:sz w:val="19"/>
                <w:szCs w:val="19"/>
                <w:b w:val="1"/>
                <w:bCs w:val="1"/>
                <w:color w:val="D52B1E"/>
              </w:rPr>
              <w:t>DiversityInc:</w:t>
            </w:r>
          </w:p>
        </w:tc>
        <w:tc>
          <w:tcPr>
            <w:tcW w:w="2240" w:type="dxa"/>
            <w:vAlign w:val="bottom"/>
            <w:tcBorders>
              <w:right w:val="single" w:sz="8" w:color="auto"/>
            </w:tcBorders>
          </w:tcPr>
          <w:p>
            <w:pPr>
              <w:ind w:left="260"/>
              <w:spacing w:after="0"/>
              <w:rPr>
                <w:sz w:val="20"/>
                <w:szCs w:val="20"/>
                <w:color w:val="auto"/>
              </w:rPr>
            </w:pPr>
            <w:r>
              <w:rPr>
                <w:rFonts w:ascii="Arial" w:cs="Arial" w:eastAsia="Arial" w:hAnsi="Arial"/>
                <w:sz w:val="19"/>
                <w:szCs w:val="19"/>
                <w:b w:val="1"/>
                <w:bCs w:val="1"/>
                <w:color w:val="D52B1E"/>
              </w:rPr>
              <w:t>DiversityInc:</w:t>
            </w:r>
          </w:p>
        </w:tc>
        <w:tc>
          <w:tcPr>
            <w:tcW w:w="2040" w:type="dxa"/>
            <w:vAlign w:val="bottom"/>
            <w:tcBorders>
              <w:right w:val="single" w:sz="8" w:color="auto"/>
            </w:tcBorders>
          </w:tcPr>
          <w:p>
            <w:pPr>
              <w:ind w:left="260"/>
              <w:spacing w:after="0"/>
              <w:rPr>
                <w:sz w:val="20"/>
                <w:szCs w:val="20"/>
                <w:color w:val="auto"/>
              </w:rPr>
            </w:pPr>
            <w:r>
              <w:rPr>
                <w:rFonts w:ascii="Arial" w:cs="Arial" w:eastAsia="Arial" w:hAnsi="Arial"/>
                <w:sz w:val="19"/>
                <w:szCs w:val="19"/>
                <w:b w:val="1"/>
                <w:bCs w:val="1"/>
                <w:color w:val="D52B1E"/>
              </w:rPr>
              <w:t>DiversityInc:</w:t>
            </w:r>
          </w:p>
        </w:tc>
        <w:tc>
          <w:tcPr>
            <w:tcW w:w="2820" w:type="dxa"/>
            <w:vAlign w:val="bottom"/>
          </w:tcPr>
          <w:p>
            <w:pPr>
              <w:ind w:left="260"/>
              <w:spacing w:after="0"/>
              <w:rPr>
                <w:sz w:val="20"/>
                <w:szCs w:val="20"/>
                <w:color w:val="auto"/>
              </w:rPr>
            </w:pPr>
            <w:r>
              <w:rPr>
                <w:rFonts w:ascii="Arial" w:cs="Arial" w:eastAsia="Arial" w:hAnsi="Arial"/>
                <w:sz w:val="19"/>
                <w:szCs w:val="19"/>
                <w:b w:val="1"/>
                <w:bCs w:val="1"/>
                <w:color w:val="D52B1E"/>
              </w:rPr>
              <w:t>DiversityInc:</w:t>
            </w:r>
          </w:p>
        </w:tc>
      </w:tr>
      <w:tr>
        <w:trPr>
          <w:trHeight w:val="216"/>
        </w:trPr>
        <w:tc>
          <w:tcPr>
            <w:tcW w:w="19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Top 50 Companies</w:t>
            </w:r>
          </w:p>
        </w:tc>
        <w:tc>
          <w:tcPr>
            <w:tcW w:w="224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Top Companies for</w:t>
            </w:r>
          </w:p>
        </w:tc>
        <w:tc>
          <w:tcPr>
            <w:tcW w:w="204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Top Companies</w:t>
            </w:r>
          </w:p>
        </w:tc>
        <w:tc>
          <w:tcPr>
            <w:tcW w:w="2820" w:type="dxa"/>
            <w:vAlign w:val="bottom"/>
          </w:tcPr>
          <w:p>
            <w:pPr>
              <w:ind w:left="260"/>
              <w:spacing w:after="0"/>
              <w:rPr>
                <w:sz w:val="20"/>
                <w:szCs w:val="20"/>
                <w:color w:val="auto"/>
              </w:rPr>
            </w:pPr>
            <w:r>
              <w:rPr>
                <w:rFonts w:ascii="Arial" w:cs="Arial" w:eastAsia="Arial" w:hAnsi="Arial"/>
                <w:sz w:val="18"/>
                <w:szCs w:val="18"/>
                <w:color w:val="auto"/>
              </w:rPr>
              <w:t>Top Companies for ESG: No.</w:t>
            </w:r>
          </w:p>
        </w:tc>
      </w:tr>
      <w:tr>
        <w:trPr>
          <w:trHeight w:val="216"/>
        </w:trPr>
        <w:tc>
          <w:tcPr>
            <w:tcW w:w="19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for Diversity: No. 5</w:t>
            </w:r>
          </w:p>
        </w:tc>
        <w:tc>
          <w:tcPr>
            <w:tcW w:w="224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Board of Directors:</w:t>
            </w:r>
          </w:p>
        </w:tc>
        <w:tc>
          <w:tcPr>
            <w:tcW w:w="204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for Supplier</w:t>
            </w:r>
          </w:p>
        </w:tc>
        <w:tc>
          <w:tcPr>
            <w:tcW w:w="2820" w:type="dxa"/>
            <w:vAlign w:val="bottom"/>
          </w:tcPr>
          <w:p>
            <w:pPr>
              <w:ind w:left="260"/>
              <w:spacing w:after="0"/>
              <w:rPr>
                <w:sz w:val="20"/>
                <w:szCs w:val="20"/>
                <w:color w:val="auto"/>
              </w:rPr>
            </w:pPr>
            <w:r>
              <w:rPr>
                <w:rFonts w:ascii="Arial" w:cs="Arial" w:eastAsia="Arial" w:hAnsi="Arial"/>
                <w:sz w:val="18"/>
                <w:szCs w:val="18"/>
                <w:color w:val="auto"/>
              </w:rPr>
              <w:t>15</w:t>
            </w:r>
          </w:p>
        </w:tc>
      </w:tr>
      <w:tr>
        <w:trPr>
          <w:trHeight w:val="239"/>
        </w:trPr>
        <w:tc>
          <w:tcPr>
            <w:tcW w:w="198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No. 2</w:t>
            </w:r>
          </w:p>
        </w:tc>
        <w:tc>
          <w:tcPr>
            <w:tcW w:w="204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Diversity: No. 8</w:t>
            </w:r>
          </w:p>
        </w:tc>
        <w:tc>
          <w:tcPr>
            <w:tcW w:w="2820" w:type="dxa"/>
            <w:vAlign w:val="bottom"/>
          </w:tcPr>
          <w:p>
            <w:pPr>
              <w:spacing w:after="0"/>
              <w:rPr>
                <w:sz w:val="20"/>
                <w:szCs w:val="20"/>
                <w:color w:val="auto"/>
              </w:rPr>
            </w:pPr>
          </w:p>
        </w:tc>
      </w:tr>
      <w:tr>
        <w:trPr>
          <w:trHeight w:val="185"/>
        </w:trPr>
        <w:tc>
          <w:tcPr>
            <w:tcW w:w="198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2820" w:type="dxa"/>
            <w:vAlign w:val="bottom"/>
          </w:tcPr>
          <w:p>
            <w:pPr>
              <w:spacing w:after="0"/>
              <w:rPr>
                <w:sz w:val="16"/>
                <w:szCs w:val="16"/>
                <w:color w:val="auto"/>
              </w:rPr>
            </w:pPr>
          </w:p>
        </w:tc>
      </w:tr>
      <w:tr>
        <w:trPr>
          <w:trHeight w:val="108"/>
        </w:trPr>
        <w:tc>
          <w:tcPr>
            <w:tcW w:w="198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r>
    </w:tbl>
    <w:p>
      <w:pPr>
        <w:spacing w:after="0" w:line="200" w:lineRule="exact"/>
        <w:rPr>
          <w:sz w:val="20"/>
          <w:szCs w:val="20"/>
          <w:color w:val="auto"/>
        </w:rPr>
      </w:pPr>
    </w:p>
    <w:p>
      <w:pPr>
        <w:sectPr>
          <w:pgSz w:w="11900" w:h="16838" w:orient="portrait"/>
          <w:cols w:equalWidth="0" w:num="1">
            <w:col w:w="11240"/>
          </w:cols>
          <w:pgMar w:left="320" w:top="1209"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9" w:right="339"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224"/>
        </w:trPr>
        <w:tc>
          <w:tcPr>
            <w:tcW w:w="1960" w:type="dxa"/>
            <w:vAlign w:val="bottom"/>
          </w:tcPr>
          <w:p>
            <w:pPr>
              <w:ind w:left="20"/>
              <w:spacing w:after="0"/>
              <w:rPr>
                <w:sz w:val="20"/>
                <w:szCs w:val="20"/>
                <w:color w:val="auto"/>
              </w:rPr>
            </w:pPr>
            <w:r>
              <w:rPr>
                <w:rFonts w:ascii="Arial" w:cs="Arial" w:eastAsia="Arial" w:hAnsi="Arial"/>
                <w:sz w:val="19"/>
                <w:szCs w:val="19"/>
                <w:b w:val="1"/>
                <w:bCs w:val="1"/>
                <w:color w:val="D52B1E"/>
              </w:rPr>
              <w:t>Ethisphere:</w:t>
            </w:r>
          </w:p>
        </w:tc>
        <w:tc>
          <w:tcPr>
            <w:tcW w:w="20" w:type="dxa"/>
            <w:vAlign w:val="bottom"/>
            <w:shd w:val="clear" w:color="auto" w:fill="000000"/>
          </w:tcPr>
          <w:p>
            <w:pPr>
              <w:spacing w:after="0"/>
              <w:rPr>
                <w:sz w:val="19"/>
                <w:szCs w:val="19"/>
                <w:color w:val="auto"/>
              </w:rPr>
            </w:pPr>
          </w:p>
        </w:tc>
        <w:tc>
          <w:tcPr>
            <w:tcW w:w="2240" w:type="dxa"/>
            <w:vAlign w:val="bottom"/>
          </w:tcPr>
          <w:p>
            <w:pPr>
              <w:ind w:left="260"/>
              <w:spacing w:after="0"/>
              <w:rPr>
                <w:sz w:val="20"/>
                <w:szCs w:val="20"/>
                <w:color w:val="auto"/>
              </w:rPr>
            </w:pPr>
            <w:r>
              <w:rPr>
                <w:rFonts w:ascii="Arial" w:cs="Arial" w:eastAsia="Arial" w:hAnsi="Arial"/>
                <w:sz w:val="19"/>
                <w:szCs w:val="19"/>
                <w:b w:val="1"/>
                <w:bCs w:val="1"/>
                <w:color w:val="D52B1E"/>
              </w:rPr>
              <w:t>Forbes:</w:t>
            </w:r>
          </w:p>
        </w:tc>
        <w:tc>
          <w:tcPr>
            <w:tcW w:w="20" w:type="dxa"/>
            <w:vAlign w:val="bottom"/>
            <w:shd w:val="clear" w:color="auto" w:fill="000000"/>
          </w:tcPr>
          <w:p>
            <w:pPr>
              <w:spacing w:after="0"/>
              <w:rPr>
                <w:sz w:val="19"/>
                <w:szCs w:val="19"/>
                <w:color w:val="auto"/>
              </w:rPr>
            </w:pPr>
          </w:p>
        </w:tc>
        <w:tc>
          <w:tcPr>
            <w:tcW w:w="2000" w:type="dxa"/>
            <w:vAlign w:val="bottom"/>
          </w:tcPr>
          <w:p>
            <w:pPr>
              <w:ind w:left="260"/>
              <w:spacing w:after="0"/>
              <w:rPr>
                <w:sz w:val="20"/>
                <w:szCs w:val="20"/>
                <w:color w:val="auto"/>
              </w:rPr>
            </w:pPr>
            <w:r>
              <w:rPr>
                <w:rFonts w:ascii="Arial" w:cs="Arial" w:eastAsia="Arial" w:hAnsi="Arial"/>
                <w:sz w:val="19"/>
                <w:szCs w:val="19"/>
                <w:b w:val="1"/>
                <w:bCs w:val="1"/>
                <w:color w:val="D52B1E"/>
              </w:rPr>
              <w:t>Zero Project:</w:t>
            </w:r>
          </w:p>
        </w:tc>
        <w:tc>
          <w:tcPr>
            <w:tcW w:w="20" w:type="dxa"/>
            <w:vAlign w:val="bottom"/>
            <w:shd w:val="clear" w:color="auto" w:fill="000000"/>
          </w:tcPr>
          <w:p>
            <w:pPr>
              <w:spacing w:after="0"/>
              <w:rPr>
                <w:sz w:val="19"/>
                <w:szCs w:val="19"/>
                <w:color w:val="auto"/>
              </w:rPr>
            </w:pPr>
          </w:p>
        </w:tc>
        <w:tc>
          <w:tcPr>
            <w:tcW w:w="2820" w:type="dxa"/>
            <w:vAlign w:val="bottom"/>
          </w:tcPr>
          <w:p>
            <w:pPr>
              <w:ind w:left="260"/>
              <w:spacing w:after="0"/>
              <w:rPr>
                <w:sz w:val="20"/>
                <w:szCs w:val="20"/>
                <w:color w:val="auto"/>
              </w:rPr>
            </w:pPr>
            <w:r>
              <w:rPr>
                <w:rFonts w:ascii="Arial" w:cs="Arial" w:eastAsia="Arial" w:hAnsi="Arial"/>
                <w:sz w:val="19"/>
                <w:szCs w:val="19"/>
                <w:b w:val="1"/>
                <w:bCs w:val="1"/>
                <w:color w:val="D52B1E"/>
              </w:rPr>
              <w:t>Disability:IN</w:t>
            </w:r>
          </w:p>
        </w:tc>
        <w:tc>
          <w:tcPr>
            <w:tcW w:w="0" w:type="dxa"/>
            <w:vAlign w:val="bottom"/>
          </w:tcPr>
          <w:p>
            <w:pPr>
              <w:spacing w:after="0"/>
              <w:rPr>
                <w:sz w:val="1"/>
                <w:szCs w:val="1"/>
                <w:color w:val="auto"/>
              </w:rPr>
            </w:pPr>
          </w:p>
        </w:tc>
      </w:tr>
      <w:tr>
        <w:trPr>
          <w:trHeight w:val="194"/>
        </w:trPr>
        <w:tc>
          <w:tcPr>
            <w:tcW w:w="1960" w:type="dxa"/>
            <w:vAlign w:val="bottom"/>
          </w:tcPr>
          <w:p>
            <w:pPr>
              <w:ind w:left="20"/>
              <w:spacing w:after="0" w:line="195" w:lineRule="exact"/>
              <w:rPr>
                <w:sz w:val="20"/>
                <w:szCs w:val="20"/>
                <w:color w:val="auto"/>
              </w:rPr>
            </w:pPr>
            <w:r>
              <w:rPr>
                <w:rFonts w:ascii="Arial" w:cs="Arial" w:eastAsia="Arial" w:hAnsi="Arial"/>
                <w:sz w:val="18"/>
                <w:szCs w:val="18"/>
                <w:color w:val="auto"/>
              </w:rPr>
              <w:t>World’s Most Ethical</w:t>
            </w:r>
          </w:p>
        </w:tc>
        <w:tc>
          <w:tcPr>
            <w:tcW w:w="20" w:type="dxa"/>
            <w:vAlign w:val="bottom"/>
            <w:shd w:val="clear" w:color="auto" w:fill="000000"/>
          </w:tcPr>
          <w:p>
            <w:pPr>
              <w:spacing w:after="0"/>
              <w:rPr>
                <w:sz w:val="16"/>
                <w:szCs w:val="16"/>
                <w:color w:val="auto"/>
              </w:rPr>
            </w:pPr>
          </w:p>
        </w:tc>
        <w:tc>
          <w:tcPr>
            <w:tcW w:w="2240" w:type="dxa"/>
            <w:vAlign w:val="bottom"/>
          </w:tcPr>
          <w:p>
            <w:pPr>
              <w:ind w:left="260"/>
              <w:spacing w:after="0" w:line="195" w:lineRule="exact"/>
              <w:rPr>
                <w:sz w:val="20"/>
                <w:szCs w:val="20"/>
                <w:color w:val="auto"/>
              </w:rPr>
            </w:pPr>
            <w:r>
              <w:rPr>
                <w:rFonts w:ascii="Arial" w:cs="Arial" w:eastAsia="Arial" w:hAnsi="Arial"/>
                <w:sz w:val="18"/>
                <w:szCs w:val="18"/>
                <w:color w:val="auto"/>
              </w:rPr>
              <w:t>America’s Best</w:t>
            </w:r>
          </w:p>
        </w:tc>
        <w:tc>
          <w:tcPr>
            <w:tcW w:w="20" w:type="dxa"/>
            <w:vAlign w:val="bottom"/>
            <w:shd w:val="clear" w:color="auto" w:fill="000000"/>
          </w:tcPr>
          <w:p>
            <w:pPr>
              <w:spacing w:after="0"/>
              <w:rPr>
                <w:sz w:val="16"/>
                <w:szCs w:val="16"/>
                <w:color w:val="auto"/>
              </w:rPr>
            </w:pPr>
          </w:p>
        </w:tc>
        <w:tc>
          <w:tcPr>
            <w:tcW w:w="2000" w:type="dxa"/>
            <w:vAlign w:val="bottom"/>
          </w:tcPr>
          <w:p>
            <w:pPr>
              <w:ind w:left="260"/>
              <w:spacing w:after="0" w:line="195" w:lineRule="exact"/>
              <w:rPr>
                <w:sz w:val="20"/>
                <w:szCs w:val="20"/>
                <w:color w:val="auto"/>
              </w:rPr>
            </w:pPr>
            <w:r>
              <w:rPr>
                <w:rFonts w:ascii="Arial" w:cs="Arial" w:eastAsia="Arial" w:hAnsi="Arial"/>
                <w:sz w:val="18"/>
                <w:szCs w:val="18"/>
                <w:color w:val="auto"/>
              </w:rPr>
              <w:t>Zero Project</w:t>
            </w:r>
          </w:p>
        </w:tc>
        <w:tc>
          <w:tcPr>
            <w:tcW w:w="20" w:type="dxa"/>
            <w:vAlign w:val="bottom"/>
            <w:shd w:val="clear" w:color="auto" w:fill="000000"/>
          </w:tcPr>
          <w:p>
            <w:pPr>
              <w:spacing w:after="0"/>
              <w:rPr>
                <w:sz w:val="16"/>
                <w:szCs w:val="16"/>
                <w:color w:val="auto"/>
              </w:rPr>
            </w:pPr>
          </w:p>
        </w:tc>
        <w:tc>
          <w:tcPr>
            <w:tcW w:w="2820" w:type="dxa"/>
            <w:vAlign w:val="bottom"/>
          </w:tcPr>
          <w:p>
            <w:pPr>
              <w:ind w:left="260"/>
              <w:spacing w:after="0" w:line="195" w:lineRule="exact"/>
              <w:rPr>
                <w:sz w:val="20"/>
                <w:szCs w:val="20"/>
                <w:color w:val="auto"/>
              </w:rPr>
            </w:pPr>
            <w:r>
              <w:rPr>
                <w:rFonts w:ascii="Arial" w:cs="Arial" w:eastAsia="Arial" w:hAnsi="Arial"/>
                <w:sz w:val="18"/>
                <w:szCs w:val="18"/>
                <w:color w:val="auto"/>
              </w:rPr>
              <w:t>Disability Equity Index Best</w:t>
            </w:r>
          </w:p>
        </w:tc>
        <w:tc>
          <w:tcPr>
            <w:tcW w:w="0" w:type="dxa"/>
            <w:vAlign w:val="bottom"/>
          </w:tcPr>
          <w:p>
            <w:pPr>
              <w:spacing w:after="0"/>
              <w:rPr>
                <w:sz w:val="1"/>
                <w:szCs w:val="1"/>
                <w:color w:val="auto"/>
              </w:rPr>
            </w:pPr>
          </w:p>
        </w:tc>
      </w:tr>
      <w:tr>
        <w:trPr>
          <w:trHeight w:val="216"/>
        </w:trPr>
        <w:tc>
          <w:tcPr>
            <w:tcW w:w="1960" w:type="dxa"/>
            <w:vAlign w:val="bottom"/>
          </w:tcPr>
          <w:p>
            <w:pPr>
              <w:ind w:left="20"/>
              <w:spacing w:after="0"/>
              <w:rPr>
                <w:sz w:val="20"/>
                <w:szCs w:val="20"/>
                <w:color w:val="auto"/>
              </w:rPr>
            </w:pPr>
            <w:r>
              <w:rPr>
                <w:rFonts w:ascii="Arial" w:cs="Arial" w:eastAsia="Arial" w:hAnsi="Arial"/>
                <w:sz w:val="18"/>
                <w:szCs w:val="18"/>
                <w:color w:val="auto"/>
              </w:rPr>
              <w:t>Companies</w:t>
            </w:r>
          </w:p>
        </w:tc>
        <w:tc>
          <w:tcPr>
            <w:tcW w:w="20" w:type="dxa"/>
            <w:vAlign w:val="bottom"/>
            <w:shd w:val="clear" w:color="auto" w:fill="000000"/>
          </w:tcPr>
          <w:p>
            <w:pPr>
              <w:spacing w:after="0"/>
              <w:rPr>
                <w:sz w:val="18"/>
                <w:szCs w:val="18"/>
                <w:color w:val="auto"/>
              </w:rPr>
            </w:pPr>
          </w:p>
        </w:tc>
        <w:tc>
          <w:tcPr>
            <w:tcW w:w="2240" w:type="dxa"/>
            <w:vAlign w:val="bottom"/>
          </w:tcPr>
          <w:p>
            <w:pPr>
              <w:ind w:left="260"/>
              <w:spacing w:after="0"/>
              <w:rPr>
                <w:sz w:val="20"/>
                <w:szCs w:val="20"/>
                <w:color w:val="auto"/>
              </w:rPr>
            </w:pPr>
            <w:r>
              <w:rPr>
                <w:rFonts w:ascii="Arial" w:cs="Arial" w:eastAsia="Arial" w:hAnsi="Arial"/>
                <w:sz w:val="18"/>
                <w:szCs w:val="18"/>
                <w:color w:val="auto"/>
              </w:rPr>
              <w:t>Employers for</w:t>
            </w:r>
          </w:p>
        </w:tc>
        <w:tc>
          <w:tcPr>
            <w:tcW w:w="20" w:type="dxa"/>
            <w:vAlign w:val="bottom"/>
            <w:shd w:val="clear" w:color="auto" w:fill="000000"/>
          </w:tcPr>
          <w:p>
            <w:pPr>
              <w:spacing w:after="0"/>
              <w:rPr>
                <w:sz w:val="18"/>
                <w:szCs w:val="18"/>
                <w:color w:val="auto"/>
              </w:rPr>
            </w:pPr>
          </w:p>
        </w:tc>
        <w:tc>
          <w:tcPr>
            <w:tcW w:w="2000" w:type="dxa"/>
            <w:vAlign w:val="bottom"/>
          </w:tcPr>
          <w:p>
            <w:pPr>
              <w:ind w:left="260"/>
              <w:spacing w:after="0"/>
              <w:rPr>
                <w:sz w:val="20"/>
                <w:szCs w:val="20"/>
                <w:color w:val="auto"/>
              </w:rPr>
            </w:pPr>
            <w:r>
              <w:rPr>
                <w:rFonts w:ascii="Arial" w:cs="Arial" w:eastAsia="Arial" w:hAnsi="Arial"/>
                <w:sz w:val="18"/>
                <w:szCs w:val="18"/>
                <w:color w:val="auto"/>
              </w:rPr>
              <w:t>Award for Access</w:t>
            </w:r>
          </w:p>
        </w:tc>
        <w:tc>
          <w:tcPr>
            <w:tcW w:w="20" w:type="dxa"/>
            <w:vAlign w:val="bottom"/>
            <w:shd w:val="clear" w:color="auto" w:fill="000000"/>
          </w:tcPr>
          <w:p>
            <w:pPr>
              <w:spacing w:after="0"/>
              <w:rPr>
                <w:sz w:val="18"/>
                <w:szCs w:val="18"/>
                <w:color w:val="auto"/>
              </w:rPr>
            </w:pPr>
          </w:p>
        </w:tc>
        <w:tc>
          <w:tcPr>
            <w:tcW w:w="2820" w:type="dxa"/>
            <w:vAlign w:val="bottom"/>
          </w:tcPr>
          <w:p>
            <w:pPr>
              <w:ind w:left="260"/>
              <w:spacing w:after="0"/>
              <w:rPr>
                <w:sz w:val="20"/>
                <w:szCs w:val="20"/>
                <w:color w:val="auto"/>
              </w:rPr>
            </w:pPr>
            <w:r>
              <w:rPr>
                <w:rFonts w:ascii="Arial" w:cs="Arial" w:eastAsia="Arial" w:hAnsi="Arial"/>
                <w:sz w:val="18"/>
                <w:szCs w:val="18"/>
                <w:color w:val="auto"/>
              </w:rPr>
              <w:t>Places to Work — Perfect</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240" w:type="dxa"/>
            <w:vAlign w:val="bottom"/>
          </w:tcPr>
          <w:p>
            <w:pPr>
              <w:ind w:left="260"/>
              <w:spacing w:after="0"/>
              <w:rPr>
                <w:sz w:val="20"/>
                <w:szCs w:val="20"/>
                <w:color w:val="auto"/>
              </w:rPr>
            </w:pPr>
            <w:r>
              <w:rPr>
                <w:rFonts w:ascii="Arial" w:cs="Arial" w:eastAsia="Arial" w:hAnsi="Arial"/>
                <w:sz w:val="18"/>
                <w:szCs w:val="18"/>
                <w:color w:val="auto"/>
              </w:rPr>
              <w:t>Women</w:t>
            </w:r>
          </w:p>
        </w:tc>
        <w:tc>
          <w:tcPr>
            <w:tcW w:w="20" w:type="dxa"/>
            <w:vAlign w:val="bottom"/>
            <w:shd w:val="clear" w:color="auto" w:fill="000000"/>
          </w:tcPr>
          <w:p>
            <w:pPr>
              <w:spacing w:after="0"/>
              <w:rPr>
                <w:sz w:val="18"/>
                <w:szCs w:val="18"/>
                <w:color w:val="auto"/>
              </w:rPr>
            </w:pPr>
          </w:p>
        </w:tc>
        <w:tc>
          <w:tcPr>
            <w:tcW w:w="2000" w:type="dxa"/>
            <w:vAlign w:val="bottom"/>
            <w:vMerge w:val="restart"/>
          </w:tcPr>
          <w:p>
            <w:pPr>
              <w:ind w:left="260"/>
              <w:spacing w:after="0"/>
              <w:rPr>
                <w:sz w:val="20"/>
                <w:szCs w:val="20"/>
                <w:color w:val="auto"/>
              </w:rPr>
            </w:pPr>
            <w:r>
              <w:rPr>
                <w:rFonts w:ascii="Arial" w:cs="Arial" w:eastAsia="Arial" w:hAnsi="Arial"/>
                <w:sz w:val="18"/>
                <w:szCs w:val="18"/>
                <w:color w:val="auto"/>
              </w:rPr>
              <w:t>Lilly</w:t>
            </w:r>
          </w:p>
        </w:tc>
        <w:tc>
          <w:tcPr>
            <w:tcW w:w="20" w:type="dxa"/>
            <w:vAlign w:val="bottom"/>
            <w:shd w:val="clear" w:color="auto" w:fill="000000"/>
          </w:tcPr>
          <w:p>
            <w:pPr>
              <w:spacing w:after="0"/>
              <w:rPr>
                <w:sz w:val="18"/>
                <w:szCs w:val="18"/>
                <w:color w:val="auto"/>
              </w:rPr>
            </w:pPr>
          </w:p>
        </w:tc>
        <w:tc>
          <w:tcPr>
            <w:tcW w:w="2820" w:type="dxa"/>
            <w:vAlign w:val="bottom"/>
            <w:vMerge w:val="restart"/>
          </w:tcPr>
          <w:p>
            <w:pPr>
              <w:ind w:left="260"/>
              <w:spacing w:after="0"/>
              <w:rPr>
                <w:sz w:val="20"/>
                <w:szCs w:val="20"/>
                <w:color w:val="auto"/>
              </w:rPr>
            </w:pPr>
            <w:r>
              <w:rPr>
                <w:rFonts w:ascii="Arial" w:cs="Arial" w:eastAsia="Arial" w:hAnsi="Arial"/>
                <w:sz w:val="18"/>
                <w:szCs w:val="18"/>
                <w:color w:val="auto"/>
              </w:rPr>
              <w:t>Score</w:t>
            </w:r>
          </w:p>
        </w:tc>
        <w:tc>
          <w:tcPr>
            <w:tcW w:w="0" w:type="dxa"/>
            <w:vAlign w:val="bottom"/>
          </w:tcPr>
          <w:p>
            <w:pPr>
              <w:spacing w:after="0"/>
              <w:rPr>
                <w:sz w:val="1"/>
                <w:szCs w:val="1"/>
                <w:color w:val="auto"/>
              </w:rPr>
            </w:pPr>
          </w:p>
        </w:tc>
      </w:tr>
      <w:tr>
        <w:trPr>
          <w:trHeight w:val="58"/>
        </w:trPr>
        <w:tc>
          <w:tcPr>
            <w:tcW w:w="196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00" w:type="dxa"/>
            <w:vAlign w:val="bottom"/>
            <w:vMerge w:val="continue"/>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19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9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1960" w:type="dxa"/>
            <w:vAlign w:val="bottom"/>
            <w:vMerge w:val="restart"/>
          </w:tcPr>
          <w:p>
            <w:pPr>
              <w:ind w:left="20"/>
              <w:spacing w:after="0"/>
              <w:rPr>
                <w:sz w:val="20"/>
                <w:szCs w:val="20"/>
                <w:color w:val="auto"/>
              </w:rPr>
            </w:pPr>
            <w:r>
              <w:rPr>
                <w:rFonts w:ascii="Arial" w:cs="Arial" w:eastAsia="Arial" w:hAnsi="Arial"/>
                <w:sz w:val="19"/>
                <w:szCs w:val="19"/>
                <w:b w:val="1"/>
                <w:bCs w:val="1"/>
                <w:color w:val="D52B1E"/>
              </w:rPr>
              <w:t>Human Rights</w:t>
            </w:r>
          </w:p>
        </w:tc>
        <w:tc>
          <w:tcPr>
            <w:tcW w:w="20" w:type="dxa"/>
            <w:vAlign w:val="bottom"/>
          </w:tcPr>
          <w:p>
            <w:pPr>
              <w:spacing w:after="0"/>
              <w:rPr>
                <w:sz w:val="6"/>
                <w:szCs w:val="6"/>
                <w:color w:val="auto"/>
              </w:rPr>
            </w:pPr>
          </w:p>
        </w:tc>
        <w:tc>
          <w:tcPr>
            <w:tcW w:w="2240" w:type="dxa"/>
            <w:vAlign w:val="bottom"/>
            <w:vMerge w:val="restart"/>
          </w:tcPr>
          <w:p>
            <w:pPr>
              <w:ind w:left="260"/>
              <w:spacing w:after="0"/>
              <w:rPr>
                <w:sz w:val="20"/>
                <w:szCs w:val="20"/>
                <w:color w:val="auto"/>
              </w:rPr>
            </w:pPr>
            <w:r>
              <w:rPr>
                <w:rFonts w:ascii="Arial" w:cs="Arial" w:eastAsia="Arial" w:hAnsi="Arial"/>
                <w:sz w:val="19"/>
                <w:szCs w:val="19"/>
                <w:b w:val="1"/>
                <w:bCs w:val="1"/>
                <w:color w:val="D52B1E"/>
              </w:rPr>
              <w:t>Fortune and IDEA</w:t>
            </w:r>
          </w:p>
        </w:tc>
        <w:tc>
          <w:tcPr>
            <w:tcW w:w="20" w:type="dxa"/>
            <w:vAlign w:val="bottom"/>
          </w:tcPr>
          <w:p>
            <w:pPr>
              <w:spacing w:after="0"/>
              <w:rPr>
                <w:sz w:val="6"/>
                <w:szCs w:val="6"/>
                <w:color w:val="auto"/>
              </w:rPr>
            </w:pPr>
          </w:p>
        </w:tc>
        <w:tc>
          <w:tcPr>
            <w:tcW w:w="2000" w:type="dxa"/>
            <w:vAlign w:val="bottom"/>
            <w:vMerge w:val="restart"/>
          </w:tcPr>
          <w:p>
            <w:pPr>
              <w:ind w:left="260"/>
              <w:spacing w:after="0"/>
              <w:rPr>
                <w:sz w:val="20"/>
                <w:szCs w:val="20"/>
                <w:color w:val="auto"/>
              </w:rPr>
            </w:pPr>
            <w:r>
              <w:rPr>
                <w:rFonts w:ascii="Arial" w:cs="Arial" w:eastAsia="Arial" w:hAnsi="Arial"/>
                <w:sz w:val="19"/>
                <w:szCs w:val="19"/>
                <w:b w:val="1"/>
                <w:bCs w:val="1"/>
                <w:color w:val="D52B1E"/>
              </w:rPr>
              <w:t>Seramount:</w:t>
            </w:r>
          </w:p>
        </w:tc>
        <w:tc>
          <w:tcPr>
            <w:tcW w:w="20" w:type="dxa"/>
            <w:vAlign w:val="bottom"/>
          </w:tcPr>
          <w:p>
            <w:pPr>
              <w:spacing w:after="0"/>
              <w:rPr>
                <w:sz w:val="6"/>
                <w:szCs w:val="6"/>
                <w:color w:val="auto"/>
              </w:rPr>
            </w:pPr>
          </w:p>
        </w:tc>
        <w:tc>
          <w:tcPr>
            <w:tcW w:w="2820" w:type="dxa"/>
            <w:vAlign w:val="bottom"/>
            <w:vMerge w:val="restart"/>
          </w:tcPr>
          <w:p>
            <w:pPr>
              <w:ind w:left="260"/>
              <w:spacing w:after="0"/>
              <w:rPr>
                <w:sz w:val="20"/>
                <w:szCs w:val="20"/>
                <w:color w:val="auto"/>
              </w:rPr>
            </w:pPr>
            <w:r>
              <w:rPr>
                <w:rFonts w:ascii="Arial" w:cs="Arial" w:eastAsia="Arial" w:hAnsi="Arial"/>
                <w:sz w:val="19"/>
                <w:szCs w:val="19"/>
                <w:b w:val="1"/>
                <w:bCs w:val="1"/>
                <w:color w:val="D52B1E"/>
              </w:rPr>
              <w:t>Seramount:</w:t>
            </w:r>
          </w:p>
        </w:tc>
        <w:tc>
          <w:tcPr>
            <w:tcW w:w="0" w:type="dxa"/>
            <w:vAlign w:val="bottom"/>
          </w:tcPr>
          <w:p>
            <w:pPr>
              <w:spacing w:after="0"/>
              <w:rPr>
                <w:sz w:val="1"/>
                <w:szCs w:val="1"/>
                <w:color w:val="auto"/>
              </w:rPr>
            </w:pPr>
          </w:p>
        </w:tc>
      </w:tr>
      <w:tr>
        <w:trPr>
          <w:trHeight w:val="238"/>
        </w:trPr>
        <w:tc>
          <w:tcPr>
            <w:tcW w:w="1960" w:type="dxa"/>
            <w:vAlign w:val="bottom"/>
            <w:vMerge w:val="continue"/>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2240" w:type="dxa"/>
            <w:vAlign w:val="bottom"/>
            <w:vMerge w:val="continue"/>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2000" w:type="dxa"/>
            <w:vAlign w:val="bottom"/>
            <w:vMerge w:val="continue"/>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2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20"/>
              <w:spacing w:after="0" w:line="216" w:lineRule="exact"/>
              <w:rPr>
                <w:sz w:val="20"/>
                <w:szCs w:val="20"/>
                <w:color w:val="auto"/>
              </w:rPr>
            </w:pPr>
            <w:r>
              <w:rPr>
                <w:rFonts w:ascii="Arial" w:cs="Arial" w:eastAsia="Arial" w:hAnsi="Arial"/>
                <w:sz w:val="19"/>
                <w:szCs w:val="19"/>
                <w:b w:val="1"/>
                <w:bCs w:val="1"/>
                <w:color w:val="D52B1E"/>
              </w:rPr>
              <w:t>Campaign</w:t>
            </w:r>
          </w:p>
        </w:tc>
        <w:tc>
          <w:tcPr>
            <w:tcW w:w="20" w:type="dxa"/>
            <w:vAlign w:val="bottom"/>
            <w:shd w:val="clear" w:color="auto" w:fill="000000"/>
          </w:tcPr>
          <w:p>
            <w:pPr>
              <w:spacing w:after="0"/>
              <w:rPr>
                <w:sz w:val="18"/>
                <w:szCs w:val="18"/>
                <w:color w:val="auto"/>
              </w:rPr>
            </w:pPr>
          </w:p>
        </w:tc>
        <w:tc>
          <w:tcPr>
            <w:tcW w:w="2240" w:type="dxa"/>
            <w:vAlign w:val="bottom"/>
          </w:tcPr>
          <w:p>
            <w:pPr>
              <w:ind w:left="260"/>
              <w:spacing w:after="0" w:line="216" w:lineRule="exact"/>
              <w:rPr>
                <w:sz w:val="20"/>
                <w:szCs w:val="20"/>
                <w:color w:val="auto"/>
              </w:rPr>
            </w:pPr>
            <w:r>
              <w:rPr>
                <w:rFonts w:ascii="Arial" w:cs="Arial" w:eastAsia="Arial" w:hAnsi="Arial"/>
                <w:sz w:val="19"/>
                <w:szCs w:val="19"/>
                <w:b w:val="1"/>
                <w:bCs w:val="1"/>
                <w:color w:val="D52B1E"/>
              </w:rPr>
              <w:t>Pharma:</w:t>
            </w:r>
          </w:p>
        </w:tc>
        <w:tc>
          <w:tcPr>
            <w:tcW w:w="20" w:type="dxa"/>
            <w:vAlign w:val="bottom"/>
            <w:shd w:val="clear" w:color="auto" w:fill="000000"/>
          </w:tcPr>
          <w:p>
            <w:pPr>
              <w:spacing w:after="0"/>
              <w:rPr>
                <w:sz w:val="18"/>
                <w:szCs w:val="18"/>
                <w:color w:val="auto"/>
              </w:rPr>
            </w:pPr>
          </w:p>
        </w:tc>
        <w:tc>
          <w:tcPr>
            <w:tcW w:w="2000" w:type="dxa"/>
            <w:vAlign w:val="bottom"/>
          </w:tcPr>
          <w:p>
            <w:pPr>
              <w:ind w:left="260"/>
              <w:spacing w:after="0"/>
              <w:rPr>
                <w:sz w:val="20"/>
                <w:szCs w:val="20"/>
                <w:color w:val="auto"/>
              </w:rPr>
            </w:pPr>
            <w:r>
              <w:rPr>
                <w:rFonts w:ascii="Arial" w:cs="Arial" w:eastAsia="Arial" w:hAnsi="Arial"/>
                <w:sz w:val="18"/>
                <w:szCs w:val="18"/>
                <w:color w:val="auto"/>
              </w:rPr>
              <w:t>Top Companies</w:t>
            </w:r>
          </w:p>
        </w:tc>
        <w:tc>
          <w:tcPr>
            <w:tcW w:w="20" w:type="dxa"/>
            <w:vAlign w:val="bottom"/>
            <w:shd w:val="clear" w:color="auto" w:fill="000000"/>
          </w:tcPr>
          <w:p>
            <w:pPr>
              <w:spacing w:after="0"/>
              <w:rPr>
                <w:sz w:val="18"/>
                <w:szCs w:val="18"/>
                <w:color w:val="auto"/>
              </w:rPr>
            </w:pPr>
          </w:p>
        </w:tc>
        <w:tc>
          <w:tcPr>
            <w:tcW w:w="2820" w:type="dxa"/>
            <w:vAlign w:val="bottom"/>
          </w:tcPr>
          <w:p>
            <w:pPr>
              <w:ind w:left="260"/>
              <w:spacing w:after="0"/>
              <w:rPr>
                <w:sz w:val="20"/>
                <w:szCs w:val="20"/>
                <w:color w:val="auto"/>
              </w:rPr>
            </w:pPr>
            <w:r>
              <w:rPr>
                <w:rFonts w:ascii="Arial" w:cs="Arial" w:eastAsia="Arial" w:hAnsi="Arial"/>
                <w:sz w:val="18"/>
                <w:szCs w:val="18"/>
                <w:color w:val="auto"/>
              </w:rPr>
              <w:t>Best Companies for</w:t>
            </w:r>
          </w:p>
        </w:tc>
        <w:tc>
          <w:tcPr>
            <w:tcW w:w="0" w:type="dxa"/>
            <w:vAlign w:val="bottom"/>
          </w:tcPr>
          <w:p>
            <w:pPr>
              <w:spacing w:after="0"/>
              <w:rPr>
                <w:sz w:val="1"/>
                <w:szCs w:val="1"/>
                <w:color w:val="auto"/>
              </w:rPr>
            </w:pPr>
          </w:p>
        </w:tc>
      </w:tr>
      <w:tr>
        <w:trPr>
          <w:trHeight w:val="216"/>
        </w:trPr>
        <w:tc>
          <w:tcPr>
            <w:tcW w:w="1960" w:type="dxa"/>
            <w:vAlign w:val="bottom"/>
          </w:tcPr>
          <w:p>
            <w:pPr>
              <w:ind w:left="20"/>
              <w:spacing w:after="0" w:line="216" w:lineRule="exact"/>
              <w:rPr>
                <w:sz w:val="20"/>
                <w:szCs w:val="20"/>
                <w:color w:val="auto"/>
              </w:rPr>
            </w:pPr>
            <w:r>
              <w:rPr>
                <w:rFonts w:ascii="Arial" w:cs="Arial" w:eastAsia="Arial" w:hAnsi="Arial"/>
                <w:sz w:val="19"/>
                <w:szCs w:val="19"/>
                <w:b w:val="1"/>
                <w:bCs w:val="1"/>
                <w:color w:val="D52B1E"/>
              </w:rPr>
              <w:t>Foundation:</w:t>
            </w:r>
          </w:p>
        </w:tc>
        <w:tc>
          <w:tcPr>
            <w:tcW w:w="20" w:type="dxa"/>
            <w:vAlign w:val="bottom"/>
            <w:shd w:val="clear" w:color="auto" w:fill="000000"/>
          </w:tcPr>
          <w:p>
            <w:pPr>
              <w:spacing w:after="0"/>
              <w:rPr>
                <w:sz w:val="18"/>
                <w:szCs w:val="18"/>
                <w:color w:val="auto"/>
              </w:rPr>
            </w:pPr>
          </w:p>
        </w:tc>
        <w:tc>
          <w:tcPr>
            <w:tcW w:w="2240" w:type="dxa"/>
            <w:vAlign w:val="bottom"/>
          </w:tcPr>
          <w:p>
            <w:pPr>
              <w:ind w:left="260"/>
              <w:spacing w:after="0"/>
              <w:rPr>
                <w:sz w:val="20"/>
                <w:szCs w:val="20"/>
                <w:color w:val="auto"/>
              </w:rPr>
            </w:pPr>
            <w:r>
              <w:rPr>
                <w:rFonts w:ascii="Arial" w:cs="Arial" w:eastAsia="Arial" w:hAnsi="Arial"/>
                <w:sz w:val="18"/>
                <w:szCs w:val="18"/>
                <w:color w:val="auto"/>
              </w:rPr>
              <w:t>Pharmaceutical</w:t>
            </w:r>
          </w:p>
        </w:tc>
        <w:tc>
          <w:tcPr>
            <w:tcW w:w="20" w:type="dxa"/>
            <w:vAlign w:val="bottom"/>
            <w:shd w:val="clear" w:color="auto" w:fill="000000"/>
          </w:tcPr>
          <w:p>
            <w:pPr>
              <w:spacing w:after="0"/>
              <w:rPr>
                <w:sz w:val="18"/>
                <w:szCs w:val="18"/>
                <w:color w:val="auto"/>
              </w:rPr>
            </w:pPr>
          </w:p>
        </w:tc>
        <w:tc>
          <w:tcPr>
            <w:tcW w:w="2000" w:type="dxa"/>
            <w:vAlign w:val="bottom"/>
          </w:tcPr>
          <w:p>
            <w:pPr>
              <w:ind w:left="260"/>
              <w:spacing w:after="0"/>
              <w:rPr>
                <w:sz w:val="20"/>
                <w:szCs w:val="20"/>
                <w:color w:val="auto"/>
              </w:rPr>
            </w:pPr>
            <w:r>
              <w:rPr>
                <w:rFonts w:ascii="Arial" w:cs="Arial" w:eastAsia="Arial" w:hAnsi="Arial"/>
                <w:sz w:val="18"/>
                <w:szCs w:val="18"/>
                <w:color w:val="auto"/>
              </w:rPr>
              <w:t>for Executive</w:t>
            </w:r>
          </w:p>
        </w:tc>
        <w:tc>
          <w:tcPr>
            <w:tcW w:w="20" w:type="dxa"/>
            <w:vAlign w:val="bottom"/>
            <w:shd w:val="clear" w:color="auto" w:fill="000000"/>
          </w:tcPr>
          <w:p>
            <w:pPr>
              <w:spacing w:after="0"/>
              <w:rPr>
                <w:sz w:val="18"/>
                <w:szCs w:val="18"/>
                <w:color w:val="auto"/>
              </w:rPr>
            </w:pPr>
          </w:p>
        </w:tc>
        <w:tc>
          <w:tcPr>
            <w:tcW w:w="2820" w:type="dxa"/>
            <w:vAlign w:val="bottom"/>
          </w:tcPr>
          <w:p>
            <w:pPr>
              <w:ind w:left="260"/>
              <w:spacing w:after="0"/>
              <w:rPr>
                <w:sz w:val="20"/>
                <w:szCs w:val="20"/>
                <w:color w:val="auto"/>
              </w:rPr>
            </w:pPr>
            <w:r>
              <w:rPr>
                <w:rFonts w:ascii="Arial" w:cs="Arial" w:eastAsia="Arial" w:hAnsi="Arial"/>
                <w:sz w:val="18"/>
                <w:szCs w:val="18"/>
                <w:color w:val="auto"/>
              </w:rPr>
              <w:t>Multicultural Women, Best</w:t>
            </w:r>
          </w:p>
        </w:tc>
        <w:tc>
          <w:tcPr>
            <w:tcW w:w="0" w:type="dxa"/>
            <w:vAlign w:val="bottom"/>
          </w:tcPr>
          <w:p>
            <w:pPr>
              <w:spacing w:after="0"/>
              <w:rPr>
                <w:sz w:val="1"/>
                <w:szCs w:val="1"/>
                <w:color w:val="auto"/>
              </w:rPr>
            </w:pPr>
          </w:p>
        </w:tc>
      </w:tr>
      <w:tr>
        <w:trPr>
          <w:trHeight w:val="216"/>
        </w:trPr>
        <w:tc>
          <w:tcPr>
            <w:tcW w:w="1960" w:type="dxa"/>
            <w:vAlign w:val="bottom"/>
          </w:tcPr>
          <w:p>
            <w:pPr>
              <w:ind w:left="20"/>
              <w:spacing w:after="0"/>
              <w:rPr>
                <w:sz w:val="20"/>
                <w:szCs w:val="20"/>
                <w:color w:val="auto"/>
              </w:rPr>
            </w:pPr>
            <w:r>
              <w:rPr>
                <w:rFonts w:ascii="Arial" w:cs="Arial" w:eastAsia="Arial" w:hAnsi="Arial"/>
                <w:sz w:val="18"/>
                <w:szCs w:val="18"/>
                <w:color w:val="auto"/>
              </w:rPr>
              <w:t>Corporate Equality</w:t>
            </w:r>
          </w:p>
        </w:tc>
        <w:tc>
          <w:tcPr>
            <w:tcW w:w="20" w:type="dxa"/>
            <w:vAlign w:val="bottom"/>
            <w:shd w:val="clear" w:color="auto" w:fill="000000"/>
          </w:tcPr>
          <w:p>
            <w:pPr>
              <w:spacing w:after="0"/>
              <w:rPr>
                <w:sz w:val="18"/>
                <w:szCs w:val="18"/>
                <w:color w:val="auto"/>
              </w:rPr>
            </w:pPr>
          </w:p>
        </w:tc>
        <w:tc>
          <w:tcPr>
            <w:tcW w:w="2240" w:type="dxa"/>
            <w:vAlign w:val="bottom"/>
          </w:tcPr>
          <w:p>
            <w:pPr>
              <w:ind w:left="260"/>
              <w:spacing w:after="0"/>
              <w:rPr>
                <w:sz w:val="20"/>
                <w:szCs w:val="20"/>
                <w:color w:val="auto"/>
              </w:rPr>
            </w:pPr>
            <w:r>
              <w:rPr>
                <w:rFonts w:ascii="Arial" w:cs="Arial" w:eastAsia="Arial" w:hAnsi="Arial"/>
                <w:sz w:val="18"/>
                <w:szCs w:val="18"/>
                <w:color w:val="auto"/>
              </w:rPr>
              <w:t>Innovation Index: No.</w:t>
            </w:r>
          </w:p>
        </w:tc>
        <w:tc>
          <w:tcPr>
            <w:tcW w:w="20" w:type="dxa"/>
            <w:vAlign w:val="bottom"/>
            <w:shd w:val="clear" w:color="auto" w:fill="000000"/>
          </w:tcPr>
          <w:p>
            <w:pPr>
              <w:spacing w:after="0"/>
              <w:rPr>
                <w:sz w:val="18"/>
                <w:szCs w:val="18"/>
                <w:color w:val="auto"/>
              </w:rPr>
            </w:pPr>
          </w:p>
        </w:tc>
        <w:tc>
          <w:tcPr>
            <w:tcW w:w="2000" w:type="dxa"/>
            <w:vAlign w:val="bottom"/>
          </w:tcPr>
          <w:p>
            <w:pPr>
              <w:ind w:left="260"/>
              <w:spacing w:after="0"/>
              <w:rPr>
                <w:sz w:val="20"/>
                <w:szCs w:val="20"/>
                <w:color w:val="auto"/>
              </w:rPr>
            </w:pPr>
            <w:r>
              <w:rPr>
                <w:rFonts w:ascii="Arial" w:cs="Arial" w:eastAsia="Arial" w:hAnsi="Arial"/>
                <w:sz w:val="18"/>
                <w:szCs w:val="18"/>
                <w:color w:val="auto"/>
              </w:rPr>
              <w:t>Women</w:t>
            </w:r>
          </w:p>
        </w:tc>
        <w:tc>
          <w:tcPr>
            <w:tcW w:w="20" w:type="dxa"/>
            <w:vAlign w:val="bottom"/>
            <w:shd w:val="clear" w:color="auto" w:fill="000000"/>
          </w:tcPr>
          <w:p>
            <w:pPr>
              <w:spacing w:after="0"/>
              <w:rPr>
                <w:sz w:val="18"/>
                <w:szCs w:val="18"/>
                <w:color w:val="auto"/>
              </w:rPr>
            </w:pPr>
          </w:p>
        </w:tc>
        <w:tc>
          <w:tcPr>
            <w:tcW w:w="2820" w:type="dxa"/>
            <w:vAlign w:val="bottom"/>
          </w:tcPr>
          <w:p>
            <w:pPr>
              <w:ind w:left="260"/>
              <w:spacing w:after="0"/>
              <w:rPr>
                <w:sz w:val="20"/>
                <w:szCs w:val="20"/>
                <w:color w:val="auto"/>
              </w:rPr>
            </w:pPr>
            <w:r>
              <w:rPr>
                <w:rFonts w:ascii="Arial" w:cs="Arial" w:eastAsia="Arial" w:hAnsi="Arial"/>
                <w:sz w:val="18"/>
                <w:szCs w:val="18"/>
                <w:color w:val="auto"/>
              </w:rPr>
              <w:t>Companies for Dads, 70% and</w:t>
            </w:r>
          </w:p>
        </w:tc>
        <w:tc>
          <w:tcPr>
            <w:tcW w:w="0" w:type="dxa"/>
            <w:vAlign w:val="bottom"/>
          </w:tcPr>
          <w:p>
            <w:pPr>
              <w:spacing w:after="0"/>
              <w:rPr>
                <w:sz w:val="1"/>
                <w:szCs w:val="1"/>
                <w:color w:val="auto"/>
              </w:rPr>
            </w:pPr>
          </w:p>
        </w:tc>
      </w:tr>
      <w:tr>
        <w:trPr>
          <w:trHeight w:val="230"/>
        </w:trPr>
        <w:tc>
          <w:tcPr>
            <w:tcW w:w="1960" w:type="dxa"/>
            <w:vAlign w:val="bottom"/>
          </w:tcPr>
          <w:p>
            <w:pPr>
              <w:ind w:left="20"/>
              <w:spacing w:after="0"/>
              <w:rPr>
                <w:sz w:val="20"/>
                <w:szCs w:val="20"/>
                <w:color w:val="auto"/>
              </w:rPr>
            </w:pPr>
            <w:r>
              <w:rPr>
                <w:rFonts w:ascii="Arial" w:cs="Arial" w:eastAsia="Arial" w:hAnsi="Arial"/>
                <w:sz w:val="18"/>
                <w:szCs w:val="18"/>
                <w:color w:val="auto"/>
              </w:rPr>
              <w:t>Index — Perfect</w:t>
            </w:r>
          </w:p>
        </w:tc>
        <w:tc>
          <w:tcPr>
            <w:tcW w:w="20" w:type="dxa"/>
            <w:vAlign w:val="bottom"/>
            <w:shd w:val="clear" w:color="auto" w:fill="000000"/>
          </w:tcPr>
          <w:p>
            <w:pPr>
              <w:spacing w:after="0"/>
              <w:rPr>
                <w:sz w:val="19"/>
                <w:szCs w:val="19"/>
                <w:color w:val="auto"/>
              </w:rPr>
            </w:pPr>
          </w:p>
        </w:tc>
        <w:tc>
          <w:tcPr>
            <w:tcW w:w="2240" w:type="dxa"/>
            <w:vAlign w:val="bottom"/>
          </w:tcPr>
          <w:p>
            <w:pPr>
              <w:ind w:left="260"/>
              <w:spacing w:after="0"/>
              <w:rPr>
                <w:sz w:val="20"/>
                <w:szCs w:val="20"/>
                <w:color w:val="auto"/>
              </w:rPr>
            </w:pPr>
            <w:r>
              <w:rPr>
                <w:rFonts w:ascii="Arial" w:cs="Arial" w:eastAsia="Arial" w:hAnsi="Arial"/>
                <w:sz w:val="18"/>
                <w:szCs w:val="18"/>
                <w:color w:val="auto"/>
              </w:rPr>
              <w:t>19</w:t>
            </w:r>
          </w:p>
        </w:tc>
        <w:tc>
          <w:tcPr>
            <w:tcW w:w="20" w:type="dxa"/>
            <w:vAlign w:val="bottom"/>
            <w:shd w:val="clear" w:color="auto" w:fill="000000"/>
          </w:tcPr>
          <w:p>
            <w:pPr>
              <w:spacing w:after="0"/>
              <w:rPr>
                <w:sz w:val="19"/>
                <w:szCs w:val="19"/>
                <w:color w:val="auto"/>
              </w:rPr>
            </w:pPr>
          </w:p>
        </w:tc>
        <w:tc>
          <w:tcPr>
            <w:tcW w:w="20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2820" w:type="dxa"/>
            <w:vAlign w:val="bottom"/>
          </w:tcPr>
          <w:p>
            <w:pPr>
              <w:ind w:left="260"/>
              <w:spacing w:after="0"/>
              <w:rPr>
                <w:sz w:val="20"/>
                <w:szCs w:val="20"/>
                <w:color w:val="auto"/>
              </w:rPr>
            </w:pPr>
            <w:r>
              <w:rPr>
                <w:rFonts w:ascii="Arial" w:cs="Arial" w:eastAsia="Arial" w:hAnsi="Arial"/>
                <w:sz w:val="18"/>
                <w:szCs w:val="18"/>
                <w:color w:val="auto"/>
              </w:rPr>
              <w:t>Higher Inclusion Index</w:t>
            </w:r>
          </w:p>
        </w:tc>
        <w:tc>
          <w:tcPr>
            <w:tcW w:w="0" w:type="dxa"/>
            <w:vAlign w:val="bottom"/>
          </w:tcPr>
          <w:p>
            <w:pPr>
              <w:spacing w:after="0"/>
              <w:rPr>
                <w:sz w:val="1"/>
                <w:szCs w:val="1"/>
                <w:color w:val="auto"/>
              </w:rPr>
            </w:pPr>
          </w:p>
        </w:tc>
      </w:tr>
      <w:tr>
        <w:trPr>
          <w:trHeight w:val="239"/>
        </w:trPr>
        <w:tc>
          <w:tcPr>
            <w:tcW w:w="1960" w:type="dxa"/>
            <w:vAlign w:val="bottom"/>
          </w:tcPr>
          <w:p>
            <w:pPr>
              <w:ind w:left="20"/>
              <w:spacing w:after="0"/>
              <w:rPr>
                <w:sz w:val="20"/>
                <w:szCs w:val="20"/>
                <w:color w:val="auto"/>
              </w:rPr>
            </w:pPr>
            <w:r>
              <w:rPr>
                <w:rFonts w:ascii="Arial" w:cs="Arial" w:eastAsia="Arial" w:hAnsi="Arial"/>
                <w:sz w:val="18"/>
                <w:szCs w:val="18"/>
                <w:color w:val="auto"/>
              </w:rPr>
              <w:t>Score</w:t>
            </w:r>
          </w:p>
        </w:tc>
        <w:tc>
          <w:tcPr>
            <w:tcW w:w="20" w:type="dxa"/>
            <w:vAlign w:val="bottom"/>
            <w:shd w:val="clear" w:color="auto" w:fill="000000"/>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20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2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19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2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8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Employee Development</w:t>
      </w:r>
    </w:p>
    <w:p>
      <w:pPr>
        <w:spacing w:after="0" w:line="58"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b w:val="1"/>
          <w:bCs w:val="1"/>
          <w:color w:val="auto"/>
        </w:rPr>
        <w:t xml:space="preserve">Hiring: </w:t>
      </w:r>
      <w:r>
        <w:rPr>
          <w:rFonts w:ascii="Arial" w:cs="Arial" w:eastAsia="Arial" w:hAnsi="Arial"/>
          <w:sz w:val="18"/>
          <w:szCs w:val="18"/>
          <w:color w:val="auto"/>
        </w:rPr>
        <w:t>We believe attracting and retaining the best, diverse talent begins with the hiring process. We therefore require hiring managers to</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 a diverse pool of candidates, and we strive to provide a diverse panel of interviewers for open positions. We believe that hiring in this way helps ensure that people from all backgrounds have equal opportunity to advance their careers.</w:t>
      </w:r>
    </w:p>
    <w:p>
      <w:pPr>
        <w:spacing w:after="0" w:line="117" w:lineRule="exact"/>
        <w:rPr>
          <w:sz w:val="20"/>
          <w:szCs w:val="20"/>
          <w:color w:val="auto"/>
        </w:rPr>
      </w:pPr>
    </w:p>
    <w:p>
      <w:pPr>
        <w:jc w:val="both"/>
        <w:ind w:right="220"/>
        <w:spacing w:after="0" w:line="262" w:lineRule="auto"/>
        <w:rPr>
          <w:sz w:val="20"/>
          <w:szCs w:val="20"/>
          <w:color w:val="auto"/>
        </w:rPr>
      </w:pPr>
      <w:r>
        <w:rPr>
          <w:rFonts w:ascii="Arial" w:cs="Arial" w:eastAsia="Arial" w:hAnsi="Arial"/>
          <w:sz w:val="18"/>
          <w:szCs w:val="18"/>
          <w:b w:val="1"/>
          <w:bCs w:val="1"/>
          <w:color w:val="auto"/>
        </w:rPr>
        <w:t xml:space="preserve">Onboarding: </w:t>
      </w:r>
      <w:r>
        <w:rPr>
          <w:rFonts w:ascii="Arial" w:cs="Arial" w:eastAsia="Arial" w:hAnsi="Arial"/>
          <w:sz w:val="18"/>
          <w:szCs w:val="18"/>
          <w:color w:val="auto"/>
        </w:rPr>
        <w:t>In early 2022, we launched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Discover</w:t>
      </w:r>
      <w:r>
        <w:rPr>
          <w:rFonts w:ascii="Arial" w:cs="Arial" w:eastAsia="Arial" w:hAnsi="Arial"/>
          <w:sz w:val="18"/>
          <w:szCs w:val="18"/>
          <w:color w:val="auto"/>
        </w:rPr>
        <w:t>, a 12-month new employee onboarding program with multiple touchpoints designed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foster integration into the Lilly culture, to accelerate learning in their new roles and to create connections to further a sense of belonging at Lilly. </w:t>
      </w:r>
      <w:r>
        <w:rPr>
          <w:rFonts w:ascii="Arial" w:cs="Arial" w:eastAsia="Arial" w:hAnsi="Arial"/>
          <w:sz w:val="18"/>
          <w:szCs w:val="18"/>
          <w:i w:val="1"/>
          <w:iCs w:val="1"/>
          <w:color w:val="auto"/>
        </w:rPr>
        <w:t>Discover</w:t>
      </w:r>
      <w:r>
        <w:rPr>
          <w:rFonts w:ascii="Arial" w:cs="Arial" w:eastAsia="Arial" w:hAnsi="Arial"/>
          <w:sz w:val="18"/>
          <w:szCs w:val="18"/>
          <w:color w:val="auto"/>
        </w:rPr>
        <w:t xml:space="preserve"> was shaped in part by external benchmarking, feedback from employees and learnings from onboarding remotely during the COVID-19 pandemic.</w:t>
      </w:r>
    </w:p>
    <w:p>
      <w:pPr>
        <w:spacing w:after="0" w:line="12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 xml:space="preserve">Continuing Education: </w:t>
      </w:r>
      <w:r>
        <w:rPr>
          <w:rFonts w:ascii="Arial" w:cs="Arial" w:eastAsia="Arial" w:hAnsi="Arial"/>
          <w:sz w:val="18"/>
          <w:szCs w:val="18"/>
          <w:color w:val="auto"/>
        </w:rPr>
        <w:t>We offer training to enable our employees to perform their duties in our highly regulated industry. We also strive to</w:t>
      </w:r>
      <w:r>
        <w:rPr>
          <w:rFonts w:ascii="Arial" w:cs="Arial" w:eastAsia="Arial" w:hAnsi="Arial"/>
          <w:sz w:val="18"/>
          <w:szCs w:val="18"/>
          <w:b w:val="1"/>
          <w:bCs w:val="1"/>
          <w:color w:val="auto"/>
        </w:rPr>
        <w:t xml:space="preserve"> </w:t>
      </w:r>
      <w:r>
        <w:rPr>
          <w:rFonts w:ascii="Arial" w:cs="Arial" w:eastAsia="Arial" w:hAnsi="Arial"/>
          <w:sz w:val="18"/>
          <w:szCs w:val="18"/>
          <w:color w:val="auto"/>
        </w:rPr>
        <w:t>cultivate a culture that promotes ongoing learning by encouraging employees to seek further education and growth experiences, helping them build rewarding careers. We have introduced online programming to facilitate access to our learning and development offerings in addition to our in-person programs. Many training courses are designed to improve accessibility for people with disabilities and other unique needs. Across Lilly, we are continuously working to design learning experiences to be more inclusive and effective. In addition, we have implemented development tools and resources for all employees, improved our talent programs and processes to provide broader access to information, and increased transparency regarding career development and advancement at Lilly.</w:t>
      </w:r>
    </w:p>
    <w:p>
      <w:pPr>
        <w:spacing w:after="0" w:line="129"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b w:val="1"/>
          <w:bCs w:val="1"/>
          <w:color w:val="auto"/>
        </w:rPr>
        <w:t xml:space="preserve">Employee Resource Groups (ERGs): </w:t>
      </w:r>
      <w:r>
        <w:rPr>
          <w:rFonts w:ascii="Arial" w:cs="Arial" w:eastAsia="Arial" w:hAnsi="Arial"/>
          <w:sz w:val="18"/>
          <w:szCs w:val="18"/>
          <w:color w:val="auto"/>
        </w:rPr>
        <w:t>Our ERGs are another important component of developing talent at Lilly. We currently have 11 ERGs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representing groups including women, MGMs, LGBTQ+ individuals, veterans, and people with disabilities. ERGs offer our diverse workforce opportunities to build relationships, engage with senior leaders, advance our caring community, and offer unique insights and perspectives to improve our business.</w:t>
      </w:r>
    </w:p>
    <w:p>
      <w:pPr>
        <w:spacing w:after="0" w:line="12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color w:val="auto"/>
        </w:rPr>
        <w:t xml:space="preserve">Make it Safe to Thrive: </w:t>
      </w:r>
      <w:r>
        <w:rPr>
          <w:rFonts w:ascii="Arial" w:cs="Arial" w:eastAsia="Arial" w:hAnsi="Arial"/>
          <w:sz w:val="18"/>
          <w:szCs w:val="18"/>
          <w:color w:val="auto"/>
        </w:rPr>
        <w:t>We have continued our efforts to create an inclusive workplace with the goal of ensuring that all employees feel safe</w:t>
      </w:r>
      <w:r>
        <w:rPr>
          <w:rFonts w:ascii="Arial" w:cs="Arial" w:eastAsia="Arial" w:hAnsi="Arial"/>
          <w:sz w:val="18"/>
          <w:szCs w:val="18"/>
          <w:b w:val="1"/>
          <w:bCs w:val="1"/>
          <w:color w:val="auto"/>
        </w:rPr>
        <w:t xml:space="preserve"> </w:t>
      </w:r>
      <w:r>
        <w:rPr>
          <w:rFonts w:ascii="Arial" w:cs="Arial" w:eastAsia="Arial" w:hAnsi="Arial"/>
          <w:sz w:val="18"/>
          <w:szCs w:val="18"/>
          <w:color w:val="auto"/>
        </w:rPr>
        <w:t>to speak up and share their ideas at work. Our Make it Safe to Thrive education and awareness program is designed to help employees and leaders understand how individual psychological safety can be created and enhanced and includes live and online training. In late 2022, we introduced a new version of Make it Safe to Thrive for leaders that continues to focus on psychological safety and creating an inclusive environment, but it provides leaders with the opportunity to work through challenging conversations and situations currently being navigated in the workplace.</w:t>
      </w:r>
    </w:p>
    <w:p>
      <w:pPr>
        <w:spacing w:after="0" w:line="128"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b w:val="1"/>
          <w:bCs w:val="1"/>
          <w:color w:val="auto"/>
        </w:rPr>
        <w:t xml:space="preserve">Cultural Foundation: </w:t>
      </w:r>
      <w:r>
        <w:rPr>
          <w:rFonts w:ascii="Arial" w:cs="Arial" w:eastAsia="Arial" w:hAnsi="Arial"/>
          <w:sz w:val="18"/>
          <w:szCs w:val="18"/>
          <w:color w:val="auto"/>
        </w:rPr>
        <w:t>Lilly is committed to fostering a culture of diversity and respect in the workplace—an environment free of</w:t>
      </w:r>
      <w:r>
        <w:rPr>
          <w:rFonts w:ascii="Arial" w:cs="Arial" w:eastAsia="Arial" w:hAnsi="Arial"/>
          <w:sz w:val="18"/>
          <w:szCs w:val="18"/>
          <w:b w:val="1"/>
          <w:bCs w:val="1"/>
          <w:color w:val="auto"/>
        </w:rPr>
        <w:t xml:space="preserve"> </w:t>
      </w:r>
      <w:r>
        <w:rPr>
          <w:rFonts w:ascii="Arial" w:cs="Arial" w:eastAsia="Arial" w:hAnsi="Arial"/>
          <w:sz w:val="18"/>
          <w:szCs w:val="18"/>
          <w:color w:val="auto"/>
        </w:rPr>
        <w:t>discrimination, harassment, or retaliation of any kind. In 2022, as part of our annual review of The Red Book and related policies and procedures, we revised the Global Conduct in the Workplace procedure to continue to help ensure that we maintain a respectful, safe, inclusive, and professional workplace.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Compensation, Benefits, and Pay Equity</w:t>
      </w:r>
    </w:p>
    <w:p>
      <w:pPr>
        <w:spacing w:after="0" w:line="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While our rewards programs vary around the world, we take a holistic approach to employee benefits. These may include flexible work arrangements, on-site conveniences, such as cafes, fitness centers and child development centers, competitive time-off programs, retirement benefits, and health and disability programs that are available to eligible employees when they need support. We are committed to rewarding, supporting, and developing our employees who make it possible to fulfill our mission to unite caring with discovery to create medicines that make life better for people around the world.</w:t>
      </w:r>
    </w:p>
    <w:p>
      <w:pPr>
        <w:sectPr>
          <w:pgSz w:w="11900" w:h="16838" w:orient="portrait"/>
          <w:cols w:equalWidth="0" w:num="1">
            <w:col w:w="11240"/>
          </w:cols>
          <w:pgMar w:left="320" w:top="815"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type w:val="continuous"/>
        </w:sectPr>
      </w:pPr>
    </w:p>
    <w:bookmarkStart w:id="46" w:name="page47"/>
    <w:bookmarkEnd w:id="46"/>
    <w:p>
      <w:pPr>
        <w:ind w:left="20"/>
        <w:spacing w:after="0" w:line="257" w:lineRule="auto"/>
        <w:rPr>
          <w:sz w:val="20"/>
          <w:szCs w:val="20"/>
          <w:color w:val="auto"/>
        </w:rPr>
      </w:pPr>
      <w:r>
        <w:rPr>
          <w:rFonts w:ascii="Arial" w:cs="Arial" w:eastAsia="Arial" w:hAnsi="Arial"/>
          <w:sz w:val="18"/>
          <w:szCs w:val="18"/>
          <w:color w:val="auto"/>
        </w:rPr>
        <w:t>We are also committed to ensuring pay is administered equitably across our workforce. For more than 20 years, we have regularly conducted pay equity studies of our workforce in the United States and have more recently started conducting studies of our workforce outside of the United States. While minimal, we have made pay adjustments as warranted based on these analyses. We believe that pay equity is critical to our success in supporting a global, diverse, and inclusive workforce.</w:t>
      </w:r>
    </w:p>
    <w:p>
      <w:pPr>
        <w:spacing w:after="0" w:line="20" w:lineRule="exact"/>
        <w:rPr>
          <w:sz w:val="20"/>
          <w:szCs w:val="20"/>
          <w:color w:val="auto"/>
        </w:rPr>
      </w:pPr>
      <w:r>
        <w:rPr>
          <w:sz w:val="20"/>
          <w:szCs w:val="20"/>
          <w:color w:val="auto"/>
        </w:rPr>
        <w:br w:type="column"/>
      </w:r>
    </w:p>
    <w:p>
      <w:pPr>
        <w:ind w:left="640"/>
        <w:spacing w:after="0"/>
        <w:rPr>
          <w:sz w:val="20"/>
          <w:szCs w:val="20"/>
          <w:color w:val="auto"/>
        </w:rPr>
      </w:pPr>
      <w:r>
        <w:rPr>
          <w:rFonts w:ascii="Arial" w:cs="Arial" w:eastAsia="Arial" w:hAnsi="Arial"/>
          <w:sz w:val="32"/>
          <w:szCs w:val="32"/>
          <w:color w:val="D52B1E"/>
        </w:rPr>
        <w:t>20</w:t>
      </w:r>
    </w:p>
    <w:p>
      <w:pPr>
        <w:spacing w:after="0" w:line="61" w:lineRule="exact"/>
        <w:rPr>
          <w:sz w:val="20"/>
          <w:szCs w:val="20"/>
          <w:color w:val="auto"/>
        </w:rPr>
      </w:pPr>
    </w:p>
    <w:p>
      <w:pPr>
        <w:jc w:val="center"/>
        <w:ind w:right="2260"/>
        <w:spacing w:after="0"/>
        <w:rPr>
          <w:sz w:val="20"/>
          <w:szCs w:val="20"/>
          <w:color w:val="auto"/>
        </w:rPr>
      </w:pPr>
      <w:r>
        <w:rPr>
          <w:rFonts w:ascii="Arial" w:cs="Arial" w:eastAsia="Arial" w:hAnsi="Arial"/>
          <w:sz w:val="22"/>
          <w:szCs w:val="22"/>
          <w:b w:val="1"/>
          <w:bCs w:val="1"/>
          <w:color w:val="auto"/>
        </w:rPr>
        <w:t>Years</w:t>
      </w:r>
    </w:p>
    <w:p>
      <w:pPr>
        <w:spacing w:after="0" w:line="81" w:lineRule="exact"/>
        <w:rPr>
          <w:sz w:val="20"/>
          <w:szCs w:val="20"/>
          <w:color w:val="auto"/>
        </w:rPr>
      </w:pPr>
    </w:p>
    <w:p>
      <w:pPr>
        <w:jc w:val="center"/>
        <w:ind w:right="2260"/>
        <w:spacing w:after="0"/>
        <w:rPr>
          <w:sz w:val="20"/>
          <w:szCs w:val="20"/>
          <w:color w:val="auto"/>
        </w:rPr>
      </w:pPr>
      <w:r>
        <w:rPr>
          <w:rFonts w:ascii="Arial" w:cs="Arial" w:eastAsia="Arial" w:hAnsi="Arial"/>
          <w:sz w:val="17"/>
          <w:szCs w:val="17"/>
          <w:color w:val="auto"/>
        </w:rPr>
        <w:t>of pay equity studies</w:t>
      </w:r>
    </w:p>
    <w:p>
      <w:pPr>
        <w:jc w:val="center"/>
        <w:ind w:right="2260"/>
        <w:spacing w:after="0"/>
        <w:rPr>
          <w:sz w:val="20"/>
          <w:szCs w:val="20"/>
          <w:color w:val="auto"/>
        </w:rPr>
      </w:pPr>
      <w:r>
        <w:rPr>
          <w:rFonts w:ascii="Arial" w:cs="Arial" w:eastAsia="Arial" w:hAnsi="Arial"/>
          <w:sz w:val="18"/>
          <w:szCs w:val="18"/>
          <w:color w:val="auto"/>
        </w:rPr>
        <w:t>in the U.S.</w:t>
      </w:r>
    </w:p>
    <w:p>
      <w:pPr>
        <w:spacing w:after="0" w:line="359" w:lineRule="exact"/>
        <w:rPr>
          <w:sz w:val="20"/>
          <w:szCs w:val="20"/>
          <w:color w:val="auto"/>
        </w:rPr>
      </w:pPr>
    </w:p>
    <w:p>
      <w:pPr>
        <w:sectPr>
          <w:pgSz w:w="11900" w:h="16838" w:orient="portrait"/>
          <w:cols w:equalWidth="0" w:num="2">
            <w:col w:w="7000" w:space="340"/>
            <w:col w:w="3900"/>
          </w:cols>
          <w:pgMar w:left="320" w:top="823" w:right="339" w:bottom="1440" w:gutter="0" w:footer="0" w:header="0"/>
        </w:sect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Employee Health and Safety</w:t>
      </w:r>
    </w:p>
    <w:p>
      <w:pPr>
        <w:spacing w:after="0" w:line="5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strive to foster a healthy, vibrant work environment, which includes keeping our employees safe. We seek to create a companywide culture where best-in-class safety practices are consistently followed. To do this, we assess and continuously attempt to improve our companywide safety performance to promote the well-being of employees and to help safeguard communities where we operate. As the COVID-19 pandemic has evolved, we have continued to take various measures (as necessary) to protect and support the health and safety of our employees globally. We believe a holistic approach and dedication to safety helps us be our best as we deliver on our company purpose to improve lives around the world.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Political and Policy Participation</w:t>
      </w:r>
    </w:p>
    <w:p>
      <w:pPr>
        <w:spacing w:after="0" w:line="18"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As a biopharmaceutical company that develops treatments for serious diseases, we believe it is important for our company to be a responsible participant in global political and public policy debates. Our engagement in the political arena helps ensure that patients have access to needed medications. Through public policy engagement, we provide a way for all our locations globally to offer Lilly’s perspective on the political environment in a manner that supports access to innovative medicines and a way to engage on issues specific to local business environments.</w:t>
      </w:r>
    </w:p>
    <w:p>
      <w:pPr>
        <w:spacing w:after="0" w:line="1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discussed in “</w:t>
      </w:r>
      <w:r>
        <w:rPr>
          <w:rFonts w:ascii="Arial" w:cs="Arial" w:eastAsia="Arial" w:hAnsi="Arial"/>
          <w:sz w:val="18"/>
          <w:szCs w:val="18"/>
          <w:u w:val="single" w:color="auto"/>
          <w:color w:val="0000FF"/>
        </w:rPr>
        <w:t>Governance—How We Operate an Effective Board—Governance Practices—Board Oversight</w:t>
      </w:r>
      <w:r>
        <w:rPr>
          <w:rFonts w:ascii="Arial" w:cs="Arial" w:eastAsia="Arial" w:hAnsi="Arial"/>
          <w:sz w:val="18"/>
          <w:szCs w:val="18"/>
          <w:color w:val="auto"/>
        </w:rPr>
        <w:t>”, the board exercises governance oversight of our political expenditures and lobbying activities. We provide information on our website related to direct company contributions and LillyPAC contributions to support candidates for political office, political parties, officials, or committees in the United States, as well as information regarding our trade association memberships and the company’s oversight of these activities. In response to input from our stakeholders, we have reviewed and enhanced the information available on our corporate website and plan to continue to engage with stakeholders on this topic.</w:t>
      </w:r>
    </w:p>
    <w:p>
      <w:pPr>
        <w:spacing w:after="0" w:line="123"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Board Alignment</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Conflicts of Interest and Transactions with Related Persons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Conflicts of Interest</w:t>
      </w:r>
    </w:p>
    <w:p>
      <w:pPr>
        <w:spacing w:after="0" w:line="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Occasionally, a director’s business or personal relationships may give rise to an interest that conflicts, or appears to conflict, with the interests of the company. As outlined in the company’s corporate governance guidelines, directors must disclose to the company all relationships that could create a conflict or an appearance of a conflict. The board, after consultation with counsel, takes appropriate steps to identify actual or apparent conflicts and ensure that all directors voting on an issue are disinterested with respect to that issue. A director may be excused from board discussions and decisions on an issue related to an actual or apparent conflict, as appropriate.</w:t>
      </w:r>
    </w:p>
    <w:p>
      <w:pPr>
        <w:spacing w:after="0" w:line="12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In addition, a director’s relationship with Lilly may give rise to an interest that conflicts, or appears to conflict, with the interests of another company, institution, or other stakeholder. A director must disclose his or her relationship with Lilly in connection with any scientific publication, using the International Committee of Medical Journal Editors (ICMJE) conflict of interest form for this purpose when possible. Each director must disclose his or her service on the board to his or her employer and any other organization with which the director has a relationship of trust and where the relationship with Lilly is relevant. In addition, directors must follow the internal conflict of interest policies and procedures of each such organization.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Review and Approval of Transactions with Related Persons</w:t>
      </w:r>
    </w:p>
    <w:p>
      <w:pPr>
        <w:spacing w:after="0" w:line="5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board has adopted a written policy and procedures for review, approval, and monitoring of transactions involving the company and related persons (including current executive officers, directors, or director nominees and persons who served in those roles at any time since the beginning of our last fiscal year, greater than five percent shareholders of the company, immediate family members of such persons, and related entities of such persons, including entities in which any of such persons is employed, is a general partner or principal or in which</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47" w:name="page48"/>
    <w:bookmarkEnd w:id="47"/>
    <w:p>
      <w:pPr>
        <w:jc w:val="both"/>
        <w:ind w:right="420"/>
        <w:spacing w:after="0" w:line="268" w:lineRule="auto"/>
        <w:rPr>
          <w:sz w:val="20"/>
          <w:szCs w:val="20"/>
          <w:color w:val="auto"/>
        </w:rPr>
      </w:pPr>
      <w:r>
        <w:rPr>
          <w:rFonts w:ascii="Arial" w:cs="Arial" w:eastAsia="Arial" w:hAnsi="Arial"/>
          <w:sz w:val="18"/>
          <w:szCs w:val="18"/>
          <w:color w:val="auto"/>
        </w:rPr>
        <w:t>such person has a 10 percent or greater beneficial ownership interest). The policy covers any related person transaction that meets the minimum threshold for disclosure in this proxy statement under relevant SEC rules (generally, transactions involving amounts exceeding $120,000 in which a related person has a direct or indirect material interest).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Policy:</w:t>
      </w:r>
    </w:p>
    <w:p>
      <w:pPr>
        <w:spacing w:after="0" w:line="17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Related person transactions must be preapproved by the Directors and Corporate Governance Committee of the board or another independent body of the board, who will approve the transaction only if the Directors and Corporate Governance Committee or such independent body determines it to be consistent with the interests of the company and its shareholders. In considering the transaction, the Directors and Corporate Governance Committee or such independent body will consider all relevant factors, including:</w:t>
      </w:r>
    </w:p>
    <w:p>
      <w:pPr>
        <w:spacing w:after="0" w:line="14" w:lineRule="exact"/>
        <w:rPr>
          <w:sz w:val="20"/>
          <w:szCs w:val="20"/>
          <w:color w:val="auto"/>
        </w:rPr>
      </w:pPr>
    </w:p>
    <w:p>
      <w:pPr>
        <w:ind w:left="640" w:hanging="308"/>
        <w:spacing w:after="0"/>
        <w:tabs>
          <w:tab w:leader="none" w:pos="640" w:val="left"/>
        </w:tabs>
        <w:numPr>
          <w:ilvl w:val="0"/>
          <w:numId w:val="102"/>
        </w:numPr>
        <w:rPr>
          <w:rFonts w:ascii="Arial" w:cs="Arial" w:eastAsia="Arial" w:hAnsi="Arial"/>
          <w:sz w:val="16"/>
          <w:szCs w:val="16"/>
          <w:color w:val="auto"/>
        </w:rPr>
      </w:pPr>
      <w:r>
        <w:rPr>
          <w:rFonts w:ascii="Arial" w:cs="Arial" w:eastAsia="Arial" w:hAnsi="Arial"/>
          <w:sz w:val="18"/>
          <w:szCs w:val="18"/>
          <w:color w:val="auto"/>
        </w:rPr>
        <w:t>the company’s business rationale for entering into the transaction;</w:t>
      </w:r>
    </w:p>
    <w:p>
      <w:pPr>
        <w:spacing w:after="0" w:line="171" w:lineRule="exact"/>
        <w:rPr>
          <w:rFonts w:ascii="Arial" w:cs="Arial" w:eastAsia="Arial" w:hAnsi="Arial"/>
          <w:sz w:val="16"/>
          <w:szCs w:val="16"/>
          <w:color w:val="auto"/>
        </w:rPr>
      </w:pPr>
    </w:p>
    <w:p>
      <w:pPr>
        <w:ind w:left="640" w:hanging="308"/>
        <w:spacing w:after="0"/>
        <w:tabs>
          <w:tab w:leader="none" w:pos="640" w:val="left"/>
        </w:tabs>
        <w:numPr>
          <w:ilvl w:val="0"/>
          <w:numId w:val="102"/>
        </w:numPr>
        <w:rPr>
          <w:rFonts w:ascii="Arial" w:cs="Arial" w:eastAsia="Arial" w:hAnsi="Arial"/>
          <w:sz w:val="16"/>
          <w:szCs w:val="16"/>
          <w:color w:val="auto"/>
        </w:rPr>
      </w:pPr>
      <w:r>
        <w:rPr>
          <w:rFonts w:ascii="Arial" w:cs="Arial" w:eastAsia="Arial" w:hAnsi="Arial"/>
          <w:sz w:val="18"/>
          <w:szCs w:val="18"/>
          <w:color w:val="auto"/>
        </w:rPr>
        <w:t>the purpose of, and potential benefits to the company of, the transaction;</w:t>
      </w:r>
    </w:p>
    <w:p>
      <w:pPr>
        <w:spacing w:after="0" w:line="171" w:lineRule="exact"/>
        <w:rPr>
          <w:rFonts w:ascii="Arial" w:cs="Arial" w:eastAsia="Arial" w:hAnsi="Arial"/>
          <w:sz w:val="16"/>
          <w:szCs w:val="16"/>
          <w:color w:val="auto"/>
        </w:rPr>
      </w:pPr>
    </w:p>
    <w:p>
      <w:pPr>
        <w:ind w:left="640" w:hanging="308"/>
        <w:spacing w:after="0"/>
        <w:tabs>
          <w:tab w:leader="none" w:pos="640" w:val="left"/>
        </w:tabs>
        <w:numPr>
          <w:ilvl w:val="0"/>
          <w:numId w:val="102"/>
        </w:numPr>
        <w:rPr>
          <w:rFonts w:ascii="Arial" w:cs="Arial" w:eastAsia="Arial" w:hAnsi="Arial"/>
          <w:sz w:val="16"/>
          <w:szCs w:val="16"/>
          <w:color w:val="auto"/>
        </w:rPr>
      </w:pPr>
      <w:r>
        <w:rPr>
          <w:rFonts w:ascii="Arial" w:cs="Arial" w:eastAsia="Arial" w:hAnsi="Arial"/>
          <w:sz w:val="18"/>
          <w:szCs w:val="18"/>
          <w:color w:val="auto"/>
        </w:rPr>
        <w:t>the alternatives to entering into a related person transaction;</w:t>
      </w:r>
    </w:p>
    <w:p>
      <w:pPr>
        <w:spacing w:after="0" w:line="171" w:lineRule="exact"/>
        <w:rPr>
          <w:rFonts w:ascii="Arial" w:cs="Arial" w:eastAsia="Arial" w:hAnsi="Arial"/>
          <w:sz w:val="16"/>
          <w:szCs w:val="16"/>
          <w:color w:val="auto"/>
        </w:rPr>
      </w:pPr>
    </w:p>
    <w:p>
      <w:pPr>
        <w:ind w:left="660" w:right="440" w:hanging="328"/>
        <w:spacing w:after="0" w:line="287" w:lineRule="auto"/>
        <w:tabs>
          <w:tab w:leader="none" w:pos="649" w:val="left"/>
        </w:tabs>
        <w:numPr>
          <w:ilvl w:val="0"/>
          <w:numId w:val="102"/>
        </w:numPr>
        <w:rPr>
          <w:rFonts w:ascii="Arial" w:cs="Arial" w:eastAsia="Arial" w:hAnsi="Arial"/>
          <w:sz w:val="16"/>
          <w:szCs w:val="16"/>
          <w:color w:val="auto"/>
        </w:rPr>
      </w:pPr>
      <w:r>
        <w:rPr>
          <w:rFonts w:ascii="Arial" w:cs="Arial" w:eastAsia="Arial" w:hAnsi="Arial"/>
          <w:sz w:val="18"/>
          <w:szCs w:val="18"/>
          <w:color w:val="auto"/>
        </w:rPr>
        <w:t>whether the transaction is on terms comparable to those available to third parties, or in the case of employment relationships, to employees generally;</w:t>
      </w:r>
    </w:p>
    <w:p>
      <w:pPr>
        <w:spacing w:after="0" w:line="98" w:lineRule="exact"/>
        <w:rPr>
          <w:rFonts w:ascii="Arial" w:cs="Arial" w:eastAsia="Arial" w:hAnsi="Arial"/>
          <w:sz w:val="16"/>
          <w:szCs w:val="16"/>
          <w:color w:val="auto"/>
        </w:rPr>
      </w:pPr>
    </w:p>
    <w:p>
      <w:pPr>
        <w:ind w:left="660" w:right="500" w:hanging="328"/>
        <w:spacing w:after="0" w:line="287" w:lineRule="auto"/>
        <w:tabs>
          <w:tab w:leader="none" w:pos="649" w:val="left"/>
        </w:tabs>
        <w:numPr>
          <w:ilvl w:val="0"/>
          <w:numId w:val="102"/>
        </w:numPr>
        <w:rPr>
          <w:rFonts w:ascii="Arial" w:cs="Arial" w:eastAsia="Arial" w:hAnsi="Arial"/>
          <w:sz w:val="16"/>
          <w:szCs w:val="16"/>
          <w:color w:val="auto"/>
        </w:rPr>
      </w:pPr>
      <w:r>
        <w:rPr>
          <w:rFonts w:ascii="Arial" w:cs="Arial" w:eastAsia="Arial" w:hAnsi="Arial"/>
          <w:sz w:val="18"/>
          <w:szCs w:val="18"/>
          <w:color w:val="auto"/>
        </w:rPr>
        <w:t>the potential for the transaction to lead to an actual or apparent conflict of interest and any safeguards imposed to prevent such actual or apparent conflicts;</w:t>
      </w:r>
    </w:p>
    <w:p>
      <w:pPr>
        <w:spacing w:after="0" w:line="98" w:lineRule="exact"/>
        <w:rPr>
          <w:rFonts w:ascii="Arial" w:cs="Arial" w:eastAsia="Arial" w:hAnsi="Arial"/>
          <w:sz w:val="16"/>
          <w:szCs w:val="16"/>
          <w:color w:val="auto"/>
        </w:rPr>
      </w:pPr>
    </w:p>
    <w:p>
      <w:pPr>
        <w:ind w:left="640" w:hanging="308"/>
        <w:spacing w:after="0"/>
        <w:tabs>
          <w:tab w:leader="none" w:pos="640" w:val="left"/>
        </w:tabs>
        <w:numPr>
          <w:ilvl w:val="0"/>
          <w:numId w:val="102"/>
        </w:numPr>
        <w:rPr>
          <w:rFonts w:ascii="Arial" w:cs="Arial" w:eastAsia="Arial" w:hAnsi="Arial"/>
          <w:sz w:val="16"/>
          <w:szCs w:val="16"/>
          <w:color w:val="auto"/>
        </w:rPr>
      </w:pPr>
      <w:r>
        <w:rPr>
          <w:rFonts w:ascii="Arial" w:cs="Arial" w:eastAsia="Arial" w:hAnsi="Arial"/>
          <w:sz w:val="18"/>
          <w:szCs w:val="18"/>
          <w:color w:val="auto"/>
        </w:rPr>
        <w:t>the overall fairness of the transaction to the company;</w:t>
      </w:r>
    </w:p>
    <w:p>
      <w:pPr>
        <w:spacing w:after="0" w:line="171" w:lineRule="exact"/>
        <w:rPr>
          <w:rFonts w:ascii="Arial" w:cs="Arial" w:eastAsia="Arial" w:hAnsi="Arial"/>
          <w:sz w:val="16"/>
          <w:szCs w:val="16"/>
          <w:color w:val="auto"/>
        </w:rPr>
      </w:pPr>
    </w:p>
    <w:p>
      <w:pPr>
        <w:ind w:left="640" w:hanging="308"/>
        <w:spacing w:after="0"/>
        <w:tabs>
          <w:tab w:leader="none" w:pos="640" w:val="left"/>
        </w:tabs>
        <w:numPr>
          <w:ilvl w:val="0"/>
          <w:numId w:val="102"/>
        </w:numPr>
        <w:rPr>
          <w:rFonts w:ascii="Arial" w:cs="Arial" w:eastAsia="Arial" w:hAnsi="Arial"/>
          <w:sz w:val="16"/>
          <w:szCs w:val="16"/>
          <w:color w:val="auto"/>
        </w:rPr>
      </w:pPr>
      <w:r>
        <w:rPr>
          <w:rFonts w:ascii="Arial" w:cs="Arial" w:eastAsia="Arial" w:hAnsi="Arial"/>
          <w:sz w:val="18"/>
          <w:szCs w:val="18"/>
          <w:color w:val="auto"/>
        </w:rPr>
        <w:t>the approximate dollar value of the amount involved in the transaction, particularly as it relates to the related person;</w:t>
      </w:r>
    </w:p>
    <w:p>
      <w:pPr>
        <w:spacing w:after="0" w:line="171" w:lineRule="exact"/>
        <w:rPr>
          <w:rFonts w:ascii="Arial" w:cs="Arial" w:eastAsia="Arial" w:hAnsi="Arial"/>
          <w:sz w:val="16"/>
          <w:szCs w:val="16"/>
          <w:color w:val="auto"/>
        </w:rPr>
      </w:pPr>
    </w:p>
    <w:p>
      <w:pPr>
        <w:ind w:left="640" w:hanging="308"/>
        <w:spacing w:after="0"/>
        <w:tabs>
          <w:tab w:leader="none" w:pos="640" w:val="left"/>
        </w:tabs>
        <w:numPr>
          <w:ilvl w:val="0"/>
          <w:numId w:val="102"/>
        </w:numPr>
        <w:rPr>
          <w:rFonts w:ascii="Arial" w:cs="Arial" w:eastAsia="Arial" w:hAnsi="Arial"/>
          <w:sz w:val="16"/>
          <w:szCs w:val="16"/>
          <w:color w:val="auto"/>
        </w:rPr>
      </w:pPr>
      <w:r>
        <w:rPr>
          <w:rFonts w:ascii="Arial" w:cs="Arial" w:eastAsia="Arial" w:hAnsi="Arial"/>
          <w:sz w:val="18"/>
          <w:szCs w:val="18"/>
          <w:color w:val="auto"/>
        </w:rPr>
        <w:t>the related person’s interest in the transaction; and</w:t>
      </w:r>
    </w:p>
    <w:p>
      <w:pPr>
        <w:spacing w:after="0" w:line="171" w:lineRule="exact"/>
        <w:rPr>
          <w:rFonts w:ascii="Arial" w:cs="Arial" w:eastAsia="Arial" w:hAnsi="Arial"/>
          <w:sz w:val="16"/>
          <w:szCs w:val="16"/>
          <w:color w:val="auto"/>
        </w:rPr>
      </w:pPr>
    </w:p>
    <w:p>
      <w:pPr>
        <w:ind w:left="660" w:right="80" w:hanging="328"/>
        <w:spacing w:after="0" w:line="287" w:lineRule="auto"/>
        <w:tabs>
          <w:tab w:leader="none" w:pos="649" w:val="left"/>
        </w:tabs>
        <w:numPr>
          <w:ilvl w:val="0"/>
          <w:numId w:val="102"/>
        </w:numPr>
        <w:rPr>
          <w:rFonts w:ascii="Arial" w:cs="Arial" w:eastAsia="Arial" w:hAnsi="Arial"/>
          <w:sz w:val="16"/>
          <w:szCs w:val="16"/>
          <w:color w:val="auto"/>
        </w:rPr>
      </w:pPr>
      <w:r>
        <w:rPr>
          <w:rFonts w:ascii="Arial" w:cs="Arial" w:eastAsia="Arial" w:hAnsi="Arial"/>
          <w:sz w:val="18"/>
          <w:szCs w:val="18"/>
          <w:color w:val="auto"/>
        </w:rPr>
        <w:t>any other information regarding the transaction or the related person that would be material to the company’s shareholders in light of the circumstances of the particular transaction.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Procedures:</w:t>
      </w:r>
    </w:p>
    <w:p>
      <w:pPr>
        <w:spacing w:after="0" w:line="171" w:lineRule="exact"/>
        <w:rPr>
          <w:sz w:val="20"/>
          <w:szCs w:val="20"/>
          <w:color w:val="auto"/>
        </w:rPr>
      </w:pPr>
    </w:p>
    <w:p>
      <w:pPr>
        <w:jc w:val="both"/>
        <w:ind w:left="660" w:right="200" w:hanging="328"/>
        <w:spacing w:after="0" w:line="268" w:lineRule="auto"/>
        <w:tabs>
          <w:tab w:leader="none" w:pos="649" w:val="left"/>
        </w:tabs>
        <w:numPr>
          <w:ilvl w:val="0"/>
          <w:numId w:val="103"/>
        </w:numPr>
        <w:rPr>
          <w:rFonts w:ascii="Arial" w:cs="Arial" w:eastAsia="Arial" w:hAnsi="Arial"/>
          <w:sz w:val="16"/>
          <w:szCs w:val="16"/>
          <w:color w:val="auto"/>
        </w:rPr>
      </w:pPr>
      <w:r>
        <w:rPr>
          <w:rFonts w:ascii="Arial" w:cs="Arial" w:eastAsia="Arial" w:hAnsi="Arial"/>
          <w:sz w:val="18"/>
          <w:szCs w:val="18"/>
          <w:color w:val="auto"/>
        </w:rPr>
        <w:t>Prior to entering into a transaction that may be a related person transaction, the related person (or the appropriate executive officer or director, in the case of immediate family members) is required to bring the matter to the attention of the chair of the board or the lead independent director, or alternatively, the General Counsel and Secretary.</w:t>
      </w:r>
    </w:p>
    <w:p>
      <w:pPr>
        <w:spacing w:after="0" w:line="116" w:lineRule="exact"/>
        <w:rPr>
          <w:rFonts w:ascii="Arial" w:cs="Arial" w:eastAsia="Arial" w:hAnsi="Arial"/>
          <w:sz w:val="16"/>
          <w:szCs w:val="16"/>
          <w:color w:val="auto"/>
        </w:rPr>
      </w:pPr>
    </w:p>
    <w:p>
      <w:pPr>
        <w:ind w:left="660" w:right="520" w:hanging="328"/>
        <w:spacing w:after="0" w:line="268" w:lineRule="auto"/>
        <w:tabs>
          <w:tab w:leader="none" w:pos="649" w:val="left"/>
        </w:tabs>
        <w:numPr>
          <w:ilvl w:val="0"/>
          <w:numId w:val="103"/>
        </w:numPr>
        <w:rPr>
          <w:rFonts w:ascii="Arial" w:cs="Arial" w:eastAsia="Arial" w:hAnsi="Arial"/>
          <w:sz w:val="16"/>
          <w:szCs w:val="16"/>
          <w:color w:val="auto"/>
        </w:rPr>
      </w:pPr>
      <w:r>
        <w:rPr>
          <w:rFonts w:ascii="Arial" w:cs="Arial" w:eastAsia="Arial" w:hAnsi="Arial"/>
          <w:sz w:val="18"/>
          <w:szCs w:val="18"/>
          <w:color w:val="auto"/>
        </w:rPr>
        <w:t>The chair of the board and the lead independent director jointly determine (or, if either is involved in the transaction, the other determines in consultation with the chair of the Directors and Corporate Governance Committee) whether the matter should be considered by the Directors and Corporate Governance Committee or another independent body of the board.</w:t>
      </w:r>
    </w:p>
    <w:p>
      <w:pPr>
        <w:spacing w:after="0" w:line="116" w:lineRule="exact"/>
        <w:rPr>
          <w:rFonts w:ascii="Arial" w:cs="Arial" w:eastAsia="Arial" w:hAnsi="Arial"/>
          <w:sz w:val="16"/>
          <w:szCs w:val="16"/>
          <w:color w:val="auto"/>
        </w:rPr>
      </w:pPr>
    </w:p>
    <w:p>
      <w:pPr>
        <w:ind w:left="640" w:hanging="308"/>
        <w:spacing w:after="0"/>
        <w:tabs>
          <w:tab w:leader="none" w:pos="640" w:val="left"/>
        </w:tabs>
        <w:numPr>
          <w:ilvl w:val="0"/>
          <w:numId w:val="103"/>
        </w:numPr>
        <w:rPr>
          <w:rFonts w:ascii="Arial" w:cs="Arial" w:eastAsia="Arial" w:hAnsi="Arial"/>
          <w:sz w:val="16"/>
          <w:szCs w:val="16"/>
          <w:color w:val="auto"/>
        </w:rPr>
      </w:pPr>
      <w:r>
        <w:rPr>
          <w:rFonts w:ascii="Arial" w:cs="Arial" w:eastAsia="Arial" w:hAnsi="Arial"/>
          <w:sz w:val="18"/>
          <w:szCs w:val="18"/>
          <w:color w:val="auto"/>
        </w:rPr>
        <w:t>If a director is involved in the transaction, he or she will be recused from all discussions and decisions relating to the transaction.</w:t>
      </w:r>
    </w:p>
    <w:p>
      <w:pPr>
        <w:spacing w:after="0" w:line="171" w:lineRule="exact"/>
        <w:rPr>
          <w:rFonts w:ascii="Arial" w:cs="Arial" w:eastAsia="Arial" w:hAnsi="Arial"/>
          <w:sz w:val="16"/>
          <w:szCs w:val="16"/>
          <w:color w:val="auto"/>
        </w:rPr>
      </w:pPr>
    </w:p>
    <w:p>
      <w:pPr>
        <w:ind w:left="660" w:hanging="328"/>
        <w:spacing w:after="0" w:line="268" w:lineRule="auto"/>
        <w:tabs>
          <w:tab w:leader="none" w:pos="649" w:val="left"/>
        </w:tabs>
        <w:numPr>
          <w:ilvl w:val="0"/>
          <w:numId w:val="103"/>
        </w:numPr>
        <w:rPr>
          <w:rFonts w:ascii="Arial" w:cs="Arial" w:eastAsia="Arial" w:hAnsi="Arial"/>
          <w:sz w:val="16"/>
          <w:szCs w:val="16"/>
          <w:color w:val="auto"/>
        </w:rPr>
      </w:pPr>
      <w:r>
        <w:rPr>
          <w:rFonts w:ascii="Arial" w:cs="Arial" w:eastAsia="Arial" w:hAnsi="Arial"/>
          <w:sz w:val="18"/>
          <w:szCs w:val="18"/>
          <w:color w:val="auto"/>
        </w:rPr>
        <w:t>The Directors and Corporate Governance Committee or such other independent body may approve the related person transaction only if the Directors and Corporate Governance Committee or such other independent body determines in good faith that, under all of the circumstances, the transaction is consistent with the interests of the company and its shareholders.</w:t>
      </w:r>
    </w:p>
    <w:p>
      <w:pPr>
        <w:spacing w:after="0" w:line="116" w:lineRule="exact"/>
        <w:rPr>
          <w:rFonts w:ascii="Arial" w:cs="Arial" w:eastAsia="Arial" w:hAnsi="Arial"/>
          <w:sz w:val="16"/>
          <w:szCs w:val="16"/>
          <w:color w:val="auto"/>
        </w:rPr>
      </w:pPr>
    </w:p>
    <w:p>
      <w:pPr>
        <w:ind w:left="660" w:right="500" w:hanging="328"/>
        <w:spacing w:after="0" w:line="287" w:lineRule="auto"/>
        <w:tabs>
          <w:tab w:leader="none" w:pos="649" w:val="left"/>
        </w:tabs>
        <w:numPr>
          <w:ilvl w:val="0"/>
          <w:numId w:val="103"/>
        </w:numPr>
        <w:rPr>
          <w:rFonts w:ascii="Arial" w:cs="Arial" w:eastAsia="Arial" w:hAnsi="Arial"/>
          <w:sz w:val="16"/>
          <w:szCs w:val="16"/>
          <w:color w:val="auto"/>
        </w:rPr>
      </w:pPr>
      <w:r>
        <w:rPr>
          <w:rFonts w:ascii="Arial" w:cs="Arial" w:eastAsia="Arial" w:hAnsi="Arial"/>
          <w:sz w:val="18"/>
          <w:szCs w:val="18"/>
          <w:color w:val="auto"/>
        </w:rPr>
        <w:t>The Directors and Corporate Governance Committee or such other independent body may impose such conditions as it deems appropriate on the company or the related person in connection with the approval of the related person transaction.</w:t>
      </w:r>
    </w:p>
    <w:p>
      <w:pPr>
        <w:spacing w:after="0" w:line="98" w:lineRule="exact"/>
        <w:rPr>
          <w:rFonts w:ascii="Arial" w:cs="Arial" w:eastAsia="Arial" w:hAnsi="Arial"/>
          <w:sz w:val="16"/>
          <w:szCs w:val="16"/>
          <w:color w:val="auto"/>
        </w:rPr>
      </w:pPr>
    </w:p>
    <w:p>
      <w:pPr>
        <w:ind w:left="660" w:right="140" w:hanging="328"/>
        <w:spacing w:after="0" w:line="268" w:lineRule="auto"/>
        <w:tabs>
          <w:tab w:leader="none" w:pos="649" w:val="left"/>
        </w:tabs>
        <w:numPr>
          <w:ilvl w:val="0"/>
          <w:numId w:val="103"/>
        </w:numPr>
        <w:rPr>
          <w:rFonts w:ascii="Arial" w:cs="Arial" w:eastAsia="Arial" w:hAnsi="Arial"/>
          <w:sz w:val="16"/>
          <w:szCs w:val="16"/>
          <w:color w:val="auto"/>
        </w:rPr>
      </w:pPr>
      <w:r>
        <w:rPr>
          <w:rFonts w:ascii="Arial" w:cs="Arial" w:eastAsia="Arial" w:hAnsi="Arial"/>
          <w:sz w:val="18"/>
          <w:szCs w:val="18"/>
          <w:color w:val="auto"/>
        </w:rPr>
        <w:t>If the transaction is recurring and is approved, the Directors and Corporate Governance Committee or such other independent body will review the related person transaction annually to determine whether it continues to be consistent with the interests of the company and its shareholders.</w:t>
      </w:r>
    </w:p>
    <w:p>
      <w:pPr>
        <w:spacing w:after="0" w:line="11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Directors and Corporate Governance Committee or another independent body of the board retains the right to review and ratify related person transactions. In addition, the Directors and Corporate Governance Committee</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8" w:name="page49"/>
    <w:bookmarkEnd w:id="48"/>
    <w:p>
      <w:pPr>
        <w:ind w:right="220"/>
        <w:spacing w:after="0" w:line="287" w:lineRule="auto"/>
        <w:rPr>
          <w:sz w:val="20"/>
          <w:szCs w:val="20"/>
          <w:color w:val="auto"/>
        </w:rPr>
      </w:pPr>
      <w:r>
        <w:rPr>
          <w:rFonts w:ascii="Arial" w:cs="Arial" w:eastAsia="Arial" w:hAnsi="Arial"/>
          <w:sz w:val="18"/>
          <w:szCs w:val="18"/>
          <w:color w:val="auto"/>
        </w:rPr>
        <w:t>or such other independent body may take or cause to be taken additional actions including, but not limited to, immediate discontinuation or rescission of the transaction, or modification of the transaction.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In 2022, there were no related party transactions required to be reported pursuant to relevant SEC rules in this proxy statement.</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and Director Assessment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00" w:type="dxa"/>
            <w:vAlign w:val="bottom"/>
            <w:shd w:val="clear" w:color="auto" w:fill="6D6D6D"/>
          </w:tcPr>
          <w:p>
            <w:pPr>
              <w:ind w:left="20"/>
              <w:spacing w:after="0"/>
              <w:rPr>
                <w:sz w:val="20"/>
                <w:szCs w:val="20"/>
                <w:color w:val="auto"/>
              </w:rPr>
            </w:pPr>
            <w:r>
              <w:rPr>
                <w:rFonts w:ascii="Arial" w:cs="Arial" w:eastAsia="Arial" w:hAnsi="Arial"/>
                <w:sz w:val="15"/>
                <w:szCs w:val="15"/>
                <w:b w:val="1"/>
                <w:bCs w:val="1"/>
                <w:color w:val="FFFFFF"/>
              </w:rPr>
              <w:t>Reexamine</w:t>
            </w:r>
          </w:p>
        </w:tc>
        <w:tc>
          <w:tcPr>
            <w:tcW w:w="300" w:type="dxa"/>
            <w:vAlign w:val="bottom"/>
          </w:tcPr>
          <w:p>
            <w:pPr>
              <w:spacing w:after="0"/>
              <w:rPr>
                <w:sz w:val="14"/>
                <w:szCs w:val="14"/>
                <w:color w:val="auto"/>
              </w:rPr>
            </w:pPr>
          </w:p>
        </w:tc>
        <w:tc>
          <w:tcPr>
            <w:tcW w:w="1280" w:type="dxa"/>
            <w:vAlign w:val="bottom"/>
            <w:vMerge w:val="restart"/>
            <w:shd w:val="clear" w:color="auto" w:fill="D52B1E"/>
          </w:tcPr>
          <w:p>
            <w:pPr>
              <w:ind w:left="20"/>
              <w:spacing w:after="0"/>
              <w:rPr>
                <w:sz w:val="20"/>
                <w:szCs w:val="20"/>
                <w:color w:val="auto"/>
              </w:rPr>
            </w:pPr>
            <w:r>
              <w:rPr>
                <w:rFonts w:ascii="Arial" w:cs="Arial" w:eastAsia="Arial" w:hAnsi="Arial"/>
                <w:sz w:val="15"/>
                <w:szCs w:val="15"/>
                <w:b w:val="1"/>
                <w:bCs w:val="1"/>
                <w:color w:val="FFFFFF"/>
              </w:rPr>
              <w:t>Questionnaire</w:t>
            </w:r>
          </w:p>
        </w:tc>
        <w:tc>
          <w:tcPr>
            <w:tcW w:w="320" w:type="dxa"/>
            <w:vAlign w:val="bottom"/>
          </w:tcPr>
          <w:p>
            <w:pPr>
              <w:spacing w:after="0"/>
              <w:rPr>
                <w:sz w:val="14"/>
                <w:szCs w:val="14"/>
                <w:color w:val="auto"/>
              </w:rPr>
            </w:pPr>
          </w:p>
        </w:tc>
        <w:tc>
          <w:tcPr>
            <w:tcW w:w="1260" w:type="dxa"/>
            <w:vAlign w:val="bottom"/>
            <w:vMerge w:val="restart"/>
            <w:shd w:val="clear" w:color="auto" w:fill="D52B1E"/>
          </w:tcPr>
          <w:p>
            <w:pPr>
              <w:ind w:left="20"/>
              <w:spacing w:after="0"/>
              <w:rPr>
                <w:sz w:val="20"/>
                <w:szCs w:val="20"/>
                <w:color w:val="auto"/>
              </w:rPr>
            </w:pPr>
            <w:r>
              <w:rPr>
                <w:rFonts w:ascii="Arial" w:cs="Arial" w:eastAsia="Arial" w:hAnsi="Arial"/>
                <w:sz w:val="15"/>
                <w:szCs w:val="15"/>
                <w:b w:val="1"/>
                <w:bCs w:val="1"/>
                <w:color w:val="FFFFFF"/>
              </w:rPr>
              <w:t>One-On-One</w:t>
            </w:r>
          </w:p>
        </w:tc>
        <w:tc>
          <w:tcPr>
            <w:tcW w:w="300" w:type="dxa"/>
            <w:vAlign w:val="bottom"/>
          </w:tcPr>
          <w:p>
            <w:pPr>
              <w:spacing w:after="0"/>
              <w:rPr>
                <w:sz w:val="14"/>
                <w:szCs w:val="14"/>
                <w:color w:val="auto"/>
              </w:rPr>
            </w:pPr>
          </w:p>
        </w:tc>
        <w:tc>
          <w:tcPr>
            <w:tcW w:w="1240" w:type="dxa"/>
            <w:vAlign w:val="bottom"/>
            <w:vMerge w:val="restart"/>
            <w:shd w:val="clear" w:color="auto" w:fill="00A1DE"/>
          </w:tcPr>
          <w:p>
            <w:pPr>
              <w:ind w:left="20"/>
              <w:spacing w:after="0"/>
              <w:rPr>
                <w:sz w:val="20"/>
                <w:szCs w:val="20"/>
                <w:color w:val="auto"/>
              </w:rPr>
            </w:pPr>
            <w:r>
              <w:rPr>
                <w:rFonts w:ascii="Arial" w:cs="Arial" w:eastAsia="Arial" w:hAnsi="Arial"/>
                <w:sz w:val="15"/>
                <w:szCs w:val="15"/>
                <w:b w:val="1"/>
                <w:bCs w:val="1"/>
                <w:color w:val="FFFFFF"/>
              </w:rPr>
              <w:t>Evaluation</w:t>
            </w:r>
          </w:p>
        </w:tc>
        <w:tc>
          <w:tcPr>
            <w:tcW w:w="300" w:type="dxa"/>
            <w:vAlign w:val="bottom"/>
          </w:tcPr>
          <w:p>
            <w:pPr>
              <w:spacing w:after="0"/>
              <w:rPr>
                <w:sz w:val="14"/>
                <w:szCs w:val="14"/>
                <w:color w:val="auto"/>
              </w:rPr>
            </w:pPr>
          </w:p>
        </w:tc>
        <w:tc>
          <w:tcPr>
            <w:tcW w:w="1260" w:type="dxa"/>
            <w:vAlign w:val="bottom"/>
            <w:vMerge w:val="restart"/>
            <w:shd w:val="clear" w:color="auto" w:fill="00A1DE"/>
          </w:tcPr>
          <w:p>
            <w:pPr>
              <w:spacing w:after="0"/>
              <w:rPr>
                <w:sz w:val="20"/>
                <w:szCs w:val="20"/>
                <w:color w:val="auto"/>
              </w:rPr>
            </w:pPr>
            <w:r>
              <w:rPr>
                <w:rFonts w:ascii="Arial" w:cs="Arial" w:eastAsia="Arial" w:hAnsi="Arial"/>
                <w:sz w:val="15"/>
                <w:szCs w:val="15"/>
                <w:b w:val="1"/>
                <w:bCs w:val="1"/>
                <w:color w:val="FFFFFF"/>
              </w:rPr>
              <w:t>Closed Session</w:t>
            </w:r>
          </w:p>
        </w:tc>
        <w:tc>
          <w:tcPr>
            <w:tcW w:w="300" w:type="dxa"/>
            <w:vAlign w:val="bottom"/>
          </w:tcPr>
          <w:p>
            <w:pPr>
              <w:spacing w:after="0"/>
              <w:rPr>
                <w:sz w:val="14"/>
                <w:szCs w:val="14"/>
                <w:color w:val="auto"/>
              </w:rPr>
            </w:pPr>
          </w:p>
        </w:tc>
        <w:tc>
          <w:tcPr>
            <w:tcW w:w="1260" w:type="dxa"/>
            <w:vAlign w:val="bottom"/>
            <w:vMerge w:val="restart"/>
            <w:shd w:val="clear" w:color="auto" w:fill="6D6D6D"/>
          </w:tcPr>
          <w:p>
            <w:pPr>
              <w:ind w:left="20"/>
              <w:spacing w:after="0"/>
              <w:rPr>
                <w:sz w:val="20"/>
                <w:szCs w:val="20"/>
                <w:color w:val="auto"/>
              </w:rPr>
            </w:pPr>
            <w:r>
              <w:rPr>
                <w:rFonts w:ascii="Arial" w:cs="Arial" w:eastAsia="Arial" w:hAnsi="Arial"/>
                <w:sz w:val="15"/>
                <w:szCs w:val="15"/>
                <w:b w:val="1"/>
                <w:bCs w:val="1"/>
                <w:color w:val="FFFFFF"/>
              </w:rPr>
              <w:t>Follow Through</w:t>
            </w:r>
          </w:p>
        </w:tc>
        <w:tc>
          <w:tcPr>
            <w:tcW w:w="0" w:type="dxa"/>
            <w:vAlign w:val="bottom"/>
          </w:tcPr>
          <w:p>
            <w:pPr>
              <w:spacing w:after="0"/>
              <w:rPr>
                <w:sz w:val="1"/>
                <w:szCs w:val="1"/>
                <w:color w:val="auto"/>
              </w:rPr>
            </w:pPr>
          </w:p>
        </w:tc>
      </w:tr>
      <w:tr>
        <w:trPr>
          <w:trHeight w:val="68"/>
        </w:trPr>
        <w:tc>
          <w:tcPr>
            <w:tcW w:w="1200" w:type="dxa"/>
            <w:vAlign w:val="bottom"/>
            <w:vMerge w:val="restart"/>
            <w:shd w:val="clear" w:color="auto" w:fill="6D6D6D"/>
          </w:tcPr>
          <w:p>
            <w:pPr>
              <w:ind w:left="20"/>
              <w:spacing w:after="0" w:line="154" w:lineRule="exact"/>
              <w:rPr>
                <w:sz w:val="20"/>
                <w:szCs w:val="20"/>
                <w:color w:val="auto"/>
              </w:rPr>
            </w:pPr>
            <w:r>
              <w:rPr>
                <w:rFonts w:ascii="Arial" w:cs="Arial" w:eastAsia="Arial" w:hAnsi="Arial"/>
                <w:sz w:val="15"/>
                <w:szCs w:val="15"/>
                <w:b w:val="1"/>
                <w:bCs w:val="1"/>
                <w:color w:val="FFFFFF"/>
              </w:rPr>
              <w:t>Evaluation</w:t>
            </w:r>
          </w:p>
        </w:tc>
        <w:tc>
          <w:tcPr>
            <w:tcW w:w="300" w:type="dxa"/>
            <w:vAlign w:val="bottom"/>
          </w:tcPr>
          <w:p>
            <w:pPr>
              <w:spacing w:after="0"/>
              <w:rPr>
                <w:sz w:val="5"/>
                <w:szCs w:val="5"/>
                <w:color w:val="auto"/>
              </w:rPr>
            </w:pPr>
          </w:p>
        </w:tc>
        <w:tc>
          <w:tcPr>
            <w:tcW w:w="1280" w:type="dxa"/>
            <w:vAlign w:val="bottom"/>
            <w:vMerge w:val="continue"/>
            <w:shd w:val="clear" w:color="auto" w:fill="D52B1E"/>
          </w:tcPr>
          <w:p>
            <w:pPr>
              <w:spacing w:after="0"/>
              <w:rPr>
                <w:sz w:val="5"/>
                <w:szCs w:val="5"/>
                <w:color w:val="auto"/>
              </w:rPr>
            </w:pPr>
          </w:p>
        </w:tc>
        <w:tc>
          <w:tcPr>
            <w:tcW w:w="320" w:type="dxa"/>
            <w:vAlign w:val="bottom"/>
          </w:tcPr>
          <w:p>
            <w:pPr>
              <w:spacing w:after="0"/>
              <w:rPr>
                <w:sz w:val="5"/>
                <w:szCs w:val="5"/>
                <w:color w:val="auto"/>
              </w:rPr>
            </w:pPr>
          </w:p>
        </w:tc>
        <w:tc>
          <w:tcPr>
            <w:tcW w:w="1260" w:type="dxa"/>
            <w:vAlign w:val="bottom"/>
            <w:vMerge w:val="continue"/>
            <w:shd w:val="clear" w:color="auto" w:fill="D52B1E"/>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vMerge w:val="continue"/>
            <w:shd w:val="clear" w:color="auto" w:fill="00A1DE"/>
          </w:tcPr>
          <w:p>
            <w:pPr>
              <w:spacing w:after="0"/>
              <w:rPr>
                <w:sz w:val="5"/>
                <w:szCs w:val="5"/>
                <w:color w:val="auto"/>
              </w:rPr>
            </w:pPr>
          </w:p>
        </w:tc>
        <w:tc>
          <w:tcPr>
            <w:tcW w:w="300" w:type="dxa"/>
            <w:vAlign w:val="bottom"/>
          </w:tcPr>
          <w:p>
            <w:pPr>
              <w:spacing w:after="0"/>
              <w:rPr>
                <w:sz w:val="5"/>
                <w:szCs w:val="5"/>
                <w:color w:val="auto"/>
              </w:rPr>
            </w:pPr>
          </w:p>
        </w:tc>
        <w:tc>
          <w:tcPr>
            <w:tcW w:w="1260" w:type="dxa"/>
            <w:vAlign w:val="bottom"/>
            <w:vMerge w:val="continue"/>
            <w:shd w:val="clear" w:color="auto" w:fill="00A1DE"/>
          </w:tcPr>
          <w:p>
            <w:pPr>
              <w:spacing w:after="0"/>
              <w:rPr>
                <w:sz w:val="5"/>
                <w:szCs w:val="5"/>
                <w:color w:val="auto"/>
              </w:rPr>
            </w:pPr>
          </w:p>
        </w:tc>
        <w:tc>
          <w:tcPr>
            <w:tcW w:w="300" w:type="dxa"/>
            <w:vAlign w:val="bottom"/>
          </w:tcPr>
          <w:p>
            <w:pPr>
              <w:spacing w:after="0"/>
              <w:rPr>
                <w:sz w:val="5"/>
                <w:szCs w:val="5"/>
                <w:color w:val="auto"/>
              </w:rPr>
            </w:pPr>
          </w:p>
        </w:tc>
        <w:tc>
          <w:tcPr>
            <w:tcW w:w="1260" w:type="dxa"/>
            <w:vAlign w:val="bottom"/>
            <w:vMerge w:val="continue"/>
            <w:shd w:val="clear" w:color="auto" w:fill="6D6D6D"/>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200" w:type="dxa"/>
            <w:vAlign w:val="bottom"/>
            <w:vMerge w:val="continue"/>
            <w:shd w:val="clear" w:color="auto" w:fill="6D6D6D"/>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vMerge w:val="continue"/>
            <w:shd w:val="clear" w:color="auto" w:fill="D52B1E"/>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vMerge w:val="restart"/>
            <w:shd w:val="clear" w:color="auto" w:fill="D52B1E"/>
          </w:tcPr>
          <w:p>
            <w:pPr>
              <w:ind w:left="20"/>
              <w:spacing w:after="0"/>
              <w:rPr>
                <w:sz w:val="20"/>
                <w:szCs w:val="20"/>
                <w:color w:val="auto"/>
              </w:rPr>
            </w:pPr>
            <w:r>
              <w:rPr>
                <w:rFonts w:ascii="Arial" w:cs="Arial" w:eastAsia="Arial" w:hAnsi="Arial"/>
                <w:sz w:val="15"/>
                <w:szCs w:val="15"/>
                <w:b w:val="1"/>
                <w:bCs w:val="1"/>
                <w:color w:val="FFFFFF"/>
              </w:rPr>
              <w:t>Discussions</w:t>
            </w:r>
          </w:p>
        </w:tc>
        <w:tc>
          <w:tcPr>
            <w:tcW w:w="300" w:type="dxa"/>
            <w:vAlign w:val="bottom"/>
          </w:tcPr>
          <w:p>
            <w:pPr>
              <w:spacing w:after="0"/>
              <w:rPr>
                <w:sz w:val="7"/>
                <w:szCs w:val="7"/>
                <w:color w:val="auto"/>
              </w:rPr>
            </w:pPr>
          </w:p>
        </w:tc>
        <w:tc>
          <w:tcPr>
            <w:tcW w:w="1240" w:type="dxa"/>
            <w:vAlign w:val="bottom"/>
            <w:vMerge w:val="restart"/>
            <w:shd w:val="clear" w:color="auto" w:fill="00A1DE"/>
          </w:tcPr>
          <w:p>
            <w:pPr>
              <w:ind w:left="20"/>
              <w:spacing w:after="0"/>
              <w:rPr>
                <w:sz w:val="20"/>
                <w:szCs w:val="20"/>
                <w:color w:val="auto"/>
              </w:rPr>
            </w:pPr>
            <w:r>
              <w:rPr>
                <w:rFonts w:ascii="Arial" w:cs="Arial" w:eastAsia="Arial" w:hAnsi="Arial"/>
                <w:sz w:val="15"/>
                <w:szCs w:val="15"/>
                <w:b w:val="1"/>
                <w:bCs w:val="1"/>
                <w:color w:val="FFFFFF"/>
              </w:rPr>
              <w:t>Summary</w:t>
            </w:r>
          </w:p>
        </w:tc>
        <w:tc>
          <w:tcPr>
            <w:tcW w:w="300" w:type="dxa"/>
            <w:vAlign w:val="bottom"/>
          </w:tcPr>
          <w:p>
            <w:pPr>
              <w:spacing w:after="0"/>
              <w:rPr>
                <w:sz w:val="7"/>
                <w:szCs w:val="7"/>
                <w:color w:val="auto"/>
              </w:rPr>
            </w:pPr>
          </w:p>
        </w:tc>
        <w:tc>
          <w:tcPr>
            <w:tcW w:w="1260" w:type="dxa"/>
            <w:vAlign w:val="bottom"/>
            <w:vMerge w:val="restart"/>
            <w:shd w:val="clear" w:color="auto" w:fill="00A1DE"/>
          </w:tcPr>
          <w:p>
            <w:pPr>
              <w:spacing w:after="0"/>
              <w:rPr>
                <w:sz w:val="20"/>
                <w:szCs w:val="20"/>
                <w:color w:val="auto"/>
              </w:rPr>
            </w:pPr>
            <w:r>
              <w:rPr>
                <w:rFonts w:ascii="Arial" w:cs="Arial" w:eastAsia="Arial" w:hAnsi="Arial"/>
                <w:sz w:val="15"/>
                <w:szCs w:val="15"/>
                <w:b w:val="1"/>
                <w:bCs w:val="1"/>
                <w:color w:val="FFFFFF"/>
              </w:rPr>
              <w:t>Discussions</w:t>
            </w:r>
          </w:p>
        </w:tc>
        <w:tc>
          <w:tcPr>
            <w:tcW w:w="300" w:type="dxa"/>
            <w:vAlign w:val="bottom"/>
          </w:tcPr>
          <w:p>
            <w:pPr>
              <w:spacing w:after="0"/>
              <w:rPr>
                <w:sz w:val="7"/>
                <w:szCs w:val="7"/>
                <w:color w:val="auto"/>
              </w:rPr>
            </w:pPr>
          </w:p>
        </w:tc>
        <w:tc>
          <w:tcPr>
            <w:tcW w:w="1260" w:type="dxa"/>
            <w:vAlign w:val="bottom"/>
            <w:vMerge w:val="continue"/>
            <w:shd w:val="clear" w:color="auto" w:fill="6D6D6D"/>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1200" w:type="dxa"/>
            <w:vAlign w:val="bottom"/>
            <w:vMerge w:val="restart"/>
            <w:shd w:val="clear" w:color="auto" w:fill="6D6D6D"/>
          </w:tcPr>
          <w:p>
            <w:pPr>
              <w:ind w:left="20"/>
              <w:spacing w:after="0"/>
              <w:rPr>
                <w:sz w:val="20"/>
                <w:szCs w:val="20"/>
                <w:color w:val="auto"/>
              </w:rPr>
            </w:pPr>
            <w:r>
              <w:rPr>
                <w:rFonts w:ascii="Arial" w:cs="Arial" w:eastAsia="Arial" w:hAnsi="Arial"/>
                <w:sz w:val="15"/>
                <w:szCs w:val="15"/>
                <w:b w:val="1"/>
                <w:bCs w:val="1"/>
                <w:color w:val="FFFFFF"/>
              </w:rPr>
              <w:t>Process</w:t>
            </w:r>
          </w:p>
        </w:tc>
        <w:tc>
          <w:tcPr>
            <w:tcW w:w="300" w:type="dxa"/>
            <w:vAlign w:val="bottom"/>
          </w:tcPr>
          <w:p>
            <w:pPr>
              <w:spacing w:after="0"/>
              <w:rPr>
                <w:sz w:val="10"/>
                <w:szCs w:val="10"/>
                <w:color w:val="auto"/>
              </w:rPr>
            </w:pPr>
          </w:p>
        </w:tc>
        <w:tc>
          <w:tcPr>
            <w:tcW w:w="1280" w:type="dxa"/>
            <w:vAlign w:val="bottom"/>
            <w:shd w:val="clear" w:color="auto" w:fill="D52B1E"/>
          </w:tcPr>
          <w:p>
            <w:pPr>
              <w:spacing w:after="0"/>
              <w:rPr>
                <w:sz w:val="10"/>
                <w:szCs w:val="10"/>
                <w:color w:val="auto"/>
              </w:rPr>
            </w:pPr>
          </w:p>
        </w:tc>
        <w:tc>
          <w:tcPr>
            <w:tcW w:w="320" w:type="dxa"/>
            <w:vAlign w:val="bottom"/>
          </w:tcPr>
          <w:p>
            <w:pPr>
              <w:spacing w:after="0"/>
              <w:rPr>
                <w:sz w:val="10"/>
                <w:szCs w:val="10"/>
                <w:color w:val="auto"/>
              </w:rPr>
            </w:pPr>
          </w:p>
        </w:tc>
        <w:tc>
          <w:tcPr>
            <w:tcW w:w="1260" w:type="dxa"/>
            <w:vAlign w:val="bottom"/>
            <w:vMerge w:val="continue"/>
            <w:shd w:val="clear" w:color="auto" w:fill="D52B1E"/>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vMerge w:val="continue"/>
            <w:shd w:val="clear" w:color="auto" w:fill="00A1DE"/>
          </w:tcPr>
          <w:p>
            <w:pPr>
              <w:spacing w:after="0"/>
              <w:rPr>
                <w:sz w:val="10"/>
                <w:szCs w:val="10"/>
                <w:color w:val="auto"/>
              </w:rPr>
            </w:pPr>
          </w:p>
        </w:tc>
        <w:tc>
          <w:tcPr>
            <w:tcW w:w="300" w:type="dxa"/>
            <w:vAlign w:val="bottom"/>
          </w:tcPr>
          <w:p>
            <w:pPr>
              <w:spacing w:after="0"/>
              <w:rPr>
                <w:sz w:val="10"/>
                <w:szCs w:val="10"/>
                <w:color w:val="auto"/>
              </w:rPr>
            </w:pPr>
          </w:p>
        </w:tc>
        <w:tc>
          <w:tcPr>
            <w:tcW w:w="1260" w:type="dxa"/>
            <w:vAlign w:val="bottom"/>
            <w:vMerge w:val="continue"/>
            <w:shd w:val="clear" w:color="auto" w:fill="00A1DE"/>
          </w:tcPr>
          <w:p>
            <w:pPr>
              <w:spacing w:after="0"/>
              <w:rPr>
                <w:sz w:val="10"/>
                <w:szCs w:val="10"/>
                <w:color w:val="auto"/>
              </w:rPr>
            </w:pPr>
          </w:p>
        </w:tc>
        <w:tc>
          <w:tcPr>
            <w:tcW w:w="300" w:type="dxa"/>
            <w:vAlign w:val="bottom"/>
          </w:tcPr>
          <w:p>
            <w:pPr>
              <w:spacing w:after="0"/>
              <w:rPr>
                <w:sz w:val="10"/>
                <w:szCs w:val="10"/>
                <w:color w:val="auto"/>
              </w:rPr>
            </w:pPr>
          </w:p>
        </w:tc>
        <w:tc>
          <w:tcPr>
            <w:tcW w:w="1260" w:type="dxa"/>
            <w:vAlign w:val="bottom"/>
            <w:shd w:val="clear" w:color="auto" w:fill="6D6D6D"/>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200" w:type="dxa"/>
            <w:vAlign w:val="bottom"/>
            <w:vMerge w:val="continue"/>
            <w:shd w:val="clear" w:color="auto" w:fill="6D6D6D"/>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shd w:val="clear" w:color="auto" w:fill="D52B1E"/>
          </w:tcPr>
          <w:p>
            <w:pPr>
              <w:spacing w:after="0"/>
              <w:rPr>
                <w:sz w:val="6"/>
                <w:szCs w:val="6"/>
                <w:color w:val="auto"/>
              </w:rPr>
            </w:pPr>
          </w:p>
        </w:tc>
        <w:tc>
          <w:tcPr>
            <w:tcW w:w="320" w:type="dxa"/>
            <w:vAlign w:val="bottom"/>
          </w:tcPr>
          <w:p>
            <w:pPr>
              <w:spacing w:after="0"/>
              <w:rPr>
                <w:sz w:val="6"/>
                <w:szCs w:val="6"/>
                <w:color w:val="auto"/>
              </w:rPr>
            </w:pPr>
          </w:p>
        </w:tc>
        <w:tc>
          <w:tcPr>
            <w:tcW w:w="1260" w:type="dxa"/>
            <w:vAlign w:val="bottom"/>
            <w:shd w:val="clear" w:color="auto" w:fill="D52B1E"/>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shd w:val="clear" w:color="auto" w:fill="00A1DE"/>
          </w:tcPr>
          <w:p>
            <w:pPr>
              <w:spacing w:after="0"/>
              <w:rPr>
                <w:sz w:val="6"/>
                <w:szCs w:val="6"/>
                <w:color w:val="auto"/>
              </w:rPr>
            </w:pPr>
          </w:p>
        </w:tc>
        <w:tc>
          <w:tcPr>
            <w:tcW w:w="300" w:type="dxa"/>
            <w:vAlign w:val="bottom"/>
          </w:tcPr>
          <w:p>
            <w:pPr>
              <w:spacing w:after="0"/>
              <w:rPr>
                <w:sz w:val="6"/>
                <w:szCs w:val="6"/>
                <w:color w:val="auto"/>
              </w:rPr>
            </w:pPr>
          </w:p>
        </w:tc>
        <w:tc>
          <w:tcPr>
            <w:tcW w:w="1260" w:type="dxa"/>
            <w:vAlign w:val="bottom"/>
            <w:shd w:val="clear" w:color="auto" w:fill="00A1DE"/>
          </w:tcPr>
          <w:p>
            <w:pPr>
              <w:spacing w:after="0"/>
              <w:rPr>
                <w:sz w:val="6"/>
                <w:szCs w:val="6"/>
                <w:color w:val="auto"/>
              </w:rPr>
            </w:pPr>
          </w:p>
        </w:tc>
        <w:tc>
          <w:tcPr>
            <w:tcW w:w="300" w:type="dxa"/>
            <w:vAlign w:val="bottom"/>
          </w:tcPr>
          <w:p>
            <w:pPr>
              <w:spacing w:after="0"/>
              <w:rPr>
                <w:sz w:val="6"/>
                <w:szCs w:val="6"/>
                <w:color w:val="auto"/>
              </w:rPr>
            </w:pPr>
          </w:p>
        </w:tc>
        <w:tc>
          <w:tcPr>
            <w:tcW w:w="1260" w:type="dxa"/>
            <w:vAlign w:val="bottom"/>
            <w:shd w:val="clear" w:color="auto" w:fill="6D6D6D"/>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1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1200" w:type="dxa"/>
            <w:vAlign w:val="bottom"/>
            <w:shd w:val="clear" w:color="auto" w:fill="6D6D6D"/>
          </w:tcPr>
          <w:p>
            <w:pPr>
              <w:ind w:left="20"/>
              <w:spacing w:after="0" w:line="153" w:lineRule="exact"/>
              <w:rPr>
                <w:sz w:val="20"/>
                <w:szCs w:val="20"/>
                <w:color w:val="auto"/>
              </w:rPr>
            </w:pPr>
            <w:r>
              <w:rPr>
                <w:rFonts w:ascii="Arial" w:cs="Arial" w:eastAsia="Arial" w:hAnsi="Arial"/>
                <w:sz w:val="14"/>
                <w:szCs w:val="14"/>
                <w:color w:val="FFFFFF"/>
              </w:rPr>
              <w:t>Our lead</w:t>
            </w:r>
          </w:p>
        </w:tc>
        <w:tc>
          <w:tcPr>
            <w:tcW w:w="300" w:type="dxa"/>
            <w:vAlign w:val="bottom"/>
          </w:tcPr>
          <w:p>
            <w:pPr>
              <w:spacing w:after="0"/>
              <w:rPr>
                <w:sz w:val="13"/>
                <w:szCs w:val="13"/>
                <w:color w:val="auto"/>
              </w:rPr>
            </w:pPr>
          </w:p>
        </w:tc>
        <w:tc>
          <w:tcPr>
            <w:tcW w:w="1280" w:type="dxa"/>
            <w:vAlign w:val="bottom"/>
            <w:shd w:val="clear" w:color="auto" w:fill="D52B1E"/>
          </w:tcPr>
          <w:p>
            <w:pPr>
              <w:ind w:left="20"/>
              <w:spacing w:after="0" w:line="153" w:lineRule="exact"/>
              <w:rPr>
                <w:sz w:val="20"/>
                <w:szCs w:val="20"/>
                <w:color w:val="auto"/>
              </w:rPr>
            </w:pPr>
            <w:r>
              <w:rPr>
                <w:rFonts w:ascii="Arial" w:cs="Arial" w:eastAsia="Arial" w:hAnsi="Arial"/>
                <w:sz w:val="14"/>
                <w:szCs w:val="14"/>
                <w:color w:val="FFFFFF"/>
              </w:rPr>
              <w:t>Directors provided</w:t>
            </w:r>
          </w:p>
        </w:tc>
        <w:tc>
          <w:tcPr>
            <w:tcW w:w="320" w:type="dxa"/>
            <w:vAlign w:val="bottom"/>
          </w:tcPr>
          <w:p>
            <w:pPr>
              <w:spacing w:after="0"/>
              <w:rPr>
                <w:sz w:val="13"/>
                <w:szCs w:val="13"/>
                <w:color w:val="auto"/>
              </w:rPr>
            </w:pPr>
          </w:p>
        </w:tc>
        <w:tc>
          <w:tcPr>
            <w:tcW w:w="1260" w:type="dxa"/>
            <w:vAlign w:val="bottom"/>
            <w:shd w:val="clear" w:color="auto" w:fill="D52B1E"/>
          </w:tcPr>
          <w:p>
            <w:pPr>
              <w:ind w:left="20"/>
              <w:spacing w:after="0" w:line="153" w:lineRule="exact"/>
              <w:rPr>
                <w:sz w:val="20"/>
                <w:szCs w:val="20"/>
                <w:color w:val="auto"/>
              </w:rPr>
            </w:pPr>
            <w:r>
              <w:rPr>
                <w:rFonts w:ascii="Arial" w:cs="Arial" w:eastAsia="Arial" w:hAnsi="Arial"/>
                <w:sz w:val="14"/>
                <w:szCs w:val="14"/>
                <w:color w:val="FFFFFF"/>
              </w:rPr>
              <w:t>Each director had</w:t>
            </w:r>
          </w:p>
        </w:tc>
        <w:tc>
          <w:tcPr>
            <w:tcW w:w="300" w:type="dxa"/>
            <w:vAlign w:val="bottom"/>
          </w:tcPr>
          <w:p>
            <w:pPr>
              <w:spacing w:after="0"/>
              <w:rPr>
                <w:sz w:val="13"/>
                <w:szCs w:val="13"/>
                <w:color w:val="auto"/>
              </w:rPr>
            </w:pPr>
          </w:p>
        </w:tc>
        <w:tc>
          <w:tcPr>
            <w:tcW w:w="1240" w:type="dxa"/>
            <w:vAlign w:val="bottom"/>
            <w:shd w:val="clear" w:color="auto" w:fill="00A1DE"/>
          </w:tcPr>
          <w:p>
            <w:pPr>
              <w:ind w:left="20"/>
              <w:spacing w:after="0" w:line="153" w:lineRule="exact"/>
              <w:rPr>
                <w:sz w:val="20"/>
                <w:szCs w:val="20"/>
                <w:color w:val="auto"/>
              </w:rPr>
            </w:pPr>
            <w:r>
              <w:rPr>
                <w:rFonts w:ascii="Arial" w:cs="Arial" w:eastAsia="Arial" w:hAnsi="Arial"/>
                <w:sz w:val="14"/>
                <w:szCs w:val="14"/>
                <w:color w:val="FFFFFF"/>
              </w:rPr>
              <w:t>A summary of</w:t>
            </w:r>
          </w:p>
        </w:tc>
        <w:tc>
          <w:tcPr>
            <w:tcW w:w="300" w:type="dxa"/>
            <w:vAlign w:val="bottom"/>
          </w:tcPr>
          <w:p>
            <w:pPr>
              <w:spacing w:after="0"/>
              <w:rPr>
                <w:sz w:val="13"/>
                <w:szCs w:val="13"/>
                <w:color w:val="auto"/>
              </w:rPr>
            </w:pPr>
          </w:p>
        </w:tc>
        <w:tc>
          <w:tcPr>
            <w:tcW w:w="1260" w:type="dxa"/>
            <w:vAlign w:val="bottom"/>
            <w:shd w:val="clear" w:color="auto" w:fill="00A1DE"/>
          </w:tcPr>
          <w:p>
            <w:pPr>
              <w:spacing w:after="0" w:line="153" w:lineRule="exact"/>
              <w:rPr>
                <w:sz w:val="20"/>
                <w:szCs w:val="20"/>
                <w:color w:val="auto"/>
              </w:rPr>
            </w:pPr>
            <w:r>
              <w:rPr>
                <w:rFonts w:ascii="Arial" w:cs="Arial" w:eastAsia="Arial" w:hAnsi="Arial"/>
                <w:sz w:val="14"/>
                <w:szCs w:val="14"/>
                <w:color w:val="FFFFFF"/>
              </w:rPr>
              <w:t>Closed session</w:t>
            </w:r>
          </w:p>
        </w:tc>
        <w:tc>
          <w:tcPr>
            <w:tcW w:w="300" w:type="dxa"/>
            <w:vAlign w:val="bottom"/>
          </w:tcPr>
          <w:p>
            <w:pPr>
              <w:spacing w:after="0"/>
              <w:rPr>
                <w:sz w:val="13"/>
                <w:szCs w:val="13"/>
                <w:color w:val="auto"/>
              </w:rPr>
            </w:pPr>
          </w:p>
        </w:tc>
        <w:tc>
          <w:tcPr>
            <w:tcW w:w="1260" w:type="dxa"/>
            <w:vAlign w:val="bottom"/>
            <w:shd w:val="clear" w:color="auto" w:fill="6D6D6D"/>
          </w:tcPr>
          <w:p>
            <w:pPr>
              <w:ind w:left="20"/>
              <w:spacing w:after="0" w:line="153" w:lineRule="exact"/>
              <w:rPr>
                <w:sz w:val="20"/>
                <w:szCs w:val="20"/>
                <w:color w:val="auto"/>
              </w:rPr>
            </w:pPr>
            <w:r>
              <w:rPr>
                <w:rFonts w:ascii="Arial" w:cs="Arial" w:eastAsia="Arial" w:hAnsi="Arial"/>
                <w:sz w:val="14"/>
                <w:szCs w:val="14"/>
                <w:color w:val="FFFFFF"/>
              </w:rPr>
              <w:t>Incorporated</w:t>
            </w:r>
          </w:p>
        </w:tc>
        <w:tc>
          <w:tcPr>
            <w:tcW w:w="0" w:type="dxa"/>
            <w:vAlign w:val="bottom"/>
          </w:tcPr>
          <w:p>
            <w:pPr>
              <w:spacing w:after="0"/>
              <w:rPr>
                <w:sz w:val="1"/>
                <w:szCs w:val="1"/>
                <w:color w:val="auto"/>
              </w:rPr>
            </w:pPr>
          </w:p>
        </w:tc>
      </w:tr>
      <w:tr>
        <w:trPr>
          <w:trHeight w:val="149"/>
        </w:trPr>
        <w:tc>
          <w:tcPr>
            <w:tcW w:w="1200" w:type="dxa"/>
            <w:vAlign w:val="bottom"/>
            <w:shd w:val="clear" w:color="auto" w:fill="6D6D6D"/>
          </w:tcPr>
          <w:p>
            <w:pPr>
              <w:ind w:left="20"/>
              <w:spacing w:after="0" w:line="149" w:lineRule="exact"/>
              <w:rPr>
                <w:sz w:val="20"/>
                <w:szCs w:val="20"/>
                <w:color w:val="auto"/>
              </w:rPr>
            </w:pPr>
            <w:r>
              <w:rPr>
                <w:rFonts w:ascii="Arial" w:cs="Arial" w:eastAsia="Arial" w:hAnsi="Arial"/>
                <w:sz w:val="14"/>
                <w:szCs w:val="14"/>
                <w:color w:val="FFFFFF"/>
              </w:rPr>
              <w:t>independent</w:t>
            </w:r>
          </w:p>
        </w:tc>
        <w:tc>
          <w:tcPr>
            <w:tcW w:w="300" w:type="dxa"/>
            <w:vAlign w:val="bottom"/>
          </w:tcPr>
          <w:p>
            <w:pPr>
              <w:spacing w:after="0"/>
              <w:rPr>
                <w:sz w:val="12"/>
                <w:szCs w:val="12"/>
                <w:color w:val="auto"/>
              </w:rPr>
            </w:pPr>
          </w:p>
        </w:tc>
        <w:tc>
          <w:tcPr>
            <w:tcW w:w="1280" w:type="dxa"/>
            <w:vAlign w:val="bottom"/>
            <w:shd w:val="clear" w:color="auto" w:fill="D52B1E"/>
          </w:tcPr>
          <w:p>
            <w:pPr>
              <w:ind w:left="20"/>
              <w:spacing w:after="0" w:line="149" w:lineRule="exact"/>
              <w:rPr>
                <w:sz w:val="20"/>
                <w:szCs w:val="20"/>
                <w:color w:val="auto"/>
              </w:rPr>
            </w:pPr>
            <w:r>
              <w:rPr>
                <w:rFonts w:ascii="Arial" w:cs="Arial" w:eastAsia="Arial" w:hAnsi="Arial"/>
                <w:sz w:val="14"/>
                <w:szCs w:val="14"/>
                <w:color w:val="FFFFFF"/>
              </w:rPr>
              <w:t>written feedback</w:t>
            </w:r>
          </w:p>
        </w:tc>
        <w:tc>
          <w:tcPr>
            <w:tcW w:w="320" w:type="dxa"/>
            <w:vAlign w:val="bottom"/>
          </w:tcPr>
          <w:p>
            <w:pPr>
              <w:spacing w:after="0"/>
              <w:rPr>
                <w:sz w:val="12"/>
                <w:szCs w:val="12"/>
                <w:color w:val="auto"/>
              </w:rPr>
            </w:pPr>
          </w:p>
        </w:tc>
        <w:tc>
          <w:tcPr>
            <w:tcW w:w="1260" w:type="dxa"/>
            <w:vAlign w:val="bottom"/>
            <w:shd w:val="clear" w:color="auto" w:fill="D52B1E"/>
          </w:tcPr>
          <w:p>
            <w:pPr>
              <w:ind w:left="20"/>
              <w:spacing w:after="0" w:line="149" w:lineRule="exact"/>
              <w:rPr>
                <w:sz w:val="20"/>
                <w:szCs w:val="20"/>
                <w:color w:val="auto"/>
              </w:rPr>
            </w:pPr>
            <w:r>
              <w:rPr>
                <w:rFonts w:ascii="Arial" w:cs="Arial" w:eastAsia="Arial" w:hAnsi="Arial"/>
                <w:sz w:val="14"/>
                <w:szCs w:val="14"/>
                <w:color w:val="FFFFFF"/>
              </w:rPr>
              <w:t>one-on-one</w:t>
            </w:r>
          </w:p>
        </w:tc>
        <w:tc>
          <w:tcPr>
            <w:tcW w:w="300" w:type="dxa"/>
            <w:vAlign w:val="bottom"/>
          </w:tcPr>
          <w:p>
            <w:pPr>
              <w:spacing w:after="0"/>
              <w:rPr>
                <w:sz w:val="12"/>
                <w:szCs w:val="12"/>
                <w:color w:val="auto"/>
              </w:rPr>
            </w:pPr>
          </w:p>
        </w:tc>
        <w:tc>
          <w:tcPr>
            <w:tcW w:w="1240" w:type="dxa"/>
            <w:vAlign w:val="bottom"/>
            <w:shd w:val="clear" w:color="auto" w:fill="00A1DE"/>
          </w:tcPr>
          <w:p>
            <w:pPr>
              <w:ind w:left="20"/>
              <w:spacing w:after="0" w:line="149" w:lineRule="exact"/>
              <w:rPr>
                <w:sz w:val="20"/>
                <w:szCs w:val="20"/>
                <w:color w:val="auto"/>
              </w:rPr>
            </w:pPr>
            <w:r>
              <w:rPr>
                <w:rFonts w:ascii="Arial" w:cs="Arial" w:eastAsia="Arial" w:hAnsi="Arial"/>
                <w:sz w:val="14"/>
                <w:szCs w:val="14"/>
                <w:color w:val="FFFFFF"/>
              </w:rPr>
              <w:t>board and</w:t>
            </w:r>
          </w:p>
        </w:tc>
        <w:tc>
          <w:tcPr>
            <w:tcW w:w="300" w:type="dxa"/>
            <w:vAlign w:val="bottom"/>
          </w:tcPr>
          <w:p>
            <w:pPr>
              <w:spacing w:after="0"/>
              <w:rPr>
                <w:sz w:val="12"/>
                <w:szCs w:val="12"/>
                <w:color w:val="auto"/>
              </w:rPr>
            </w:pPr>
          </w:p>
        </w:tc>
        <w:tc>
          <w:tcPr>
            <w:tcW w:w="1260" w:type="dxa"/>
            <w:vAlign w:val="bottom"/>
            <w:shd w:val="clear" w:color="auto" w:fill="00A1DE"/>
          </w:tcPr>
          <w:p>
            <w:pPr>
              <w:spacing w:after="0" w:line="149" w:lineRule="exact"/>
              <w:rPr>
                <w:sz w:val="20"/>
                <w:szCs w:val="20"/>
                <w:color w:val="auto"/>
              </w:rPr>
            </w:pPr>
            <w:r>
              <w:rPr>
                <w:rFonts w:ascii="Arial" w:cs="Arial" w:eastAsia="Arial" w:hAnsi="Arial"/>
                <w:sz w:val="14"/>
                <w:szCs w:val="14"/>
                <w:color w:val="FFFFFF"/>
              </w:rPr>
              <w:t>evaluation</w:t>
            </w:r>
          </w:p>
        </w:tc>
        <w:tc>
          <w:tcPr>
            <w:tcW w:w="300" w:type="dxa"/>
            <w:vAlign w:val="bottom"/>
          </w:tcPr>
          <w:p>
            <w:pPr>
              <w:spacing w:after="0"/>
              <w:rPr>
                <w:sz w:val="12"/>
                <w:szCs w:val="12"/>
                <w:color w:val="auto"/>
              </w:rPr>
            </w:pPr>
          </w:p>
        </w:tc>
        <w:tc>
          <w:tcPr>
            <w:tcW w:w="1260" w:type="dxa"/>
            <w:vAlign w:val="bottom"/>
            <w:shd w:val="clear" w:color="auto" w:fill="6D6D6D"/>
          </w:tcPr>
          <w:p>
            <w:pPr>
              <w:ind w:left="20"/>
              <w:spacing w:after="0" w:line="149" w:lineRule="exact"/>
              <w:rPr>
                <w:sz w:val="20"/>
                <w:szCs w:val="20"/>
                <w:color w:val="auto"/>
              </w:rPr>
            </w:pPr>
            <w:r>
              <w:rPr>
                <w:rFonts w:ascii="Arial" w:cs="Arial" w:eastAsia="Arial" w:hAnsi="Arial"/>
                <w:sz w:val="14"/>
                <w:szCs w:val="14"/>
                <w:color w:val="FFFFFF"/>
              </w:rPr>
              <w:t>feedback into</w:t>
            </w:r>
          </w:p>
        </w:tc>
        <w:tc>
          <w:tcPr>
            <w:tcW w:w="0" w:type="dxa"/>
            <w:vAlign w:val="bottom"/>
          </w:tcPr>
          <w:p>
            <w:pPr>
              <w:spacing w:after="0"/>
              <w:rPr>
                <w:sz w:val="1"/>
                <w:szCs w:val="1"/>
                <w:color w:val="auto"/>
              </w:rPr>
            </w:pPr>
          </w:p>
        </w:tc>
      </w:tr>
      <w:tr>
        <w:trPr>
          <w:trHeight w:val="144"/>
        </w:trPr>
        <w:tc>
          <w:tcPr>
            <w:tcW w:w="1200" w:type="dxa"/>
            <w:vAlign w:val="bottom"/>
            <w:shd w:val="clear" w:color="auto" w:fill="6D6D6D"/>
          </w:tcPr>
          <w:p>
            <w:pPr>
              <w:ind w:left="20"/>
              <w:spacing w:after="0" w:line="145" w:lineRule="exact"/>
              <w:rPr>
                <w:sz w:val="20"/>
                <w:szCs w:val="20"/>
                <w:color w:val="auto"/>
              </w:rPr>
            </w:pPr>
            <w:r>
              <w:rPr>
                <w:rFonts w:ascii="Arial" w:cs="Arial" w:eastAsia="Arial" w:hAnsi="Arial"/>
                <w:sz w:val="14"/>
                <w:szCs w:val="14"/>
                <w:color w:val="FFFFFF"/>
              </w:rPr>
              <w:t>director and</w:t>
            </w:r>
          </w:p>
        </w:tc>
        <w:tc>
          <w:tcPr>
            <w:tcW w:w="300" w:type="dxa"/>
            <w:vAlign w:val="bottom"/>
          </w:tcPr>
          <w:p>
            <w:pPr>
              <w:spacing w:after="0"/>
              <w:rPr>
                <w:sz w:val="12"/>
                <w:szCs w:val="12"/>
                <w:color w:val="auto"/>
              </w:rPr>
            </w:pPr>
          </w:p>
        </w:tc>
        <w:tc>
          <w:tcPr>
            <w:tcW w:w="1280" w:type="dxa"/>
            <w:vAlign w:val="bottom"/>
            <w:shd w:val="clear" w:color="auto" w:fill="D52B1E"/>
          </w:tcPr>
          <w:p>
            <w:pPr>
              <w:ind w:left="20"/>
              <w:spacing w:after="0" w:line="145" w:lineRule="exact"/>
              <w:rPr>
                <w:sz w:val="20"/>
                <w:szCs w:val="20"/>
                <w:color w:val="auto"/>
              </w:rPr>
            </w:pPr>
            <w:r>
              <w:rPr>
                <w:rFonts w:ascii="Arial" w:cs="Arial" w:eastAsia="Arial" w:hAnsi="Arial"/>
                <w:sz w:val="14"/>
                <w:szCs w:val="14"/>
                <w:color w:val="FFFFFF"/>
              </w:rPr>
              <w:t>on an unattributed</w:t>
            </w:r>
          </w:p>
        </w:tc>
        <w:tc>
          <w:tcPr>
            <w:tcW w:w="320" w:type="dxa"/>
            <w:vAlign w:val="bottom"/>
          </w:tcPr>
          <w:p>
            <w:pPr>
              <w:spacing w:after="0"/>
              <w:rPr>
                <w:sz w:val="12"/>
                <w:szCs w:val="12"/>
                <w:color w:val="auto"/>
              </w:rPr>
            </w:pPr>
          </w:p>
        </w:tc>
        <w:tc>
          <w:tcPr>
            <w:tcW w:w="1260" w:type="dxa"/>
            <w:vAlign w:val="bottom"/>
            <w:shd w:val="clear" w:color="auto" w:fill="D52B1E"/>
          </w:tcPr>
          <w:p>
            <w:pPr>
              <w:ind w:left="20"/>
              <w:spacing w:after="0" w:line="145" w:lineRule="exact"/>
              <w:rPr>
                <w:sz w:val="20"/>
                <w:szCs w:val="20"/>
                <w:color w:val="auto"/>
              </w:rPr>
            </w:pPr>
            <w:r>
              <w:rPr>
                <w:rFonts w:ascii="Arial" w:cs="Arial" w:eastAsia="Arial" w:hAnsi="Arial"/>
                <w:sz w:val="14"/>
                <w:szCs w:val="14"/>
                <w:color w:val="FFFFFF"/>
              </w:rPr>
              <w:t>discussions with</w:t>
            </w:r>
          </w:p>
        </w:tc>
        <w:tc>
          <w:tcPr>
            <w:tcW w:w="300" w:type="dxa"/>
            <w:vAlign w:val="bottom"/>
          </w:tcPr>
          <w:p>
            <w:pPr>
              <w:spacing w:after="0"/>
              <w:rPr>
                <w:sz w:val="12"/>
                <w:szCs w:val="12"/>
                <w:color w:val="auto"/>
              </w:rPr>
            </w:pPr>
          </w:p>
        </w:tc>
        <w:tc>
          <w:tcPr>
            <w:tcW w:w="1240" w:type="dxa"/>
            <w:vAlign w:val="bottom"/>
            <w:shd w:val="clear" w:color="auto" w:fill="00A1DE"/>
          </w:tcPr>
          <w:p>
            <w:pPr>
              <w:ind w:left="20"/>
              <w:spacing w:after="0" w:line="145" w:lineRule="exact"/>
              <w:rPr>
                <w:sz w:val="20"/>
                <w:szCs w:val="20"/>
                <w:color w:val="auto"/>
              </w:rPr>
            </w:pPr>
            <w:r>
              <w:rPr>
                <w:rFonts w:ascii="Arial" w:cs="Arial" w:eastAsia="Arial" w:hAnsi="Arial"/>
                <w:sz w:val="14"/>
                <w:szCs w:val="14"/>
                <w:color w:val="FFFFFF"/>
              </w:rPr>
              <w:t>committee</w:t>
            </w:r>
          </w:p>
        </w:tc>
        <w:tc>
          <w:tcPr>
            <w:tcW w:w="300" w:type="dxa"/>
            <w:vAlign w:val="bottom"/>
          </w:tcPr>
          <w:p>
            <w:pPr>
              <w:spacing w:after="0"/>
              <w:rPr>
                <w:sz w:val="12"/>
                <w:szCs w:val="12"/>
                <w:color w:val="auto"/>
              </w:rPr>
            </w:pPr>
          </w:p>
        </w:tc>
        <w:tc>
          <w:tcPr>
            <w:tcW w:w="1260" w:type="dxa"/>
            <w:vAlign w:val="bottom"/>
            <w:shd w:val="clear" w:color="auto" w:fill="00A1DE"/>
          </w:tcPr>
          <w:p>
            <w:pPr>
              <w:spacing w:after="0" w:line="145" w:lineRule="exact"/>
              <w:rPr>
                <w:sz w:val="20"/>
                <w:szCs w:val="20"/>
                <w:color w:val="auto"/>
              </w:rPr>
            </w:pPr>
            <w:r>
              <w:rPr>
                <w:rFonts w:ascii="Arial" w:cs="Arial" w:eastAsia="Arial" w:hAnsi="Arial"/>
                <w:sz w:val="14"/>
                <w:szCs w:val="14"/>
                <w:color w:val="FFFFFF"/>
              </w:rPr>
              <w:t>discussions of the</w:t>
            </w:r>
          </w:p>
        </w:tc>
        <w:tc>
          <w:tcPr>
            <w:tcW w:w="300" w:type="dxa"/>
            <w:vAlign w:val="bottom"/>
          </w:tcPr>
          <w:p>
            <w:pPr>
              <w:spacing w:after="0"/>
              <w:rPr>
                <w:sz w:val="12"/>
                <w:szCs w:val="12"/>
                <w:color w:val="auto"/>
              </w:rPr>
            </w:pPr>
          </w:p>
        </w:tc>
        <w:tc>
          <w:tcPr>
            <w:tcW w:w="1260" w:type="dxa"/>
            <w:vAlign w:val="bottom"/>
            <w:shd w:val="clear" w:color="auto" w:fill="6D6D6D"/>
          </w:tcPr>
          <w:p>
            <w:pPr>
              <w:ind w:left="20"/>
              <w:spacing w:after="0" w:line="145" w:lineRule="exact"/>
              <w:rPr>
                <w:sz w:val="20"/>
                <w:szCs w:val="20"/>
                <w:color w:val="auto"/>
              </w:rPr>
            </w:pPr>
            <w:r>
              <w:rPr>
                <w:rFonts w:ascii="Arial" w:cs="Arial" w:eastAsia="Arial" w:hAnsi="Arial"/>
                <w:sz w:val="14"/>
                <w:szCs w:val="14"/>
                <w:color w:val="FFFFFF"/>
              </w:rPr>
              <w:t>nomination</w:t>
            </w:r>
          </w:p>
        </w:tc>
        <w:tc>
          <w:tcPr>
            <w:tcW w:w="0" w:type="dxa"/>
            <w:vAlign w:val="bottom"/>
          </w:tcPr>
          <w:p>
            <w:pPr>
              <w:spacing w:after="0"/>
              <w:rPr>
                <w:sz w:val="1"/>
                <w:szCs w:val="1"/>
                <w:color w:val="auto"/>
              </w:rPr>
            </w:pPr>
          </w:p>
        </w:tc>
      </w:tr>
      <w:tr>
        <w:trPr>
          <w:trHeight w:val="139"/>
        </w:trPr>
        <w:tc>
          <w:tcPr>
            <w:tcW w:w="1200" w:type="dxa"/>
            <w:vAlign w:val="bottom"/>
            <w:shd w:val="clear" w:color="auto" w:fill="6D6D6D"/>
          </w:tcPr>
          <w:p>
            <w:pPr>
              <w:ind w:left="20"/>
              <w:spacing w:after="0" w:line="139" w:lineRule="exact"/>
              <w:rPr>
                <w:sz w:val="20"/>
                <w:szCs w:val="20"/>
                <w:color w:val="auto"/>
              </w:rPr>
            </w:pPr>
            <w:r>
              <w:rPr>
                <w:rFonts w:ascii="Arial" w:cs="Arial" w:eastAsia="Arial" w:hAnsi="Arial"/>
                <w:sz w:val="14"/>
                <w:szCs w:val="14"/>
                <w:color w:val="FFFFFF"/>
              </w:rPr>
              <w:t>Directors and</w:t>
            </w:r>
          </w:p>
        </w:tc>
        <w:tc>
          <w:tcPr>
            <w:tcW w:w="300" w:type="dxa"/>
            <w:vAlign w:val="bottom"/>
          </w:tcPr>
          <w:p>
            <w:pPr>
              <w:spacing w:after="0"/>
              <w:rPr>
                <w:sz w:val="12"/>
                <w:szCs w:val="12"/>
                <w:color w:val="auto"/>
              </w:rPr>
            </w:pPr>
          </w:p>
        </w:tc>
        <w:tc>
          <w:tcPr>
            <w:tcW w:w="1280" w:type="dxa"/>
            <w:vAlign w:val="bottom"/>
            <w:shd w:val="clear" w:color="auto" w:fill="D52B1E"/>
          </w:tcPr>
          <w:p>
            <w:pPr>
              <w:ind w:left="20"/>
              <w:spacing w:after="0" w:line="139" w:lineRule="exact"/>
              <w:rPr>
                <w:sz w:val="20"/>
                <w:szCs w:val="20"/>
                <w:color w:val="auto"/>
              </w:rPr>
            </w:pPr>
            <w:r>
              <w:rPr>
                <w:rFonts w:ascii="Arial" w:cs="Arial" w:eastAsia="Arial" w:hAnsi="Arial"/>
                <w:sz w:val="14"/>
                <w:szCs w:val="14"/>
                <w:color w:val="FFFFFF"/>
              </w:rPr>
              <w:t>basis.</w:t>
            </w:r>
          </w:p>
        </w:tc>
        <w:tc>
          <w:tcPr>
            <w:tcW w:w="320" w:type="dxa"/>
            <w:vAlign w:val="bottom"/>
          </w:tcPr>
          <w:p>
            <w:pPr>
              <w:spacing w:after="0"/>
              <w:rPr>
                <w:sz w:val="12"/>
                <w:szCs w:val="12"/>
                <w:color w:val="auto"/>
              </w:rPr>
            </w:pPr>
          </w:p>
        </w:tc>
        <w:tc>
          <w:tcPr>
            <w:tcW w:w="1260" w:type="dxa"/>
            <w:vAlign w:val="bottom"/>
            <w:shd w:val="clear" w:color="auto" w:fill="D52B1E"/>
          </w:tcPr>
          <w:p>
            <w:pPr>
              <w:ind w:left="20"/>
              <w:spacing w:after="0" w:line="139" w:lineRule="exact"/>
              <w:rPr>
                <w:sz w:val="20"/>
                <w:szCs w:val="20"/>
                <w:color w:val="auto"/>
              </w:rPr>
            </w:pPr>
            <w:r>
              <w:rPr>
                <w:rFonts w:ascii="Arial" w:cs="Arial" w:eastAsia="Arial" w:hAnsi="Arial"/>
                <w:sz w:val="14"/>
                <w:szCs w:val="14"/>
                <w:color w:val="FFFFFF"/>
              </w:rPr>
              <w:t>the lead</w:t>
            </w:r>
          </w:p>
        </w:tc>
        <w:tc>
          <w:tcPr>
            <w:tcW w:w="300" w:type="dxa"/>
            <w:vAlign w:val="bottom"/>
          </w:tcPr>
          <w:p>
            <w:pPr>
              <w:spacing w:after="0"/>
              <w:rPr>
                <w:sz w:val="12"/>
                <w:szCs w:val="12"/>
                <w:color w:val="auto"/>
              </w:rPr>
            </w:pPr>
          </w:p>
        </w:tc>
        <w:tc>
          <w:tcPr>
            <w:tcW w:w="1240" w:type="dxa"/>
            <w:vAlign w:val="bottom"/>
            <w:shd w:val="clear" w:color="auto" w:fill="00A1DE"/>
          </w:tcPr>
          <w:p>
            <w:pPr>
              <w:ind w:left="20"/>
              <w:spacing w:after="0" w:line="139" w:lineRule="exact"/>
              <w:rPr>
                <w:sz w:val="20"/>
                <w:szCs w:val="20"/>
                <w:color w:val="auto"/>
              </w:rPr>
            </w:pPr>
            <w:r>
              <w:rPr>
                <w:rFonts w:ascii="Arial" w:cs="Arial" w:eastAsia="Arial" w:hAnsi="Arial"/>
                <w:sz w:val="14"/>
                <w:szCs w:val="14"/>
                <w:color w:val="FFFFFF"/>
              </w:rPr>
              <w:t>evaluations results</w:t>
            </w:r>
          </w:p>
        </w:tc>
        <w:tc>
          <w:tcPr>
            <w:tcW w:w="300" w:type="dxa"/>
            <w:vAlign w:val="bottom"/>
          </w:tcPr>
          <w:p>
            <w:pPr>
              <w:spacing w:after="0"/>
              <w:rPr>
                <w:sz w:val="12"/>
                <w:szCs w:val="12"/>
                <w:color w:val="auto"/>
              </w:rPr>
            </w:pPr>
          </w:p>
        </w:tc>
        <w:tc>
          <w:tcPr>
            <w:tcW w:w="1260" w:type="dxa"/>
            <w:vAlign w:val="bottom"/>
            <w:shd w:val="clear" w:color="auto" w:fill="00A1DE"/>
          </w:tcPr>
          <w:p>
            <w:pPr>
              <w:spacing w:after="0" w:line="139" w:lineRule="exact"/>
              <w:rPr>
                <w:sz w:val="20"/>
                <w:szCs w:val="20"/>
                <w:color w:val="auto"/>
              </w:rPr>
            </w:pPr>
            <w:r>
              <w:rPr>
                <w:rFonts w:ascii="Arial" w:cs="Arial" w:eastAsia="Arial" w:hAnsi="Arial"/>
                <w:sz w:val="14"/>
                <w:szCs w:val="14"/>
                <w:color w:val="FFFFFF"/>
              </w:rPr>
              <w:t>board and</w:t>
            </w:r>
          </w:p>
        </w:tc>
        <w:tc>
          <w:tcPr>
            <w:tcW w:w="300" w:type="dxa"/>
            <w:vAlign w:val="bottom"/>
          </w:tcPr>
          <w:p>
            <w:pPr>
              <w:spacing w:after="0"/>
              <w:rPr>
                <w:sz w:val="12"/>
                <w:szCs w:val="12"/>
                <w:color w:val="auto"/>
              </w:rPr>
            </w:pPr>
          </w:p>
        </w:tc>
        <w:tc>
          <w:tcPr>
            <w:tcW w:w="1260" w:type="dxa"/>
            <w:vAlign w:val="bottom"/>
            <w:shd w:val="clear" w:color="auto" w:fill="6D6D6D"/>
          </w:tcPr>
          <w:p>
            <w:pPr>
              <w:ind w:left="20"/>
              <w:spacing w:after="0" w:line="139" w:lineRule="exact"/>
              <w:rPr>
                <w:sz w:val="20"/>
                <w:szCs w:val="20"/>
                <w:color w:val="auto"/>
              </w:rPr>
            </w:pPr>
            <w:r>
              <w:rPr>
                <w:rFonts w:ascii="Arial" w:cs="Arial" w:eastAsia="Arial" w:hAnsi="Arial"/>
                <w:sz w:val="14"/>
                <w:szCs w:val="14"/>
                <w:color w:val="FFFFFF"/>
              </w:rPr>
              <w:t>process and the</w:t>
            </w:r>
          </w:p>
        </w:tc>
        <w:tc>
          <w:tcPr>
            <w:tcW w:w="0" w:type="dxa"/>
            <w:vAlign w:val="bottom"/>
          </w:tcPr>
          <w:p>
            <w:pPr>
              <w:spacing w:after="0"/>
              <w:rPr>
                <w:sz w:val="1"/>
                <w:szCs w:val="1"/>
                <w:color w:val="auto"/>
              </w:rPr>
            </w:pPr>
          </w:p>
        </w:tc>
      </w:tr>
      <w:tr>
        <w:trPr>
          <w:trHeight w:val="148"/>
        </w:trPr>
        <w:tc>
          <w:tcPr>
            <w:tcW w:w="1200" w:type="dxa"/>
            <w:vAlign w:val="bottom"/>
            <w:shd w:val="clear" w:color="auto" w:fill="6D6D6D"/>
          </w:tcPr>
          <w:p>
            <w:pPr>
              <w:ind w:left="20"/>
              <w:spacing w:after="0" w:line="149" w:lineRule="exact"/>
              <w:rPr>
                <w:sz w:val="20"/>
                <w:szCs w:val="20"/>
                <w:color w:val="auto"/>
              </w:rPr>
            </w:pPr>
            <w:r>
              <w:rPr>
                <w:rFonts w:ascii="Arial" w:cs="Arial" w:eastAsia="Arial" w:hAnsi="Arial"/>
                <w:sz w:val="14"/>
                <w:szCs w:val="14"/>
                <w:color w:val="FFFFFF"/>
              </w:rPr>
              <w:t>Corporate</w:t>
            </w:r>
          </w:p>
        </w:tc>
        <w:tc>
          <w:tcPr>
            <w:tcW w:w="300" w:type="dxa"/>
            <w:vAlign w:val="bottom"/>
          </w:tcPr>
          <w:p>
            <w:pPr>
              <w:spacing w:after="0"/>
              <w:rPr>
                <w:sz w:val="12"/>
                <w:szCs w:val="12"/>
                <w:color w:val="auto"/>
              </w:rPr>
            </w:pPr>
          </w:p>
        </w:tc>
        <w:tc>
          <w:tcPr>
            <w:tcW w:w="1280" w:type="dxa"/>
            <w:vAlign w:val="bottom"/>
            <w:shd w:val="clear" w:color="auto" w:fill="D52B1E"/>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shd w:val="clear" w:color="auto" w:fill="D52B1E"/>
          </w:tcPr>
          <w:p>
            <w:pPr>
              <w:ind w:left="20"/>
              <w:spacing w:after="0" w:line="149" w:lineRule="exact"/>
              <w:rPr>
                <w:sz w:val="20"/>
                <w:szCs w:val="20"/>
                <w:color w:val="auto"/>
              </w:rPr>
            </w:pPr>
            <w:r>
              <w:rPr>
                <w:rFonts w:ascii="Arial" w:cs="Arial" w:eastAsia="Arial" w:hAnsi="Arial"/>
                <w:sz w:val="14"/>
                <w:szCs w:val="14"/>
                <w:color w:val="FFFFFF"/>
              </w:rPr>
              <w:t>independent</w:t>
            </w:r>
          </w:p>
        </w:tc>
        <w:tc>
          <w:tcPr>
            <w:tcW w:w="300" w:type="dxa"/>
            <w:vAlign w:val="bottom"/>
          </w:tcPr>
          <w:p>
            <w:pPr>
              <w:spacing w:after="0"/>
              <w:rPr>
                <w:sz w:val="12"/>
                <w:szCs w:val="12"/>
                <w:color w:val="auto"/>
              </w:rPr>
            </w:pPr>
          </w:p>
        </w:tc>
        <w:tc>
          <w:tcPr>
            <w:tcW w:w="1240" w:type="dxa"/>
            <w:vAlign w:val="bottom"/>
            <w:shd w:val="clear" w:color="auto" w:fill="00A1DE"/>
          </w:tcPr>
          <w:p>
            <w:pPr>
              <w:ind w:left="20"/>
              <w:spacing w:after="0" w:line="149" w:lineRule="exact"/>
              <w:rPr>
                <w:sz w:val="20"/>
                <w:szCs w:val="20"/>
                <w:color w:val="auto"/>
              </w:rPr>
            </w:pPr>
            <w:r>
              <w:rPr>
                <w:rFonts w:ascii="Arial" w:cs="Arial" w:eastAsia="Arial" w:hAnsi="Arial"/>
                <w:sz w:val="14"/>
                <w:szCs w:val="14"/>
                <w:color w:val="FFFFFF"/>
              </w:rPr>
              <w:t>was provided to</w:t>
            </w:r>
          </w:p>
        </w:tc>
        <w:tc>
          <w:tcPr>
            <w:tcW w:w="300" w:type="dxa"/>
            <w:vAlign w:val="bottom"/>
          </w:tcPr>
          <w:p>
            <w:pPr>
              <w:spacing w:after="0"/>
              <w:rPr>
                <w:sz w:val="12"/>
                <w:szCs w:val="12"/>
                <w:color w:val="auto"/>
              </w:rPr>
            </w:pPr>
          </w:p>
        </w:tc>
        <w:tc>
          <w:tcPr>
            <w:tcW w:w="1260" w:type="dxa"/>
            <w:vAlign w:val="bottom"/>
            <w:shd w:val="clear" w:color="auto" w:fill="00A1DE"/>
          </w:tcPr>
          <w:p>
            <w:pPr>
              <w:spacing w:after="0" w:line="149" w:lineRule="exact"/>
              <w:rPr>
                <w:sz w:val="20"/>
                <w:szCs w:val="20"/>
                <w:color w:val="auto"/>
              </w:rPr>
            </w:pPr>
            <w:r>
              <w:rPr>
                <w:rFonts w:ascii="Arial" w:cs="Arial" w:eastAsia="Arial" w:hAnsi="Arial"/>
                <w:sz w:val="14"/>
                <w:szCs w:val="14"/>
                <w:color w:val="FFFFFF"/>
              </w:rPr>
              <w:t>committees were</w:t>
            </w:r>
          </w:p>
        </w:tc>
        <w:tc>
          <w:tcPr>
            <w:tcW w:w="300" w:type="dxa"/>
            <w:vAlign w:val="bottom"/>
          </w:tcPr>
          <w:p>
            <w:pPr>
              <w:spacing w:after="0"/>
              <w:rPr>
                <w:sz w:val="12"/>
                <w:szCs w:val="12"/>
                <w:color w:val="auto"/>
              </w:rPr>
            </w:pPr>
          </w:p>
        </w:tc>
        <w:tc>
          <w:tcPr>
            <w:tcW w:w="1260" w:type="dxa"/>
            <w:vAlign w:val="bottom"/>
            <w:shd w:val="clear" w:color="auto" w:fill="6D6D6D"/>
          </w:tcPr>
          <w:p>
            <w:pPr>
              <w:ind w:left="20"/>
              <w:spacing w:after="0" w:line="149" w:lineRule="exact"/>
              <w:rPr>
                <w:sz w:val="20"/>
                <w:szCs w:val="20"/>
                <w:color w:val="auto"/>
              </w:rPr>
            </w:pPr>
            <w:r>
              <w:rPr>
                <w:rFonts w:ascii="Arial" w:cs="Arial" w:eastAsia="Arial" w:hAnsi="Arial"/>
                <w:sz w:val="14"/>
                <w:szCs w:val="14"/>
                <w:color w:val="FFFFFF"/>
              </w:rPr>
              <w:t>2023 board and</w:t>
            </w:r>
          </w:p>
        </w:tc>
        <w:tc>
          <w:tcPr>
            <w:tcW w:w="0" w:type="dxa"/>
            <w:vAlign w:val="bottom"/>
          </w:tcPr>
          <w:p>
            <w:pPr>
              <w:spacing w:after="0"/>
              <w:rPr>
                <w:sz w:val="1"/>
                <w:szCs w:val="1"/>
                <w:color w:val="auto"/>
              </w:rPr>
            </w:pPr>
          </w:p>
        </w:tc>
      </w:tr>
      <w:tr>
        <w:trPr>
          <w:trHeight w:val="144"/>
        </w:trPr>
        <w:tc>
          <w:tcPr>
            <w:tcW w:w="1200" w:type="dxa"/>
            <w:vAlign w:val="bottom"/>
            <w:shd w:val="clear" w:color="auto" w:fill="6D6D6D"/>
          </w:tcPr>
          <w:p>
            <w:pPr>
              <w:ind w:left="20"/>
              <w:spacing w:after="0" w:line="145" w:lineRule="exact"/>
              <w:rPr>
                <w:sz w:val="20"/>
                <w:szCs w:val="20"/>
                <w:color w:val="auto"/>
              </w:rPr>
            </w:pPr>
            <w:r>
              <w:rPr>
                <w:rFonts w:ascii="Arial" w:cs="Arial" w:eastAsia="Arial" w:hAnsi="Arial"/>
                <w:sz w:val="14"/>
                <w:szCs w:val="14"/>
                <w:color w:val="FFFFFF"/>
              </w:rPr>
              <w:t>Governance</w:t>
            </w:r>
          </w:p>
        </w:tc>
        <w:tc>
          <w:tcPr>
            <w:tcW w:w="300" w:type="dxa"/>
            <w:vAlign w:val="bottom"/>
          </w:tcPr>
          <w:p>
            <w:pPr>
              <w:spacing w:after="0"/>
              <w:rPr>
                <w:sz w:val="12"/>
                <w:szCs w:val="12"/>
                <w:color w:val="auto"/>
              </w:rPr>
            </w:pPr>
          </w:p>
        </w:tc>
        <w:tc>
          <w:tcPr>
            <w:tcW w:w="1280" w:type="dxa"/>
            <w:vAlign w:val="bottom"/>
            <w:shd w:val="clear" w:color="auto" w:fill="D52B1E"/>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shd w:val="clear" w:color="auto" w:fill="D52B1E"/>
          </w:tcPr>
          <w:p>
            <w:pPr>
              <w:ind w:left="20"/>
              <w:spacing w:after="0" w:line="145" w:lineRule="exact"/>
              <w:rPr>
                <w:sz w:val="20"/>
                <w:szCs w:val="20"/>
                <w:color w:val="auto"/>
              </w:rPr>
            </w:pPr>
            <w:r>
              <w:rPr>
                <w:rFonts w:ascii="Arial" w:cs="Arial" w:eastAsia="Arial" w:hAnsi="Arial"/>
                <w:sz w:val="14"/>
                <w:szCs w:val="14"/>
                <w:color w:val="FFFFFF"/>
              </w:rPr>
              <w:t>director and with</w:t>
            </w:r>
          </w:p>
        </w:tc>
        <w:tc>
          <w:tcPr>
            <w:tcW w:w="300" w:type="dxa"/>
            <w:vAlign w:val="bottom"/>
          </w:tcPr>
          <w:p>
            <w:pPr>
              <w:spacing w:after="0"/>
              <w:rPr>
                <w:sz w:val="12"/>
                <w:szCs w:val="12"/>
                <w:color w:val="auto"/>
              </w:rPr>
            </w:pPr>
          </w:p>
        </w:tc>
        <w:tc>
          <w:tcPr>
            <w:tcW w:w="1240" w:type="dxa"/>
            <w:vAlign w:val="bottom"/>
            <w:shd w:val="clear" w:color="auto" w:fill="00A1DE"/>
          </w:tcPr>
          <w:p>
            <w:pPr>
              <w:ind w:left="20"/>
              <w:spacing w:after="0" w:line="145" w:lineRule="exact"/>
              <w:rPr>
                <w:sz w:val="20"/>
                <w:szCs w:val="20"/>
                <w:color w:val="auto"/>
              </w:rPr>
            </w:pPr>
            <w:r>
              <w:rPr>
                <w:rFonts w:ascii="Arial" w:cs="Arial" w:eastAsia="Arial" w:hAnsi="Arial"/>
                <w:sz w:val="14"/>
                <w:szCs w:val="14"/>
                <w:color w:val="FFFFFF"/>
              </w:rPr>
              <w:t>the board and its</w:t>
            </w:r>
          </w:p>
        </w:tc>
        <w:tc>
          <w:tcPr>
            <w:tcW w:w="300" w:type="dxa"/>
            <w:vAlign w:val="bottom"/>
          </w:tcPr>
          <w:p>
            <w:pPr>
              <w:spacing w:after="0"/>
              <w:rPr>
                <w:sz w:val="12"/>
                <w:szCs w:val="12"/>
                <w:color w:val="auto"/>
              </w:rPr>
            </w:pPr>
          </w:p>
        </w:tc>
        <w:tc>
          <w:tcPr>
            <w:tcW w:w="1260" w:type="dxa"/>
            <w:vAlign w:val="bottom"/>
            <w:shd w:val="clear" w:color="auto" w:fill="00A1DE"/>
          </w:tcPr>
          <w:p>
            <w:pPr>
              <w:spacing w:after="0" w:line="145" w:lineRule="exact"/>
              <w:rPr>
                <w:sz w:val="20"/>
                <w:szCs w:val="20"/>
                <w:color w:val="auto"/>
              </w:rPr>
            </w:pPr>
            <w:r>
              <w:rPr>
                <w:rFonts w:ascii="Arial" w:cs="Arial" w:eastAsia="Arial" w:hAnsi="Arial"/>
                <w:sz w:val="14"/>
                <w:szCs w:val="14"/>
                <w:color w:val="FFFFFF"/>
              </w:rPr>
              <w:t>led by our lead</w:t>
            </w:r>
          </w:p>
        </w:tc>
        <w:tc>
          <w:tcPr>
            <w:tcW w:w="300" w:type="dxa"/>
            <w:vAlign w:val="bottom"/>
          </w:tcPr>
          <w:p>
            <w:pPr>
              <w:spacing w:after="0"/>
              <w:rPr>
                <w:sz w:val="12"/>
                <w:szCs w:val="12"/>
                <w:color w:val="auto"/>
              </w:rPr>
            </w:pPr>
          </w:p>
        </w:tc>
        <w:tc>
          <w:tcPr>
            <w:tcW w:w="1260" w:type="dxa"/>
            <w:vAlign w:val="bottom"/>
            <w:shd w:val="clear" w:color="auto" w:fill="6D6D6D"/>
          </w:tcPr>
          <w:p>
            <w:pPr>
              <w:ind w:left="20"/>
              <w:spacing w:after="0" w:line="145" w:lineRule="exact"/>
              <w:rPr>
                <w:sz w:val="20"/>
                <w:szCs w:val="20"/>
                <w:color w:val="auto"/>
              </w:rPr>
            </w:pPr>
            <w:r>
              <w:rPr>
                <w:rFonts w:ascii="Arial" w:cs="Arial" w:eastAsia="Arial" w:hAnsi="Arial"/>
                <w:sz w:val="14"/>
                <w:szCs w:val="14"/>
                <w:color w:val="FFFFFF"/>
              </w:rPr>
              <w:t>committee</w:t>
            </w:r>
          </w:p>
        </w:tc>
        <w:tc>
          <w:tcPr>
            <w:tcW w:w="0" w:type="dxa"/>
            <w:vAlign w:val="bottom"/>
          </w:tcPr>
          <w:p>
            <w:pPr>
              <w:spacing w:after="0"/>
              <w:rPr>
                <w:sz w:val="1"/>
                <w:szCs w:val="1"/>
                <w:color w:val="auto"/>
              </w:rPr>
            </w:pPr>
          </w:p>
        </w:tc>
      </w:tr>
      <w:tr>
        <w:trPr>
          <w:trHeight w:val="139"/>
        </w:trPr>
        <w:tc>
          <w:tcPr>
            <w:tcW w:w="1200" w:type="dxa"/>
            <w:vAlign w:val="bottom"/>
            <w:shd w:val="clear" w:color="auto" w:fill="6D6D6D"/>
          </w:tcPr>
          <w:p>
            <w:pPr>
              <w:ind w:left="20"/>
              <w:spacing w:after="0" w:line="139" w:lineRule="exact"/>
              <w:rPr>
                <w:sz w:val="20"/>
                <w:szCs w:val="20"/>
                <w:color w:val="auto"/>
              </w:rPr>
            </w:pPr>
            <w:r>
              <w:rPr>
                <w:rFonts w:ascii="Arial" w:cs="Arial" w:eastAsia="Arial" w:hAnsi="Arial"/>
                <w:sz w:val="14"/>
                <w:szCs w:val="14"/>
                <w:color w:val="FFFFFF"/>
              </w:rPr>
              <w:t>Committee</w:t>
            </w:r>
          </w:p>
        </w:tc>
        <w:tc>
          <w:tcPr>
            <w:tcW w:w="300" w:type="dxa"/>
            <w:vAlign w:val="bottom"/>
          </w:tcPr>
          <w:p>
            <w:pPr>
              <w:spacing w:after="0"/>
              <w:rPr>
                <w:sz w:val="12"/>
                <w:szCs w:val="12"/>
                <w:color w:val="auto"/>
              </w:rPr>
            </w:pPr>
          </w:p>
        </w:tc>
        <w:tc>
          <w:tcPr>
            <w:tcW w:w="1280" w:type="dxa"/>
            <w:vAlign w:val="bottom"/>
            <w:shd w:val="clear" w:color="auto" w:fill="D52B1E"/>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shd w:val="clear" w:color="auto" w:fill="D52B1E"/>
          </w:tcPr>
          <w:p>
            <w:pPr>
              <w:ind w:left="20"/>
              <w:spacing w:after="0" w:line="139" w:lineRule="exact"/>
              <w:rPr>
                <w:sz w:val="20"/>
                <w:szCs w:val="20"/>
                <w:color w:val="auto"/>
              </w:rPr>
            </w:pPr>
            <w:r>
              <w:rPr>
                <w:rFonts w:ascii="Arial" w:cs="Arial" w:eastAsia="Arial" w:hAnsi="Arial"/>
                <w:sz w:val="14"/>
                <w:szCs w:val="14"/>
                <w:color w:val="FFFFFF"/>
              </w:rPr>
              <w:t>the board chair.</w:t>
            </w:r>
          </w:p>
        </w:tc>
        <w:tc>
          <w:tcPr>
            <w:tcW w:w="300" w:type="dxa"/>
            <w:vAlign w:val="bottom"/>
          </w:tcPr>
          <w:p>
            <w:pPr>
              <w:spacing w:after="0"/>
              <w:rPr>
                <w:sz w:val="12"/>
                <w:szCs w:val="12"/>
                <w:color w:val="auto"/>
              </w:rPr>
            </w:pPr>
          </w:p>
        </w:tc>
        <w:tc>
          <w:tcPr>
            <w:tcW w:w="1240" w:type="dxa"/>
            <w:vAlign w:val="bottom"/>
            <w:shd w:val="clear" w:color="auto" w:fill="00A1DE"/>
          </w:tcPr>
          <w:p>
            <w:pPr>
              <w:ind w:left="20"/>
              <w:spacing w:after="0" w:line="139" w:lineRule="exact"/>
              <w:rPr>
                <w:sz w:val="20"/>
                <w:szCs w:val="20"/>
                <w:color w:val="auto"/>
              </w:rPr>
            </w:pPr>
            <w:r>
              <w:rPr>
                <w:rFonts w:ascii="Arial" w:cs="Arial" w:eastAsia="Arial" w:hAnsi="Arial"/>
                <w:sz w:val="14"/>
                <w:szCs w:val="14"/>
                <w:color w:val="FFFFFF"/>
              </w:rPr>
              <w:t>committees.</w:t>
            </w:r>
          </w:p>
        </w:tc>
        <w:tc>
          <w:tcPr>
            <w:tcW w:w="300" w:type="dxa"/>
            <w:vAlign w:val="bottom"/>
          </w:tcPr>
          <w:p>
            <w:pPr>
              <w:spacing w:after="0"/>
              <w:rPr>
                <w:sz w:val="12"/>
                <w:szCs w:val="12"/>
                <w:color w:val="auto"/>
              </w:rPr>
            </w:pPr>
          </w:p>
        </w:tc>
        <w:tc>
          <w:tcPr>
            <w:tcW w:w="1260" w:type="dxa"/>
            <w:vAlign w:val="bottom"/>
            <w:shd w:val="clear" w:color="auto" w:fill="00A1DE"/>
          </w:tcPr>
          <w:p>
            <w:pPr>
              <w:spacing w:after="0" w:line="139" w:lineRule="exact"/>
              <w:rPr>
                <w:sz w:val="20"/>
                <w:szCs w:val="20"/>
                <w:color w:val="auto"/>
              </w:rPr>
            </w:pPr>
            <w:r>
              <w:rPr>
                <w:rFonts w:ascii="Arial" w:cs="Arial" w:eastAsia="Arial" w:hAnsi="Arial"/>
                <w:sz w:val="14"/>
                <w:szCs w:val="14"/>
                <w:color w:val="FFFFFF"/>
              </w:rPr>
              <w:t>independent</w:t>
            </w:r>
          </w:p>
        </w:tc>
        <w:tc>
          <w:tcPr>
            <w:tcW w:w="300" w:type="dxa"/>
            <w:vAlign w:val="bottom"/>
          </w:tcPr>
          <w:p>
            <w:pPr>
              <w:spacing w:after="0"/>
              <w:rPr>
                <w:sz w:val="12"/>
                <w:szCs w:val="12"/>
                <w:color w:val="auto"/>
              </w:rPr>
            </w:pPr>
          </w:p>
        </w:tc>
        <w:tc>
          <w:tcPr>
            <w:tcW w:w="1260" w:type="dxa"/>
            <w:vAlign w:val="bottom"/>
            <w:shd w:val="clear" w:color="auto" w:fill="6D6D6D"/>
          </w:tcPr>
          <w:p>
            <w:pPr>
              <w:ind w:left="20"/>
              <w:spacing w:after="0" w:line="139" w:lineRule="exact"/>
              <w:rPr>
                <w:sz w:val="20"/>
                <w:szCs w:val="20"/>
                <w:color w:val="auto"/>
              </w:rPr>
            </w:pPr>
            <w:r>
              <w:rPr>
                <w:rFonts w:ascii="Arial" w:cs="Arial" w:eastAsia="Arial" w:hAnsi="Arial"/>
                <w:sz w:val="14"/>
                <w:szCs w:val="14"/>
                <w:color w:val="FFFFFF"/>
              </w:rPr>
              <w:t>planning process,</w:t>
            </w:r>
          </w:p>
        </w:tc>
        <w:tc>
          <w:tcPr>
            <w:tcW w:w="0" w:type="dxa"/>
            <w:vAlign w:val="bottom"/>
          </w:tcPr>
          <w:p>
            <w:pPr>
              <w:spacing w:after="0"/>
              <w:rPr>
                <w:sz w:val="1"/>
                <w:szCs w:val="1"/>
                <w:color w:val="auto"/>
              </w:rPr>
            </w:pPr>
          </w:p>
        </w:tc>
      </w:tr>
      <w:tr>
        <w:trPr>
          <w:trHeight w:val="148"/>
        </w:trPr>
        <w:tc>
          <w:tcPr>
            <w:tcW w:w="1200" w:type="dxa"/>
            <w:vAlign w:val="bottom"/>
            <w:shd w:val="clear" w:color="auto" w:fill="6D6D6D"/>
          </w:tcPr>
          <w:p>
            <w:pPr>
              <w:ind w:left="20"/>
              <w:spacing w:after="0" w:line="149" w:lineRule="exact"/>
              <w:rPr>
                <w:sz w:val="20"/>
                <w:szCs w:val="20"/>
                <w:color w:val="auto"/>
              </w:rPr>
            </w:pPr>
            <w:r>
              <w:rPr>
                <w:rFonts w:ascii="Arial" w:cs="Arial" w:eastAsia="Arial" w:hAnsi="Arial"/>
                <w:sz w:val="14"/>
                <w:szCs w:val="14"/>
                <w:color w:val="FFFFFF"/>
              </w:rPr>
              <w:t>reviewed the</w:t>
            </w:r>
          </w:p>
        </w:tc>
        <w:tc>
          <w:tcPr>
            <w:tcW w:w="300" w:type="dxa"/>
            <w:vAlign w:val="bottom"/>
          </w:tcPr>
          <w:p>
            <w:pPr>
              <w:spacing w:after="0"/>
              <w:rPr>
                <w:sz w:val="12"/>
                <w:szCs w:val="12"/>
                <w:color w:val="auto"/>
              </w:rPr>
            </w:pPr>
          </w:p>
        </w:tc>
        <w:tc>
          <w:tcPr>
            <w:tcW w:w="1280" w:type="dxa"/>
            <w:vAlign w:val="bottom"/>
            <w:shd w:val="clear" w:color="auto" w:fill="D52B1E"/>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shd w:val="clear" w:color="auto" w:fill="D52B1E"/>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shd w:val="clear" w:color="auto" w:fill="00A1DE"/>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shd w:val="clear" w:color="auto" w:fill="00A1DE"/>
          </w:tcPr>
          <w:p>
            <w:pPr>
              <w:spacing w:after="0" w:line="149" w:lineRule="exact"/>
              <w:rPr>
                <w:sz w:val="20"/>
                <w:szCs w:val="20"/>
                <w:color w:val="auto"/>
              </w:rPr>
            </w:pPr>
            <w:r>
              <w:rPr>
                <w:rFonts w:ascii="Arial" w:cs="Arial" w:eastAsia="Arial" w:hAnsi="Arial"/>
                <w:sz w:val="14"/>
                <w:szCs w:val="14"/>
                <w:color w:val="FFFFFF"/>
              </w:rPr>
              <w:t>director and</w:t>
            </w:r>
          </w:p>
        </w:tc>
        <w:tc>
          <w:tcPr>
            <w:tcW w:w="300" w:type="dxa"/>
            <w:vAlign w:val="bottom"/>
          </w:tcPr>
          <w:p>
            <w:pPr>
              <w:spacing w:after="0"/>
              <w:rPr>
                <w:sz w:val="12"/>
                <w:szCs w:val="12"/>
                <w:color w:val="auto"/>
              </w:rPr>
            </w:pPr>
          </w:p>
        </w:tc>
        <w:tc>
          <w:tcPr>
            <w:tcW w:w="1260" w:type="dxa"/>
            <w:vAlign w:val="bottom"/>
            <w:shd w:val="clear" w:color="auto" w:fill="6D6D6D"/>
          </w:tcPr>
          <w:p>
            <w:pPr>
              <w:ind w:left="20"/>
              <w:spacing w:after="0" w:line="149" w:lineRule="exact"/>
              <w:rPr>
                <w:sz w:val="20"/>
                <w:szCs w:val="20"/>
                <w:color w:val="auto"/>
              </w:rPr>
            </w:pPr>
            <w:r>
              <w:rPr>
                <w:rFonts w:ascii="Arial" w:cs="Arial" w:eastAsia="Arial" w:hAnsi="Arial"/>
                <w:sz w:val="14"/>
                <w:szCs w:val="14"/>
                <w:color w:val="FFFFFF"/>
              </w:rPr>
              <w:t>as applicable.</w:t>
            </w:r>
          </w:p>
        </w:tc>
        <w:tc>
          <w:tcPr>
            <w:tcW w:w="0" w:type="dxa"/>
            <w:vAlign w:val="bottom"/>
          </w:tcPr>
          <w:p>
            <w:pPr>
              <w:spacing w:after="0"/>
              <w:rPr>
                <w:sz w:val="1"/>
                <w:szCs w:val="1"/>
                <w:color w:val="auto"/>
              </w:rPr>
            </w:pPr>
          </w:p>
        </w:tc>
      </w:tr>
      <w:tr>
        <w:trPr>
          <w:trHeight w:val="144"/>
        </w:trPr>
        <w:tc>
          <w:tcPr>
            <w:tcW w:w="1200" w:type="dxa"/>
            <w:vAlign w:val="bottom"/>
            <w:shd w:val="clear" w:color="auto" w:fill="6D6D6D"/>
          </w:tcPr>
          <w:p>
            <w:pPr>
              <w:ind w:left="20"/>
              <w:spacing w:after="0" w:line="145" w:lineRule="exact"/>
              <w:rPr>
                <w:sz w:val="20"/>
                <w:szCs w:val="20"/>
                <w:color w:val="auto"/>
              </w:rPr>
            </w:pPr>
            <w:r>
              <w:rPr>
                <w:rFonts w:ascii="Arial" w:cs="Arial" w:eastAsia="Arial" w:hAnsi="Arial"/>
                <w:sz w:val="14"/>
                <w:szCs w:val="14"/>
                <w:color w:val="FFFFFF"/>
              </w:rPr>
              <w:t>evaluation</w:t>
            </w:r>
          </w:p>
        </w:tc>
        <w:tc>
          <w:tcPr>
            <w:tcW w:w="300" w:type="dxa"/>
            <w:vAlign w:val="bottom"/>
          </w:tcPr>
          <w:p>
            <w:pPr>
              <w:spacing w:after="0"/>
              <w:rPr>
                <w:sz w:val="12"/>
                <w:szCs w:val="12"/>
                <w:color w:val="auto"/>
              </w:rPr>
            </w:pPr>
          </w:p>
        </w:tc>
        <w:tc>
          <w:tcPr>
            <w:tcW w:w="1280" w:type="dxa"/>
            <w:vAlign w:val="bottom"/>
            <w:shd w:val="clear" w:color="auto" w:fill="D52B1E"/>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shd w:val="clear" w:color="auto" w:fill="D52B1E"/>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shd w:val="clear" w:color="auto" w:fill="00A1DE"/>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shd w:val="clear" w:color="auto" w:fill="00A1DE"/>
          </w:tcPr>
          <w:p>
            <w:pPr>
              <w:spacing w:after="0" w:line="145" w:lineRule="exact"/>
              <w:rPr>
                <w:sz w:val="20"/>
                <w:szCs w:val="20"/>
                <w:color w:val="auto"/>
              </w:rPr>
            </w:pPr>
            <w:r>
              <w:rPr>
                <w:rFonts w:ascii="Arial" w:cs="Arial" w:eastAsia="Arial" w:hAnsi="Arial"/>
                <w:sz w:val="14"/>
                <w:szCs w:val="14"/>
                <w:color w:val="FFFFFF"/>
              </w:rPr>
              <w:t>independent</w:t>
            </w:r>
          </w:p>
        </w:tc>
        <w:tc>
          <w:tcPr>
            <w:tcW w:w="300" w:type="dxa"/>
            <w:vAlign w:val="bottom"/>
          </w:tcPr>
          <w:p>
            <w:pPr>
              <w:spacing w:after="0"/>
              <w:rPr>
                <w:sz w:val="12"/>
                <w:szCs w:val="12"/>
                <w:color w:val="auto"/>
              </w:rPr>
            </w:pPr>
          </w:p>
        </w:tc>
        <w:tc>
          <w:tcPr>
            <w:tcW w:w="1260" w:type="dxa"/>
            <w:vAlign w:val="bottom"/>
            <w:shd w:val="clear" w:color="auto" w:fill="6D6D6D"/>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200" w:type="dxa"/>
            <w:vAlign w:val="bottom"/>
            <w:shd w:val="clear" w:color="auto" w:fill="6D6D6D"/>
          </w:tcPr>
          <w:p>
            <w:pPr>
              <w:ind w:left="20"/>
              <w:spacing w:after="0"/>
              <w:rPr>
                <w:sz w:val="20"/>
                <w:szCs w:val="20"/>
                <w:color w:val="auto"/>
              </w:rPr>
            </w:pPr>
            <w:r>
              <w:rPr>
                <w:rFonts w:ascii="Arial" w:cs="Arial" w:eastAsia="Arial" w:hAnsi="Arial"/>
                <w:sz w:val="14"/>
                <w:szCs w:val="14"/>
                <w:color w:val="FFFFFF"/>
              </w:rPr>
              <w:t>process.</w:t>
            </w:r>
          </w:p>
        </w:tc>
        <w:tc>
          <w:tcPr>
            <w:tcW w:w="300" w:type="dxa"/>
            <w:vAlign w:val="bottom"/>
          </w:tcPr>
          <w:p>
            <w:pPr>
              <w:spacing w:after="0"/>
              <w:rPr>
                <w:sz w:val="16"/>
                <w:szCs w:val="16"/>
                <w:color w:val="auto"/>
              </w:rPr>
            </w:pPr>
          </w:p>
        </w:tc>
        <w:tc>
          <w:tcPr>
            <w:tcW w:w="1280" w:type="dxa"/>
            <w:vAlign w:val="bottom"/>
            <w:shd w:val="clear" w:color="auto" w:fill="D52B1E"/>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shd w:val="clear" w:color="auto" w:fill="D52B1E"/>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shd w:val="clear" w:color="auto" w:fill="00A1DE"/>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shd w:val="clear" w:color="auto" w:fill="00A1DE"/>
          </w:tcPr>
          <w:p>
            <w:pPr>
              <w:spacing w:after="0"/>
              <w:rPr>
                <w:sz w:val="20"/>
                <w:szCs w:val="20"/>
                <w:color w:val="auto"/>
              </w:rPr>
            </w:pPr>
            <w:r>
              <w:rPr>
                <w:rFonts w:ascii="Arial" w:cs="Arial" w:eastAsia="Arial" w:hAnsi="Arial"/>
                <w:sz w:val="14"/>
                <w:szCs w:val="14"/>
                <w:color w:val="FFFFFF"/>
              </w:rPr>
              <w:t>committee chairs.</w:t>
            </w:r>
          </w:p>
        </w:tc>
        <w:tc>
          <w:tcPr>
            <w:tcW w:w="300" w:type="dxa"/>
            <w:vAlign w:val="bottom"/>
          </w:tcPr>
          <w:p>
            <w:pPr>
              <w:spacing w:after="0"/>
              <w:rPr>
                <w:sz w:val="16"/>
                <w:szCs w:val="16"/>
                <w:color w:val="auto"/>
              </w:rPr>
            </w:pPr>
          </w:p>
        </w:tc>
        <w:tc>
          <w:tcPr>
            <w:tcW w:w="1260" w:type="dxa"/>
            <w:vAlign w:val="bottom"/>
            <w:shd w:val="clear" w:color="auto" w:fill="6D6D6D"/>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200" w:type="dxa"/>
            <w:vAlign w:val="bottom"/>
            <w:shd w:val="clear" w:color="auto" w:fill="6D6D6D"/>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shd w:val="clear" w:color="auto" w:fill="D52B1E"/>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shd w:val="clear" w:color="auto" w:fill="D52B1E"/>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shd w:val="clear" w:color="auto" w:fill="00A1DE"/>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shd w:val="clear" w:color="auto" w:fill="00A1DE"/>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shd w:val="clear" w:color="auto" w:fill="6D6D6D"/>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-1345565</wp:posOffset>
            </wp:positionV>
            <wp:extent cx="85725" cy="13716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-1379855</wp:posOffset>
            </wp:positionV>
            <wp:extent cx="85725" cy="16319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-1379855</wp:posOffset>
            </wp:positionV>
            <wp:extent cx="85725" cy="16319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-1379855</wp:posOffset>
            </wp:positionV>
            <wp:extent cx="85725" cy="16319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-1379855</wp:posOffset>
            </wp:positionV>
            <wp:extent cx="85725" cy="16319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5725" cy="163195"/>
                    </a:xfrm>
                    <a:prstGeom prst="rect">
                      <a:avLst/>
                    </a:prstGeom>
                    <a:noFill/>
                  </pic:spPr>
                </pic:pic>
              </a:graphicData>
            </a:graphic>
          </wp:anchor>
        </w:drawing>
      </w:r>
    </w:p>
    <w:p>
      <w:pPr>
        <w:spacing w:after="0" w:line="16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Every year, the Directors and Corporate Governance Committee, together with the chair and the lead independent director, conducts a robust assessment of the performance of the board and board committees, and of all board processes, based on input from all directors. We also conduct an annual assessment of each director’s performance, and every three years we conduct a detailed review of individual director performance when considering whether to nominate the director to a new three-year term.</w:t>
      </w:r>
    </w:p>
    <w:p>
      <w:pPr>
        <w:spacing w:after="0" w:line="116"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The results of these assessments inform the board’s recommendations on nominations for directors at the annual meeting of shareholders each year and help provide us with insight on the types of experiences, skills, perspectives, and other characteristics we should be seeking for future director candidates. Together with our lead independent director, the Directors and Corporate Governance Committee performs periodic assessments of the overall composition and skills of the board to ensure that the board is actively engaged in succession planning for directors, and that our board reflects the diversity of viewpoints and expertise necessary to support our complex and evolving business.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Education</w:t>
      </w:r>
    </w:p>
    <w:p>
      <w:pPr>
        <w:spacing w:after="0" w:line="31" w:lineRule="exact"/>
        <w:rPr>
          <w:sz w:val="20"/>
          <w:szCs w:val="20"/>
          <w:color w:val="auto"/>
        </w:rPr>
      </w:pPr>
    </w:p>
    <w:p>
      <w:pPr>
        <w:ind w:right="460"/>
        <w:spacing w:after="0" w:line="258" w:lineRule="auto"/>
        <w:rPr>
          <w:sz w:val="20"/>
          <w:szCs w:val="20"/>
          <w:color w:val="auto"/>
        </w:rPr>
      </w:pPr>
      <w:r>
        <w:rPr>
          <w:rFonts w:ascii="Arial" w:cs="Arial" w:eastAsia="Arial" w:hAnsi="Arial"/>
          <w:sz w:val="18"/>
          <w:szCs w:val="18"/>
          <w:color w:val="auto"/>
        </w:rPr>
        <w:t>Periodic briefing sessions are provided to members of the board and committees on subjects that would assist them in discharging their duties. Directors also attend regular continuing education sessions on areas of relevance or importance to our company, and we hold periodic mandatory training sessions for the Audit Committee.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Beyond the Boardroom</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Director Orientation</w:t>
      </w:r>
    </w:p>
    <w:p>
      <w:pPr>
        <w:spacing w:after="0" w:line="58"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Each new director participates in an orientation program upon joining the board. The program includes presentations by senior management to familiarize new directors with, among other things, Lilly’s ethics, compliance and governance programs, business units, financial position, strategic plans, and human capital management programs.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Business Deep Dive</w:t>
      </w:r>
    </w:p>
    <w:p>
      <w:pPr>
        <w:spacing w:after="0" w:line="72"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Periodically, directors will be invited or may request “deep dive” educational sessions with respect to a particular business unit or other aspect of our business.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Site Visits</w:t>
      </w:r>
    </w:p>
    <w:p>
      <w:pPr>
        <w:spacing w:after="0" w:line="72"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Periodically, directors will be invited or may request to visit the company’s manufacturing or other operating sites, and management will prepare educational sessions for the directors relevant to the location’s business and culture.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9" w:name="page50"/>
    <w:bookmarkEnd w:id="49"/>
    <w:p>
      <w:pPr>
        <w:spacing w:after="0"/>
        <w:rPr>
          <w:sz w:val="20"/>
          <w:szCs w:val="20"/>
          <w:color w:val="auto"/>
        </w:rPr>
      </w:pPr>
      <w:r>
        <w:rPr>
          <w:rFonts w:ascii="Arial" w:cs="Arial" w:eastAsia="Arial" w:hAnsi="Arial"/>
          <w:sz w:val="20"/>
          <w:szCs w:val="20"/>
          <w:b w:val="1"/>
          <w:bCs w:val="1"/>
          <w:color w:val="D52B1E"/>
        </w:rPr>
        <w:t>Diversity and Inclusion Events</w:t>
      </w:r>
    </w:p>
    <w:p>
      <w:pPr>
        <w:spacing w:after="0" w:line="7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Directors have the opportunity to participate in a variety of Lilly diversity and inclusion events, both as presenters and as participants. This offers a chance for directors to connect with Lilly employees, show their support for these activities and see our diversity and inclusion strategies in action.</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Shareholder Engagement</w:t>
      </w:r>
    </w:p>
    <w:p>
      <w:pPr>
        <w:spacing w:after="0" w:line="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board receives periodic updates on shareholder engagement led by management, and is directly involved in responding to and participating in communications where appropriate. From time to time, directors participate in direct engagement with shareholders to discuss specific matters of mutual importance.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Compensation</w:t>
      </w:r>
    </w:p>
    <w:p>
      <w:pPr>
        <w:spacing w:after="0" w:line="18"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Directors who are employees receive no additional compensation for serving on the board. Non-employee director compensation is reviewed and approved by the board, on the recommendation of the Directors and Corporate Governance Committee.</w:t>
      </w:r>
    </w:p>
    <w:p>
      <w:pPr>
        <w:spacing w:after="0" w:line="104" w:lineRule="exact"/>
        <w:rPr>
          <w:sz w:val="20"/>
          <w:szCs w:val="20"/>
          <w:color w:val="auto"/>
        </w:rPr>
      </w:pPr>
    </w:p>
    <w:tbl>
      <w:tblPr>
        <w:tblLayout w:type="fixed"/>
        <w:tblInd w:w="80" w:type="dxa"/>
        <w:tblCellMar>
          <w:top w:w="0" w:type="dxa"/>
          <w:left w:w="0" w:type="dxa"/>
          <w:bottom w:w="0" w:type="dxa"/>
          <w:right w:w="0" w:type="dxa"/>
        </w:tblCellMar>
      </w:tblPr>
      <w:tr>
        <w:trPr>
          <w:trHeight w:val="364"/>
        </w:trPr>
        <w:tc>
          <w:tcPr>
            <w:tcW w:w="3000" w:type="dxa"/>
            <w:vAlign w:val="bottom"/>
          </w:tcPr>
          <w:p>
            <w:pPr>
              <w:jc w:val="center"/>
              <w:ind w:right="37"/>
              <w:spacing w:after="0"/>
              <w:rPr>
                <w:sz w:val="20"/>
                <w:szCs w:val="20"/>
                <w:color w:val="auto"/>
              </w:rPr>
            </w:pPr>
            <w:r>
              <w:rPr>
                <w:rFonts w:ascii="Arial" w:cs="Arial" w:eastAsia="Arial" w:hAnsi="Arial"/>
                <w:sz w:val="29"/>
                <w:szCs w:val="29"/>
                <w:color w:val="D52B1E"/>
                <w:w w:val="99"/>
              </w:rPr>
              <w:t>62%</w:t>
            </w:r>
          </w:p>
        </w:tc>
        <w:tc>
          <w:tcPr>
            <w:tcW w:w="2940" w:type="dxa"/>
            <w:vAlign w:val="bottom"/>
          </w:tcPr>
          <w:p>
            <w:pPr>
              <w:jc w:val="center"/>
              <w:spacing w:after="0"/>
              <w:rPr>
                <w:sz w:val="20"/>
                <w:szCs w:val="20"/>
                <w:color w:val="auto"/>
              </w:rPr>
            </w:pPr>
            <w:r>
              <w:rPr>
                <w:rFonts w:ascii="Arial" w:cs="Arial" w:eastAsia="Arial" w:hAnsi="Arial"/>
                <w:sz w:val="29"/>
                <w:szCs w:val="29"/>
                <w:color w:val="D52B1E"/>
                <w:w w:val="97"/>
              </w:rPr>
              <w:t>5x</w:t>
            </w:r>
          </w:p>
        </w:tc>
        <w:tc>
          <w:tcPr>
            <w:tcW w:w="2940" w:type="dxa"/>
            <w:vAlign w:val="bottom"/>
          </w:tcPr>
          <w:p>
            <w:pPr>
              <w:jc w:val="center"/>
              <w:ind w:left="32"/>
              <w:spacing w:after="0"/>
              <w:rPr>
                <w:sz w:val="20"/>
                <w:szCs w:val="20"/>
                <w:color w:val="auto"/>
              </w:rPr>
            </w:pPr>
            <w:r>
              <w:rPr>
                <w:rFonts w:ascii="Arial" w:cs="Arial" w:eastAsia="Arial" w:hAnsi="Arial"/>
                <w:sz w:val="29"/>
                <w:szCs w:val="29"/>
                <w:color w:val="D52B1E"/>
              </w:rPr>
              <w:t>CAP</w:t>
            </w:r>
          </w:p>
        </w:tc>
      </w:tr>
      <w:tr>
        <w:trPr>
          <w:trHeight w:val="216"/>
        </w:trPr>
        <w:tc>
          <w:tcPr>
            <w:tcW w:w="3000" w:type="dxa"/>
            <w:vAlign w:val="bottom"/>
          </w:tcPr>
          <w:p>
            <w:pPr>
              <w:jc w:val="center"/>
              <w:ind w:right="37"/>
              <w:spacing w:after="0"/>
              <w:rPr>
                <w:sz w:val="20"/>
                <w:szCs w:val="20"/>
                <w:color w:val="auto"/>
              </w:rPr>
            </w:pPr>
            <w:r>
              <w:rPr>
                <w:rFonts w:ascii="Arial" w:cs="Arial" w:eastAsia="Arial" w:hAnsi="Arial"/>
                <w:sz w:val="18"/>
                <w:szCs w:val="18"/>
                <w:color w:val="auto"/>
                <w:w w:val="99"/>
              </w:rPr>
              <w:t>Board Service Compensation linked</w:t>
            </w:r>
          </w:p>
        </w:tc>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99"/>
              </w:rPr>
              <w:t>Annual Board Retainer share</w:t>
            </w:r>
          </w:p>
        </w:tc>
        <w:tc>
          <w:tcPr>
            <w:tcW w:w="2940" w:type="dxa"/>
            <w:vAlign w:val="bottom"/>
          </w:tcPr>
          <w:p>
            <w:pPr>
              <w:jc w:val="center"/>
              <w:ind w:left="32"/>
              <w:spacing w:after="0"/>
              <w:rPr>
                <w:sz w:val="20"/>
                <w:szCs w:val="20"/>
                <w:color w:val="auto"/>
              </w:rPr>
            </w:pPr>
            <w:r>
              <w:rPr>
                <w:rFonts w:ascii="Arial" w:cs="Arial" w:eastAsia="Arial" w:hAnsi="Arial"/>
                <w:sz w:val="18"/>
                <w:szCs w:val="18"/>
                <w:color w:val="auto"/>
              </w:rPr>
              <w:t xml:space="preserve">on </w:t>
            </w:r>
            <w:r>
              <w:rPr>
                <w:rFonts w:ascii="Arial" w:cs="Arial" w:eastAsia="Arial" w:hAnsi="Arial"/>
                <w:sz w:val="18"/>
                <w:szCs w:val="18"/>
                <w:b w:val="1"/>
                <w:bCs w:val="1"/>
                <w:color w:val="auto"/>
              </w:rPr>
              <w:t>total annual compensation</w:t>
            </w:r>
            <w:r>
              <w:rPr>
                <w:rFonts w:ascii="Arial" w:cs="Arial" w:eastAsia="Arial" w:hAnsi="Arial"/>
                <w:sz w:val="18"/>
                <w:szCs w:val="18"/>
                <w:color w:val="auto"/>
              </w:rPr>
              <w:t xml:space="preserve"> for</w:t>
            </w:r>
          </w:p>
        </w:tc>
      </w:tr>
      <w:tr>
        <w:trPr>
          <w:trHeight w:val="216"/>
        </w:trPr>
        <w:tc>
          <w:tcPr>
            <w:tcW w:w="3000" w:type="dxa"/>
            <w:vAlign w:val="bottom"/>
          </w:tcPr>
          <w:p>
            <w:pPr>
              <w:jc w:val="center"/>
              <w:ind w:right="37"/>
              <w:spacing w:after="0"/>
              <w:rPr>
                <w:sz w:val="20"/>
                <w:szCs w:val="20"/>
                <w:color w:val="auto"/>
              </w:rPr>
            </w:pPr>
            <w:r>
              <w:rPr>
                <w:rFonts w:ascii="Arial" w:cs="Arial" w:eastAsia="Arial" w:hAnsi="Arial"/>
                <w:sz w:val="18"/>
                <w:szCs w:val="18"/>
                <w:color w:val="auto"/>
              </w:rPr>
              <w:t xml:space="preserve">to the </w:t>
            </w:r>
            <w:r>
              <w:rPr>
                <w:rFonts w:ascii="Arial" w:cs="Arial" w:eastAsia="Arial" w:hAnsi="Arial"/>
                <w:sz w:val="18"/>
                <w:szCs w:val="18"/>
                <w:b w:val="1"/>
                <w:bCs w:val="1"/>
                <w:color w:val="auto"/>
              </w:rPr>
              <w:t>long-term performance of</w:t>
            </w:r>
          </w:p>
        </w:tc>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99"/>
              </w:rPr>
              <w:t xml:space="preserve">ownership requirement </w:t>
            </w:r>
            <w:r>
              <w:rPr>
                <w:rFonts w:ascii="Arial" w:cs="Arial" w:eastAsia="Arial" w:hAnsi="Arial"/>
                <w:sz w:val="18"/>
                <w:szCs w:val="18"/>
                <w:color w:val="auto"/>
                <w:w w:val="99"/>
              </w:rPr>
              <w:t>for non-</w:t>
            </w:r>
          </w:p>
        </w:tc>
        <w:tc>
          <w:tcPr>
            <w:tcW w:w="2940" w:type="dxa"/>
            <w:vAlign w:val="bottom"/>
          </w:tcPr>
          <w:p>
            <w:pPr>
              <w:jc w:val="center"/>
              <w:ind w:left="32"/>
              <w:spacing w:after="0"/>
              <w:rPr>
                <w:sz w:val="20"/>
                <w:szCs w:val="20"/>
                <w:color w:val="auto"/>
              </w:rPr>
            </w:pPr>
            <w:r>
              <w:rPr>
                <w:rFonts w:ascii="Arial" w:cs="Arial" w:eastAsia="Arial" w:hAnsi="Arial"/>
                <w:sz w:val="18"/>
                <w:szCs w:val="18"/>
                <w:color w:val="auto"/>
                <w:w w:val="99"/>
              </w:rPr>
              <w:t>non-employee directors</w:t>
            </w:r>
          </w:p>
        </w:tc>
      </w:tr>
      <w:tr>
        <w:trPr>
          <w:trHeight w:val="247"/>
        </w:trPr>
        <w:tc>
          <w:tcPr>
            <w:tcW w:w="3000" w:type="dxa"/>
            <w:vAlign w:val="bottom"/>
          </w:tcPr>
          <w:p>
            <w:pPr>
              <w:jc w:val="center"/>
              <w:ind w:right="17"/>
              <w:spacing w:after="0"/>
              <w:rPr>
                <w:sz w:val="20"/>
                <w:szCs w:val="20"/>
                <w:color w:val="auto"/>
              </w:rPr>
            </w:pPr>
            <w:r>
              <w:rPr>
                <w:rFonts w:ascii="Arial" w:cs="Arial" w:eastAsia="Arial" w:hAnsi="Arial"/>
                <w:sz w:val="18"/>
                <w:szCs w:val="18"/>
                <w:b w:val="1"/>
                <w:bCs w:val="1"/>
                <w:color w:val="auto"/>
                <w:w w:val="99"/>
              </w:rPr>
              <w:t>Lilly stock</w:t>
            </w:r>
          </w:p>
        </w:tc>
        <w:tc>
          <w:tcPr>
            <w:tcW w:w="2940" w:type="dxa"/>
            <w:vAlign w:val="bottom"/>
          </w:tcPr>
          <w:p>
            <w:pPr>
              <w:jc w:val="center"/>
              <w:spacing w:after="0"/>
              <w:rPr>
                <w:sz w:val="20"/>
                <w:szCs w:val="20"/>
                <w:color w:val="auto"/>
              </w:rPr>
            </w:pPr>
            <w:r>
              <w:rPr>
                <w:rFonts w:ascii="Arial" w:cs="Arial" w:eastAsia="Arial" w:hAnsi="Arial"/>
                <w:sz w:val="18"/>
                <w:szCs w:val="18"/>
                <w:color w:val="auto"/>
                <w:w w:val="99"/>
              </w:rPr>
              <w:t>employee directors</w:t>
            </w:r>
          </w:p>
        </w:tc>
        <w:tc>
          <w:tcPr>
            <w:tcW w:w="2940" w:type="dxa"/>
            <w:vAlign w:val="bottom"/>
          </w:tcPr>
          <w:p>
            <w:pPr>
              <w:spacing w:after="0"/>
              <w:rPr>
                <w:sz w:val="21"/>
                <w:szCs w:val="21"/>
                <w:color w:val="auto"/>
              </w:rPr>
            </w:pPr>
          </w:p>
        </w:tc>
      </w:tr>
    </w:tbl>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Director Compensation Governance</w:t>
      </w:r>
    </w:p>
    <w:p>
      <w:pPr>
        <w:spacing w:after="0" w:line="58"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 Directors and Corporate Governance Committee performs an annual in-depth review of non-employee director compensation, including considerations such as:</w:t>
      </w:r>
    </w:p>
    <w:p>
      <w:pPr>
        <w:spacing w:after="0" w:line="100" w:lineRule="exact"/>
        <w:rPr>
          <w:sz w:val="20"/>
          <w:szCs w:val="20"/>
          <w:color w:val="auto"/>
        </w:rPr>
      </w:pPr>
    </w:p>
    <w:p>
      <w:pPr>
        <w:ind w:left="660" w:right="460" w:hanging="247"/>
        <w:spacing w:after="0" w:line="265" w:lineRule="auto"/>
        <w:tabs>
          <w:tab w:leader="none" w:pos="765" w:val="left"/>
        </w:tabs>
        <w:numPr>
          <w:ilvl w:val="0"/>
          <w:numId w:val="104"/>
        </w:numPr>
        <w:rPr>
          <w:rFonts w:ascii="MS PGothic" w:cs="MS PGothic" w:eastAsia="MS PGothic" w:hAnsi="MS PGothic"/>
          <w:sz w:val="18"/>
          <w:szCs w:val="18"/>
          <w:color w:val="auto"/>
        </w:rPr>
      </w:pPr>
      <w:r>
        <w:rPr>
          <w:rFonts w:ascii="Arial" w:cs="Arial" w:eastAsia="Arial" w:hAnsi="Arial"/>
          <w:sz w:val="18"/>
          <w:szCs w:val="18"/>
          <w:color w:val="auto"/>
        </w:rPr>
        <w:t>general industry and pharmaceutical company peer group analysis conducted with the assistance of an outside compensation consultant,</w:t>
      </w:r>
    </w:p>
    <w:p>
      <w:pPr>
        <w:spacing w:after="0" w:line="28" w:lineRule="exact"/>
        <w:rPr>
          <w:rFonts w:ascii="MS PGothic" w:cs="MS PGothic" w:eastAsia="MS PGothic" w:hAnsi="MS PGothic"/>
          <w:sz w:val="18"/>
          <w:szCs w:val="18"/>
          <w:color w:val="auto"/>
        </w:rPr>
      </w:pPr>
    </w:p>
    <w:p>
      <w:pPr>
        <w:ind w:left="660" w:right="280" w:hanging="247"/>
        <w:spacing w:after="0" w:line="265" w:lineRule="auto"/>
        <w:tabs>
          <w:tab w:leader="none" w:pos="765" w:val="left"/>
        </w:tabs>
        <w:numPr>
          <w:ilvl w:val="0"/>
          <w:numId w:val="104"/>
        </w:numPr>
        <w:rPr>
          <w:rFonts w:ascii="MS PGothic" w:cs="MS PGothic" w:eastAsia="MS PGothic" w:hAnsi="MS PGothic"/>
          <w:sz w:val="18"/>
          <w:szCs w:val="18"/>
          <w:color w:val="auto"/>
        </w:rPr>
      </w:pPr>
      <w:r>
        <w:rPr>
          <w:rFonts w:ascii="Arial" w:cs="Arial" w:eastAsia="Arial" w:hAnsi="Arial"/>
          <w:sz w:val="18"/>
          <w:szCs w:val="18"/>
          <w:color w:val="auto"/>
        </w:rPr>
        <w:t>the desire to have non-employee director compensation positioned near the market median when compared against the general industry peer group,</w:t>
      </w:r>
    </w:p>
    <w:p>
      <w:pPr>
        <w:spacing w:after="0" w:line="28" w:lineRule="exact"/>
        <w:rPr>
          <w:rFonts w:ascii="MS PGothic" w:cs="MS PGothic" w:eastAsia="MS PGothic" w:hAnsi="MS PGothic"/>
          <w:sz w:val="18"/>
          <w:szCs w:val="18"/>
          <w:color w:val="auto"/>
        </w:rPr>
      </w:pPr>
    </w:p>
    <w:p>
      <w:pPr>
        <w:ind w:left="760" w:hanging="347"/>
        <w:spacing w:after="0"/>
        <w:tabs>
          <w:tab w:leader="none" w:pos="760" w:val="left"/>
        </w:tabs>
        <w:numPr>
          <w:ilvl w:val="0"/>
          <w:numId w:val="104"/>
        </w:numPr>
        <w:rPr>
          <w:rFonts w:ascii="MS PGothic" w:cs="MS PGothic" w:eastAsia="MS PGothic" w:hAnsi="MS PGothic"/>
          <w:sz w:val="18"/>
          <w:szCs w:val="18"/>
          <w:color w:val="auto"/>
        </w:rPr>
      </w:pPr>
      <w:r>
        <w:rPr>
          <w:rFonts w:ascii="Arial" w:cs="Arial" w:eastAsia="Arial" w:hAnsi="Arial"/>
          <w:sz w:val="18"/>
          <w:szCs w:val="18"/>
          <w:color w:val="auto"/>
        </w:rPr>
        <w:t>the desire to avoid excess compensation, and</w:t>
      </w:r>
    </w:p>
    <w:p>
      <w:pPr>
        <w:spacing w:after="0" w:line="63" w:lineRule="exact"/>
        <w:rPr>
          <w:rFonts w:ascii="MS PGothic" w:cs="MS PGothic" w:eastAsia="MS PGothic" w:hAnsi="MS PGothic"/>
          <w:sz w:val="18"/>
          <w:szCs w:val="18"/>
          <w:color w:val="auto"/>
        </w:rPr>
      </w:pPr>
    </w:p>
    <w:p>
      <w:pPr>
        <w:ind w:left="760" w:hanging="347"/>
        <w:spacing w:after="0"/>
        <w:tabs>
          <w:tab w:leader="none" w:pos="760" w:val="left"/>
        </w:tabs>
        <w:numPr>
          <w:ilvl w:val="0"/>
          <w:numId w:val="104"/>
        </w:numPr>
        <w:rPr>
          <w:rFonts w:ascii="MS PGothic" w:cs="MS PGothic" w:eastAsia="MS PGothic" w:hAnsi="MS PGothic"/>
          <w:sz w:val="18"/>
          <w:szCs w:val="18"/>
          <w:color w:val="auto"/>
        </w:rPr>
      </w:pPr>
      <w:r>
        <w:rPr>
          <w:rFonts w:ascii="Arial" w:cs="Arial" w:eastAsia="Arial" w:hAnsi="Arial"/>
          <w:sz w:val="18"/>
          <w:szCs w:val="18"/>
          <w:color w:val="auto"/>
        </w:rPr>
        <w:t>a focus to link a significant portion of compensation to the long-term performance of Lilly stock.</w:t>
      </w:r>
    </w:p>
    <w:p>
      <w:pPr>
        <w:spacing w:after="0" w:line="171"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If the Directors and Corporate Governance Committee determine adjustments to non-employee director compensation are warranted, it will make recommendations to the full board for consideration.</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Compensation Elements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compensation elements in effect for all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5674995"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674995" cy="17145"/>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3360" w:type="dxa"/>
            <w:vAlign w:val="bottom"/>
            <w:tcBorders>
              <w:bottom w:val="single" w:sz="8" w:color="auto"/>
            </w:tcBorders>
          </w:tcPr>
          <w:p>
            <w:pPr>
              <w:ind w:left="80"/>
              <w:spacing w:after="0"/>
              <w:rPr>
                <w:sz w:val="20"/>
                <w:szCs w:val="20"/>
                <w:color w:val="auto"/>
              </w:rPr>
            </w:pPr>
            <w:r>
              <w:rPr>
                <w:rFonts w:ascii="Arial" w:cs="Arial" w:eastAsia="Arial" w:hAnsi="Arial"/>
                <w:sz w:val="19"/>
                <w:szCs w:val="19"/>
                <w:b w:val="1"/>
                <w:bCs w:val="1"/>
                <w:color w:val="auto"/>
              </w:rPr>
              <w:t>Compensation Element</w:t>
            </w:r>
          </w:p>
        </w:tc>
        <w:tc>
          <w:tcPr>
            <w:tcW w:w="2720" w:type="dxa"/>
            <w:vAlign w:val="bottom"/>
            <w:tcBorders>
              <w:bottom w:val="single" w:sz="8" w:color="auto"/>
            </w:tcBorders>
            <w:gridSpan w:val="2"/>
          </w:tcPr>
          <w:p>
            <w:pPr>
              <w:ind w:left="60"/>
              <w:spacing w:after="0"/>
              <w:rPr>
                <w:sz w:val="20"/>
                <w:szCs w:val="20"/>
                <w:color w:val="auto"/>
              </w:rPr>
            </w:pPr>
            <w:r>
              <w:rPr>
                <w:rFonts w:ascii="Arial" w:cs="Arial" w:eastAsia="Arial" w:hAnsi="Arial"/>
                <w:sz w:val="19"/>
                <w:szCs w:val="19"/>
                <w:b w:val="1"/>
                <w:bCs w:val="1"/>
                <w:color w:val="auto"/>
              </w:rPr>
              <w:t>Payment or Value</w:t>
            </w:r>
          </w:p>
        </w:tc>
        <w:tc>
          <w:tcPr>
            <w:tcW w:w="2860" w:type="dxa"/>
            <w:vAlign w:val="bottom"/>
            <w:tcBorders>
              <w:bottom w:val="single" w:sz="8" w:color="auto"/>
            </w:tcBorders>
            <w:gridSpan w:val="2"/>
          </w:tcPr>
          <w:p>
            <w:pPr>
              <w:ind w:left="100"/>
              <w:spacing w:after="0"/>
              <w:rPr>
                <w:sz w:val="20"/>
                <w:szCs w:val="20"/>
                <w:color w:val="auto"/>
              </w:rPr>
            </w:pPr>
            <w:r>
              <w:rPr>
                <w:rFonts w:ascii="Arial" w:cs="Arial" w:eastAsia="Arial" w:hAnsi="Arial"/>
                <w:sz w:val="19"/>
                <w:szCs w:val="19"/>
                <w:b w:val="1"/>
                <w:bCs w:val="1"/>
                <w:color w:val="595959"/>
              </w:rPr>
              <w:t>Changes for 2023</w:t>
            </w:r>
            <w:r>
              <w:rPr>
                <w:rFonts w:ascii="Arial" w:cs="Arial" w:eastAsia="Arial" w:hAnsi="Arial"/>
                <w:sz w:val="24"/>
                <w:szCs w:val="24"/>
                <w:color w:val="000000"/>
                <w:vertAlign w:val="superscript"/>
              </w:rPr>
              <w:t>2</w:t>
            </w:r>
          </w:p>
        </w:tc>
      </w:tr>
      <w:tr>
        <w:trPr>
          <w:trHeight w:val="393"/>
        </w:trPr>
        <w:tc>
          <w:tcPr>
            <w:tcW w:w="3360" w:type="dxa"/>
            <w:vAlign w:val="bottom"/>
          </w:tcPr>
          <w:p>
            <w:pPr>
              <w:ind w:left="80"/>
              <w:spacing w:after="0"/>
              <w:rPr>
                <w:sz w:val="20"/>
                <w:szCs w:val="20"/>
                <w:color w:val="auto"/>
              </w:rPr>
            </w:pPr>
            <w:r>
              <w:rPr>
                <w:rFonts w:ascii="Arial" w:cs="Arial" w:eastAsia="Arial" w:hAnsi="Arial"/>
                <w:sz w:val="19"/>
                <w:szCs w:val="19"/>
                <w:b w:val="1"/>
                <w:bCs w:val="1"/>
                <w:color w:val="00A1DE"/>
              </w:rPr>
              <w:t>Board Service</w:t>
            </w:r>
            <w:r>
              <w:rPr>
                <w:rFonts w:ascii="Arial" w:cs="Arial" w:eastAsia="Arial" w:hAnsi="Arial"/>
                <w:sz w:val="24"/>
                <w:szCs w:val="24"/>
                <w:b w:val="1"/>
                <w:bCs w:val="1"/>
                <w:color w:val="00A1DE"/>
                <w:vertAlign w:val="superscript"/>
              </w:rPr>
              <w:t>1</w:t>
            </w: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39"/>
        </w:trPr>
        <w:tc>
          <w:tcPr>
            <w:tcW w:w="3360" w:type="dxa"/>
            <w:vAlign w:val="bottom"/>
          </w:tcPr>
          <w:p>
            <w:pPr>
              <w:ind w:left="300"/>
              <w:spacing w:after="0"/>
              <w:rPr>
                <w:sz w:val="20"/>
                <w:szCs w:val="20"/>
                <w:color w:val="auto"/>
              </w:rPr>
            </w:pPr>
            <w:r>
              <w:rPr>
                <w:rFonts w:ascii="Arial" w:cs="Arial" w:eastAsia="Arial" w:hAnsi="Arial"/>
                <w:sz w:val="18"/>
                <w:szCs w:val="18"/>
                <w:color w:val="auto"/>
              </w:rPr>
              <w:t>Annual board retainer</w:t>
            </w:r>
          </w:p>
        </w:tc>
        <w:tc>
          <w:tcPr>
            <w:tcW w:w="960" w:type="dxa"/>
            <w:vAlign w:val="bottom"/>
          </w:tcPr>
          <w:p>
            <w:pPr>
              <w:ind w:left="60"/>
              <w:spacing w:after="0"/>
              <w:rPr>
                <w:sz w:val="20"/>
                <w:szCs w:val="20"/>
                <w:color w:val="auto"/>
              </w:rPr>
            </w:pPr>
            <w:r>
              <w:rPr>
                <w:rFonts w:ascii="Arial" w:cs="Arial" w:eastAsia="Arial" w:hAnsi="Arial"/>
                <w:sz w:val="18"/>
                <w:szCs w:val="18"/>
                <w:color w:val="auto"/>
              </w:rPr>
              <w:t>$110,000</w:t>
            </w:r>
          </w:p>
        </w:tc>
        <w:tc>
          <w:tcPr>
            <w:tcW w:w="1760" w:type="dxa"/>
            <w:vAlign w:val="bottom"/>
          </w:tcPr>
          <w:p>
            <w:pPr>
              <w:spacing w:after="0"/>
              <w:rPr>
                <w:sz w:val="20"/>
                <w:szCs w:val="20"/>
                <w:color w:val="auto"/>
              </w:rPr>
            </w:pPr>
          </w:p>
        </w:tc>
        <w:tc>
          <w:tcPr>
            <w:tcW w:w="1120" w:type="dxa"/>
            <w:vAlign w:val="bottom"/>
          </w:tcPr>
          <w:p>
            <w:pPr>
              <w:ind w:left="100"/>
              <w:spacing w:after="0"/>
              <w:rPr>
                <w:sz w:val="20"/>
                <w:szCs w:val="20"/>
                <w:color w:val="auto"/>
              </w:rPr>
            </w:pPr>
            <w:r>
              <w:rPr>
                <w:rFonts w:ascii="Arial" w:cs="Arial" w:eastAsia="Arial" w:hAnsi="Arial"/>
                <w:sz w:val="18"/>
                <w:szCs w:val="18"/>
                <w:color w:val="595959"/>
              </w:rPr>
              <w:t>$110,000</w:t>
            </w:r>
          </w:p>
        </w:tc>
        <w:tc>
          <w:tcPr>
            <w:tcW w:w="1740" w:type="dxa"/>
            <w:vAlign w:val="bottom"/>
          </w:tcPr>
          <w:p>
            <w:pPr>
              <w:spacing w:after="0"/>
              <w:rPr>
                <w:sz w:val="20"/>
                <w:szCs w:val="20"/>
                <w:color w:val="auto"/>
              </w:rPr>
            </w:pPr>
          </w:p>
        </w:tc>
      </w:tr>
      <w:tr>
        <w:trPr>
          <w:trHeight w:val="501"/>
        </w:trPr>
        <w:tc>
          <w:tcPr>
            <w:tcW w:w="3360" w:type="dxa"/>
            <w:vAlign w:val="bottom"/>
          </w:tcPr>
          <w:p>
            <w:pPr>
              <w:ind w:left="300"/>
              <w:spacing w:after="0"/>
              <w:rPr>
                <w:sz w:val="20"/>
                <w:szCs w:val="20"/>
                <w:color w:val="auto"/>
              </w:rPr>
            </w:pPr>
            <w:r>
              <w:rPr>
                <w:rFonts w:ascii="Arial" w:cs="Arial" w:eastAsia="Arial" w:hAnsi="Arial"/>
                <w:sz w:val="18"/>
                <w:szCs w:val="18"/>
                <w:color w:val="auto"/>
              </w:rPr>
              <w:t>Annual equity grant</w:t>
            </w:r>
            <w:r>
              <w:rPr>
                <w:rFonts w:ascii="Arial" w:cs="Arial" w:eastAsia="Arial" w:hAnsi="Arial"/>
                <w:sz w:val="23"/>
                <w:szCs w:val="23"/>
                <w:color w:val="auto"/>
                <w:vertAlign w:val="superscript"/>
              </w:rPr>
              <w:t>3</w:t>
            </w:r>
          </w:p>
        </w:tc>
        <w:tc>
          <w:tcPr>
            <w:tcW w:w="2720" w:type="dxa"/>
            <w:vAlign w:val="bottom"/>
            <w:gridSpan w:val="2"/>
          </w:tcPr>
          <w:p>
            <w:pPr>
              <w:ind w:left="60"/>
              <w:spacing w:after="0"/>
              <w:rPr>
                <w:sz w:val="20"/>
                <w:szCs w:val="20"/>
                <w:color w:val="auto"/>
              </w:rPr>
            </w:pPr>
            <w:r>
              <w:rPr>
                <w:rFonts w:ascii="Arial" w:cs="Arial" w:eastAsia="Arial" w:hAnsi="Arial"/>
                <w:sz w:val="18"/>
                <w:szCs w:val="18"/>
                <w:color w:val="auto"/>
              </w:rPr>
              <w:t>$180,000 in deferred stock units</w:t>
            </w:r>
          </w:p>
        </w:tc>
        <w:tc>
          <w:tcPr>
            <w:tcW w:w="2860" w:type="dxa"/>
            <w:vAlign w:val="bottom"/>
            <w:gridSpan w:val="2"/>
          </w:tcPr>
          <w:p>
            <w:pPr>
              <w:ind w:left="100"/>
              <w:spacing w:after="0"/>
              <w:rPr>
                <w:sz w:val="20"/>
                <w:szCs w:val="20"/>
                <w:color w:val="auto"/>
              </w:rPr>
            </w:pPr>
            <w:r>
              <w:rPr>
                <w:rFonts w:ascii="Arial" w:cs="Arial" w:eastAsia="Arial" w:hAnsi="Arial"/>
                <w:sz w:val="18"/>
                <w:szCs w:val="18"/>
                <w:b w:val="1"/>
                <w:bCs w:val="1"/>
                <w:i w:val="1"/>
                <w:iCs w:val="1"/>
                <w:color w:val="595959"/>
              </w:rPr>
              <w:t xml:space="preserve">$200,000 </w:t>
            </w:r>
            <w:r>
              <w:rPr>
                <w:rFonts w:ascii="Arial" w:cs="Arial" w:eastAsia="Arial" w:hAnsi="Arial"/>
                <w:sz w:val="18"/>
                <w:szCs w:val="18"/>
                <w:i w:val="1"/>
                <w:iCs w:val="1"/>
                <w:color w:val="000000"/>
              </w:rPr>
              <w:t>in</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595959"/>
              </w:rPr>
              <w:t>deferred stock units</w:t>
            </w:r>
          </w:p>
        </w:tc>
      </w:tr>
      <w:tr>
        <w:trPr>
          <w:trHeight w:val="357"/>
        </w:trPr>
        <w:tc>
          <w:tcPr>
            <w:tcW w:w="3360" w:type="dxa"/>
            <w:vAlign w:val="bottom"/>
          </w:tcPr>
          <w:p>
            <w:pPr>
              <w:ind w:left="300"/>
              <w:spacing w:after="0"/>
              <w:rPr>
                <w:sz w:val="20"/>
                <w:szCs w:val="20"/>
                <w:color w:val="auto"/>
              </w:rPr>
            </w:pPr>
            <w:r>
              <w:rPr>
                <w:rFonts w:ascii="Arial" w:cs="Arial" w:eastAsia="Arial" w:hAnsi="Arial"/>
                <w:sz w:val="18"/>
                <w:szCs w:val="18"/>
                <w:color w:val="auto"/>
              </w:rPr>
              <w:t>Lead independent director</w:t>
            </w:r>
          </w:p>
        </w:tc>
        <w:tc>
          <w:tcPr>
            <w:tcW w:w="960" w:type="dxa"/>
            <w:vAlign w:val="bottom"/>
          </w:tcPr>
          <w:p>
            <w:pPr>
              <w:ind w:left="60"/>
              <w:spacing w:after="0"/>
              <w:rPr>
                <w:sz w:val="20"/>
                <w:szCs w:val="20"/>
                <w:color w:val="auto"/>
              </w:rPr>
            </w:pPr>
            <w:r>
              <w:rPr>
                <w:rFonts w:ascii="Arial" w:cs="Arial" w:eastAsia="Arial" w:hAnsi="Arial"/>
                <w:sz w:val="18"/>
                <w:szCs w:val="18"/>
                <w:color w:val="auto"/>
              </w:rPr>
              <w:t>$35,000</w:t>
            </w:r>
          </w:p>
        </w:tc>
        <w:tc>
          <w:tcPr>
            <w:tcW w:w="1760" w:type="dxa"/>
            <w:vAlign w:val="bottom"/>
          </w:tcPr>
          <w:p>
            <w:pPr>
              <w:spacing w:after="0"/>
              <w:rPr>
                <w:sz w:val="24"/>
                <w:szCs w:val="24"/>
                <w:color w:val="auto"/>
              </w:rPr>
            </w:pPr>
          </w:p>
        </w:tc>
        <w:tc>
          <w:tcPr>
            <w:tcW w:w="1120" w:type="dxa"/>
            <w:vAlign w:val="bottom"/>
          </w:tcPr>
          <w:p>
            <w:pPr>
              <w:ind w:left="100"/>
              <w:spacing w:after="0"/>
              <w:rPr>
                <w:sz w:val="20"/>
                <w:szCs w:val="20"/>
                <w:color w:val="auto"/>
              </w:rPr>
            </w:pPr>
            <w:r>
              <w:rPr>
                <w:rFonts w:ascii="Arial" w:cs="Arial" w:eastAsia="Arial" w:hAnsi="Arial"/>
                <w:sz w:val="18"/>
                <w:szCs w:val="18"/>
                <w:b w:val="1"/>
                <w:bCs w:val="1"/>
                <w:i w:val="1"/>
                <w:iCs w:val="1"/>
                <w:color w:val="595959"/>
              </w:rPr>
              <w:t>$40,000</w:t>
            </w:r>
          </w:p>
        </w:tc>
        <w:tc>
          <w:tcPr>
            <w:tcW w:w="1740" w:type="dxa"/>
            <w:vAlign w:val="bottom"/>
          </w:tcPr>
          <w:p>
            <w:pPr>
              <w:spacing w:after="0"/>
              <w:rPr>
                <w:sz w:val="24"/>
                <w:szCs w:val="24"/>
                <w:color w:val="auto"/>
              </w:rPr>
            </w:pPr>
          </w:p>
        </w:tc>
      </w:tr>
      <w:tr>
        <w:trPr>
          <w:trHeight w:val="28"/>
        </w:trPr>
        <w:tc>
          <w:tcPr>
            <w:tcW w:w="3360" w:type="dxa"/>
            <w:vAlign w:val="bottom"/>
            <w:tcBorders>
              <w:bottom w:val="single" w:sz="8" w:color="D52B1E"/>
            </w:tcBorders>
          </w:tcPr>
          <w:p>
            <w:pPr>
              <w:spacing w:after="0"/>
              <w:rPr>
                <w:sz w:val="2"/>
                <w:szCs w:val="2"/>
                <w:color w:val="auto"/>
              </w:rPr>
            </w:pPr>
          </w:p>
        </w:tc>
        <w:tc>
          <w:tcPr>
            <w:tcW w:w="9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353"/>
        </w:trPr>
        <w:tc>
          <w:tcPr>
            <w:tcW w:w="3360" w:type="dxa"/>
            <w:vAlign w:val="bottom"/>
          </w:tcPr>
          <w:p>
            <w:pPr>
              <w:ind w:left="80"/>
              <w:spacing w:after="0"/>
              <w:rPr>
                <w:sz w:val="20"/>
                <w:szCs w:val="20"/>
                <w:color w:val="auto"/>
              </w:rPr>
            </w:pPr>
            <w:r>
              <w:rPr>
                <w:rFonts w:ascii="Arial" w:cs="Arial" w:eastAsia="Arial" w:hAnsi="Arial"/>
                <w:sz w:val="19"/>
                <w:szCs w:val="19"/>
                <w:b w:val="1"/>
                <w:bCs w:val="1"/>
                <w:color w:val="00A1DE"/>
              </w:rPr>
              <w:t>Committee Service</w:t>
            </w:r>
            <w:r>
              <w:rPr>
                <w:rFonts w:ascii="Arial" w:cs="Arial" w:eastAsia="Arial" w:hAnsi="Arial"/>
                <w:sz w:val="24"/>
                <w:szCs w:val="24"/>
                <w:b w:val="1"/>
                <w:bCs w:val="1"/>
                <w:color w:val="00A1DE"/>
                <w:vertAlign w:val="superscript"/>
              </w:rPr>
              <w:t>1</w:t>
            </w: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89"/>
        </w:trPr>
        <w:tc>
          <w:tcPr>
            <w:tcW w:w="3360" w:type="dxa"/>
            <w:vAlign w:val="bottom"/>
          </w:tcPr>
          <w:p>
            <w:pPr>
              <w:ind w:left="220"/>
              <w:spacing w:after="0"/>
              <w:rPr>
                <w:sz w:val="20"/>
                <w:szCs w:val="20"/>
                <w:color w:val="auto"/>
              </w:rPr>
            </w:pPr>
            <w:r>
              <w:rPr>
                <w:rFonts w:ascii="Arial" w:cs="Arial" w:eastAsia="Arial" w:hAnsi="Arial"/>
                <w:sz w:val="18"/>
                <w:szCs w:val="18"/>
                <w:color w:val="auto"/>
              </w:rPr>
              <w:t>Annual Committee Retainer</w:t>
            </w:r>
            <w:r>
              <w:rPr>
                <w:rFonts w:ascii="Arial" w:cs="Arial" w:eastAsia="Arial" w:hAnsi="Arial"/>
                <w:sz w:val="23"/>
                <w:szCs w:val="23"/>
                <w:color w:val="auto"/>
                <w:vertAlign w:val="superscript"/>
              </w:rPr>
              <w:t>2</w:t>
            </w:r>
          </w:p>
        </w:tc>
        <w:tc>
          <w:tcPr>
            <w:tcW w:w="960" w:type="dxa"/>
            <w:vAlign w:val="bottom"/>
          </w:tcPr>
          <w:p>
            <w:pPr>
              <w:ind w:left="60"/>
              <w:spacing w:after="0"/>
              <w:rPr>
                <w:sz w:val="20"/>
                <w:szCs w:val="20"/>
                <w:color w:val="auto"/>
              </w:rPr>
            </w:pPr>
            <w:r>
              <w:rPr>
                <w:rFonts w:ascii="Arial" w:cs="Arial" w:eastAsia="Arial" w:hAnsi="Arial"/>
                <w:sz w:val="18"/>
                <w:szCs w:val="18"/>
                <w:b w:val="1"/>
                <w:bCs w:val="1"/>
                <w:color w:val="auto"/>
              </w:rPr>
              <w:t>Chair</w:t>
            </w:r>
          </w:p>
        </w:tc>
        <w:tc>
          <w:tcPr>
            <w:tcW w:w="1760" w:type="dxa"/>
            <w:vAlign w:val="bottom"/>
          </w:tcPr>
          <w:p>
            <w:pPr>
              <w:ind w:left="180"/>
              <w:spacing w:after="0"/>
              <w:rPr>
                <w:sz w:val="20"/>
                <w:szCs w:val="20"/>
                <w:color w:val="auto"/>
              </w:rPr>
            </w:pPr>
            <w:r>
              <w:rPr>
                <w:rFonts w:ascii="Arial" w:cs="Arial" w:eastAsia="Arial" w:hAnsi="Arial"/>
                <w:sz w:val="18"/>
                <w:szCs w:val="18"/>
                <w:b w:val="1"/>
                <w:bCs w:val="1"/>
                <w:color w:val="auto"/>
              </w:rPr>
              <w:t>Member</w:t>
            </w:r>
          </w:p>
        </w:tc>
        <w:tc>
          <w:tcPr>
            <w:tcW w:w="1120" w:type="dxa"/>
            <w:vAlign w:val="bottom"/>
          </w:tcPr>
          <w:p>
            <w:pPr>
              <w:ind w:left="100"/>
              <w:spacing w:after="0"/>
              <w:rPr>
                <w:sz w:val="20"/>
                <w:szCs w:val="20"/>
                <w:color w:val="auto"/>
              </w:rPr>
            </w:pPr>
            <w:r>
              <w:rPr>
                <w:rFonts w:ascii="Arial" w:cs="Arial" w:eastAsia="Arial" w:hAnsi="Arial"/>
                <w:sz w:val="18"/>
                <w:szCs w:val="18"/>
                <w:b w:val="1"/>
                <w:bCs w:val="1"/>
                <w:color w:val="595959"/>
              </w:rPr>
              <w:t>Chair</w:t>
            </w:r>
          </w:p>
        </w:tc>
        <w:tc>
          <w:tcPr>
            <w:tcW w:w="1740" w:type="dxa"/>
            <w:vAlign w:val="bottom"/>
          </w:tcPr>
          <w:p>
            <w:pPr>
              <w:ind w:left="280"/>
              <w:spacing w:after="0"/>
              <w:rPr>
                <w:sz w:val="20"/>
                <w:szCs w:val="20"/>
                <w:color w:val="auto"/>
              </w:rPr>
            </w:pPr>
            <w:r>
              <w:rPr>
                <w:rFonts w:ascii="Arial" w:cs="Arial" w:eastAsia="Arial" w:hAnsi="Arial"/>
                <w:sz w:val="18"/>
                <w:szCs w:val="18"/>
                <w:b w:val="1"/>
                <w:bCs w:val="1"/>
                <w:color w:val="595959"/>
              </w:rPr>
              <w:t>Member</w:t>
            </w:r>
          </w:p>
        </w:tc>
      </w:tr>
      <w:tr>
        <w:trPr>
          <w:trHeight w:val="263"/>
        </w:trPr>
        <w:tc>
          <w:tcPr>
            <w:tcW w:w="3360" w:type="dxa"/>
            <w:vAlign w:val="bottom"/>
          </w:tcPr>
          <w:p>
            <w:pPr>
              <w:ind w:left="360"/>
              <w:spacing w:after="0"/>
              <w:rPr>
                <w:sz w:val="20"/>
                <w:szCs w:val="20"/>
                <w:color w:val="auto"/>
              </w:rPr>
            </w:pPr>
            <w:r>
              <w:rPr>
                <w:rFonts w:ascii="Arial" w:cs="Arial" w:eastAsia="Arial" w:hAnsi="Arial"/>
                <w:sz w:val="18"/>
                <w:szCs w:val="18"/>
                <w:i w:val="1"/>
                <w:iCs w:val="1"/>
                <w:color w:val="auto"/>
              </w:rPr>
              <w:t>Audit Committee</w:t>
            </w:r>
          </w:p>
        </w:tc>
        <w:tc>
          <w:tcPr>
            <w:tcW w:w="960" w:type="dxa"/>
            <w:vAlign w:val="bottom"/>
          </w:tcPr>
          <w:p>
            <w:pPr>
              <w:ind w:left="60"/>
              <w:spacing w:after="0"/>
              <w:rPr>
                <w:sz w:val="20"/>
                <w:szCs w:val="20"/>
                <w:color w:val="auto"/>
              </w:rPr>
            </w:pPr>
            <w:r>
              <w:rPr>
                <w:rFonts w:ascii="Arial" w:cs="Arial" w:eastAsia="Arial" w:hAnsi="Arial"/>
                <w:sz w:val="18"/>
                <w:szCs w:val="18"/>
                <w:color w:val="auto"/>
              </w:rPr>
              <w:t>$22,000</w:t>
            </w:r>
          </w:p>
        </w:tc>
        <w:tc>
          <w:tcPr>
            <w:tcW w:w="1760" w:type="dxa"/>
            <w:vAlign w:val="bottom"/>
          </w:tcPr>
          <w:p>
            <w:pPr>
              <w:ind w:left="180"/>
              <w:spacing w:after="0"/>
              <w:rPr>
                <w:sz w:val="20"/>
                <w:szCs w:val="20"/>
                <w:color w:val="auto"/>
              </w:rPr>
            </w:pPr>
            <w:r>
              <w:rPr>
                <w:rFonts w:ascii="Arial" w:cs="Arial" w:eastAsia="Arial" w:hAnsi="Arial"/>
                <w:sz w:val="18"/>
                <w:szCs w:val="18"/>
                <w:color w:val="auto"/>
              </w:rPr>
              <w:t>$6,000</w:t>
            </w:r>
          </w:p>
        </w:tc>
        <w:tc>
          <w:tcPr>
            <w:tcW w:w="1120" w:type="dxa"/>
            <w:vAlign w:val="bottom"/>
          </w:tcPr>
          <w:p>
            <w:pPr>
              <w:ind w:left="100"/>
              <w:spacing w:after="0"/>
              <w:rPr>
                <w:sz w:val="20"/>
                <w:szCs w:val="20"/>
                <w:color w:val="auto"/>
              </w:rPr>
            </w:pPr>
            <w:r>
              <w:rPr>
                <w:rFonts w:ascii="Arial" w:cs="Arial" w:eastAsia="Arial" w:hAnsi="Arial"/>
                <w:sz w:val="18"/>
                <w:szCs w:val="18"/>
                <w:b w:val="1"/>
                <w:bCs w:val="1"/>
                <w:i w:val="1"/>
                <w:iCs w:val="1"/>
                <w:color w:val="595959"/>
              </w:rPr>
              <w:t>$26,000</w:t>
            </w:r>
          </w:p>
        </w:tc>
        <w:tc>
          <w:tcPr>
            <w:tcW w:w="1740" w:type="dxa"/>
            <w:vAlign w:val="bottom"/>
          </w:tcPr>
          <w:p>
            <w:pPr>
              <w:ind w:left="280"/>
              <w:spacing w:after="0"/>
              <w:rPr>
                <w:sz w:val="20"/>
                <w:szCs w:val="20"/>
                <w:color w:val="auto"/>
              </w:rPr>
            </w:pPr>
            <w:r>
              <w:rPr>
                <w:rFonts w:ascii="Arial" w:cs="Arial" w:eastAsia="Arial" w:hAnsi="Arial"/>
                <w:sz w:val="18"/>
                <w:szCs w:val="18"/>
                <w:color w:val="595959"/>
              </w:rPr>
              <w:t>$6,000</w:t>
            </w:r>
          </w:p>
        </w:tc>
      </w:tr>
      <w:tr>
        <w:trPr>
          <w:trHeight w:val="302"/>
        </w:trPr>
        <w:tc>
          <w:tcPr>
            <w:tcW w:w="3360" w:type="dxa"/>
            <w:vAlign w:val="bottom"/>
          </w:tcPr>
          <w:p>
            <w:pPr>
              <w:ind w:left="360"/>
              <w:spacing w:after="0"/>
              <w:rPr>
                <w:sz w:val="20"/>
                <w:szCs w:val="20"/>
                <w:color w:val="auto"/>
              </w:rPr>
            </w:pPr>
            <w:r>
              <w:rPr>
                <w:rFonts w:ascii="Arial" w:cs="Arial" w:eastAsia="Arial" w:hAnsi="Arial"/>
                <w:sz w:val="18"/>
                <w:szCs w:val="18"/>
                <w:i w:val="1"/>
                <w:iCs w:val="1"/>
                <w:color w:val="auto"/>
              </w:rPr>
              <w:t>Science and Technology Committee</w:t>
            </w:r>
          </w:p>
        </w:tc>
        <w:tc>
          <w:tcPr>
            <w:tcW w:w="960" w:type="dxa"/>
            <w:vAlign w:val="bottom"/>
          </w:tcPr>
          <w:p>
            <w:pPr>
              <w:ind w:left="60"/>
              <w:spacing w:after="0"/>
              <w:rPr>
                <w:sz w:val="20"/>
                <w:szCs w:val="20"/>
                <w:color w:val="auto"/>
              </w:rPr>
            </w:pPr>
            <w:r>
              <w:rPr>
                <w:rFonts w:ascii="Arial" w:cs="Arial" w:eastAsia="Arial" w:hAnsi="Arial"/>
                <w:sz w:val="18"/>
                <w:szCs w:val="18"/>
                <w:color w:val="auto"/>
              </w:rPr>
              <w:t>$18,000</w:t>
            </w:r>
          </w:p>
        </w:tc>
        <w:tc>
          <w:tcPr>
            <w:tcW w:w="1760" w:type="dxa"/>
            <w:vAlign w:val="bottom"/>
          </w:tcPr>
          <w:p>
            <w:pPr>
              <w:ind w:left="180"/>
              <w:spacing w:after="0"/>
              <w:rPr>
                <w:sz w:val="20"/>
                <w:szCs w:val="20"/>
                <w:color w:val="auto"/>
              </w:rPr>
            </w:pPr>
            <w:r>
              <w:rPr>
                <w:rFonts w:ascii="Arial" w:cs="Arial" w:eastAsia="Arial" w:hAnsi="Arial"/>
                <w:sz w:val="18"/>
                <w:szCs w:val="18"/>
                <w:color w:val="auto"/>
              </w:rPr>
              <w:t>$6,000</w:t>
            </w:r>
          </w:p>
        </w:tc>
        <w:tc>
          <w:tcPr>
            <w:tcW w:w="1120" w:type="dxa"/>
            <w:vAlign w:val="bottom"/>
          </w:tcPr>
          <w:p>
            <w:pPr>
              <w:ind w:left="100"/>
              <w:spacing w:after="0"/>
              <w:rPr>
                <w:sz w:val="20"/>
                <w:szCs w:val="20"/>
                <w:color w:val="auto"/>
              </w:rPr>
            </w:pPr>
            <w:r>
              <w:rPr>
                <w:rFonts w:ascii="Arial" w:cs="Arial" w:eastAsia="Arial" w:hAnsi="Arial"/>
                <w:sz w:val="18"/>
                <w:szCs w:val="18"/>
                <w:color w:val="auto"/>
              </w:rPr>
              <w:t>$18,000</w:t>
            </w:r>
          </w:p>
        </w:tc>
        <w:tc>
          <w:tcPr>
            <w:tcW w:w="1740" w:type="dxa"/>
            <w:vAlign w:val="bottom"/>
          </w:tcPr>
          <w:p>
            <w:pPr>
              <w:ind w:left="280"/>
              <w:spacing w:after="0"/>
              <w:rPr>
                <w:sz w:val="20"/>
                <w:szCs w:val="20"/>
                <w:color w:val="auto"/>
              </w:rPr>
            </w:pPr>
            <w:r>
              <w:rPr>
                <w:rFonts w:ascii="Arial" w:cs="Arial" w:eastAsia="Arial" w:hAnsi="Arial"/>
                <w:sz w:val="18"/>
                <w:szCs w:val="18"/>
                <w:color w:val="595959"/>
              </w:rPr>
              <w:t>$6,000</w:t>
            </w:r>
          </w:p>
        </w:tc>
      </w:tr>
      <w:tr>
        <w:trPr>
          <w:trHeight w:val="311"/>
        </w:trPr>
        <w:tc>
          <w:tcPr>
            <w:tcW w:w="3360" w:type="dxa"/>
            <w:vAlign w:val="bottom"/>
          </w:tcPr>
          <w:p>
            <w:pPr>
              <w:ind w:left="360"/>
              <w:spacing w:after="0"/>
              <w:rPr>
                <w:sz w:val="20"/>
                <w:szCs w:val="20"/>
                <w:color w:val="auto"/>
              </w:rPr>
            </w:pPr>
            <w:r>
              <w:rPr>
                <w:rFonts w:ascii="Arial" w:cs="Arial" w:eastAsia="Arial" w:hAnsi="Arial"/>
                <w:sz w:val="18"/>
                <w:szCs w:val="18"/>
                <w:i w:val="1"/>
                <w:iCs w:val="1"/>
                <w:color w:val="auto"/>
                <w:w w:val="99"/>
              </w:rPr>
              <w:t>Talent and Compensation Committee</w:t>
            </w:r>
          </w:p>
        </w:tc>
        <w:tc>
          <w:tcPr>
            <w:tcW w:w="960" w:type="dxa"/>
            <w:vAlign w:val="bottom"/>
          </w:tcPr>
          <w:p>
            <w:pPr>
              <w:ind w:left="60"/>
              <w:spacing w:after="0"/>
              <w:rPr>
                <w:sz w:val="20"/>
                <w:szCs w:val="20"/>
                <w:color w:val="auto"/>
              </w:rPr>
            </w:pPr>
            <w:r>
              <w:rPr>
                <w:rFonts w:ascii="Arial" w:cs="Arial" w:eastAsia="Arial" w:hAnsi="Arial"/>
                <w:sz w:val="18"/>
                <w:szCs w:val="18"/>
                <w:color w:val="auto"/>
              </w:rPr>
              <w:t>$17,000</w:t>
            </w:r>
          </w:p>
        </w:tc>
        <w:tc>
          <w:tcPr>
            <w:tcW w:w="1760" w:type="dxa"/>
            <w:vAlign w:val="bottom"/>
          </w:tcPr>
          <w:p>
            <w:pPr>
              <w:ind w:left="180"/>
              <w:spacing w:after="0"/>
              <w:rPr>
                <w:sz w:val="20"/>
                <w:szCs w:val="20"/>
                <w:color w:val="auto"/>
              </w:rPr>
            </w:pPr>
            <w:r>
              <w:rPr>
                <w:rFonts w:ascii="Arial" w:cs="Arial" w:eastAsia="Arial" w:hAnsi="Arial"/>
                <w:sz w:val="18"/>
                <w:szCs w:val="18"/>
                <w:color w:val="auto"/>
              </w:rPr>
              <w:t>$3,000</w:t>
            </w:r>
          </w:p>
        </w:tc>
        <w:tc>
          <w:tcPr>
            <w:tcW w:w="1120" w:type="dxa"/>
            <w:vAlign w:val="bottom"/>
          </w:tcPr>
          <w:p>
            <w:pPr>
              <w:ind w:left="100"/>
              <w:spacing w:after="0"/>
              <w:rPr>
                <w:sz w:val="20"/>
                <w:szCs w:val="20"/>
                <w:color w:val="auto"/>
              </w:rPr>
            </w:pPr>
            <w:r>
              <w:rPr>
                <w:rFonts w:ascii="Arial" w:cs="Arial" w:eastAsia="Arial" w:hAnsi="Arial"/>
                <w:sz w:val="18"/>
                <w:szCs w:val="18"/>
                <w:color w:val="auto"/>
              </w:rPr>
              <w:t>$17,000</w:t>
            </w:r>
          </w:p>
        </w:tc>
        <w:tc>
          <w:tcPr>
            <w:tcW w:w="1740" w:type="dxa"/>
            <w:vAlign w:val="bottom"/>
          </w:tcPr>
          <w:p>
            <w:pPr>
              <w:ind w:left="280"/>
              <w:spacing w:after="0"/>
              <w:rPr>
                <w:sz w:val="20"/>
                <w:szCs w:val="20"/>
                <w:color w:val="auto"/>
              </w:rPr>
            </w:pPr>
            <w:r>
              <w:rPr>
                <w:rFonts w:ascii="Arial" w:cs="Arial" w:eastAsia="Arial" w:hAnsi="Arial"/>
                <w:sz w:val="18"/>
                <w:szCs w:val="18"/>
                <w:color w:val="595959"/>
              </w:rPr>
              <w:t>$3,000</w:t>
            </w:r>
          </w:p>
        </w:tc>
      </w:tr>
      <w:tr>
        <w:trPr>
          <w:trHeight w:val="283"/>
        </w:trPr>
        <w:tc>
          <w:tcPr>
            <w:tcW w:w="3360" w:type="dxa"/>
            <w:vAlign w:val="bottom"/>
          </w:tcPr>
          <w:p>
            <w:pPr>
              <w:ind w:left="360"/>
              <w:spacing w:after="0"/>
              <w:rPr>
                <w:sz w:val="20"/>
                <w:szCs w:val="20"/>
                <w:color w:val="auto"/>
              </w:rPr>
            </w:pPr>
            <w:r>
              <w:rPr>
                <w:rFonts w:ascii="Arial" w:cs="Arial" w:eastAsia="Arial" w:hAnsi="Arial"/>
                <w:sz w:val="18"/>
                <w:szCs w:val="18"/>
                <w:i w:val="1"/>
                <w:iCs w:val="1"/>
                <w:color w:val="auto"/>
              </w:rPr>
              <w:t>Ethics and Compliance Committee</w:t>
            </w:r>
          </w:p>
        </w:tc>
        <w:tc>
          <w:tcPr>
            <w:tcW w:w="960" w:type="dxa"/>
            <w:vAlign w:val="bottom"/>
          </w:tcPr>
          <w:p>
            <w:pPr>
              <w:ind w:left="60"/>
              <w:spacing w:after="0"/>
              <w:rPr>
                <w:sz w:val="20"/>
                <w:szCs w:val="20"/>
                <w:color w:val="auto"/>
              </w:rPr>
            </w:pPr>
            <w:r>
              <w:rPr>
                <w:rFonts w:ascii="Arial" w:cs="Arial" w:eastAsia="Arial" w:hAnsi="Arial"/>
                <w:sz w:val="18"/>
                <w:szCs w:val="18"/>
                <w:color w:val="auto"/>
              </w:rPr>
              <w:t>$17,000</w:t>
            </w:r>
          </w:p>
        </w:tc>
        <w:tc>
          <w:tcPr>
            <w:tcW w:w="1760" w:type="dxa"/>
            <w:vAlign w:val="bottom"/>
          </w:tcPr>
          <w:p>
            <w:pPr>
              <w:ind w:left="180"/>
              <w:spacing w:after="0"/>
              <w:rPr>
                <w:sz w:val="20"/>
                <w:szCs w:val="20"/>
                <w:color w:val="auto"/>
              </w:rPr>
            </w:pPr>
            <w:r>
              <w:rPr>
                <w:rFonts w:ascii="Arial" w:cs="Arial" w:eastAsia="Arial" w:hAnsi="Arial"/>
                <w:sz w:val="18"/>
                <w:szCs w:val="18"/>
                <w:color w:val="auto"/>
              </w:rPr>
              <w:t>$3,000</w:t>
            </w:r>
          </w:p>
        </w:tc>
        <w:tc>
          <w:tcPr>
            <w:tcW w:w="1120" w:type="dxa"/>
            <w:vAlign w:val="bottom"/>
          </w:tcPr>
          <w:p>
            <w:pPr>
              <w:ind w:left="100"/>
              <w:spacing w:after="0"/>
              <w:rPr>
                <w:sz w:val="20"/>
                <w:szCs w:val="20"/>
                <w:color w:val="auto"/>
              </w:rPr>
            </w:pPr>
            <w:r>
              <w:rPr>
                <w:rFonts w:ascii="Arial" w:cs="Arial" w:eastAsia="Arial" w:hAnsi="Arial"/>
                <w:sz w:val="18"/>
                <w:szCs w:val="18"/>
                <w:color w:val="auto"/>
              </w:rPr>
              <w:t>$17,000</w:t>
            </w:r>
          </w:p>
        </w:tc>
        <w:tc>
          <w:tcPr>
            <w:tcW w:w="1740" w:type="dxa"/>
            <w:vAlign w:val="bottom"/>
          </w:tcPr>
          <w:p>
            <w:pPr>
              <w:ind w:left="280"/>
              <w:spacing w:after="0"/>
              <w:rPr>
                <w:sz w:val="20"/>
                <w:szCs w:val="20"/>
                <w:color w:val="auto"/>
              </w:rPr>
            </w:pPr>
            <w:r>
              <w:rPr>
                <w:rFonts w:ascii="Arial" w:cs="Arial" w:eastAsia="Arial" w:hAnsi="Arial"/>
                <w:sz w:val="18"/>
                <w:szCs w:val="18"/>
                <w:color w:val="595959"/>
              </w:rPr>
              <w:t>$3,000</w:t>
            </w:r>
          </w:p>
        </w:tc>
      </w:tr>
      <w:tr>
        <w:trPr>
          <w:trHeight w:val="293"/>
        </w:trPr>
        <w:tc>
          <w:tcPr>
            <w:tcW w:w="3360" w:type="dxa"/>
            <w:vAlign w:val="bottom"/>
          </w:tcPr>
          <w:p>
            <w:pPr>
              <w:ind w:left="360"/>
              <w:spacing w:after="0"/>
              <w:rPr>
                <w:sz w:val="20"/>
                <w:szCs w:val="20"/>
                <w:color w:val="auto"/>
              </w:rPr>
            </w:pPr>
            <w:r>
              <w:rPr>
                <w:rFonts w:ascii="Arial" w:cs="Arial" w:eastAsia="Arial" w:hAnsi="Arial"/>
                <w:sz w:val="18"/>
                <w:szCs w:val="18"/>
                <w:i w:val="1"/>
                <w:iCs w:val="1"/>
                <w:color w:val="auto"/>
              </w:rPr>
              <w:t>Directors and Corporate Governance</w:t>
            </w:r>
          </w:p>
        </w:tc>
        <w:tc>
          <w:tcPr>
            <w:tcW w:w="960" w:type="dxa"/>
            <w:vAlign w:val="bottom"/>
          </w:tcPr>
          <w:p>
            <w:pPr>
              <w:ind w:left="60"/>
              <w:spacing w:after="0"/>
              <w:rPr>
                <w:sz w:val="20"/>
                <w:szCs w:val="20"/>
                <w:color w:val="auto"/>
              </w:rPr>
            </w:pPr>
            <w:r>
              <w:rPr>
                <w:rFonts w:ascii="Arial" w:cs="Arial" w:eastAsia="Arial" w:hAnsi="Arial"/>
                <w:sz w:val="18"/>
                <w:szCs w:val="18"/>
                <w:color w:val="auto"/>
              </w:rPr>
              <w:t>$17,000</w:t>
            </w:r>
          </w:p>
        </w:tc>
        <w:tc>
          <w:tcPr>
            <w:tcW w:w="1760" w:type="dxa"/>
            <w:vAlign w:val="bottom"/>
          </w:tcPr>
          <w:p>
            <w:pPr>
              <w:ind w:left="180"/>
              <w:spacing w:after="0"/>
              <w:rPr>
                <w:sz w:val="20"/>
                <w:szCs w:val="20"/>
                <w:color w:val="auto"/>
              </w:rPr>
            </w:pPr>
            <w:r>
              <w:rPr>
                <w:rFonts w:ascii="Arial" w:cs="Arial" w:eastAsia="Arial" w:hAnsi="Arial"/>
                <w:sz w:val="18"/>
                <w:szCs w:val="18"/>
                <w:color w:val="auto"/>
              </w:rPr>
              <w:t>$3,000</w:t>
            </w:r>
          </w:p>
        </w:tc>
        <w:tc>
          <w:tcPr>
            <w:tcW w:w="1120" w:type="dxa"/>
            <w:vAlign w:val="bottom"/>
          </w:tcPr>
          <w:p>
            <w:pPr>
              <w:ind w:left="100"/>
              <w:spacing w:after="0"/>
              <w:rPr>
                <w:sz w:val="20"/>
                <w:szCs w:val="20"/>
                <w:color w:val="auto"/>
              </w:rPr>
            </w:pPr>
            <w:r>
              <w:rPr>
                <w:rFonts w:ascii="Arial" w:cs="Arial" w:eastAsia="Arial" w:hAnsi="Arial"/>
                <w:sz w:val="18"/>
                <w:szCs w:val="18"/>
                <w:color w:val="auto"/>
              </w:rPr>
              <w:t>$17,000</w:t>
            </w:r>
          </w:p>
        </w:tc>
        <w:tc>
          <w:tcPr>
            <w:tcW w:w="1740" w:type="dxa"/>
            <w:vAlign w:val="bottom"/>
          </w:tcPr>
          <w:p>
            <w:pPr>
              <w:ind w:left="280"/>
              <w:spacing w:after="0"/>
              <w:rPr>
                <w:sz w:val="20"/>
                <w:szCs w:val="20"/>
                <w:color w:val="auto"/>
              </w:rPr>
            </w:pPr>
            <w:r>
              <w:rPr>
                <w:rFonts w:ascii="Arial" w:cs="Arial" w:eastAsia="Arial" w:hAnsi="Arial"/>
                <w:sz w:val="18"/>
                <w:szCs w:val="18"/>
                <w:color w:val="595959"/>
              </w:rPr>
              <w:t>$3,000</w:t>
            </w:r>
          </w:p>
        </w:tc>
      </w:tr>
      <w:tr>
        <w:trPr>
          <w:trHeight w:val="191"/>
        </w:trPr>
        <w:tc>
          <w:tcPr>
            <w:tcW w:w="3360" w:type="dxa"/>
            <w:vAlign w:val="bottom"/>
          </w:tcPr>
          <w:p>
            <w:pPr>
              <w:ind w:left="440"/>
              <w:spacing w:after="0" w:line="191" w:lineRule="exact"/>
              <w:rPr>
                <w:sz w:val="20"/>
                <w:szCs w:val="20"/>
                <w:color w:val="auto"/>
              </w:rPr>
            </w:pPr>
            <w:r>
              <w:rPr>
                <w:rFonts w:ascii="Arial" w:cs="Arial" w:eastAsia="Arial" w:hAnsi="Arial"/>
                <w:sz w:val="18"/>
                <w:szCs w:val="18"/>
                <w:i w:val="1"/>
                <w:iCs w:val="1"/>
                <w:color w:val="auto"/>
              </w:rPr>
              <w:t>Committee</w:t>
            </w:r>
          </w:p>
        </w:tc>
        <w:tc>
          <w:tcPr>
            <w:tcW w:w="9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-266700</wp:posOffset>
            </wp:positionV>
            <wp:extent cx="889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-249555</wp:posOffset>
            </wp:positionV>
            <wp:extent cx="889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-232410</wp:posOffset>
            </wp:positionV>
            <wp:extent cx="88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-215265</wp:posOffset>
            </wp:positionV>
            <wp:extent cx="889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-198120</wp:posOffset>
            </wp:positionV>
            <wp:extent cx="889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-180975</wp:posOffset>
            </wp:positionV>
            <wp:extent cx="889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-163830</wp:posOffset>
            </wp:positionV>
            <wp:extent cx="889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-146685</wp:posOffset>
            </wp:positionV>
            <wp:extent cx="889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-129540</wp:posOffset>
            </wp:positionV>
            <wp:extent cx="889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-112395</wp:posOffset>
            </wp:positionV>
            <wp:extent cx="889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-95250</wp:posOffset>
            </wp:positionV>
            <wp:extent cx="889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-78105</wp:posOffset>
            </wp:positionV>
            <wp:extent cx="889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-60960</wp:posOffset>
            </wp:positionV>
            <wp:extent cx="88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-43815</wp:posOffset>
            </wp:positionV>
            <wp:extent cx="5734685" cy="1968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734685" cy="19685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-438150</wp:posOffset>
            </wp:positionV>
            <wp:extent cx="88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-421005</wp:posOffset>
            </wp:positionV>
            <wp:extent cx="889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-403860</wp:posOffset>
            </wp:positionV>
            <wp:extent cx="889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-386715</wp:posOffset>
            </wp:positionV>
            <wp:extent cx="889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-369570</wp:posOffset>
            </wp:positionV>
            <wp:extent cx="889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-352425</wp:posOffset>
            </wp:positionV>
            <wp:extent cx="88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-335280</wp:posOffset>
            </wp:positionV>
            <wp:extent cx="889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-318135</wp:posOffset>
            </wp:positionV>
            <wp:extent cx="889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-300990</wp:posOffset>
            </wp:positionV>
            <wp:extent cx="8890" cy="260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-643890</wp:posOffset>
            </wp:positionV>
            <wp:extent cx="88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-626745</wp:posOffset>
            </wp:positionV>
            <wp:extent cx="889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-609600</wp:posOffset>
            </wp:positionV>
            <wp:extent cx="88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-592455</wp:posOffset>
            </wp:positionV>
            <wp:extent cx="889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-575310</wp:posOffset>
            </wp:positionV>
            <wp:extent cx="889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-558165</wp:posOffset>
            </wp:positionV>
            <wp:extent cx="889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-541020</wp:posOffset>
            </wp:positionV>
            <wp:extent cx="889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-523875</wp:posOffset>
            </wp:positionV>
            <wp:extent cx="88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-506730</wp:posOffset>
            </wp:positionV>
            <wp:extent cx="889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-489585</wp:posOffset>
            </wp:positionV>
            <wp:extent cx="889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-472440</wp:posOffset>
            </wp:positionV>
            <wp:extent cx="8890" cy="260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-840740</wp:posOffset>
            </wp:positionV>
            <wp:extent cx="889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-823595</wp:posOffset>
            </wp:positionV>
            <wp:extent cx="889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-806450</wp:posOffset>
            </wp:positionV>
            <wp:extent cx="889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-789305</wp:posOffset>
            </wp:positionV>
            <wp:extent cx="889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-772160</wp:posOffset>
            </wp:positionV>
            <wp:extent cx="88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-755015</wp:posOffset>
            </wp:positionV>
            <wp:extent cx="889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-737870</wp:posOffset>
            </wp:positionV>
            <wp:extent cx="889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-720725</wp:posOffset>
            </wp:positionV>
            <wp:extent cx="889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-703580</wp:posOffset>
            </wp:positionV>
            <wp:extent cx="889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-686435</wp:posOffset>
            </wp:positionV>
            <wp:extent cx="88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-669290</wp:posOffset>
            </wp:positionV>
            <wp:extent cx="889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-1038225</wp:posOffset>
            </wp:positionV>
            <wp:extent cx="889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-1021080</wp:posOffset>
            </wp:positionV>
            <wp:extent cx="88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-1003935</wp:posOffset>
            </wp:positionV>
            <wp:extent cx="889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-986790</wp:posOffset>
            </wp:positionV>
            <wp:extent cx="88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-969645</wp:posOffset>
            </wp:positionV>
            <wp:extent cx="889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-952500</wp:posOffset>
            </wp:positionV>
            <wp:extent cx="889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-935355</wp:posOffset>
            </wp:positionV>
            <wp:extent cx="889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-918210</wp:posOffset>
            </wp:positionV>
            <wp:extent cx="889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-901065</wp:posOffset>
            </wp:positionV>
            <wp:extent cx="88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-883920</wp:posOffset>
            </wp:positionV>
            <wp:extent cx="889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-866775</wp:posOffset>
            </wp:positionV>
            <wp:extent cx="8890"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-1269365</wp:posOffset>
            </wp:positionV>
            <wp:extent cx="889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-1252220</wp:posOffset>
            </wp:positionV>
            <wp:extent cx="88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-1235075</wp:posOffset>
            </wp:positionV>
            <wp:extent cx="88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-1217930</wp:posOffset>
            </wp:positionV>
            <wp:extent cx="88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-1200785</wp:posOffset>
            </wp:positionV>
            <wp:extent cx="889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-1183640</wp:posOffset>
            </wp:positionV>
            <wp:extent cx="889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-1166495</wp:posOffset>
            </wp:positionV>
            <wp:extent cx="889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-1149350</wp:posOffset>
            </wp:positionV>
            <wp:extent cx="88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-1132205</wp:posOffset>
            </wp:positionV>
            <wp:extent cx="889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-1115060</wp:posOffset>
            </wp:positionV>
            <wp:extent cx="889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-1097915</wp:posOffset>
            </wp:positionV>
            <wp:extent cx="889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-1080770</wp:posOffset>
            </wp:positionV>
            <wp:extent cx="889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-1063625</wp:posOffset>
            </wp:positionV>
            <wp:extent cx="8890"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-1501140</wp:posOffset>
            </wp:positionV>
            <wp:extent cx="889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-1483995</wp:posOffset>
            </wp:positionV>
            <wp:extent cx="889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-1466850</wp:posOffset>
            </wp:positionV>
            <wp:extent cx="889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-1449705</wp:posOffset>
            </wp:positionV>
            <wp:extent cx="88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-1432560</wp:posOffset>
            </wp:positionV>
            <wp:extent cx="88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-1415415</wp:posOffset>
            </wp:positionV>
            <wp:extent cx="889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-1398270</wp:posOffset>
            </wp:positionV>
            <wp:extent cx="889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-1381125</wp:posOffset>
            </wp:positionV>
            <wp:extent cx="88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-1363980</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-1346835</wp:posOffset>
            </wp:positionV>
            <wp:extent cx="88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-1329690</wp:posOffset>
            </wp:positionV>
            <wp:extent cx="889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-1312545</wp:posOffset>
            </wp:positionV>
            <wp:extent cx="889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-1295400</wp:posOffset>
            </wp:positionV>
            <wp:extent cx="8890"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-1526540</wp:posOffset>
            </wp:positionV>
            <wp:extent cx="889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-1526540</wp:posOffset>
            </wp:positionV>
            <wp:extent cx="825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-1526540</wp:posOffset>
            </wp:positionV>
            <wp:extent cx="825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-1526540</wp:posOffset>
            </wp:positionV>
            <wp:extent cx="825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-1526540</wp:posOffset>
            </wp:positionV>
            <wp:extent cx="889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-1526540</wp:posOffset>
            </wp:positionV>
            <wp:extent cx="889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-1526540</wp:posOffset>
            </wp:positionV>
            <wp:extent cx="825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-1526540</wp:posOffset>
            </wp:positionV>
            <wp:extent cx="825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-1526540</wp:posOffset>
            </wp:positionV>
            <wp:extent cx="825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-1526540</wp:posOffset>
            </wp:positionV>
            <wp:extent cx="889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-1526540</wp:posOffset>
            </wp:positionV>
            <wp:extent cx="889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-1526540</wp:posOffset>
            </wp:positionV>
            <wp:extent cx="825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-1526540</wp:posOffset>
            </wp:positionV>
            <wp:extent cx="825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-1526540</wp:posOffset>
            </wp:positionV>
            <wp:extent cx="825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-1526540</wp:posOffset>
            </wp:positionV>
            <wp:extent cx="889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-1526540</wp:posOffset>
            </wp:positionV>
            <wp:extent cx="889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-1526540</wp:posOffset>
            </wp:positionV>
            <wp:extent cx="825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-1526540</wp:posOffset>
            </wp:positionV>
            <wp:extent cx="825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-1526540</wp:posOffset>
            </wp:positionV>
            <wp:extent cx="825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-1526540</wp:posOffset>
            </wp:positionV>
            <wp:extent cx="889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-1526540</wp:posOffset>
            </wp:positionV>
            <wp:extent cx="889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-1526540</wp:posOffset>
            </wp:positionV>
            <wp:extent cx="825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-1526540</wp:posOffset>
            </wp:positionV>
            <wp:extent cx="825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-1526540</wp:posOffset>
            </wp:positionV>
            <wp:extent cx="825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-1526540</wp:posOffset>
            </wp:positionV>
            <wp:extent cx="889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-1526540</wp:posOffset>
            </wp:positionV>
            <wp:extent cx="825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-1526540</wp:posOffset>
            </wp:positionV>
            <wp:extent cx="825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-1526540</wp:posOffset>
            </wp:positionV>
            <wp:extent cx="825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-1526540</wp:posOffset>
            </wp:positionV>
            <wp:extent cx="889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-1526540</wp:posOffset>
            </wp:positionV>
            <wp:extent cx="889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-1526540</wp:posOffset>
            </wp:positionV>
            <wp:extent cx="825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-1526540</wp:posOffset>
            </wp:positionV>
            <wp:extent cx="825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-1526540</wp:posOffset>
            </wp:positionV>
            <wp:extent cx="825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-1526540</wp:posOffset>
            </wp:positionV>
            <wp:extent cx="889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-1526540</wp:posOffset>
            </wp:positionV>
            <wp:extent cx="889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-1526540</wp:posOffset>
            </wp:positionV>
            <wp:extent cx="825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-1526540</wp:posOffset>
            </wp:positionV>
            <wp:extent cx="825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-1526540</wp:posOffset>
            </wp:positionV>
            <wp:extent cx="825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-1526540</wp:posOffset>
            </wp:positionV>
            <wp:extent cx="889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-1526540</wp:posOffset>
            </wp:positionV>
            <wp:extent cx="889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-1526540</wp:posOffset>
            </wp:positionV>
            <wp:extent cx="825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-1526540</wp:posOffset>
            </wp:positionV>
            <wp:extent cx="825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-1526540</wp:posOffset>
            </wp:positionV>
            <wp:extent cx="825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-1526540</wp:posOffset>
            </wp:positionV>
            <wp:extent cx="889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-1526540</wp:posOffset>
            </wp:positionV>
            <wp:extent cx="889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-1526540</wp:posOffset>
            </wp:positionV>
            <wp:extent cx="825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-1526540</wp:posOffset>
            </wp:positionV>
            <wp:extent cx="825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-1526540</wp:posOffset>
            </wp:positionV>
            <wp:extent cx="825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-1526540</wp:posOffset>
            </wp:positionV>
            <wp:extent cx="889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-1526540</wp:posOffset>
            </wp:positionV>
            <wp:extent cx="889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-1526540</wp:posOffset>
            </wp:positionV>
            <wp:extent cx="825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-1526540</wp:posOffset>
            </wp:positionV>
            <wp:extent cx="8255"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-1526540</wp:posOffset>
            </wp:positionV>
            <wp:extent cx="825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-1526540</wp:posOffset>
            </wp:positionV>
            <wp:extent cx="889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-1526540</wp:posOffset>
            </wp:positionV>
            <wp:extent cx="889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-1526540</wp:posOffset>
            </wp:positionV>
            <wp:extent cx="825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-1526540</wp:posOffset>
            </wp:positionV>
            <wp:extent cx="825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-1526540</wp:posOffset>
            </wp:positionV>
            <wp:extent cx="825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-1526540</wp:posOffset>
            </wp:positionV>
            <wp:extent cx="889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-1526540</wp:posOffset>
            </wp:positionV>
            <wp:extent cx="889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-1526540</wp:posOffset>
            </wp:positionV>
            <wp:extent cx="825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-1526540</wp:posOffset>
            </wp:positionV>
            <wp:extent cx="825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-1526540</wp:posOffset>
            </wp:positionV>
            <wp:extent cx="8255"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-1526540</wp:posOffset>
            </wp:positionV>
            <wp:extent cx="889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-1526540</wp:posOffset>
            </wp:positionV>
            <wp:extent cx="889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-1526540</wp:posOffset>
            </wp:positionV>
            <wp:extent cx="825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-1526540</wp:posOffset>
            </wp:positionV>
            <wp:extent cx="825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-1526540</wp:posOffset>
            </wp:positionV>
            <wp:extent cx="889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-1526540</wp:posOffset>
            </wp:positionV>
            <wp:extent cx="889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-1526540</wp:posOffset>
            </wp:positionV>
            <wp:extent cx="8255"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-1526540</wp:posOffset>
            </wp:positionV>
            <wp:extent cx="825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-1526540</wp:posOffset>
            </wp:positionV>
            <wp:extent cx="825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-1526540</wp:posOffset>
            </wp:positionV>
            <wp:extent cx="889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-1526540</wp:posOffset>
            </wp:positionV>
            <wp:extent cx="889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-1526540</wp:posOffset>
            </wp:positionV>
            <wp:extent cx="825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-1526540</wp:posOffset>
            </wp:positionV>
            <wp:extent cx="8255"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-1526540</wp:posOffset>
            </wp:positionV>
            <wp:extent cx="8255"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-1526540</wp:posOffset>
            </wp:positionV>
            <wp:extent cx="889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-1526540</wp:posOffset>
            </wp:positionV>
            <wp:extent cx="889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-1526540</wp:posOffset>
            </wp:positionV>
            <wp:extent cx="825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-1526540</wp:posOffset>
            </wp:positionV>
            <wp:extent cx="8255"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-1526540</wp:posOffset>
            </wp:positionV>
            <wp:extent cx="8255"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-1526540</wp:posOffset>
            </wp:positionV>
            <wp:extent cx="889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-1526540</wp:posOffset>
            </wp:positionV>
            <wp:extent cx="889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-1526540</wp:posOffset>
            </wp:positionV>
            <wp:extent cx="825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-1526540</wp:posOffset>
            </wp:positionV>
            <wp:extent cx="825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-1526540</wp:posOffset>
            </wp:positionV>
            <wp:extent cx="8255"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-1526540</wp:posOffset>
            </wp:positionV>
            <wp:extent cx="889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-1526540</wp:posOffset>
            </wp:positionV>
            <wp:extent cx="889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-1526540</wp:posOffset>
            </wp:positionV>
            <wp:extent cx="825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-1526540</wp:posOffset>
            </wp:positionV>
            <wp:extent cx="8255"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-1526540</wp:posOffset>
            </wp:positionV>
            <wp:extent cx="825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-1526540</wp:posOffset>
            </wp:positionV>
            <wp:extent cx="889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-1526540</wp:posOffset>
            </wp:positionV>
            <wp:extent cx="889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-1526540</wp:posOffset>
            </wp:positionV>
            <wp:extent cx="8255"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-1526540</wp:posOffset>
            </wp:positionV>
            <wp:extent cx="8255"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-1526540</wp:posOffset>
            </wp:positionV>
            <wp:extent cx="825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-1526540</wp:posOffset>
            </wp:positionV>
            <wp:extent cx="889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-1526540</wp:posOffset>
            </wp:positionV>
            <wp:extent cx="889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-1526540</wp:posOffset>
            </wp:positionV>
            <wp:extent cx="8255"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-1526540</wp:posOffset>
            </wp:positionV>
            <wp:extent cx="8255"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-1526540</wp:posOffset>
            </wp:positionV>
            <wp:extent cx="825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-1526540</wp:posOffset>
            </wp:positionV>
            <wp:extent cx="889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-1526540</wp:posOffset>
            </wp:positionV>
            <wp:extent cx="889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-1526540</wp:posOffset>
            </wp:positionV>
            <wp:extent cx="825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-1526540</wp:posOffset>
            </wp:positionV>
            <wp:extent cx="889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-1526540</wp:posOffset>
            </wp:positionV>
            <wp:extent cx="889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-1526540</wp:posOffset>
            </wp:positionV>
            <wp:extent cx="889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-1526540</wp:posOffset>
            </wp:positionV>
            <wp:extent cx="889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-1526540</wp:posOffset>
            </wp:positionV>
            <wp:extent cx="825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-1526540</wp:posOffset>
            </wp:positionV>
            <wp:extent cx="889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-1526540</wp:posOffset>
            </wp:positionV>
            <wp:extent cx="889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-1526540</wp:posOffset>
            </wp:positionV>
            <wp:extent cx="889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-1526540</wp:posOffset>
            </wp:positionV>
            <wp:extent cx="889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-1526540</wp:posOffset>
            </wp:positionV>
            <wp:extent cx="8255"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-1526540</wp:posOffset>
            </wp:positionV>
            <wp:extent cx="889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-1526540</wp:posOffset>
            </wp:positionV>
            <wp:extent cx="889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-1526540</wp:posOffset>
            </wp:positionV>
            <wp:extent cx="889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-1526540</wp:posOffset>
            </wp:positionV>
            <wp:extent cx="889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-1526540</wp:posOffset>
            </wp:positionV>
            <wp:extent cx="8255"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-1526540</wp:posOffset>
            </wp:positionV>
            <wp:extent cx="889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-1526540</wp:posOffset>
            </wp:positionV>
            <wp:extent cx="889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-1526540</wp:posOffset>
            </wp:positionV>
            <wp:extent cx="889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-1526540</wp:posOffset>
            </wp:positionV>
            <wp:extent cx="889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-1526540</wp:posOffset>
            </wp:positionV>
            <wp:extent cx="889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-1526540</wp:posOffset>
            </wp:positionV>
            <wp:extent cx="889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-1526540</wp:posOffset>
            </wp:positionV>
            <wp:extent cx="8255"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-1526540</wp:posOffset>
            </wp:positionV>
            <wp:extent cx="889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-1526540</wp:posOffset>
            </wp:positionV>
            <wp:extent cx="889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-1526540</wp:posOffset>
            </wp:positionV>
            <wp:extent cx="889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-1526540</wp:posOffset>
            </wp:positionV>
            <wp:extent cx="889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-1526540</wp:posOffset>
            </wp:positionV>
            <wp:extent cx="8255"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-1526540</wp:posOffset>
            </wp:positionV>
            <wp:extent cx="889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-1526540</wp:posOffset>
            </wp:positionV>
            <wp:extent cx="889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-1526540</wp:posOffset>
            </wp:positionV>
            <wp:extent cx="889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-1526540</wp:posOffset>
            </wp:positionV>
            <wp:extent cx="889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-1526540</wp:posOffset>
            </wp:positionV>
            <wp:extent cx="8255"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-1526540</wp:posOffset>
            </wp:positionV>
            <wp:extent cx="889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-1526540</wp:posOffset>
            </wp:positionV>
            <wp:extent cx="889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-1526540</wp:posOffset>
            </wp:positionV>
            <wp:extent cx="889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-1526540</wp:posOffset>
            </wp:positionV>
            <wp:extent cx="889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-1526540</wp:posOffset>
            </wp:positionV>
            <wp:extent cx="8255"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-1526540</wp:posOffset>
            </wp:positionV>
            <wp:extent cx="889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-1526540</wp:posOffset>
            </wp:positionV>
            <wp:extent cx="8255"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-1526540</wp:posOffset>
            </wp:positionV>
            <wp:extent cx="889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-1526540</wp:posOffset>
            </wp:positionV>
            <wp:extent cx="889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-1526540</wp:posOffset>
            </wp:positionV>
            <wp:extent cx="889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-1526540</wp:posOffset>
            </wp:positionV>
            <wp:extent cx="889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-1526540</wp:posOffset>
            </wp:positionV>
            <wp:extent cx="8255"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-1526540</wp:posOffset>
            </wp:positionV>
            <wp:extent cx="889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-1526540</wp:posOffset>
            </wp:positionV>
            <wp:extent cx="889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-1526540</wp:posOffset>
            </wp:positionV>
            <wp:extent cx="889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-1526540</wp:posOffset>
            </wp:positionV>
            <wp:extent cx="889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-1526540</wp:posOffset>
            </wp:positionV>
            <wp:extent cx="8255"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-1526540</wp:posOffset>
            </wp:positionV>
            <wp:extent cx="889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-1526540</wp:posOffset>
            </wp:positionV>
            <wp:extent cx="889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-1526540</wp:posOffset>
            </wp:positionV>
            <wp:extent cx="889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-1526540</wp:posOffset>
            </wp:positionV>
            <wp:extent cx="889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-1526540</wp:posOffset>
            </wp:positionV>
            <wp:extent cx="889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-1526540</wp:posOffset>
            </wp:positionV>
            <wp:extent cx="8255"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-1526540</wp:posOffset>
            </wp:positionV>
            <wp:extent cx="8255"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-1526540</wp:posOffset>
            </wp:positionV>
            <wp:extent cx="8255"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-1526540</wp:posOffset>
            </wp:positionV>
            <wp:extent cx="889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-1526540</wp:posOffset>
            </wp:positionV>
            <wp:extent cx="889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-1526540</wp:posOffset>
            </wp:positionV>
            <wp:extent cx="8255"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-1526540</wp:posOffset>
            </wp:positionV>
            <wp:extent cx="8255"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-1526540</wp:posOffset>
            </wp:positionV>
            <wp:extent cx="8255"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-1526540</wp:posOffset>
            </wp:positionV>
            <wp:extent cx="889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-1526540</wp:posOffset>
            </wp:positionV>
            <wp:extent cx="889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-1526540</wp:posOffset>
            </wp:positionV>
            <wp:extent cx="8255"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-1526540</wp:posOffset>
            </wp:positionV>
            <wp:extent cx="8255"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-1526540</wp:posOffset>
            </wp:positionV>
            <wp:extent cx="8255"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-1526540</wp:posOffset>
            </wp:positionV>
            <wp:extent cx="889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-1526540</wp:posOffset>
            </wp:positionV>
            <wp:extent cx="889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-1526540</wp:posOffset>
            </wp:positionV>
            <wp:extent cx="8255"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-1526540</wp:posOffset>
            </wp:positionV>
            <wp:extent cx="8255"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-1526540</wp:posOffset>
            </wp:positionV>
            <wp:extent cx="8255"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-1526540</wp:posOffset>
            </wp:positionV>
            <wp:extent cx="889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-1526540</wp:posOffset>
            </wp:positionV>
            <wp:extent cx="889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-1526540</wp:posOffset>
            </wp:positionV>
            <wp:extent cx="8255"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-1526540</wp:posOffset>
            </wp:positionV>
            <wp:extent cx="8255"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-1526540</wp:posOffset>
            </wp:positionV>
            <wp:extent cx="8255"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-1526540</wp:posOffset>
            </wp:positionV>
            <wp:extent cx="889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-1526540</wp:posOffset>
            </wp:positionV>
            <wp:extent cx="889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-1526540</wp:posOffset>
            </wp:positionV>
            <wp:extent cx="8255"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-1526540</wp:posOffset>
            </wp:positionV>
            <wp:extent cx="8255"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-1526540</wp:posOffset>
            </wp:positionV>
            <wp:extent cx="825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-1526540</wp:posOffset>
            </wp:positionV>
            <wp:extent cx="889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-1526540</wp:posOffset>
            </wp:positionV>
            <wp:extent cx="889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-1526540</wp:posOffset>
            </wp:positionV>
            <wp:extent cx="8255"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-1526540</wp:posOffset>
            </wp:positionV>
            <wp:extent cx="8255"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-1526540</wp:posOffset>
            </wp:positionV>
            <wp:extent cx="8255"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-1526540</wp:posOffset>
            </wp:positionV>
            <wp:extent cx="889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-1526540</wp:posOffset>
            </wp:positionV>
            <wp:extent cx="8255"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-1526540</wp:posOffset>
            </wp:positionV>
            <wp:extent cx="8255"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-1526540</wp:posOffset>
            </wp:positionV>
            <wp:extent cx="8255"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-1526540</wp:posOffset>
            </wp:positionV>
            <wp:extent cx="889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-1526540</wp:posOffset>
            </wp:positionV>
            <wp:extent cx="889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-1526540</wp:posOffset>
            </wp:positionV>
            <wp:extent cx="8255"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-1526540</wp:posOffset>
            </wp:positionV>
            <wp:extent cx="8255"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-1526540</wp:posOffset>
            </wp:positionV>
            <wp:extent cx="8255"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-1526540</wp:posOffset>
            </wp:positionV>
            <wp:extent cx="889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-1526540</wp:posOffset>
            </wp:positionV>
            <wp:extent cx="889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-1526540</wp:posOffset>
            </wp:positionV>
            <wp:extent cx="8255"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-1526540</wp:posOffset>
            </wp:positionV>
            <wp:extent cx="8255"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-1526540</wp:posOffset>
            </wp:positionV>
            <wp:extent cx="8255"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-1715135</wp:posOffset>
            </wp:positionV>
            <wp:extent cx="889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-1697990</wp:posOffset>
            </wp:positionV>
            <wp:extent cx="889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-1680845</wp:posOffset>
            </wp:positionV>
            <wp:extent cx="889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-1663700</wp:posOffset>
            </wp:positionV>
            <wp:extent cx="889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-1646555</wp:posOffset>
            </wp:positionV>
            <wp:extent cx="889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-1629410</wp:posOffset>
            </wp:positionV>
            <wp:extent cx="889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-1612265</wp:posOffset>
            </wp:positionV>
            <wp:extent cx="889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-1595120</wp:posOffset>
            </wp:positionV>
            <wp:extent cx="889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-1577975</wp:posOffset>
            </wp:positionV>
            <wp:extent cx="889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-1560830</wp:posOffset>
            </wp:positionV>
            <wp:extent cx="889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-1543685</wp:posOffset>
            </wp:positionV>
            <wp:extent cx="889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-1526540</wp:posOffset>
            </wp:positionV>
            <wp:extent cx="8890" cy="171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-1732280</wp:posOffset>
            </wp:positionV>
            <wp:extent cx="889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-1732280</wp:posOffset>
            </wp:positionV>
            <wp:extent cx="825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-1732280</wp:posOffset>
            </wp:positionV>
            <wp:extent cx="825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-1732280</wp:posOffset>
            </wp:positionV>
            <wp:extent cx="825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-1732280</wp:posOffset>
            </wp:positionV>
            <wp:extent cx="889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-1732280</wp:posOffset>
            </wp:positionV>
            <wp:extent cx="889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-1732280</wp:posOffset>
            </wp:positionV>
            <wp:extent cx="825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-1732280</wp:posOffset>
            </wp:positionV>
            <wp:extent cx="825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-1732280</wp:posOffset>
            </wp:positionV>
            <wp:extent cx="825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-1732280</wp:posOffset>
            </wp:positionV>
            <wp:extent cx="889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-1732280</wp:posOffset>
            </wp:positionV>
            <wp:extent cx="889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-1732280</wp:posOffset>
            </wp:positionV>
            <wp:extent cx="825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-1732280</wp:posOffset>
            </wp:positionV>
            <wp:extent cx="825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-1732280</wp:posOffset>
            </wp:positionV>
            <wp:extent cx="825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-1732280</wp:posOffset>
            </wp:positionV>
            <wp:extent cx="889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-1732280</wp:posOffset>
            </wp:positionV>
            <wp:extent cx="889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-1732280</wp:posOffset>
            </wp:positionV>
            <wp:extent cx="825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-1732280</wp:posOffset>
            </wp:positionV>
            <wp:extent cx="825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-1732280</wp:posOffset>
            </wp:positionV>
            <wp:extent cx="825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-1732280</wp:posOffset>
            </wp:positionV>
            <wp:extent cx="889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-1732280</wp:posOffset>
            </wp:positionV>
            <wp:extent cx="889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-1732280</wp:posOffset>
            </wp:positionV>
            <wp:extent cx="825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-1732280</wp:posOffset>
            </wp:positionV>
            <wp:extent cx="825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-1732280</wp:posOffset>
            </wp:positionV>
            <wp:extent cx="825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-1732280</wp:posOffset>
            </wp:positionV>
            <wp:extent cx="889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-1732280</wp:posOffset>
            </wp:positionV>
            <wp:extent cx="825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-1732280</wp:posOffset>
            </wp:positionV>
            <wp:extent cx="825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-1732280</wp:posOffset>
            </wp:positionV>
            <wp:extent cx="825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-1732280</wp:posOffset>
            </wp:positionV>
            <wp:extent cx="889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-1732280</wp:posOffset>
            </wp:positionV>
            <wp:extent cx="889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-1732280</wp:posOffset>
            </wp:positionV>
            <wp:extent cx="825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-1732280</wp:posOffset>
            </wp:positionV>
            <wp:extent cx="825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-1732280</wp:posOffset>
            </wp:positionV>
            <wp:extent cx="825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-1732280</wp:posOffset>
            </wp:positionV>
            <wp:extent cx="889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-1732280</wp:posOffset>
            </wp:positionV>
            <wp:extent cx="889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-1732280</wp:posOffset>
            </wp:positionV>
            <wp:extent cx="825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-1732280</wp:posOffset>
            </wp:positionV>
            <wp:extent cx="825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-1732280</wp:posOffset>
            </wp:positionV>
            <wp:extent cx="825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-1732280</wp:posOffset>
            </wp:positionV>
            <wp:extent cx="889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-1732280</wp:posOffset>
            </wp:positionV>
            <wp:extent cx="889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-1732280</wp:posOffset>
            </wp:positionV>
            <wp:extent cx="825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-1732280</wp:posOffset>
            </wp:positionV>
            <wp:extent cx="8255"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-1732280</wp:posOffset>
            </wp:positionV>
            <wp:extent cx="825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-1732280</wp:posOffset>
            </wp:positionV>
            <wp:extent cx="889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-1732280</wp:posOffset>
            </wp:positionV>
            <wp:extent cx="889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-1732280</wp:posOffset>
            </wp:positionV>
            <wp:extent cx="825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-1732280</wp:posOffset>
            </wp:positionV>
            <wp:extent cx="825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-1732280</wp:posOffset>
            </wp:positionV>
            <wp:extent cx="825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-1732280</wp:posOffset>
            </wp:positionV>
            <wp:extent cx="889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-1732280</wp:posOffset>
            </wp:positionV>
            <wp:extent cx="889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-1732280</wp:posOffset>
            </wp:positionV>
            <wp:extent cx="825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-1732280</wp:posOffset>
            </wp:positionV>
            <wp:extent cx="825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-1732280</wp:posOffset>
            </wp:positionV>
            <wp:extent cx="825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-1732280</wp:posOffset>
            </wp:positionV>
            <wp:extent cx="889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-1732280</wp:posOffset>
            </wp:positionV>
            <wp:extent cx="889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-1732280</wp:posOffset>
            </wp:positionV>
            <wp:extent cx="8255"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-1732280</wp:posOffset>
            </wp:positionV>
            <wp:extent cx="8255"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-1732280</wp:posOffset>
            </wp:positionV>
            <wp:extent cx="825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-1732280</wp:posOffset>
            </wp:positionV>
            <wp:extent cx="889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-1732280</wp:posOffset>
            </wp:positionV>
            <wp:extent cx="889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-1732280</wp:posOffset>
            </wp:positionV>
            <wp:extent cx="8255"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-1732280</wp:posOffset>
            </wp:positionV>
            <wp:extent cx="8255"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-1732280</wp:posOffset>
            </wp:positionV>
            <wp:extent cx="8255"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-1732280</wp:posOffset>
            </wp:positionV>
            <wp:extent cx="889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-1732280</wp:posOffset>
            </wp:positionV>
            <wp:extent cx="889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-1732280</wp:posOffset>
            </wp:positionV>
            <wp:extent cx="8255"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-1732280</wp:posOffset>
            </wp:positionV>
            <wp:extent cx="8255"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-1732280</wp:posOffset>
            </wp:positionV>
            <wp:extent cx="889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-1732280</wp:posOffset>
            </wp:positionV>
            <wp:extent cx="889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-1732280</wp:posOffset>
            </wp:positionV>
            <wp:extent cx="825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-1732280</wp:posOffset>
            </wp:positionV>
            <wp:extent cx="8255"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-1732280</wp:posOffset>
            </wp:positionV>
            <wp:extent cx="825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-1732280</wp:posOffset>
            </wp:positionV>
            <wp:extent cx="889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-1732280</wp:posOffset>
            </wp:positionV>
            <wp:extent cx="889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-1732280</wp:posOffset>
            </wp:positionV>
            <wp:extent cx="8255"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-1732280</wp:posOffset>
            </wp:positionV>
            <wp:extent cx="8255"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-1732280</wp:posOffset>
            </wp:positionV>
            <wp:extent cx="825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-1732280</wp:posOffset>
            </wp:positionV>
            <wp:extent cx="889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-1732280</wp:posOffset>
            </wp:positionV>
            <wp:extent cx="889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-1732280</wp:posOffset>
            </wp:positionV>
            <wp:extent cx="825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-1732280</wp:posOffset>
            </wp:positionV>
            <wp:extent cx="8255"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-1732280</wp:posOffset>
            </wp:positionV>
            <wp:extent cx="8255"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-1732280</wp:posOffset>
            </wp:positionV>
            <wp:extent cx="889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-1732280</wp:posOffset>
            </wp:positionV>
            <wp:extent cx="889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-1732280</wp:posOffset>
            </wp:positionV>
            <wp:extent cx="8255"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-1732280</wp:posOffset>
            </wp:positionV>
            <wp:extent cx="8255"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-1732280</wp:posOffset>
            </wp:positionV>
            <wp:extent cx="825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-1732280</wp:posOffset>
            </wp:positionV>
            <wp:extent cx="889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-1732280</wp:posOffset>
            </wp:positionV>
            <wp:extent cx="889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-1732280</wp:posOffset>
            </wp:positionV>
            <wp:extent cx="8255"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-1732280</wp:posOffset>
            </wp:positionV>
            <wp:extent cx="8255"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-1732280</wp:posOffset>
            </wp:positionV>
            <wp:extent cx="825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-1732280</wp:posOffset>
            </wp:positionV>
            <wp:extent cx="889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-1732280</wp:posOffset>
            </wp:positionV>
            <wp:extent cx="889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-1732280</wp:posOffset>
            </wp:positionV>
            <wp:extent cx="8255"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-1732280</wp:posOffset>
            </wp:positionV>
            <wp:extent cx="8255"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-1732280</wp:posOffset>
            </wp:positionV>
            <wp:extent cx="8255"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-1732280</wp:posOffset>
            </wp:positionV>
            <wp:extent cx="889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-1732280</wp:posOffset>
            </wp:positionV>
            <wp:extent cx="889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-1732280</wp:posOffset>
            </wp:positionV>
            <wp:extent cx="8255"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-1732280</wp:posOffset>
            </wp:positionV>
            <wp:extent cx="8255"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-1732280</wp:posOffset>
            </wp:positionV>
            <wp:extent cx="8255"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-1732280</wp:posOffset>
            </wp:positionV>
            <wp:extent cx="889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-1732280</wp:posOffset>
            </wp:positionV>
            <wp:extent cx="889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-1732280</wp:posOffset>
            </wp:positionV>
            <wp:extent cx="8255"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-2684145</wp:posOffset>
            </wp:positionV>
            <wp:extent cx="3874770" cy="96012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3874770" cy="960120"/>
                    </a:xfrm>
                    <a:prstGeom prst="rect">
                      <a:avLst/>
                    </a:prstGeom>
                    <a:noFill/>
                  </pic:spPr>
                </pic:pic>
              </a:graphicData>
            </a:graphic>
          </wp:anchor>
        </w:drawing>
      </w:r>
    </w:p>
    <w:p>
      <w:pPr>
        <w:ind w:left="2760"/>
        <w:spacing w:after="0"/>
        <w:rPr>
          <w:sz w:val="20"/>
          <w:szCs w:val="20"/>
          <w:color w:val="auto"/>
        </w:rPr>
      </w:pPr>
      <w:r>
        <w:rPr>
          <w:rFonts w:ascii="Arial" w:cs="Arial" w:eastAsia="Arial" w:hAnsi="Arial"/>
          <w:sz w:val="18"/>
          <w:szCs w:val="18"/>
          <w:i w:val="1"/>
          <w:iCs w:val="1"/>
          <w:color w:val="FFFFFF"/>
        </w:rPr>
        <w:t>Total Compensation Value Cap of $800,000</w:t>
      </w:r>
      <w:r>
        <w:rPr>
          <w:rFonts w:ascii="Arial" w:cs="Arial" w:eastAsia="Arial" w:hAnsi="Arial"/>
          <w:sz w:val="23"/>
          <w:szCs w:val="23"/>
          <w:i w:val="1"/>
          <w:iCs w:val="1"/>
          <w:color w:val="FFFFFF"/>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34685"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5734685" cy="8890"/>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157720" cy="425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type w:val="continuous"/>
        </w:sectPr>
      </w:pPr>
    </w:p>
    <w:bookmarkStart w:id="50" w:name="page51"/>
    <w:bookmarkEnd w:id="50"/>
    <w:p>
      <w:pPr>
        <w:jc w:val="both"/>
        <w:ind w:left="180" w:right="160" w:hanging="172"/>
        <w:spacing w:after="0" w:line="290" w:lineRule="auto"/>
        <w:tabs>
          <w:tab w:leader="none" w:pos="133" w:val="left"/>
        </w:tabs>
        <w:numPr>
          <w:ilvl w:val="0"/>
          <w:numId w:val="105"/>
        </w:numPr>
        <w:rPr>
          <w:rFonts w:ascii="Arial" w:cs="Arial" w:eastAsia="Arial" w:hAnsi="Arial"/>
          <w:sz w:val="22"/>
          <w:szCs w:val="22"/>
          <w:color w:val="auto"/>
          <w:vertAlign w:val="superscript"/>
        </w:rPr>
      </w:pPr>
      <w:r>
        <w:rPr>
          <w:rFonts w:ascii="Arial" w:cs="Arial" w:eastAsia="Arial" w:hAnsi="Arial"/>
          <w:sz w:val="17"/>
          <w:szCs w:val="17"/>
          <w:b w:val="1"/>
          <w:bCs w:val="1"/>
          <w:color w:val="auto"/>
        </w:rPr>
        <w:t>Expenses and Ad Hoc Committees</w:t>
      </w:r>
      <w:r>
        <w:rPr>
          <w:rFonts w:ascii="Arial" w:cs="Arial" w:eastAsia="Arial" w:hAnsi="Arial"/>
          <w:sz w:val="17"/>
          <w:szCs w:val="17"/>
          <w:color w:val="auto"/>
        </w:rPr>
        <w:t>. Directors are reimbursed for customary and usual travel expenses in connection with their travel to</w:t>
      </w:r>
      <w:r>
        <w:rPr>
          <w:rFonts w:ascii="Arial" w:cs="Arial" w:eastAsia="Arial" w:hAnsi="Arial"/>
          <w:sz w:val="17"/>
          <w:szCs w:val="17"/>
          <w:b w:val="1"/>
          <w:bCs w:val="1"/>
          <w:color w:val="auto"/>
        </w:rPr>
        <w:t xml:space="preserve"> </w:t>
      </w:r>
      <w:r>
        <w:rPr>
          <w:rFonts w:ascii="Arial" w:cs="Arial" w:eastAsia="Arial" w:hAnsi="Arial"/>
          <w:sz w:val="17"/>
          <w:szCs w:val="17"/>
          <w:color w:val="auto"/>
        </w:rPr>
        <w:t>and from board meetings and other company events. Non-employee directors may also receive additional cash compensation for serving on ad hoc committees that may be formed by the board from time to time. Committee chair retainers are in addition to member retainers.</w:t>
      </w:r>
    </w:p>
    <w:p>
      <w:pPr>
        <w:spacing w:after="0" w:line="86" w:lineRule="exact"/>
        <w:rPr>
          <w:sz w:val="20"/>
          <w:szCs w:val="20"/>
          <w:color w:val="auto"/>
        </w:rPr>
      </w:pPr>
    </w:p>
    <w:p>
      <w:pPr>
        <w:ind w:left="180" w:right="380" w:hanging="172"/>
        <w:spacing w:after="0" w:line="270" w:lineRule="auto"/>
        <w:tabs>
          <w:tab w:leader="none" w:pos="133" w:val="left"/>
        </w:tabs>
        <w:numPr>
          <w:ilvl w:val="0"/>
          <w:numId w:val="106"/>
        </w:numPr>
        <w:rPr>
          <w:rFonts w:ascii="Arial" w:cs="Arial" w:eastAsia="Arial" w:hAnsi="Arial"/>
          <w:sz w:val="23"/>
          <w:szCs w:val="23"/>
          <w:color w:val="auto"/>
          <w:vertAlign w:val="superscript"/>
        </w:rPr>
      </w:pPr>
      <w:r>
        <w:rPr>
          <w:rFonts w:ascii="Arial" w:cs="Arial" w:eastAsia="Arial" w:hAnsi="Arial"/>
          <w:sz w:val="18"/>
          <w:szCs w:val="18"/>
          <w:b w:val="1"/>
          <w:bCs w:val="1"/>
          <w:color w:val="auto"/>
        </w:rPr>
        <w:t>Changes for 2023</w:t>
      </w:r>
      <w:r>
        <w:rPr>
          <w:rFonts w:ascii="Arial" w:cs="Arial" w:eastAsia="Arial" w:hAnsi="Arial"/>
          <w:sz w:val="18"/>
          <w:szCs w:val="18"/>
          <w:color w:val="auto"/>
        </w:rPr>
        <w:t>. Following the Directors and Corporate Governance Committee’s in-depth review of non-employee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(as further described above) related to 2023 non-employee director compensation, the board approved increases to the annual equity grant, lead independent director retainer and audit committee chair retainer, effective January 1, 2023.</w:t>
      </w:r>
    </w:p>
    <w:p>
      <w:pPr>
        <w:spacing w:after="0" w:line="33" w:lineRule="exact"/>
        <w:rPr>
          <w:sz w:val="20"/>
          <w:szCs w:val="20"/>
          <w:color w:val="auto"/>
        </w:rPr>
      </w:pPr>
    </w:p>
    <w:p>
      <w:pPr>
        <w:ind w:left="180" w:right="80" w:hanging="172"/>
        <w:spacing w:after="0" w:line="278" w:lineRule="auto"/>
        <w:tabs>
          <w:tab w:leader="none" w:pos="133" w:val="left"/>
        </w:tabs>
        <w:numPr>
          <w:ilvl w:val="0"/>
          <w:numId w:val="107"/>
        </w:numPr>
        <w:rPr>
          <w:rFonts w:ascii="Arial" w:cs="Arial" w:eastAsia="Arial" w:hAnsi="Arial"/>
          <w:sz w:val="23"/>
          <w:szCs w:val="23"/>
          <w:color w:val="auto"/>
          <w:vertAlign w:val="superscript"/>
        </w:rPr>
      </w:pPr>
      <w:r>
        <w:rPr>
          <w:rFonts w:ascii="Arial" w:cs="Arial" w:eastAsia="Arial" w:hAnsi="Arial"/>
          <w:sz w:val="18"/>
          <w:szCs w:val="18"/>
          <w:b w:val="1"/>
          <w:bCs w:val="1"/>
          <w:color w:val="auto"/>
        </w:rPr>
        <w:t>Stock Compensation</w:t>
      </w:r>
      <w:r>
        <w:rPr>
          <w:rFonts w:ascii="Arial" w:cs="Arial" w:eastAsia="Arial" w:hAnsi="Arial"/>
          <w:sz w:val="18"/>
          <w:szCs w:val="18"/>
          <w:color w:val="auto"/>
        </w:rPr>
        <w:t>. Non-employee directors received an annual equity-based award that was credited to each non-employee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deferred stock account established under the Lilly Directors’ Deferral Plan as a number of units calculated by dividing $180,000 by the closing stock price on a pre-set annual date (approximately 498 units). When applicable, the annual equity-based award is prorated for time served. See “</w:t>
      </w:r>
      <w:r>
        <w:rPr>
          <w:rFonts w:ascii="Arial" w:cs="Arial" w:eastAsia="Arial" w:hAnsi="Arial"/>
          <w:sz w:val="18"/>
          <w:szCs w:val="18"/>
          <w:u w:val="single" w:color="auto"/>
          <w:color w:val="0000FF"/>
        </w:rPr>
        <w:t>Lilly Directors’ Deferral Plan—Deferred Stock Account</w:t>
      </w:r>
      <w:r>
        <w:rPr>
          <w:rFonts w:ascii="Arial" w:cs="Arial" w:eastAsia="Arial" w:hAnsi="Arial"/>
          <w:sz w:val="18"/>
          <w:szCs w:val="18"/>
          <w:color w:val="auto"/>
        </w:rPr>
        <w:t>”.</w:t>
      </w:r>
    </w:p>
    <w:p>
      <w:pPr>
        <w:spacing w:after="0" w:line="27" w:lineRule="exact"/>
        <w:rPr>
          <w:sz w:val="20"/>
          <w:szCs w:val="20"/>
          <w:color w:val="auto"/>
        </w:rPr>
      </w:pPr>
    </w:p>
    <w:p>
      <w:pPr>
        <w:ind w:left="180" w:right="120" w:hanging="172"/>
        <w:spacing w:after="0" w:line="278" w:lineRule="auto"/>
        <w:tabs>
          <w:tab w:leader="none" w:pos="115" w:val="left"/>
        </w:tabs>
        <w:numPr>
          <w:ilvl w:val="0"/>
          <w:numId w:val="108"/>
        </w:numPr>
        <w:rPr>
          <w:rFonts w:ascii="Arial" w:cs="Arial" w:eastAsia="Arial" w:hAnsi="Arial"/>
          <w:sz w:val="23"/>
          <w:szCs w:val="23"/>
          <w:color w:val="auto"/>
          <w:vertAlign w:val="superscript"/>
        </w:rPr>
      </w:pPr>
      <w:r>
        <w:rPr>
          <w:rFonts w:ascii="Arial" w:cs="Arial" w:eastAsia="Arial" w:hAnsi="Arial"/>
          <w:sz w:val="18"/>
          <w:szCs w:val="18"/>
          <w:b w:val="1"/>
          <w:bCs w:val="1"/>
          <w:color w:val="auto"/>
        </w:rPr>
        <w:t>Annual Compensation Cap for Directors</w:t>
      </w:r>
      <w:r>
        <w:rPr>
          <w:rFonts w:ascii="Arial" w:cs="Arial" w:eastAsia="Arial" w:hAnsi="Arial"/>
          <w:sz w:val="18"/>
          <w:szCs w:val="18"/>
          <w:color w:val="auto"/>
        </w:rPr>
        <w:t>. In 2018, the board approved an annual cap to the total annual compensation (cash and equity</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for non-employee directors of $800,000. The cap is intended to avoid excessive director compensation and is included in both the Lilly Directors’ Deferral Plan and in the Amended and Restated 2002 Lilly Stock Plan approved by shareholders at the 2018 annual meeting of shareholders.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Share Ownership Guidelines</w:t>
      </w:r>
    </w:p>
    <w:p>
      <w:pPr>
        <w:spacing w:after="0" w:line="7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Non-employee directors are required to hold Lilly stock, directly or through units representing the right to receive shares of Lilly stock under the Lilly Directors’ Deferral Plan, valued at not less than five times their annual board retainer. New non-employee directors are allowed five years to reach the required ownership level. All non-employee directors serving at least five years have satisfied these guidelines. All other non-employee directors are, or in the case of recently elected directors, are expected to begin, making progress toward these requirements.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Lilly Directors’ Deferral Plan</w:t>
      </w:r>
    </w:p>
    <w:p>
      <w:pPr>
        <w:spacing w:after="0" w:line="7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addition to the annual equity-based grants credited to each non-employee director’s deferred stock account as described above, the Lilly Directors’ Deferral Plan allows non-employee directors to defer receipt of all or part of their cash compensation until after their service on the board has ended. Each director can choose to invest any amounts deferred in one or both of the following two accounts:</w:t>
      </w:r>
    </w:p>
    <w:p>
      <w:pPr>
        <w:spacing w:after="0" w:line="157" w:lineRule="exact"/>
        <w:rPr>
          <w:sz w:val="20"/>
          <w:szCs w:val="20"/>
          <w:color w:val="auto"/>
        </w:rPr>
      </w:pPr>
    </w:p>
    <w:p>
      <w:pPr>
        <w:ind w:left="660" w:hanging="328"/>
        <w:spacing w:after="0" w:line="256" w:lineRule="auto"/>
        <w:tabs>
          <w:tab w:leader="none" w:pos="649" w:val="left"/>
        </w:tabs>
        <w:numPr>
          <w:ilvl w:val="0"/>
          <w:numId w:val="109"/>
        </w:numPr>
        <w:rPr>
          <w:rFonts w:ascii="Arial" w:cs="Arial" w:eastAsia="Arial" w:hAnsi="Arial"/>
          <w:sz w:val="16"/>
          <w:szCs w:val="16"/>
          <w:b w:val="1"/>
          <w:bCs w:val="1"/>
          <w:color w:val="00A1DE"/>
        </w:rPr>
      </w:pPr>
      <w:r>
        <w:rPr>
          <w:rFonts w:ascii="Arial" w:cs="Arial" w:eastAsia="Arial" w:hAnsi="Arial"/>
          <w:sz w:val="18"/>
          <w:szCs w:val="18"/>
          <w:b w:val="1"/>
          <w:bCs w:val="1"/>
          <w:color w:val="00A1DE"/>
        </w:rPr>
        <w:t xml:space="preserve">Deferred Stock Account. </w:t>
      </w:r>
      <w:r>
        <w:rPr>
          <w:rFonts w:ascii="Arial" w:cs="Arial" w:eastAsia="Arial" w:hAnsi="Arial"/>
          <w:sz w:val="18"/>
          <w:szCs w:val="18"/>
          <w:color w:val="000000"/>
        </w:rPr>
        <w:t>This account allows the non-employee director, in effect, to invest his or her deferred cash compensation</w:t>
      </w:r>
      <w:r>
        <w:rPr>
          <w:rFonts w:ascii="Arial" w:cs="Arial" w:eastAsia="Arial" w:hAnsi="Arial"/>
          <w:sz w:val="18"/>
          <w:szCs w:val="18"/>
          <w:b w:val="1"/>
          <w:bCs w:val="1"/>
          <w:color w:val="00A1DE"/>
        </w:rPr>
        <w:t xml:space="preserve"> </w:t>
      </w:r>
      <w:r>
        <w:rPr>
          <w:rFonts w:ascii="Arial" w:cs="Arial" w:eastAsia="Arial" w:hAnsi="Arial"/>
          <w:sz w:val="18"/>
          <w:szCs w:val="18"/>
          <w:color w:val="000000"/>
        </w:rPr>
        <w:t>in company stock. Funds in this account are credited as units representing the right to receive shares of company stock based on the closing stock price on pre-set monthly dates. Hypothetical dividends are deemed “reinvested” in additional units based on the market price of the stock on the date dividends are paid. The units become issuable to the non-employee director as shares of company stock commencing on the second January following the director’s departure from board service (either in a lump sum or installments as described below). The deferral stock account is the same account where the annual equity awards for board service are credited using the same conversion timing and procedure.</w:t>
      </w:r>
    </w:p>
    <w:p>
      <w:pPr>
        <w:spacing w:after="0" w:line="128" w:lineRule="exact"/>
        <w:rPr>
          <w:rFonts w:ascii="Arial" w:cs="Arial" w:eastAsia="Arial" w:hAnsi="Arial"/>
          <w:sz w:val="16"/>
          <w:szCs w:val="16"/>
          <w:b w:val="1"/>
          <w:bCs w:val="1"/>
          <w:color w:val="00A1DE"/>
        </w:rPr>
      </w:pPr>
    </w:p>
    <w:p>
      <w:pPr>
        <w:ind w:left="660" w:right="80" w:hanging="328"/>
        <w:spacing w:after="0" w:line="262" w:lineRule="auto"/>
        <w:tabs>
          <w:tab w:leader="none" w:pos="649" w:val="left"/>
        </w:tabs>
        <w:numPr>
          <w:ilvl w:val="0"/>
          <w:numId w:val="109"/>
        </w:numPr>
        <w:rPr>
          <w:rFonts w:ascii="Arial" w:cs="Arial" w:eastAsia="Arial" w:hAnsi="Arial"/>
          <w:sz w:val="16"/>
          <w:szCs w:val="16"/>
          <w:b w:val="1"/>
          <w:bCs w:val="1"/>
          <w:color w:val="00A1DE"/>
        </w:rPr>
      </w:pPr>
      <w:r>
        <w:rPr>
          <w:rFonts w:ascii="Arial" w:cs="Arial" w:eastAsia="Arial" w:hAnsi="Arial"/>
          <w:sz w:val="18"/>
          <w:szCs w:val="18"/>
          <w:b w:val="1"/>
          <w:bCs w:val="1"/>
          <w:color w:val="00A1DE"/>
        </w:rPr>
        <w:t xml:space="preserve">Deferred Compensation Account. </w:t>
      </w:r>
      <w:r>
        <w:rPr>
          <w:rFonts w:ascii="Arial" w:cs="Arial" w:eastAsia="Arial" w:hAnsi="Arial"/>
          <w:sz w:val="18"/>
          <w:szCs w:val="18"/>
          <w:color w:val="000000"/>
        </w:rPr>
        <w:t>Deferred cash compensation in this account earns interest each year at a rate of 120 percent of</w:t>
      </w:r>
      <w:r>
        <w:rPr>
          <w:rFonts w:ascii="Arial" w:cs="Arial" w:eastAsia="Arial" w:hAnsi="Arial"/>
          <w:sz w:val="18"/>
          <w:szCs w:val="18"/>
          <w:b w:val="1"/>
          <w:bCs w:val="1"/>
          <w:color w:val="00A1DE"/>
        </w:rPr>
        <w:t xml:space="preserve"> </w:t>
      </w:r>
      <w:r>
        <w:rPr>
          <w:rFonts w:ascii="Arial" w:cs="Arial" w:eastAsia="Arial" w:hAnsi="Arial"/>
          <w:sz w:val="18"/>
          <w:szCs w:val="18"/>
          <w:color w:val="000000"/>
        </w:rPr>
        <w:t>the applicable federal long-term rate, compounded monthly, as established the preceding December by the U.S. Treasury Department under Section 1274(d) of the Internal Revenue Code of 1986 (the Internal Revenue Code). The aggregate amount of interest that accrued in 2022 for the participating directors was $91,920, at a rate of 2.3 percent. The rate for 2023 is 5.1 percent.</w:t>
      </w:r>
    </w:p>
    <w:p>
      <w:pPr>
        <w:spacing w:after="0" w:line="12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Both accounts may be paid out in a lump sum or in annual installments for up to 10 years based on individual director annual elections. All payments begin the second January following the director’s departure from board service. Amounts in the deferred stock account are paid in shares of company stock.</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36" w:right="359" w:bottom="1440" w:gutter="0" w:footer="0" w:header="0"/>
        </w:sectPr>
      </w:pPr>
    </w:p>
    <w:bookmarkStart w:id="51" w:name="page52"/>
    <w:bookmarkEnd w:id="51"/>
    <w:p>
      <w:pPr>
        <w:spacing w:after="0"/>
        <w:rPr>
          <w:sz w:val="20"/>
          <w:szCs w:val="20"/>
          <w:color w:val="auto"/>
        </w:rPr>
      </w:pPr>
      <w:r>
        <w:rPr>
          <w:rFonts w:ascii="Arial" w:cs="Arial" w:eastAsia="Arial" w:hAnsi="Arial"/>
          <w:sz w:val="20"/>
          <w:szCs w:val="20"/>
          <w:b w:val="1"/>
          <w:bCs w:val="1"/>
          <w:color w:val="D52B1E"/>
        </w:rPr>
        <w:t>2022 Compensation for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5674995"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5674995" cy="8890"/>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00" w:type="dxa"/>
            <w:vAlign w:val="bottom"/>
          </w:tcPr>
          <w:p>
            <w:pPr>
              <w:spacing w:after="0"/>
              <w:rPr>
                <w:sz w:val="17"/>
                <w:szCs w:val="17"/>
                <w:color w:val="auto"/>
              </w:rPr>
            </w:pPr>
          </w:p>
        </w:tc>
        <w:tc>
          <w:tcPr>
            <w:tcW w:w="218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Fees Earned</w:t>
            </w:r>
          </w:p>
        </w:tc>
        <w:tc>
          <w:tcPr>
            <w:tcW w:w="1600" w:type="dxa"/>
            <w:vAlign w:val="bottom"/>
          </w:tcPr>
          <w:p>
            <w:pPr>
              <w:spacing w:after="0"/>
              <w:rPr>
                <w:sz w:val="17"/>
                <w:szCs w:val="17"/>
                <w:color w:val="auto"/>
              </w:rPr>
            </w:pPr>
          </w:p>
        </w:tc>
        <w:tc>
          <w:tcPr>
            <w:tcW w:w="1840" w:type="dxa"/>
            <w:vAlign w:val="bottom"/>
          </w:tcPr>
          <w:p>
            <w:pPr>
              <w:jc w:val="center"/>
              <w:ind w:right="79"/>
              <w:spacing w:after="0"/>
              <w:rPr>
                <w:sz w:val="20"/>
                <w:szCs w:val="20"/>
                <w:color w:val="auto"/>
              </w:rPr>
            </w:pPr>
            <w:r>
              <w:rPr>
                <w:rFonts w:ascii="Arial" w:cs="Arial" w:eastAsia="Arial" w:hAnsi="Arial"/>
                <w:sz w:val="16"/>
                <w:szCs w:val="16"/>
                <w:b w:val="1"/>
                <w:bCs w:val="1"/>
                <w:color w:val="auto"/>
              </w:rPr>
              <w:t>All Other</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00" w:type="dxa"/>
            <w:vAlign w:val="bottom"/>
          </w:tcPr>
          <w:p>
            <w:pPr>
              <w:spacing w:after="0"/>
              <w:rPr>
                <w:sz w:val="16"/>
                <w:szCs w:val="16"/>
                <w:color w:val="auto"/>
              </w:rPr>
            </w:pPr>
          </w:p>
        </w:tc>
        <w:tc>
          <w:tcPr>
            <w:tcW w:w="2180" w:type="dxa"/>
            <w:vAlign w:val="bottom"/>
            <w:vMerge w:val="continue"/>
          </w:tcPr>
          <w:p>
            <w:pPr>
              <w:spacing w:after="0"/>
              <w:rPr>
                <w:sz w:val="16"/>
                <w:szCs w:val="16"/>
                <w:color w:val="auto"/>
              </w:rPr>
            </w:pPr>
          </w:p>
        </w:tc>
        <w:tc>
          <w:tcPr>
            <w:tcW w:w="1600" w:type="dxa"/>
            <w:vAlign w:val="bottom"/>
          </w:tcPr>
          <w:p>
            <w:pPr>
              <w:spacing w:after="0"/>
              <w:rPr>
                <w:sz w:val="16"/>
                <w:szCs w:val="16"/>
                <w:color w:val="auto"/>
              </w:rPr>
            </w:pPr>
          </w:p>
        </w:tc>
        <w:tc>
          <w:tcPr>
            <w:tcW w:w="1840" w:type="dxa"/>
            <w:vAlign w:val="bottom"/>
          </w:tcPr>
          <w:p>
            <w:pPr>
              <w:jc w:val="center"/>
              <w:ind w:right="79"/>
              <w:spacing w:after="0"/>
              <w:rPr>
                <w:sz w:val="20"/>
                <w:szCs w:val="20"/>
                <w:color w:val="auto"/>
              </w:rPr>
            </w:pPr>
            <w:r>
              <w:rPr>
                <w:rFonts w:ascii="Arial" w:cs="Arial" w:eastAsia="Arial" w:hAnsi="Arial"/>
                <w:sz w:val="16"/>
                <w:szCs w:val="16"/>
                <w:b w:val="1"/>
                <w:bCs w:val="1"/>
                <w:color w:val="auto"/>
              </w:rPr>
              <w:t>Compensation</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or Paid in Cash ($)</w:t>
            </w:r>
          </w:p>
        </w:tc>
        <w:tc>
          <w:tcPr>
            <w:tcW w:w="1600" w:type="dxa"/>
            <w:vAlign w:val="bottom"/>
            <w:tcBorders>
              <w:bottom w:val="single" w:sz="8" w:color="auto"/>
            </w:tcBorders>
          </w:tcPr>
          <w:p>
            <w:pPr>
              <w:jc w:val="right"/>
              <w:ind w:right="59"/>
              <w:spacing w:after="0" w:line="230" w:lineRule="exact"/>
              <w:rPr>
                <w:sz w:val="20"/>
                <w:szCs w:val="20"/>
                <w:color w:val="auto"/>
              </w:rPr>
            </w:pPr>
            <w:r>
              <w:rPr>
                <w:rFonts w:ascii="Arial" w:cs="Arial" w:eastAsia="Arial" w:hAnsi="Arial"/>
                <w:sz w:val="16"/>
                <w:szCs w:val="16"/>
                <w:b w:val="1"/>
                <w:bCs w:val="1"/>
                <w:color w:val="auto"/>
              </w:rPr>
              <w:t>Stock Awards ($)</w:t>
            </w:r>
            <w:r>
              <w:rPr>
                <w:rFonts w:ascii="Arial" w:cs="Arial" w:eastAsia="Arial" w:hAnsi="Arial"/>
                <w:sz w:val="21"/>
                <w:szCs w:val="21"/>
                <w:b w:val="1"/>
                <w:bCs w:val="1"/>
                <w:color w:val="auto"/>
                <w:vertAlign w:val="superscript"/>
              </w:rPr>
              <w:t>1</w:t>
            </w:r>
          </w:p>
        </w:tc>
        <w:tc>
          <w:tcPr>
            <w:tcW w:w="1840" w:type="dxa"/>
            <w:vAlign w:val="bottom"/>
            <w:tcBorders>
              <w:bottom w:val="single" w:sz="8" w:color="auto"/>
            </w:tcBorders>
          </w:tcPr>
          <w:p>
            <w:pPr>
              <w:jc w:val="center"/>
              <w:ind w:right="39"/>
              <w:spacing w:after="0" w:line="230" w:lineRule="exact"/>
              <w:rPr>
                <w:sz w:val="20"/>
                <w:szCs w:val="20"/>
                <w:color w:val="auto"/>
              </w:rPr>
            </w:pPr>
            <w:r>
              <w:rPr>
                <w:rFonts w:ascii="Arial" w:cs="Arial" w:eastAsia="Arial" w:hAnsi="Arial"/>
                <w:sz w:val="16"/>
                <w:szCs w:val="16"/>
                <w:b w:val="1"/>
                <w:bCs w:val="1"/>
                <w:color w:val="auto"/>
                <w:w w:val="99"/>
              </w:rPr>
              <w:t>and Payments ($)</w:t>
            </w:r>
            <w:r>
              <w:rPr>
                <w:rFonts w:ascii="Arial" w:cs="Arial" w:eastAsia="Arial" w:hAnsi="Arial"/>
                <w:sz w:val="21"/>
                <w:szCs w:val="21"/>
                <w:b w:val="1"/>
                <w:bCs w:val="1"/>
                <w:color w:val="auto"/>
                <w:w w:val="99"/>
                <w:vertAlign w:val="superscript"/>
              </w:rPr>
              <w:t>2</w:t>
            </w:r>
          </w:p>
        </w:tc>
        <w:tc>
          <w:tcPr>
            <w:tcW w:w="1320" w:type="dxa"/>
            <w:vAlign w:val="bottom"/>
            <w:tcBorders>
              <w:bottom w:val="single" w:sz="8" w:color="auto"/>
            </w:tcBorders>
          </w:tcPr>
          <w:p>
            <w:pPr>
              <w:ind w:left="300"/>
              <w:spacing w:after="0" w:line="230" w:lineRule="exact"/>
              <w:rPr>
                <w:sz w:val="20"/>
                <w:szCs w:val="20"/>
                <w:color w:val="auto"/>
              </w:rPr>
            </w:pPr>
            <w:r>
              <w:rPr>
                <w:rFonts w:ascii="Arial" w:cs="Arial" w:eastAsia="Arial" w:hAnsi="Arial"/>
                <w:sz w:val="16"/>
                <w:szCs w:val="16"/>
                <w:b w:val="1"/>
                <w:bCs w:val="1"/>
                <w:color w:val="auto"/>
              </w:rPr>
              <w:t>Total ($)</w:t>
            </w:r>
            <w:r>
              <w:rPr>
                <w:rFonts w:ascii="Arial" w:cs="Arial" w:eastAsia="Arial" w:hAnsi="Arial"/>
                <w:sz w:val="21"/>
                <w:szCs w:val="21"/>
                <w:b w:val="1"/>
                <w:bCs w:val="1"/>
                <w:color w:val="auto"/>
                <w:vertAlign w:val="superscript"/>
              </w:rPr>
              <w:t>3</w:t>
            </w:r>
          </w:p>
        </w:tc>
        <w:tc>
          <w:tcPr>
            <w:tcW w:w="0" w:type="dxa"/>
            <w:vAlign w:val="bottom"/>
          </w:tcPr>
          <w:p>
            <w:pPr>
              <w:spacing w:after="0"/>
              <w:rPr>
                <w:sz w:val="1"/>
                <w:szCs w:val="1"/>
                <w:color w:val="auto"/>
              </w:rPr>
            </w:pPr>
          </w:p>
        </w:tc>
      </w:tr>
      <w:tr>
        <w:trPr>
          <w:trHeight w:val="237"/>
        </w:trPr>
        <w:tc>
          <w:tcPr>
            <w:tcW w:w="2000" w:type="dxa"/>
            <w:vAlign w:val="bottom"/>
            <w:shd w:val="clear" w:color="auto" w:fill="F2F2F2"/>
          </w:tcPr>
          <w:p>
            <w:pPr>
              <w:ind w:left="20"/>
              <w:spacing w:after="0"/>
              <w:rPr>
                <w:sz w:val="20"/>
                <w:szCs w:val="20"/>
                <w:color w:val="auto"/>
              </w:rPr>
            </w:pPr>
            <w:r>
              <w:rPr>
                <w:rFonts w:ascii="Arial" w:cs="Arial" w:eastAsia="Arial" w:hAnsi="Arial"/>
                <w:sz w:val="16"/>
                <w:szCs w:val="16"/>
                <w:color w:val="auto"/>
              </w:rPr>
              <w:t>Mr. Alvarez</w:t>
            </w:r>
          </w:p>
        </w:tc>
        <w:tc>
          <w:tcPr>
            <w:tcW w:w="2180" w:type="dxa"/>
            <w:vAlign w:val="bottom"/>
            <w:shd w:val="clear" w:color="auto" w:fill="F2F2F2"/>
          </w:tcPr>
          <w:p>
            <w:pPr>
              <w:jc w:val="right"/>
              <w:ind w:right="319"/>
              <w:spacing w:after="0"/>
              <w:rPr>
                <w:sz w:val="20"/>
                <w:szCs w:val="20"/>
                <w:color w:val="auto"/>
              </w:rPr>
            </w:pPr>
            <w:r>
              <w:rPr>
                <w:rFonts w:ascii="Arial" w:cs="Arial" w:eastAsia="Arial" w:hAnsi="Arial"/>
                <w:sz w:val="16"/>
                <w:szCs w:val="16"/>
                <w:color w:val="auto"/>
              </w:rPr>
              <w:t>$136,000</w:t>
            </w:r>
          </w:p>
        </w:tc>
        <w:tc>
          <w:tcPr>
            <w:tcW w:w="1600" w:type="dxa"/>
            <w:vAlign w:val="bottom"/>
            <w:shd w:val="clear" w:color="auto" w:fill="F2F2F2"/>
          </w:tcPr>
          <w:p>
            <w:pPr>
              <w:jc w:val="right"/>
              <w:ind w:right="399"/>
              <w:spacing w:after="0"/>
              <w:rPr>
                <w:sz w:val="20"/>
                <w:szCs w:val="20"/>
                <w:color w:val="auto"/>
              </w:rPr>
            </w:pPr>
            <w:r>
              <w:rPr>
                <w:rFonts w:ascii="Arial" w:cs="Arial" w:eastAsia="Arial" w:hAnsi="Arial"/>
                <w:sz w:val="16"/>
                <w:szCs w:val="16"/>
                <w:color w:val="auto"/>
              </w:rPr>
              <w:t>$180,000</w:t>
            </w:r>
          </w:p>
        </w:tc>
        <w:tc>
          <w:tcPr>
            <w:tcW w:w="1840" w:type="dxa"/>
            <w:vAlign w:val="bottom"/>
            <w:shd w:val="clear" w:color="auto" w:fill="F2F2F2"/>
          </w:tcPr>
          <w:p>
            <w:pPr>
              <w:jc w:val="right"/>
              <w:ind w:right="379"/>
              <w:spacing w:after="0"/>
              <w:rPr>
                <w:sz w:val="20"/>
                <w:szCs w:val="20"/>
                <w:color w:val="auto"/>
              </w:rPr>
            </w:pPr>
            <w:r>
              <w:rPr>
                <w:rFonts w:ascii="Arial" w:cs="Arial" w:eastAsia="Arial" w:hAnsi="Arial"/>
                <w:sz w:val="16"/>
                <w:szCs w:val="16"/>
                <w:color w:val="auto"/>
              </w:rPr>
              <w:t>$0</w:t>
            </w:r>
          </w:p>
        </w:tc>
        <w:tc>
          <w:tcPr>
            <w:tcW w:w="1320" w:type="dxa"/>
            <w:vAlign w:val="bottom"/>
            <w:shd w:val="clear" w:color="auto" w:fill="F2F2F2"/>
          </w:tcPr>
          <w:p>
            <w:pPr>
              <w:ind w:left="300"/>
              <w:spacing w:after="0"/>
              <w:rPr>
                <w:sz w:val="20"/>
                <w:szCs w:val="20"/>
                <w:color w:val="auto"/>
              </w:rPr>
            </w:pPr>
            <w:r>
              <w:rPr>
                <w:rFonts w:ascii="Arial" w:cs="Arial" w:eastAsia="Arial" w:hAnsi="Arial"/>
                <w:sz w:val="16"/>
                <w:szCs w:val="16"/>
                <w:color w:val="auto"/>
              </w:rPr>
              <w:t>$316,000</w:t>
            </w:r>
          </w:p>
        </w:tc>
        <w:tc>
          <w:tcPr>
            <w:tcW w:w="0" w:type="dxa"/>
            <w:vAlign w:val="bottom"/>
          </w:tcPr>
          <w:p>
            <w:pPr>
              <w:spacing w:after="0"/>
              <w:rPr>
                <w:sz w:val="1"/>
                <w:szCs w:val="1"/>
                <w:color w:val="auto"/>
              </w:rPr>
            </w:pPr>
          </w:p>
        </w:tc>
      </w:tr>
      <w:tr>
        <w:trPr>
          <w:trHeight w:val="249"/>
        </w:trPr>
        <w:tc>
          <w:tcPr>
            <w:tcW w:w="2000" w:type="dxa"/>
            <w:vAlign w:val="bottom"/>
          </w:tcPr>
          <w:p>
            <w:pPr>
              <w:ind w:left="20"/>
              <w:spacing w:after="0"/>
              <w:rPr>
                <w:sz w:val="20"/>
                <w:szCs w:val="20"/>
                <w:color w:val="auto"/>
              </w:rPr>
            </w:pPr>
            <w:r>
              <w:rPr>
                <w:rFonts w:ascii="Arial" w:cs="Arial" w:eastAsia="Arial" w:hAnsi="Arial"/>
                <w:sz w:val="16"/>
                <w:szCs w:val="16"/>
                <w:color w:val="auto"/>
              </w:rPr>
              <w:t>Dr. Baicker</w:t>
            </w:r>
          </w:p>
        </w:tc>
        <w:tc>
          <w:tcPr>
            <w:tcW w:w="2180" w:type="dxa"/>
            <w:vAlign w:val="bottom"/>
          </w:tcPr>
          <w:p>
            <w:pPr>
              <w:jc w:val="right"/>
              <w:ind w:right="319"/>
              <w:spacing w:after="0"/>
              <w:rPr>
                <w:sz w:val="20"/>
                <w:szCs w:val="20"/>
                <w:color w:val="auto"/>
              </w:rPr>
            </w:pPr>
            <w:r>
              <w:rPr>
                <w:rFonts w:ascii="Arial" w:cs="Arial" w:eastAsia="Arial" w:hAnsi="Arial"/>
                <w:sz w:val="16"/>
                <w:szCs w:val="16"/>
                <w:color w:val="auto"/>
              </w:rPr>
              <w:t>$136,000</w:t>
            </w:r>
          </w:p>
        </w:tc>
        <w:tc>
          <w:tcPr>
            <w:tcW w:w="1600" w:type="dxa"/>
            <w:vAlign w:val="bottom"/>
          </w:tcPr>
          <w:p>
            <w:pPr>
              <w:jc w:val="right"/>
              <w:ind w:right="399"/>
              <w:spacing w:after="0"/>
              <w:rPr>
                <w:sz w:val="20"/>
                <w:szCs w:val="20"/>
                <w:color w:val="auto"/>
              </w:rPr>
            </w:pPr>
            <w:r>
              <w:rPr>
                <w:rFonts w:ascii="Arial" w:cs="Arial" w:eastAsia="Arial" w:hAnsi="Arial"/>
                <w:sz w:val="16"/>
                <w:szCs w:val="16"/>
                <w:color w:val="auto"/>
              </w:rPr>
              <w:t>$180,000</w:t>
            </w:r>
          </w:p>
        </w:tc>
        <w:tc>
          <w:tcPr>
            <w:tcW w:w="1840" w:type="dxa"/>
            <w:vAlign w:val="bottom"/>
          </w:tcPr>
          <w:p>
            <w:pPr>
              <w:jc w:val="right"/>
              <w:ind w:right="379"/>
              <w:spacing w:after="0"/>
              <w:rPr>
                <w:sz w:val="20"/>
                <w:szCs w:val="20"/>
                <w:color w:val="auto"/>
              </w:rPr>
            </w:pPr>
            <w:r>
              <w:rPr>
                <w:rFonts w:ascii="Arial" w:cs="Arial" w:eastAsia="Arial" w:hAnsi="Arial"/>
                <w:sz w:val="16"/>
                <w:szCs w:val="16"/>
                <w:color w:val="auto"/>
              </w:rPr>
              <w:t>$0</w:t>
            </w:r>
          </w:p>
        </w:tc>
        <w:tc>
          <w:tcPr>
            <w:tcW w:w="1320" w:type="dxa"/>
            <w:vAlign w:val="bottom"/>
          </w:tcPr>
          <w:p>
            <w:pPr>
              <w:ind w:left="300"/>
              <w:spacing w:after="0"/>
              <w:rPr>
                <w:sz w:val="20"/>
                <w:szCs w:val="20"/>
                <w:color w:val="auto"/>
              </w:rPr>
            </w:pPr>
            <w:r>
              <w:rPr>
                <w:rFonts w:ascii="Arial" w:cs="Arial" w:eastAsia="Arial" w:hAnsi="Arial"/>
                <w:sz w:val="16"/>
                <w:szCs w:val="16"/>
                <w:color w:val="auto"/>
              </w:rPr>
              <w:t>$316,000</w:t>
            </w:r>
          </w:p>
        </w:tc>
        <w:tc>
          <w:tcPr>
            <w:tcW w:w="0" w:type="dxa"/>
            <w:vAlign w:val="bottom"/>
          </w:tcPr>
          <w:p>
            <w:pPr>
              <w:spacing w:after="0"/>
              <w:rPr>
                <w:sz w:val="1"/>
                <w:szCs w:val="1"/>
                <w:color w:val="auto"/>
              </w:rPr>
            </w:pPr>
          </w:p>
        </w:tc>
      </w:tr>
      <w:tr>
        <w:trPr>
          <w:trHeight w:val="264"/>
        </w:trPr>
        <w:tc>
          <w:tcPr>
            <w:tcW w:w="2000" w:type="dxa"/>
            <w:vAlign w:val="bottom"/>
            <w:shd w:val="clear" w:color="auto" w:fill="F2F2F2"/>
          </w:tcPr>
          <w:p>
            <w:pPr>
              <w:ind w:left="20"/>
              <w:spacing w:after="0"/>
              <w:rPr>
                <w:sz w:val="20"/>
                <w:szCs w:val="20"/>
                <w:color w:val="auto"/>
              </w:rPr>
            </w:pPr>
            <w:r>
              <w:rPr>
                <w:rFonts w:ascii="Arial" w:cs="Arial" w:eastAsia="Arial" w:hAnsi="Arial"/>
                <w:sz w:val="16"/>
                <w:szCs w:val="16"/>
                <w:color w:val="auto"/>
              </w:rPr>
              <w:t>Mr. Fyrwald</w:t>
            </w:r>
          </w:p>
        </w:tc>
        <w:tc>
          <w:tcPr>
            <w:tcW w:w="2180" w:type="dxa"/>
            <w:vAlign w:val="bottom"/>
            <w:shd w:val="clear" w:color="auto" w:fill="F2F2F2"/>
          </w:tcPr>
          <w:p>
            <w:pPr>
              <w:jc w:val="right"/>
              <w:ind w:right="319"/>
              <w:spacing w:after="0"/>
              <w:rPr>
                <w:sz w:val="20"/>
                <w:szCs w:val="20"/>
                <w:color w:val="auto"/>
              </w:rPr>
            </w:pPr>
            <w:r>
              <w:rPr>
                <w:rFonts w:ascii="Arial" w:cs="Arial" w:eastAsia="Arial" w:hAnsi="Arial"/>
                <w:sz w:val="16"/>
                <w:szCs w:val="16"/>
                <w:color w:val="auto"/>
              </w:rPr>
              <w:t>$119,000</w:t>
            </w:r>
          </w:p>
        </w:tc>
        <w:tc>
          <w:tcPr>
            <w:tcW w:w="1600" w:type="dxa"/>
            <w:vAlign w:val="bottom"/>
            <w:shd w:val="clear" w:color="auto" w:fill="F2F2F2"/>
          </w:tcPr>
          <w:p>
            <w:pPr>
              <w:jc w:val="right"/>
              <w:ind w:right="399"/>
              <w:spacing w:after="0"/>
              <w:rPr>
                <w:sz w:val="20"/>
                <w:szCs w:val="20"/>
                <w:color w:val="auto"/>
              </w:rPr>
            </w:pPr>
            <w:r>
              <w:rPr>
                <w:rFonts w:ascii="Arial" w:cs="Arial" w:eastAsia="Arial" w:hAnsi="Arial"/>
                <w:sz w:val="16"/>
                <w:szCs w:val="16"/>
                <w:color w:val="auto"/>
              </w:rPr>
              <w:t>$180,000</w:t>
            </w:r>
          </w:p>
        </w:tc>
        <w:tc>
          <w:tcPr>
            <w:tcW w:w="1840" w:type="dxa"/>
            <w:vAlign w:val="bottom"/>
            <w:shd w:val="clear" w:color="auto" w:fill="F2F2F2"/>
          </w:tcPr>
          <w:p>
            <w:pPr>
              <w:jc w:val="right"/>
              <w:ind w:right="379"/>
              <w:spacing w:after="0"/>
              <w:rPr>
                <w:sz w:val="20"/>
                <w:szCs w:val="20"/>
                <w:color w:val="auto"/>
              </w:rPr>
            </w:pPr>
            <w:r>
              <w:rPr>
                <w:rFonts w:ascii="Arial" w:cs="Arial" w:eastAsia="Arial" w:hAnsi="Arial"/>
                <w:sz w:val="16"/>
                <w:szCs w:val="16"/>
                <w:color w:val="auto"/>
              </w:rPr>
              <w:t>$24,882</w:t>
            </w:r>
          </w:p>
        </w:tc>
        <w:tc>
          <w:tcPr>
            <w:tcW w:w="1320" w:type="dxa"/>
            <w:vAlign w:val="bottom"/>
            <w:shd w:val="clear" w:color="auto" w:fill="F2F2F2"/>
          </w:tcPr>
          <w:p>
            <w:pPr>
              <w:ind w:left="300"/>
              <w:spacing w:after="0"/>
              <w:rPr>
                <w:sz w:val="20"/>
                <w:szCs w:val="20"/>
                <w:color w:val="auto"/>
              </w:rPr>
            </w:pPr>
            <w:r>
              <w:rPr>
                <w:rFonts w:ascii="Arial" w:cs="Arial" w:eastAsia="Arial" w:hAnsi="Arial"/>
                <w:sz w:val="16"/>
                <w:szCs w:val="16"/>
                <w:color w:val="auto"/>
              </w:rPr>
              <w:t>$323,882</w:t>
            </w:r>
          </w:p>
        </w:tc>
        <w:tc>
          <w:tcPr>
            <w:tcW w:w="0" w:type="dxa"/>
            <w:vAlign w:val="bottom"/>
          </w:tcPr>
          <w:p>
            <w:pPr>
              <w:spacing w:after="0"/>
              <w:rPr>
                <w:sz w:val="1"/>
                <w:szCs w:val="1"/>
                <w:color w:val="auto"/>
              </w:rPr>
            </w:pPr>
          </w:p>
        </w:tc>
      </w:tr>
      <w:tr>
        <w:trPr>
          <w:trHeight w:val="249"/>
        </w:trPr>
        <w:tc>
          <w:tcPr>
            <w:tcW w:w="2000" w:type="dxa"/>
            <w:vAlign w:val="bottom"/>
          </w:tcPr>
          <w:p>
            <w:pPr>
              <w:ind w:left="20"/>
              <w:spacing w:after="0"/>
              <w:rPr>
                <w:sz w:val="20"/>
                <w:szCs w:val="20"/>
                <w:color w:val="auto"/>
              </w:rPr>
            </w:pPr>
            <w:r>
              <w:rPr>
                <w:rFonts w:ascii="Arial" w:cs="Arial" w:eastAsia="Arial" w:hAnsi="Arial"/>
                <w:sz w:val="16"/>
                <w:szCs w:val="16"/>
                <w:color w:val="auto"/>
              </w:rPr>
              <w:t>Dr. Hedley</w:t>
            </w:r>
          </w:p>
        </w:tc>
        <w:tc>
          <w:tcPr>
            <w:tcW w:w="2180" w:type="dxa"/>
            <w:vAlign w:val="bottom"/>
          </w:tcPr>
          <w:p>
            <w:pPr>
              <w:jc w:val="right"/>
              <w:ind w:right="319"/>
              <w:spacing w:after="0"/>
              <w:rPr>
                <w:sz w:val="20"/>
                <w:szCs w:val="20"/>
                <w:color w:val="auto"/>
              </w:rPr>
            </w:pPr>
            <w:r>
              <w:rPr>
                <w:rFonts w:ascii="Arial" w:cs="Arial" w:eastAsia="Arial" w:hAnsi="Arial"/>
                <w:sz w:val="16"/>
                <w:szCs w:val="16"/>
                <w:color w:val="auto"/>
              </w:rPr>
              <w:t>$74,855</w:t>
            </w:r>
          </w:p>
        </w:tc>
        <w:tc>
          <w:tcPr>
            <w:tcW w:w="1600" w:type="dxa"/>
            <w:vAlign w:val="bottom"/>
          </w:tcPr>
          <w:p>
            <w:pPr>
              <w:jc w:val="right"/>
              <w:ind w:right="399"/>
              <w:spacing w:after="0"/>
              <w:rPr>
                <w:sz w:val="20"/>
                <w:szCs w:val="20"/>
                <w:color w:val="auto"/>
              </w:rPr>
            </w:pPr>
            <w:r>
              <w:rPr>
                <w:rFonts w:ascii="Arial" w:cs="Arial" w:eastAsia="Arial" w:hAnsi="Arial"/>
                <w:sz w:val="16"/>
                <w:szCs w:val="16"/>
                <w:color w:val="auto"/>
              </w:rPr>
              <w:t>$120,000</w:t>
            </w:r>
          </w:p>
        </w:tc>
        <w:tc>
          <w:tcPr>
            <w:tcW w:w="1840" w:type="dxa"/>
            <w:vAlign w:val="bottom"/>
          </w:tcPr>
          <w:p>
            <w:pPr>
              <w:jc w:val="right"/>
              <w:ind w:right="379"/>
              <w:spacing w:after="0"/>
              <w:rPr>
                <w:sz w:val="20"/>
                <w:szCs w:val="20"/>
                <w:color w:val="auto"/>
              </w:rPr>
            </w:pPr>
            <w:r>
              <w:rPr>
                <w:rFonts w:ascii="Arial" w:cs="Arial" w:eastAsia="Arial" w:hAnsi="Arial"/>
                <w:sz w:val="16"/>
                <w:szCs w:val="16"/>
                <w:color w:val="auto"/>
              </w:rPr>
              <w:t>$0</w:t>
            </w:r>
          </w:p>
        </w:tc>
        <w:tc>
          <w:tcPr>
            <w:tcW w:w="1320" w:type="dxa"/>
            <w:vAlign w:val="bottom"/>
          </w:tcPr>
          <w:p>
            <w:pPr>
              <w:ind w:left="300"/>
              <w:spacing w:after="0"/>
              <w:rPr>
                <w:sz w:val="20"/>
                <w:szCs w:val="20"/>
                <w:color w:val="auto"/>
              </w:rPr>
            </w:pPr>
            <w:r>
              <w:rPr>
                <w:rFonts w:ascii="Arial" w:cs="Arial" w:eastAsia="Arial" w:hAnsi="Arial"/>
                <w:sz w:val="16"/>
                <w:szCs w:val="16"/>
                <w:color w:val="auto"/>
              </w:rPr>
              <w:t>$194,855</w:t>
            </w:r>
          </w:p>
        </w:tc>
        <w:tc>
          <w:tcPr>
            <w:tcW w:w="0" w:type="dxa"/>
            <w:vAlign w:val="bottom"/>
          </w:tcPr>
          <w:p>
            <w:pPr>
              <w:spacing w:after="0"/>
              <w:rPr>
                <w:sz w:val="1"/>
                <w:szCs w:val="1"/>
                <w:color w:val="auto"/>
              </w:rPr>
            </w:pPr>
          </w:p>
        </w:tc>
      </w:tr>
      <w:tr>
        <w:trPr>
          <w:trHeight w:val="264"/>
        </w:trPr>
        <w:tc>
          <w:tcPr>
            <w:tcW w:w="2000" w:type="dxa"/>
            <w:vAlign w:val="bottom"/>
            <w:shd w:val="clear" w:color="auto" w:fill="F2F2F2"/>
          </w:tcPr>
          <w:p>
            <w:pPr>
              <w:ind w:left="20"/>
              <w:spacing w:after="0"/>
              <w:rPr>
                <w:sz w:val="20"/>
                <w:szCs w:val="20"/>
                <w:color w:val="auto"/>
              </w:rPr>
            </w:pPr>
            <w:r>
              <w:rPr>
                <w:rFonts w:ascii="Arial" w:cs="Arial" w:eastAsia="Arial" w:hAnsi="Arial"/>
                <w:sz w:val="16"/>
                <w:szCs w:val="16"/>
                <w:color w:val="auto"/>
              </w:rPr>
              <w:t>Mr. Jackson</w:t>
            </w:r>
          </w:p>
        </w:tc>
        <w:tc>
          <w:tcPr>
            <w:tcW w:w="2180" w:type="dxa"/>
            <w:vAlign w:val="bottom"/>
            <w:shd w:val="clear" w:color="auto" w:fill="F2F2F2"/>
          </w:tcPr>
          <w:p>
            <w:pPr>
              <w:jc w:val="right"/>
              <w:ind w:right="319"/>
              <w:spacing w:after="0"/>
              <w:rPr>
                <w:sz w:val="20"/>
                <w:szCs w:val="20"/>
                <w:color w:val="auto"/>
              </w:rPr>
            </w:pPr>
            <w:r>
              <w:rPr>
                <w:rFonts w:ascii="Arial" w:cs="Arial" w:eastAsia="Arial" w:hAnsi="Arial"/>
                <w:sz w:val="16"/>
                <w:szCs w:val="16"/>
                <w:color w:val="auto"/>
              </w:rPr>
              <w:t>$141,000</w:t>
            </w:r>
          </w:p>
        </w:tc>
        <w:tc>
          <w:tcPr>
            <w:tcW w:w="1600" w:type="dxa"/>
            <w:vAlign w:val="bottom"/>
            <w:shd w:val="clear" w:color="auto" w:fill="F2F2F2"/>
          </w:tcPr>
          <w:p>
            <w:pPr>
              <w:jc w:val="right"/>
              <w:ind w:right="399"/>
              <w:spacing w:after="0"/>
              <w:rPr>
                <w:sz w:val="20"/>
                <w:szCs w:val="20"/>
                <w:color w:val="auto"/>
              </w:rPr>
            </w:pPr>
            <w:r>
              <w:rPr>
                <w:rFonts w:ascii="Arial" w:cs="Arial" w:eastAsia="Arial" w:hAnsi="Arial"/>
                <w:sz w:val="16"/>
                <w:szCs w:val="16"/>
                <w:color w:val="auto"/>
              </w:rPr>
              <w:t>$180,000</w:t>
            </w:r>
          </w:p>
        </w:tc>
        <w:tc>
          <w:tcPr>
            <w:tcW w:w="1840" w:type="dxa"/>
            <w:vAlign w:val="bottom"/>
            <w:shd w:val="clear" w:color="auto" w:fill="F2F2F2"/>
          </w:tcPr>
          <w:p>
            <w:pPr>
              <w:jc w:val="right"/>
              <w:ind w:right="379"/>
              <w:spacing w:after="0"/>
              <w:rPr>
                <w:sz w:val="20"/>
                <w:szCs w:val="20"/>
                <w:color w:val="auto"/>
              </w:rPr>
            </w:pPr>
            <w:r>
              <w:rPr>
                <w:rFonts w:ascii="Arial" w:cs="Arial" w:eastAsia="Arial" w:hAnsi="Arial"/>
                <w:sz w:val="16"/>
                <w:szCs w:val="16"/>
                <w:color w:val="auto"/>
              </w:rPr>
              <w:t>$0</w:t>
            </w:r>
          </w:p>
        </w:tc>
        <w:tc>
          <w:tcPr>
            <w:tcW w:w="1320" w:type="dxa"/>
            <w:vAlign w:val="bottom"/>
            <w:shd w:val="clear" w:color="auto" w:fill="F2F2F2"/>
          </w:tcPr>
          <w:p>
            <w:pPr>
              <w:ind w:left="300"/>
              <w:spacing w:after="0"/>
              <w:rPr>
                <w:sz w:val="20"/>
                <w:szCs w:val="20"/>
                <w:color w:val="auto"/>
              </w:rPr>
            </w:pPr>
            <w:r>
              <w:rPr>
                <w:rFonts w:ascii="Arial" w:cs="Arial" w:eastAsia="Arial" w:hAnsi="Arial"/>
                <w:sz w:val="16"/>
                <w:szCs w:val="16"/>
                <w:color w:val="auto"/>
              </w:rPr>
              <w:t>$321,000</w:t>
            </w:r>
          </w:p>
        </w:tc>
        <w:tc>
          <w:tcPr>
            <w:tcW w:w="0" w:type="dxa"/>
            <w:vAlign w:val="bottom"/>
          </w:tcPr>
          <w:p>
            <w:pPr>
              <w:spacing w:after="0"/>
              <w:rPr>
                <w:sz w:val="1"/>
                <w:szCs w:val="1"/>
                <w:color w:val="auto"/>
              </w:rPr>
            </w:pPr>
          </w:p>
        </w:tc>
      </w:tr>
      <w:tr>
        <w:trPr>
          <w:trHeight w:val="249"/>
        </w:trPr>
        <w:tc>
          <w:tcPr>
            <w:tcW w:w="2000" w:type="dxa"/>
            <w:vAlign w:val="bottom"/>
          </w:tcPr>
          <w:p>
            <w:pPr>
              <w:ind w:left="20"/>
              <w:spacing w:after="0"/>
              <w:rPr>
                <w:sz w:val="20"/>
                <w:szCs w:val="20"/>
                <w:color w:val="auto"/>
              </w:rPr>
            </w:pPr>
            <w:r>
              <w:rPr>
                <w:rFonts w:ascii="Arial" w:cs="Arial" w:eastAsia="Arial" w:hAnsi="Arial"/>
                <w:sz w:val="16"/>
                <w:szCs w:val="16"/>
                <w:color w:val="auto"/>
              </w:rPr>
              <w:t>Ms. Johnson</w:t>
            </w:r>
          </w:p>
        </w:tc>
        <w:tc>
          <w:tcPr>
            <w:tcW w:w="2180" w:type="dxa"/>
            <w:vAlign w:val="bottom"/>
          </w:tcPr>
          <w:p>
            <w:pPr>
              <w:jc w:val="right"/>
              <w:ind w:right="319"/>
              <w:spacing w:after="0"/>
              <w:rPr>
                <w:sz w:val="20"/>
                <w:szCs w:val="20"/>
                <w:color w:val="auto"/>
              </w:rPr>
            </w:pPr>
            <w:r>
              <w:rPr>
                <w:rFonts w:ascii="Arial" w:cs="Arial" w:eastAsia="Arial" w:hAnsi="Arial"/>
                <w:sz w:val="16"/>
                <w:szCs w:val="16"/>
                <w:color w:val="auto"/>
              </w:rPr>
              <w:t>$116,000</w:t>
            </w:r>
          </w:p>
        </w:tc>
        <w:tc>
          <w:tcPr>
            <w:tcW w:w="1600" w:type="dxa"/>
            <w:vAlign w:val="bottom"/>
          </w:tcPr>
          <w:p>
            <w:pPr>
              <w:jc w:val="right"/>
              <w:ind w:right="399"/>
              <w:spacing w:after="0"/>
              <w:rPr>
                <w:sz w:val="20"/>
                <w:szCs w:val="20"/>
                <w:color w:val="auto"/>
              </w:rPr>
            </w:pPr>
            <w:r>
              <w:rPr>
                <w:rFonts w:ascii="Arial" w:cs="Arial" w:eastAsia="Arial" w:hAnsi="Arial"/>
                <w:sz w:val="16"/>
                <w:szCs w:val="16"/>
                <w:color w:val="auto"/>
              </w:rPr>
              <w:t>$180,000</w:t>
            </w:r>
          </w:p>
        </w:tc>
        <w:tc>
          <w:tcPr>
            <w:tcW w:w="1840" w:type="dxa"/>
            <w:vAlign w:val="bottom"/>
          </w:tcPr>
          <w:p>
            <w:pPr>
              <w:jc w:val="right"/>
              <w:ind w:right="379"/>
              <w:spacing w:after="0"/>
              <w:rPr>
                <w:sz w:val="20"/>
                <w:szCs w:val="20"/>
                <w:color w:val="auto"/>
              </w:rPr>
            </w:pPr>
            <w:r>
              <w:rPr>
                <w:rFonts w:ascii="Arial" w:cs="Arial" w:eastAsia="Arial" w:hAnsi="Arial"/>
                <w:sz w:val="16"/>
                <w:szCs w:val="16"/>
                <w:color w:val="auto"/>
              </w:rPr>
              <w:t>$0</w:t>
            </w:r>
          </w:p>
        </w:tc>
        <w:tc>
          <w:tcPr>
            <w:tcW w:w="1320" w:type="dxa"/>
            <w:vAlign w:val="bottom"/>
          </w:tcPr>
          <w:p>
            <w:pPr>
              <w:ind w:left="300"/>
              <w:spacing w:after="0"/>
              <w:rPr>
                <w:sz w:val="20"/>
                <w:szCs w:val="20"/>
                <w:color w:val="auto"/>
              </w:rPr>
            </w:pPr>
            <w:r>
              <w:rPr>
                <w:rFonts w:ascii="Arial" w:cs="Arial" w:eastAsia="Arial" w:hAnsi="Arial"/>
                <w:sz w:val="16"/>
                <w:szCs w:val="16"/>
                <w:color w:val="auto"/>
              </w:rPr>
              <w:t>$296,000</w:t>
            </w:r>
          </w:p>
        </w:tc>
        <w:tc>
          <w:tcPr>
            <w:tcW w:w="0" w:type="dxa"/>
            <w:vAlign w:val="bottom"/>
          </w:tcPr>
          <w:p>
            <w:pPr>
              <w:spacing w:after="0"/>
              <w:rPr>
                <w:sz w:val="1"/>
                <w:szCs w:val="1"/>
                <w:color w:val="auto"/>
              </w:rPr>
            </w:pPr>
          </w:p>
        </w:tc>
      </w:tr>
      <w:tr>
        <w:trPr>
          <w:trHeight w:val="264"/>
        </w:trPr>
        <w:tc>
          <w:tcPr>
            <w:tcW w:w="2000" w:type="dxa"/>
            <w:vAlign w:val="bottom"/>
            <w:shd w:val="clear" w:color="auto" w:fill="F2F2F2"/>
          </w:tcPr>
          <w:p>
            <w:pPr>
              <w:ind w:left="20"/>
              <w:spacing w:after="0"/>
              <w:rPr>
                <w:sz w:val="20"/>
                <w:szCs w:val="20"/>
                <w:color w:val="auto"/>
              </w:rPr>
            </w:pPr>
            <w:r>
              <w:rPr>
                <w:rFonts w:ascii="Arial" w:cs="Arial" w:eastAsia="Arial" w:hAnsi="Arial"/>
                <w:sz w:val="16"/>
                <w:szCs w:val="16"/>
                <w:color w:val="auto"/>
              </w:rPr>
              <w:t>Dr. Kaelin</w:t>
            </w:r>
          </w:p>
        </w:tc>
        <w:tc>
          <w:tcPr>
            <w:tcW w:w="2180" w:type="dxa"/>
            <w:vAlign w:val="bottom"/>
            <w:shd w:val="clear" w:color="auto" w:fill="F2F2F2"/>
          </w:tcPr>
          <w:p>
            <w:pPr>
              <w:jc w:val="right"/>
              <w:ind w:right="319"/>
              <w:spacing w:after="0"/>
              <w:rPr>
                <w:sz w:val="20"/>
                <w:szCs w:val="20"/>
                <w:color w:val="auto"/>
              </w:rPr>
            </w:pPr>
            <w:r>
              <w:rPr>
                <w:rFonts w:ascii="Arial" w:cs="Arial" w:eastAsia="Arial" w:hAnsi="Arial"/>
                <w:sz w:val="16"/>
                <w:szCs w:val="16"/>
                <w:color w:val="auto"/>
              </w:rPr>
              <w:t>$137,000</w:t>
            </w:r>
          </w:p>
        </w:tc>
        <w:tc>
          <w:tcPr>
            <w:tcW w:w="1600" w:type="dxa"/>
            <w:vAlign w:val="bottom"/>
            <w:shd w:val="clear" w:color="auto" w:fill="F2F2F2"/>
          </w:tcPr>
          <w:p>
            <w:pPr>
              <w:jc w:val="right"/>
              <w:ind w:right="399"/>
              <w:spacing w:after="0"/>
              <w:rPr>
                <w:sz w:val="20"/>
                <w:szCs w:val="20"/>
                <w:color w:val="auto"/>
              </w:rPr>
            </w:pPr>
            <w:r>
              <w:rPr>
                <w:rFonts w:ascii="Arial" w:cs="Arial" w:eastAsia="Arial" w:hAnsi="Arial"/>
                <w:sz w:val="16"/>
                <w:szCs w:val="16"/>
                <w:color w:val="auto"/>
              </w:rPr>
              <w:t>$180,000</w:t>
            </w:r>
          </w:p>
        </w:tc>
        <w:tc>
          <w:tcPr>
            <w:tcW w:w="1840" w:type="dxa"/>
            <w:vAlign w:val="bottom"/>
            <w:shd w:val="clear" w:color="auto" w:fill="F2F2F2"/>
          </w:tcPr>
          <w:p>
            <w:pPr>
              <w:jc w:val="right"/>
              <w:ind w:right="379"/>
              <w:spacing w:after="0"/>
              <w:rPr>
                <w:sz w:val="20"/>
                <w:szCs w:val="20"/>
                <w:color w:val="auto"/>
              </w:rPr>
            </w:pPr>
            <w:r>
              <w:rPr>
                <w:rFonts w:ascii="Arial" w:cs="Arial" w:eastAsia="Arial" w:hAnsi="Arial"/>
                <w:sz w:val="16"/>
                <w:szCs w:val="16"/>
                <w:color w:val="auto"/>
              </w:rPr>
              <w:t>$9,500</w:t>
            </w:r>
          </w:p>
        </w:tc>
        <w:tc>
          <w:tcPr>
            <w:tcW w:w="1320" w:type="dxa"/>
            <w:vAlign w:val="bottom"/>
            <w:shd w:val="clear" w:color="auto" w:fill="F2F2F2"/>
          </w:tcPr>
          <w:p>
            <w:pPr>
              <w:ind w:left="300"/>
              <w:spacing w:after="0"/>
              <w:rPr>
                <w:sz w:val="20"/>
                <w:szCs w:val="20"/>
                <w:color w:val="auto"/>
              </w:rPr>
            </w:pPr>
            <w:r>
              <w:rPr>
                <w:rFonts w:ascii="Arial" w:cs="Arial" w:eastAsia="Arial" w:hAnsi="Arial"/>
                <w:sz w:val="16"/>
                <w:szCs w:val="16"/>
                <w:color w:val="auto"/>
              </w:rPr>
              <w:t>$326,500</w:t>
            </w:r>
          </w:p>
        </w:tc>
        <w:tc>
          <w:tcPr>
            <w:tcW w:w="0" w:type="dxa"/>
            <w:vAlign w:val="bottom"/>
          </w:tcPr>
          <w:p>
            <w:pPr>
              <w:spacing w:after="0"/>
              <w:rPr>
                <w:sz w:val="1"/>
                <w:szCs w:val="1"/>
                <w:color w:val="auto"/>
              </w:rPr>
            </w:pPr>
          </w:p>
        </w:tc>
      </w:tr>
      <w:tr>
        <w:trPr>
          <w:trHeight w:val="249"/>
        </w:trPr>
        <w:tc>
          <w:tcPr>
            <w:tcW w:w="2000" w:type="dxa"/>
            <w:vAlign w:val="bottom"/>
          </w:tcPr>
          <w:p>
            <w:pPr>
              <w:ind w:left="20"/>
              <w:spacing w:after="0"/>
              <w:rPr>
                <w:sz w:val="20"/>
                <w:szCs w:val="20"/>
                <w:color w:val="auto"/>
              </w:rPr>
            </w:pPr>
            <w:r>
              <w:rPr>
                <w:rFonts w:ascii="Arial" w:cs="Arial" w:eastAsia="Arial" w:hAnsi="Arial"/>
                <w:sz w:val="16"/>
                <w:szCs w:val="16"/>
                <w:color w:val="auto"/>
              </w:rPr>
              <w:t>Mr. Luciano</w:t>
            </w:r>
          </w:p>
        </w:tc>
        <w:tc>
          <w:tcPr>
            <w:tcW w:w="2180" w:type="dxa"/>
            <w:vAlign w:val="bottom"/>
          </w:tcPr>
          <w:p>
            <w:pPr>
              <w:jc w:val="right"/>
              <w:ind w:right="319"/>
              <w:spacing w:after="0"/>
              <w:rPr>
                <w:sz w:val="20"/>
                <w:szCs w:val="20"/>
                <w:color w:val="auto"/>
              </w:rPr>
            </w:pPr>
            <w:r>
              <w:rPr>
                <w:rFonts w:ascii="Arial" w:cs="Arial" w:eastAsia="Arial" w:hAnsi="Arial"/>
                <w:sz w:val="16"/>
                <w:szCs w:val="16"/>
                <w:color w:val="auto"/>
              </w:rPr>
              <w:t>$162,288</w:t>
            </w:r>
          </w:p>
        </w:tc>
        <w:tc>
          <w:tcPr>
            <w:tcW w:w="1600" w:type="dxa"/>
            <w:vAlign w:val="bottom"/>
          </w:tcPr>
          <w:p>
            <w:pPr>
              <w:jc w:val="right"/>
              <w:ind w:right="399"/>
              <w:spacing w:after="0"/>
              <w:rPr>
                <w:sz w:val="20"/>
                <w:szCs w:val="20"/>
                <w:color w:val="auto"/>
              </w:rPr>
            </w:pPr>
            <w:r>
              <w:rPr>
                <w:rFonts w:ascii="Arial" w:cs="Arial" w:eastAsia="Arial" w:hAnsi="Arial"/>
                <w:sz w:val="16"/>
                <w:szCs w:val="16"/>
                <w:color w:val="auto"/>
              </w:rPr>
              <w:t>$180,000</w:t>
            </w:r>
          </w:p>
        </w:tc>
        <w:tc>
          <w:tcPr>
            <w:tcW w:w="1840" w:type="dxa"/>
            <w:vAlign w:val="bottom"/>
          </w:tcPr>
          <w:p>
            <w:pPr>
              <w:jc w:val="right"/>
              <w:ind w:right="379"/>
              <w:spacing w:after="0"/>
              <w:rPr>
                <w:sz w:val="20"/>
                <w:szCs w:val="20"/>
                <w:color w:val="auto"/>
              </w:rPr>
            </w:pPr>
            <w:r>
              <w:rPr>
                <w:rFonts w:ascii="Arial" w:cs="Arial" w:eastAsia="Arial" w:hAnsi="Arial"/>
                <w:sz w:val="16"/>
                <w:szCs w:val="16"/>
                <w:color w:val="auto"/>
              </w:rPr>
              <w:t>$0</w:t>
            </w:r>
          </w:p>
        </w:tc>
        <w:tc>
          <w:tcPr>
            <w:tcW w:w="1320" w:type="dxa"/>
            <w:vAlign w:val="bottom"/>
          </w:tcPr>
          <w:p>
            <w:pPr>
              <w:ind w:left="300"/>
              <w:spacing w:after="0"/>
              <w:rPr>
                <w:sz w:val="20"/>
                <w:szCs w:val="20"/>
                <w:color w:val="auto"/>
              </w:rPr>
            </w:pPr>
            <w:r>
              <w:rPr>
                <w:rFonts w:ascii="Arial" w:cs="Arial" w:eastAsia="Arial" w:hAnsi="Arial"/>
                <w:sz w:val="16"/>
                <w:szCs w:val="16"/>
                <w:color w:val="auto"/>
              </w:rPr>
              <w:t>$342,288</w:t>
            </w:r>
          </w:p>
        </w:tc>
        <w:tc>
          <w:tcPr>
            <w:tcW w:w="0" w:type="dxa"/>
            <w:vAlign w:val="bottom"/>
          </w:tcPr>
          <w:p>
            <w:pPr>
              <w:spacing w:after="0"/>
              <w:rPr>
                <w:sz w:val="1"/>
                <w:szCs w:val="1"/>
                <w:color w:val="auto"/>
              </w:rPr>
            </w:pPr>
          </w:p>
        </w:tc>
      </w:tr>
      <w:tr>
        <w:trPr>
          <w:trHeight w:val="264"/>
        </w:trPr>
        <w:tc>
          <w:tcPr>
            <w:tcW w:w="2000" w:type="dxa"/>
            <w:vAlign w:val="bottom"/>
            <w:shd w:val="clear" w:color="auto" w:fill="F2F2F2"/>
          </w:tcPr>
          <w:p>
            <w:pPr>
              <w:ind w:left="20"/>
              <w:spacing w:after="0"/>
              <w:rPr>
                <w:sz w:val="20"/>
                <w:szCs w:val="20"/>
                <w:color w:val="auto"/>
              </w:rPr>
            </w:pPr>
            <w:r>
              <w:rPr>
                <w:rFonts w:ascii="Arial" w:cs="Arial" w:eastAsia="Arial" w:hAnsi="Arial"/>
                <w:sz w:val="16"/>
                <w:szCs w:val="16"/>
                <w:color w:val="auto"/>
              </w:rPr>
              <w:t>Dr. Runge</w:t>
            </w:r>
          </w:p>
        </w:tc>
        <w:tc>
          <w:tcPr>
            <w:tcW w:w="2180" w:type="dxa"/>
            <w:vAlign w:val="bottom"/>
            <w:shd w:val="clear" w:color="auto" w:fill="F2F2F2"/>
          </w:tcPr>
          <w:p>
            <w:pPr>
              <w:jc w:val="right"/>
              <w:ind w:right="319"/>
              <w:spacing w:after="0"/>
              <w:rPr>
                <w:sz w:val="20"/>
                <w:szCs w:val="20"/>
                <w:color w:val="auto"/>
              </w:rPr>
            </w:pPr>
            <w:r>
              <w:rPr>
                <w:rFonts w:ascii="Arial" w:cs="Arial" w:eastAsia="Arial" w:hAnsi="Arial"/>
                <w:sz w:val="16"/>
                <w:szCs w:val="16"/>
                <w:color w:val="auto"/>
              </w:rPr>
              <w:t>$119,000</w:t>
            </w:r>
          </w:p>
        </w:tc>
        <w:tc>
          <w:tcPr>
            <w:tcW w:w="1600" w:type="dxa"/>
            <w:vAlign w:val="bottom"/>
            <w:shd w:val="clear" w:color="auto" w:fill="F2F2F2"/>
          </w:tcPr>
          <w:p>
            <w:pPr>
              <w:jc w:val="right"/>
              <w:ind w:right="399"/>
              <w:spacing w:after="0"/>
              <w:rPr>
                <w:sz w:val="20"/>
                <w:szCs w:val="20"/>
                <w:color w:val="auto"/>
              </w:rPr>
            </w:pPr>
            <w:r>
              <w:rPr>
                <w:rFonts w:ascii="Arial" w:cs="Arial" w:eastAsia="Arial" w:hAnsi="Arial"/>
                <w:sz w:val="16"/>
                <w:szCs w:val="16"/>
                <w:color w:val="auto"/>
              </w:rPr>
              <w:t>$180,000</w:t>
            </w:r>
          </w:p>
        </w:tc>
        <w:tc>
          <w:tcPr>
            <w:tcW w:w="1840" w:type="dxa"/>
            <w:vAlign w:val="bottom"/>
            <w:shd w:val="clear" w:color="auto" w:fill="F2F2F2"/>
          </w:tcPr>
          <w:p>
            <w:pPr>
              <w:jc w:val="right"/>
              <w:ind w:right="379"/>
              <w:spacing w:after="0"/>
              <w:rPr>
                <w:sz w:val="20"/>
                <w:szCs w:val="20"/>
                <w:color w:val="auto"/>
              </w:rPr>
            </w:pPr>
            <w:r>
              <w:rPr>
                <w:rFonts w:ascii="Arial" w:cs="Arial" w:eastAsia="Arial" w:hAnsi="Arial"/>
                <w:sz w:val="16"/>
                <w:szCs w:val="16"/>
                <w:color w:val="auto"/>
              </w:rPr>
              <w:t>$0</w:t>
            </w:r>
          </w:p>
        </w:tc>
        <w:tc>
          <w:tcPr>
            <w:tcW w:w="1320" w:type="dxa"/>
            <w:vAlign w:val="bottom"/>
            <w:shd w:val="clear" w:color="auto" w:fill="F2F2F2"/>
          </w:tcPr>
          <w:p>
            <w:pPr>
              <w:ind w:left="300"/>
              <w:spacing w:after="0"/>
              <w:rPr>
                <w:sz w:val="20"/>
                <w:szCs w:val="20"/>
                <w:color w:val="auto"/>
              </w:rPr>
            </w:pPr>
            <w:r>
              <w:rPr>
                <w:rFonts w:ascii="Arial" w:cs="Arial" w:eastAsia="Arial" w:hAnsi="Arial"/>
                <w:sz w:val="16"/>
                <w:szCs w:val="16"/>
                <w:color w:val="auto"/>
              </w:rPr>
              <w:t>$299,000</w:t>
            </w:r>
          </w:p>
        </w:tc>
        <w:tc>
          <w:tcPr>
            <w:tcW w:w="0" w:type="dxa"/>
            <w:vAlign w:val="bottom"/>
          </w:tcPr>
          <w:p>
            <w:pPr>
              <w:spacing w:after="0"/>
              <w:rPr>
                <w:sz w:val="1"/>
                <w:szCs w:val="1"/>
                <w:color w:val="auto"/>
              </w:rPr>
            </w:pPr>
          </w:p>
        </w:tc>
      </w:tr>
      <w:tr>
        <w:trPr>
          <w:trHeight w:val="249"/>
        </w:trPr>
        <w:tc>
          <w:tcPr>
            <w:tcW w:w="2000" w:type="dxa"/>
            <w:vAlign w:val="bottom"/>
          </w:tcPr>
          <w:p>
            <w:pPr>
              <w:ind w:left="20"/>
              <w:spacing w:after="0"/>
              <w:rPr>
                <w:sz w:val="20"/>
                <w:szCs w:val="20"/>
                <w:color w:val="auto"/>
              </w:rPr>
            </w:pPr>
            <w:r>
              <w:rPr>
                <w:rFonts w:ascii="Arial" w:cs="Arial" w:eastAsia="Arial" w:hAnsi="Arial"/>
                <w:sz w:val="16"/>
                <w:szCs w:val="16"/>
                <w:color w:val="auto"/>
              </w:rPr>
              <w:t>Ms. Sulzberger</w:t>
            </w:r>
          </w:p>
        </w:tc>
        <w:tc>
          <w:tcPr>
            <w:tcW w:w="2180" w:type="dxa"/>
            <w:vAlign w:val="bottom"/>
          </w:tcPr>
          <w:p>
            <w:pPr>
              <w:jc w:val="right"/>
              <w:ind w:right="319"/>
              <w:spacing w:after="0"/>
              <w:rPr>
                <w:sz w:val="20"/>
                <w:szCs w:val="20"/>
                <w:color w:val="auto"/>
              </w:rPr>
            </w:pPr>
            <w:r>
              <w:rPr>
                <w:rFonts w:ascii="Arial" w:cs="Arial" w:eastAsia="Arial" w:hAnsi="Arial"/>
                <w:sz w:val="16"/>
                <w:szCs w:val="16"/>
                <w:color w:val="auto"/>
              </w:rPr>
              <w:t>$119,000</w:t>
            </w:r>
          </w:p>
        </w:tc>
        <w:tc>
          <w:tcPr>
            <w:tcW w:w="1600" w:type="dxa"/>
            <w:vAlign w:val="bottom"/>
          </w:tcPr>
          <w:p>
            <w:pPr>
              <w:jc w:val="right"/>
              <w:ind w:right="399"/>
              <w:spacing w:after="0"/>
              <w:rPr>
                <w:sz w:val="20"/>
                <w:szCs w:val="20"/>
                <w:color w:val="auto"/>
              </w:rPr>
            </w:pPr>
            <w:r>
              <w:rPr>
                <w:rFonts w:ascii="Arial" w:cs="Arial" w:eastAsia="Arial" w:hAnsi="Arial"/>
                <w:sz w:val="16"/>
                <w:szCs w:val="16"/>
                <w:color w:val="auto"/>
              </w:rPr>
              <w:t>$180,000</w:t>
            </w:r>
          </w:p>
        </w:tc>
        <w:tc>
          <w:tcPr>
            <w:tcW w:w="1840" w:type="dxa"/>
            <w:vAlign w:val="bottom"/>
          </w:tcPr>
          <w:p>
            <w:pPr>
              <w:jc w:val="right"/>
              <w:ind w:right="379"/>
              <w:spacing w:after="0"/>
              <w:rPr>
                <w:sz w:val="20"/>
                <w:szCs w:val="20"/>
                <w:color w:val="auto"/>
              </w:rPr>
            </w:pPr>
            <w:r>
              <w:rPr>
                <w:rFonts w:ascii="Arial" w:cs="Arial" w:eastAsia="Arial" w:hAnsi="Arial"/>
                <w:sz w:val="16"/>
                <w:szCs w:val="16"/>
                <w:color w:val="auto"/>
              </w:rPr>
              <w:t>$0</w:t>
            </w:r>
          </w:p>
        </w:tc>
        <w:tc>
          <w:tcPr>
            <w:tcW w:w="1320" w:type="dxa"/>
            <w:vAlign w:val="bottom"/>
          </w:tcPr>
          <w:p>
            <w:pPr>
              <w:ind w:left="300"/>
              <w:spacing w:after="0"/>
              <w:rPr>
                <w:sz w:val="20"/>
                <w:szCs w:val="20"/>
                <w:color w:val="auto"/>
              </w:rPr>
            </w:pPr>
            <w:r>
              <w:rPr>
                <w:rFonts w:ascii="Arial" w:cs="Arial" w:eastAsia="Arial" w:hAnsi="Arial"/>
                <w:sz w:val="16"/>
                <w:szCs w:val="16"/>
                <w:color w:val="auto"/>
              </w:rPr>
              <w:t>$299,000</w:t>
            </w:r>
          </w:p>
        </w:tc>
        <w:tc>
          <w:tcPr>
            <w:tcW w:w="0" w:type="dxa"/>
            <w:vAlign w:val="bottom"/>
          </w:tcPr>
          <w:p>
            <w:pPr>
              <w:spacing w:after="0"/>
              <w:rPr>
                <w:sz w:val="1"/>
                <w:szCs w:val="1"/>
                <w:color w:val="auto"/>
              </w:rPr>
            </w:pPr>
          </w:p>
        </w:tc>
      </w:tr>
      <w:tr>
        <w:trPr>
          <w:trHeight w:val="264"/>
        </w:trPr>
        <w:tc>
          <w:tcPr>
            <w:tcW w:w="2000" w:type="dxa"/>
            <w:vAlign w:val="bottom"/>
            <w:shd w:val="clear" w:color="auto" w:fill="F2F2F2"/>
          </w:tcPr>
          <w:p>
            <w:pPr>
              <w:ind w:left="20"/>
              <w:spacing w:after="0"/>
              <w:rPr>
                <w:sz w:val="20"/>
                <w:szCs w:val="20"/>
                <w:color w:val="auto"/>
              </w:rPr>
            </w:pPr>
            <w:r>
              <w:rPr>
                <w:rFonts w:ascii="Arial" w:cs="Arial" w:eastAsia="Arial" w:hAnsi="Arial"/>
                <w:sz w:val="16"/>
                <w:szCs w:val="16"/>
                <w:color w:val="auto"/>
              </w:rPr>
              <w:t>Mr. Tai</w:t>
            </w:r>
          </w:p>
        </w:tc>
        <w:tc>
          <w:tcPr>
            <w:tcW w:w="2180" w:type="dxa"/>
            <w:vAlign w:val="bottom"/>
            <w:shd w:val="clear" w:color="auto" w:fill="F2F2F2"/>
          </w:tcPr>
          <w:p>
            <w:pPr>
              <w:jc w:val="right"/>
              <w:ind w:right="319"/>
              <w:spacing w:after="0"/>
              <w:rPr>
                <w:sz w:val="20"/>
                <w:szCs w:val="20"/>
                <w:color w:val="auto"/>
              </w:rPr>
            </w:pPr>
            <w:r>
              <w:rPr>
                <w:rFonts w:ascii="Arial" w:cs="Arial" w:eastAsia="Arial" w:hAnsi="Arial"/>
                <w:sz w:val="16"/>
                <w:szCs w:val="16"/>
                <w:color w:val="auto"/>
              </w:rPr>
              <w:t>$119,000</w:t>
            </w:r>
          </w:p>
        </w:tc>
        <w:tc>
          <w:tcPr>
            <w:tcW w:w="1600" w:type="dxa"/>
            <w:vAlign w:val="bottom"/>
            <w:shd w:val="clear" w:color="auto" w:fill="F2F2F2"/>
          </w:tcPr>
          <w:p>
            <w:pPr>
              <w:jc w:val="right"/>
              <w:ind w:right="399"/>
              <w:spacing w:after="0"/>
              <w:rPr>
                <w:sz w:val="20"/>
                <w:szCs w:val="20"/>
                <w:color w:val="auto"/>
              </w:rPr>
            </w:pPr>
            <w:r>
              <w:rPr>
                <w:rFonts w:ascii="Arial" w:cs="Arial" w:eastAsia="Arial" w:hAnsi="Arial"/>
                <w:sz w:val="16"/>
                <w:szCs w:val="16"/>
                <w:color w:val="auto"/>
              </w:rPr>
              <w:t>$180,000</w:t>
            </w:r>
          </w:p>
        </w:tc>
        <w:tc>
          <w:tcPr>
            <w:tcW w:w="1840" w:type="dxa"/>
            <w:vAlign w:val="bottom"/>
            <w:shd w:val="clear" w:color="auto" w:fill="F2F2F2"/>
          </w:tcPr>
          <w:p>
            <w:pPr>
              <w:jc w:val="right"/>
              <w:ind w:right="379"/>
              <w:spacing w:after="0"/>
              <w:rPr>
                <w:sz w:val="20"/>
                <w:szCs w:val="20"/>
                <w:color w:val="auto"/>
              </w:rPr>
            </w:pPr>
            <w:r>
              <w:rPr>
                <w:rFonts w:ascii="Arial" w:cs="Arial" w:eastAsia="Arial" w:hAnsi="Arial"/>
                <w:sz w:val="16"/>
                <w:szCs w:val="16"/>
                <w:color w:val="auto"/>
              </w:rPr>
              <w:t>$30,000</w:t>
            </w:r>
          </w:p>
        </w:tc>
        <w:tc>
          <w:tcPr>
            <w:tcW w:w="1320" w:type="dxa"/>
            <w:vAlign w:val="bottom"/>
            <w:shd w:val="clear" w:color="auto" w:fill="F2F2F2"/>
          </w:tcPr>
          <w:p>
            <w:pPr>
              <w:ind w:left="300"/>
              <w:spacing w:after="0"/>
              <w:rPr>
                <w:sz w:val="20"/>
                <w:szCs w:val="20"/>
                <w:color w:val="auto"/>
              </w:rPr>
            </w:pPr>
            <w:r>
              <w:rPr>
                <w:rFonts w:ascii="Arial" w:cs="Arial" w:eastAsia="Arial" w:hAnsi="Arial"/>
                <w:sz w:val="16"/>
                <w:szCs w:val="16"/>
                <w:color w:val="auto"/>
              </w:rPr>
              <w:t>$329,000</w:t>
            </w:r>
          </w:p>
        </w:tc>
        <w:tc>
          <w:tcPr>
            <w:tcW w:w="0" w:type="dxa"/>
            <w:vAlign w:val="bottom"/>
          </w:tcPr>
          <w:p>
            <w:pPr>
              <w:spacing w:after="0"/>
              <w:rPr>
                <w:sz w:val="1"/>
                <w:szCs w:val="1"/>
                <w:color w:val="auto"/>
              </w:rPr>
            </w:pPr>
          </w:p>
        </w:tc>
      </w:tr>
      <w:tr>
        <w:trPr>
          <w:trHeight w:val="241"/>
        </w:trPr>
        <w:tc>
          <w:tcPr>
            <w:tcW w:w="2000" w:type="dxa"/>
            <w:vAlign w:val="bottom"/>
          </w:tcPr>
          <w:p>
            <w:pPr>
              <w:ind w:left="20"/>
              <w:spacing w:after="0"/>
              <w:rPr>
                <w:sz w:val="20"/>
                <w:szCs w:val="20"/>
                <w:color w:val="auto"/>
              </w:rPr>
            </w:pPr>
            <w:r>
              <w:rPr>
                <w:rFonts w:ascii="Arial" w:cs="Arial" w:eastAsia="Arial" w:hAnsi="Arial"/>
                <w:sz w:val="16"/>
                <w:szCs w:val="16"/>
                <w:color w:val="auto"/>
              </w:rPr>
              <w:t>Ms. Walker</w:t>
            </w:r>
          </w:p>
        </w:tc>
        <w:tc>
          <w:tcPr>
            <w:tcW w:w="2180" w:type="dxa"/>
            <w:vAlign w:val="bottom"/>
          </w:tcPr>
          <w:p>
            <w:pPr>
              <w:jc w:val="right"/>
              <w:ind w:right="319"/>
              <w:spacing w:after="0"/>
              <w:rPr>
                <w:sz w:val="20"/>
                <w:szCs w:val="20"/>
                <w:color w:val="auto"/>
              </w:rPr>
            </w:pPr>
            <w:r>
              <w:rPr>
                <w:rFonts w:ascii="Arial" w:cs="Arial" w:eastAsia="Arial" w:hAnsi="Arial"/>
                <w:sz w:val="16"/>
                <w:szCs w:val="16"/>
                <w:color w:val="auto"/>
              </w:rPr>
              <w:t>$119,000</w:t>
            </w:r>
          </w:p>
        </w:tc>
        <w:tc>
          <w:tcPr>
            <w:tcW w:w="1600" w:type="dxa"/>
            <w:vAlign w:val="bottom"/>
          </w:tcPr>
          <w:p>
            <w:pPr>
              <w:jc w:val="right"/>
              <w:ind w:right="399"/>
              <w:spacing w:after="0"/>
              <w:rPr>
                <w:sz w:val="20"/>
                <w:szCs w:val="20"/>
                <w:color w:val="auto"/>
              </w:rPr>
            </w:pPr>
            <w:r>
              <w:rPr>
                <w:rFonts w:ascii="Arial" w:cs="Arial" w:eastAsia="Arial" w:hAnsi="Arial"/>
                <w:sz w:val="16"/>
                <w:szCs w:val="16"/>
                <w:color w:val="auto"/>
              </w:rPr>
              <w:t>$180,000</w:t>
            </w:r>
          </w:p>
        </w:tc>
        <w:tc>
          <w:tcPr>
            <w:tcW w:w="1840" w:type="dxa"/>
            <w:vAlign w:val="bottom"/>
          </w:tcPr>
          <w:p>
            <w:pPr>
              <w:jc w:val="right"/>
              <w:ind w:right="379"/>
              <w:spacing w:after="0"/>
              <w:rPr>
                <w:sz w:val="20"/>
                <w:szCs w:val="20"/>
                <w:color w:val="auto"/>
              </w:rPr>
            </w:pPr>
            <w:r>
              <w:rPr>
                <w:rFonts w:ascii="Arial" w:cs="Arial" w:eastAsia="Arial" w:hAnsi="Arial"/>
                <w:sz w:val="16"/>
                <w:szCs w:val="16"/>
                <w:color w:val="auto"/>
              </w:rPr>
              <w:t>$20,000</w:t>
            </w:r>
          </w:p>
        </w:tc>
        <w:tc>
          <w:tcPr>
            <w:tcW w:w="1320" w:type="dxa"/>
            <w:vAlign w:val="bottom"/>
          </w:tcPr>
          <w:p>
            <w:pPr>
              <w:ind w:left="300"/>
              <w:spacing w:after="0"/>
              <w:rPr>
                <w:sz w:val="20"/>
                <w:szCs w:val="20"/>
                <w:color w:val="auto"/>
              </w:rPr>
            </w:pPr>
            <w:r>
              <w:rPr>
                <w:rFonts w:ascii="Arial" w:cs="Arial" w:eastAsia="Arial" w:hAnsi="Arial"/>
                <w:sz w:val="16"/>
                <w:szCs w:val="16"/>
                <w:color w:val="auto"/>
              </w:rPr>
              <w:t>$319,000</w:t>
            </w:r>
          </w:p>
        </w:tc>
        <w:tc>
          <w:tcPr>
            <w:tcW w:w="0" w:type="dxa"/>
            <w:vAlign w:val="bottom"/>
          </w:tcPr>
          <w:p>
            <w:pPr>
              <w:spacing w:after="0"/>
              <w:rPr>
                <w:sz w:val="1"/>
                <w:szCs w:val="1"/>
                <w:color w:val="auto"/>
              </w:rPr>
            </w:pPr>
          </w:p>
        </w:tc>
      </w:tr>
      <w:tr>
        <w:trPr>
          <w:trHeight w:val="110"/>
        </w:trPr>
        <w:tc>
          <w:tcPr>
            <w:tcW w:w="200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20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Former Director:</w:t>
            </w:r>
          </w:p>
        </w:tc>
        <w:tc>
          <w:tcPr>
            <w:tcW w:w="2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000" w:type="dxa"/>
            <w:vAlign w:val="bottom"/>
            <w:tcBorders>
              <w:bottom w:val="single" w:sz="8" w:color="auto"/>
            </w:tcBorders>
            <w:shd w:val="clear" w:color="auto" w:fill="F2F2F2"/>
          </w:tcPr>
          <w:p>
            <w:pPr>
              <w:ind w:left="20"/>
              <w:spacing w:after="0"/>
              <w:rPr>
                <w:sz w:val="20"/>
                <w:szCs w:val="20"/>
                <w:color w:val="auto"/>
              </w:rPr>
            </w:pPr>
            <w:r>
              <w:rPr>
                <w:rFonts w:ascii="Arial" w:cs="Arial" w:eastAsia="Arial" w:hAnsi="Arial"/>
                <w:sz w:val="16"/>
                <w:szCs w:val="16"/>
                <w:color w:val="auto"/>
              </w:rPr>
              <w:t>Mr. Eskew</w:t>
            </w:r>
            <w:r>
              <w:rPr>
                <w:rFonts w:ascii="Arial" w:cs="Arial" w:eastAsia="Arial" w:hAnsi="Arial"/>
                <w:sz w:val="21"/>
                <w:szCs w:val="21"/>
                <w:color w:val="auto"/>
                <w:vertAlign w:val="superscript"/>
              </w:rPr>
              <w:t>4</w:t>
            </w:r>
          </w:p>
        </w:tc>
        <w:tc>
          <w:tcPr>
            <w:tcW w:w="2180" w:type="dxa"/>
            <w:vAlign w:val="bottom"/>
            <w:tcBorders>
              <w:bottom w:val="single" w:sz="8" w:color="auto"/>
            </w:tcBorders>
            <w:shd w:val="clear" w:color="auto" w:fill="F2F2F2"/>
          </w:tcPr>
          <w:p>
            <w:pPr>
              <w:jc w:val="right"/>
              <w:ind w:right="319"/>
              <w:spacing w:after="0"/>
              <w:rPr>
                <w:sz w:val="20"/>
                <w:szCs w:val="20"/>
                <w:color w:val="auto"/>
              </w:rPr>
            </w:pPr>
            <w:r>
              <w:rPr>
                <w:rFonts w:ascii="Arial" w:cs="Arial" w:eastAsia="Arial" w:hAnsi="Arial"/>
                <w:sz w:val="16"/>
                <w:szCs w:val="16"/>
                <w:color w:val="auto"/>
              </w:rPr>
              <w:t>$46,065</w:t>
            </w:r>
          </w:p>
        </w:tc>
        <w:tc>
          <w:tcPr>
            <w:tcW w:w="1600" w:type="dxa"/>
            <w:vAlign w:val="bottom"/>
            <w:tcBorders>
              <w:bottom w:val="single" w:sz="8" w:color="auto"/>
            </w:tcBorders>
            <w:shd w:val="clear" w:color="auto" w:fill="F2F2F2"/>
          </w:tcPr>
          <w:p>
            <w:pPr>
              <w:jc w:val="right"/>
              <w:ind w:right="399"/>
              <w:spacing w:after="0"/>
              <w:rPr>
                <w:sz w:val="20"/>
                <w:szCs w:val="20"/>
                <w:color w:val="auto"/>
              </w:rPr>
            </w:pPr>
            <w:r>
              <w:rPr>
                <w:rFonts w:ascii="Arial" w:cs="Arial" w:eastAsia="Arial" w:hAnsi="Arial"/>
                <w:sz w:val="16"/>
                <w:szCs w:val="16"/>
                <w:color w:val="auto"/>
              </w:rPr>
              <w:t>$75,000</w:t>
            </w:r>
          </w:p>
        </w:tc>
        <w:tc>
          <w:tcPr>
            <w:tcW w:w="1840" w:type="dxa"/>
            <w:vAlign w:val="bottom"/>
            <w:tcBorders>
              <w:bottom w:val="single" w:sz="8" w:color="auto"/>
            </w:tcBorders>
            <w:shd w:val="clear" w:color="auto" w:fill="F2F2F2"/>
          </w:tcPr>
          <w:p>
            <w:pPr>
              <w:jc w:val="right"/>
              <w:ind w:right="379"/>
              <w:spacing w:after="0"/>
              <w:rPr>
                <w:sz w:val="20"/>
                <w:szCs w:val="20"/>
                <w:color w:val="auto"/>
              </w:rPr>
            </w:pPr>
            <w:r>
              <w:rPr>
                <w:rFonts w:ascii="Arial" w:cs="Arial" w:eastAsia="Arial" w:hAnsi="Arial"/>
                <w:sz w:val="16"/>
                <w:szCs w:val="16"/>
                <w:color w:val="auto"/>
              </w:rPr>
              <w:t>$27,500</w:t>
            </w:r>
          </w:p>
        </w:tc>
        <w:tc>
          <w:tcPr>
            <w:tcW w:w="1320" w:type="dxa"/>
            <w:vAlign w:val="bottom"/>
            <w:tcBorders>
              <w:bottom w:val="single" w:sz="8" w:color="auto"/>
            </w:tcBorders>
            <w:shd w:val="clear" w:color="auto" w:fill="F2F2F2"/>
          </w:tcPr>
          <w:p>
            <w:pPr>
              <w:ind w:left="300"/>
              <w:spacing w:after="0"/>
              <w:rPr>
                <w:sz w:val="20"/>
                <w:szCs w:val="20"/>
                <w:color w:val="auto"/>
              </w:rPr>
            </w:pPr>
            <w:r>
              <w:rPr>
                <w:rFonts w:ascii="Arial" w:cs="Arial" w:eastAsia="Arial" w:hAnsi="Arial"/>
                <w:sz w:val="16"/>
                <w:szCs w:val="16"/>
                <w:color w:val="auto"/>
              </w:rPr>
              <w:t>$148,565</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80" w:hanging="172"/>
        <w:spacing w:after="0" w:line="250" w:lineRule="auto"/>
        <w:tabs>
          <w:tab w:leader="none" w:pos="110" w:val="left"/>
        </w:tabs>
        <w:numPr>
          <w:ilvl w:val="0"/>
          <w:numId w:val="110"/>
        </w:numPr>
        <w:rPr>
          <w:rFonts w:ascii="Arial" w:cs="Arial" w:eastAsia="Arial" w:hAnsi="Arial"/>
          <w:sz w:val="19"/>
          <w:szCs w:val="19"/>
          <w:color w:val="auto"/>
          <w:vertAlign w:val="superscript"/>
        </w:rPr>
      </w:pPr>
      <w:r>
        <w:rPr>
          <w:rFonts w:ascii="Arial" w:cs="Arial" w:eastAsia="Arial" w:hAnsi="Arial"/>
          <w:sz w:val="14"/>
          <w:szCs w:val="14"/>
          <w:color w:val="auto"/>
        </w:rPr>
        <w:t>Each non-employee director received an equity-based award of units valued at $180,000 (approximately 498 units) except Dr. Hedley, and Mr. Eskew who both received a pro-rated award for a partial year of service. These units, and all prior awards of such units, are fully vested; however, the shares subject to such awards of units are not issued until the second January following the director’s departure from board service when, as described above under “Lilly Directors’ Deferral Plan,” the units are converted into shares of company stock and distributed to the former director. The column shows the grant date fair value for each director’s equity-based award computed in accordance with FASB ASC Topic 718, based on the closing stock price on the grant date. See Note 12 of the consolidated financial statements in the company’s Annual Report on Form 10-K for the fiscal year ended December 31, 2022, for additional detail regarding assumptions underlying the valuation of equity awards. Aggregate outstanding stock awards are shown in the “Common Stock Ownership by Directors and Executive Officers” table in the “Stock Units Not Distributable Within 60 Days” column.</w:t>
      </w:r>
    </w:p>
    <w:p>
      <w:pPr>
        <w:spacing w:after="0" w:line="22" w:lineRule="exact"/>
        <w:rPr>
          <w:sz w:val="20"/>
          <w:szCs w:val="20"/>
          <w:color w:val="auto"/>
        </w:rPr>
      </w:pPr>
    </w:p>
    <w:p>
      <w:pPr>
        <w:ind w:left="180" w:right="20" w:hanging="172"/>
        <w:spacing w:after="0" w:line="266" w:lineRule="auto"/>
        <w:tabs>
          <w:tab w:leader="none" w:pos="110" w:val="left"/>
        </w:tabs>
        <w:numPr>
          <w:ilvl w:val="0"/>
          <w:numId w:val="111"/>
        </w:numPr>
        <w:rPr>
          <w:rFonts w:ascii="Arial" w:cs="Arial" w:eastAsia="Arial" w:hAnsi="Arial"/>
          <w:sz w:val="9"/>
          <w:szCs w:val="9"/>
          <w:color w:val="auto"/>
        </w:rPr>
      </w:pPr>
      <w:r>
        <w:rPr>
          <w:rFonts w:ascii="Arial" w:cs="Arial" w:eastAsia="Arial" w:hAnsi="Arial"/>
          <w:sz w:val="14"/>
          <w:szCs w:val="14"/>
          <w:color w:val="auto"/>
        </w:rPr>
        <w:t>The amount for Mr. Eskew includes a $10,000 donation by the Foundation to a charity of Mr. Eskew's choosing in honor of his retirement from the board, consistent with the company’s traditional practice for retiring directors. This column includes amounts donated by the Eli Lilly and Company Foundation, Inc. (the Foundation) under its matching gift program, which is generally available to U.S. employees as well as non-employee directors. Under this program, the Foundation matched 100 percent of charitable donations over $25 made to eligible charities, up to a maximum of $30,000 per year for each individual. The Foundation matched these donations via payments made directly to the recipient charity. The expected payments in 2023 related to matching contributions for donations made by non-employee directors at the end of 2022 include for Mr. Fyrwald - $25,884; Mr. Tai - $30,000; Ms. Sulzberger - $16,500 and Ms. Walker - $20,000.</w:t>
      </w:r>
    </w:p>
    <w:p>
      <w:pPr>
        <w:spacing w:after="0" w:line="23" w:lineRule="exact"/>
        <w:rPr>
          <w:sz w:val="20"/>
          <w:szCs w:val="20"/>
          <w:color w:val="auto"/>
        </w:rPr>
      </w:pPr>
    </w:p>
    <w:p>
      <w:pPr>
        <w:ind w:left="100" w:hanging="92"/>
        <w:spacing w:after="0"/>
        <w:tabs>
          <w:tab w:leader="none" w:pos="100" w:val="left"/>
        </w:tabs>
        <w:numPr>
          <w:ilvl w:val="0"/>
          <w:numId w:val="112"/>
        </w:numPr>
        <w:rPr>
          <w:rFonts w:ascii="Arial" w:cs="Arial" w:eastAsia="Arial" w:hAnsi="Arial"/>
          <w:sz w:val="9"/>
          <w:szCs w:val="9"/>
          <w:color w:val="auto"/>
        </w:rPr>
      </w:pPr>
      <w:r>
        <w:rPr>
          <w:rFonts w:ascii="Arial" w:cs="Arial" w:eastAsia="Arial" w:hAnsi="Arial"/>
          <w:sz w:val="14"/>
          <w:szCs w:val="14"/>
          <w:color w:val="auto"/>
        </w:rPr>
        <w:t>Non-employee directors do not participate in a company pension plan or non-equity incentive plan.</w:t>
      </w:r>
    </w:p>
    <w:p>
      <w:pPr>
        <w:spacing w:after="0" w:line="66"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Mr. Eskew retired following the 2022 annual meeting.</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Communication with the Board of Directors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You may send written communications to members of the board, including independent directors, addressed 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Eli Lilly and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General Counsel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Lilly Corporate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 46285</w:t>
      </w:r>
    </w:p>
    <w:p>
      <w:pPr>
        <w:spacing w:after="0" w:line="147"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Shareholder Engagement on Governance Issues</w:t>
      </w:r>
    </w:p>
    <w:p>
      <w:pPr>
        <w:spacing w:after="0" w:line="8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To ensure that a variety of perspectives are thoughtfully considered on several issues, each year the company engages large shareholders and other key constituents to discuss areas of interest or concern related to corporate governance, as well as any specific issues for the coming proxy season. Since our 2022 annual meeting of shareholders, we have spoken with a number of investors on an array of subjects, including board leadership; environmental, social and governance matters; drug pricing transparency and global access to our products; product quality and safety; key enterprise risks; executive compensation; DEI; and human capital management. We appreciate the thoughtful and constructive feedback that we receive from our stakeholders. While a few shareholders communicated differing views on some of our governance practices, the investors with whom we spoke were generally supportive of our performance and overall compensation and governance policies. This feedback has been discussed with our chair and CEO, the lead independent director, our Talent and</w:t>
      </w:r>
    </w:p>
    <w:p>
      <w:pPr>
        <w:sectPr>
          <w:pgSz w:w="11900" w:h="16838" w:orient="portrait"/>
          <w:cols w:equalWidth="0" w:num="1">
            <w:col w:w="11220"/>
          </w:cols>
          <w:pgMar w:left="320" w:top="980" w:right="35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157720" cy="425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type w:val="continuous"/>
        </w:sectPr>
      </w:pPr>
    </w:p>
    <w:bookmarkStart w:id="52" w:name="page53"/>
    <w:bookmarkEnd w:id="52"/>
    <w:p>
      <w:pPr>
        <w:ind w:right="60"/>
        <w:spacing w:after="0" w:line="262" w:lineRule="auto"/>
        <w:rPr>
          <w:sz w:val="20"/>
          <w:szCs w:val="20"/>
          <w:color w:val="auto"/>
        </w:rPr>
      </w:pPr>
      <w:r>
        <w:rPr>
          <w:rFonts w:ascii="Arial" w:cs="Arial" w:eastAsia="Arial" w:hAnsi="Arial"/>
          <w:sz w:val="18"/>
          <w:szCs w:val="18"/>
          <w:color w:val="auto"/>
        </w:rPr>
        <w:t>Compensation Committee, and our Directors and Corporate Governance Committee, and it was a key input into board discussions on corporate governance topics. As a result of these discussions and its own deliberations, the board decided to recommend in favor of the two management proposals described below. We are committed to continuing to engage with our investors to ensure that their diverse perspectives on corporate governance and other issues are thoughtfully considered.</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Management Proposals to Eliminate Classified Board and Supermajority Voting Requirements</w:t>
      </w:r>
    </w:p>
    <w:p>
      <w:pPr>
        <w:spacing w:after="0" w:line="7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Each year between 2007 and 2012, and again from 2018 through 2022, our management put forward proposals to eliminate the company’s classified board structure. The proposals did not pass because they failed to receive a “supermajority vote” of 80 percent of the outstanding shares of our common stock, as required in the company’s articles of incorporation. In addition, each year from 2011 through 2013, and again from 2019 through 2023, we submitted management proposals to eliminate the supermajority voting requirements. Those proposals also did not receive the required 80 percent vote.</w:t>
      </w:r>
    </w:p>
    <w:p>
      <w:pPr>
        <w:spacing w:after="0" w:line="12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Prior to 2012, these proposals received support ranging from 72 to 77 percent of our outstanding shares. In 2012, the vote in support of these proposals was approximately 63 percent of our outstanding shares, driven in part by a 2012 NYSE rule revision prohibiting brokers from voting their clients’ shares on corporate governance matters absent specific instructions from such clients. In 2018, 2019, 2020, 2021 and 2022, the vote in support was approximately 62, 66, 69, 70 and 70 percent of our outstanding shares, respectively.</w:t>
      </w:r>
    </w:p>
    <w:p>
      <w:pPr>
        <w:spacing w:after="0" w:line="122"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color w:val="auto"/>
        </w:rPr>
        <w:t>After considering the interests of the company and our shareholders, we have resubmitted for consideration at the Annual Meeting management proposals to eliminate the classified board structure and supermajority voting requirements (</w:t>
      </w:r>
      <w:r>
        <w:rPr>
          <w:rFonts w:ascii="Arial" w:cs="Arial" w:eastAsia="Arial" w:hAnsi="Arial"/>
          <w:sz w:val="18"/>
          <w:szCs w:val="18"/>
          <w:u w:val="single" w:color="auto"/>
          <w:color w:val="0000FF"/>
        </w:rPr>
        <w:t>see Items 5 and 6</w:t>
      </w:r>
      <w:r>
        <w:rPr>
          <w:rFonts w:ascii="Arial" w:cs="Arial" w:eastAsia="Arial" w:hAnsi="Arial"/>
          <w:sz w:val="18"/>
          <w:szCs w:val="18"/>
          <w:color w:val="auto"/>
        </w:rPr>
        <w:t>).</w:t>
      </w:r>
    </w:p>
    <w:p>
      <w:pPr>
        <w:spacing w:after="0" w:line="99"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We will continue to engage with our shareholders on these and other topics to ensure that we continue to demonstrate strong corporate governance and accountability to shareholders.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Shareholder Proposals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Shareholder Proposals under Rule 14a-8</w:t>
      </w:r>
    </w:p>
    <w:p>
      <w:pPr>
        <w:spacing w:after="0" w:line="17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Shareholders interested in submitting a proposal considered for inclusion in the proxy statement for the 2024 annual meeting must follow the procedures set forth in Rule 14a-8 under the Securities Exchange Act of 1934. Proposals should be addressed to the General Counsel and Secretary and mailed to Lilly Corporate Center, Indianapolis, IN 46285. For convenience, emailed copies may also be sent to </w:t>
      </w:r>
      <w:r>
        <w:rPr>
          <w:rFonts w:ascii="Arial" w:cs="Arial" w:eastAsia="Arial" w:hAnsi="Arial"/>
          <w:sz w:val="18"/>
          <w:szCs w:val="18"/>
          <w:color w:val="D52B1E"/>
        </w:rPr>
        <w:t>shareholderproposals@lilly.com</w:t>
      </w:r>
      <w:r>
        <w:rPr>
          <w:rFonts w:ascii="Arial" w:cs="Arial" w:eastAsia="Arial" w:hAnsi="Arial"/>
          <w:sz w:val="18"/>
          <w:szCs w:val="18"/>
          <w:color w:val="000000"/>
        </w:rPr>
        <w:t>. In general, to be eligible for inclusion in the proxy statement for the 2024 annual meeting, shareholder</w:t>
      </w:r>
      <w:r>
        <w:rPr>
          <w:rFonts w:ascii="Arial" w:cs="Arial" w:eastAsia="Arial" w:hAnsi="Arial"/>
          <w:sz w:val="18"/>
          <w:szCs w:val="18"/>
          <w:color w:val="D52B1E"/>
        </w:rPr>
        <w:t xml:space="preserve"> </w:t>
      </w:r>
      <w:r>
        <w:rPr>
          <w:rFonts w:ascii="Arial" w:cs="Arial" w:eastAsia="Arial" w:hAnsi="Arial"/>
          <w:sz w:val="18"/>
          <w:szCs w:val="18"/>
          <w:color w:val="000000"/>
        </w:rPr>
        <w:t>proposals must be received no later than November 18, 2023.</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Other Shareholder Proposals</w:t>
      </w:r>
    </w:p>
    <w:p>
      <w:pPr>
        <w:spacing w:after="0" w:line="171"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 xml:space="preserve">In addition, under section 1.8 of the company’s bylaws, any shareholder of record wishing to propose business (other than pursuant to Rule 14a-8 or related to the nomination of directors) at the 2024 annual meeting of shareholders, must give the company written notice no later than the close of business on November 18, 2023, and no earlier than the close of business on September 19, 2023. However, if the date of the 2024 annual meeting is changed by more than 30 days from May 1, 2024 (the date contemplated for the 2024 annual meeting as set forth in this proxy statement), a shareholder must give the company written notice no later than the close of business on the later of 120 days in advance of the 2024 annual meeting or 10 days following the date we first publicly announce the date of the 2024 annual meeting. Any such notice must also comply with the timing, disclosure, procedural and other requirements as set forth in the bylaws. A copy of the bylaws is available online at </w:t>
      </w:r>
      <w:r>
        <w:rPr>
          <w:rFonts w:ascii="Arial" w:cs="Arial" w:eastAsia="Arial" w:hAnsi="Arial"/>
          <w:sz w:val="18"/>
          <w:szCs w:val="18"/>
          <w:color w:val="D52B1E"/>
        </w:rPr>
        <w:t>lilly.com/leadership/governance</w:t>
      </w:r>
      <w:r>
        <w:rPr>
          <w:rFonts w:ascii="Arial" w:cs="Arial" w:eastAsia="Arial" w:hAnsi="Arial"/>
          <w:sz w:val="18"/>
          <w:szCs w:val="18"/>
          <w:color w:val="auto"/>
        </w:rPr>
        <w:t>.</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53" w:name="page54"/>
    <w:bookmarkEnd w:id="53"/>
    <w:p>
      <w:pPr>
        <w:spacing w:after="0"/>
        <w:rPr>
          <w:sz w:val="20"/>
          <w:szCs w:val="20"/>
          <w:color w:val="auto"/>
        </w:rPr>
      </w:pPr>
      <w:r>
        <w:rPr>
          <w:rFonts w:ascii="Arial" w:cs="Arial" w:eastAsia="Arial" w:hAnsi="Arial"/>
          <w:sz w:val="52"/>
          <w:szCs w:val="52"/>
          <w:b w:val="1"/>
          <w:bCs w:val="1"/>
          <w:color w:val="auto"/>
        </w:rPr>
        <w:t>Ownership of Company Stock</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Common Stock Ownership by Directors and Executive Officers</w:t>
      </w:r>
    </w:p>
    <w:p>
      <w:pPr>
        <w:spacing w:after="0" w:line="8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 sets forth the number of shares of company common stock beneficially owned by directors, named executive officers, and all directors and executive officers as a group, as of February 21, 2023. On February 21, 2023, there were 950,296,153 shares of the company’s common stock outstanding. None of the stock or stock units owned by any of the listed individuals has been pledged as collateral for a loan or other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106680</wp:posOffset>
            </wp:positionV>
            <wp:extent cx="2031365" cy="8572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2031365" cy="85725"/>
                    </a:xfrm>
                    <a:prstGeom prst="rect">
                      <a:avLst/>
                    </a:prstGeom>
                    <a:noFill/>
                  </pic:spPr>
                </pic:pic>
              </a:graphicData>
            </a:graphic>
          </wp:anchor>
        </w:drawing>
      </w:r>
    </w:p>
    <w:p>
      <w:pPr>
        <w:spacing w:after="0" w:line="285" w:lineRule="exact"/>
        <w:rPr>
          <w:sz w:val="20"/>
          <w:szCs w:val="20"/>
          <w:color w:val="auto"/>
        </w:rPr>
      </w:pPr>
    </w:p>
    <w:p>
      <w:pPr>
        <w:ind w:left="4380"/>
        <w:spacing w:after="0"/>
        <w:rPr>
          <w:sz w:val="20"/>
          <w:szCs w:val="20"/>
          <w:color w:val="auto"/>
        </w:rPr>
      </w:pPr>
      <w:r>
        <w:rPr>
          <w:rFonts w:ascii="Arial" w:cs="Arial" w:eastAsia="Arial" w:hAnsi="Arial"/>
          <w:sz w:val="14"/>
          <w:szCs w:val="14"/>
          <w:b w:val="1"/>
          <w:bCs w:val="1"/>
          <w:color w:val="auto"/>
        </w:rPr>
        <w:t>Common Stock</w:t>
      </w:r>
      <w:r>
        <w:rPr>
          <w:rFonts w:ascii="Arial" w:cs="Arial" w:eastAsia="Arial" w:hAnsi="Arial"/>
          <w:sz w:val="18"/>
          <w:szCs w:val="18"/>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5760720" cy="25717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5760720" cy="257175"/>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Stock Units</w:t>
            </w:r>
          </w:p>
        </w:tc>
        <w:tc>
          <w:tcPr>
            <w:tcW w:w="74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Stock Units Not</w:t>
            </w:r>
          </w:p>
        </w:tc>
        <w:tc>
          <w:tcPr>
            <w:tcW w:w="0" w:type="dxa"/>
            <w:vAlign w:val="bottom"/>
          </w:tcPr>
          <w:p>
            <w:pPr>
              <w:spacing w:after="0"/>
              <w:rPr>
                <w:sz w:val="1"/>
                <w:szCs w:val="1"/>
                <w:color w:val="auto"/>
              </w:rPr>
            </w:pPr>
          </w:p>
        </w:tc>
      </w:tr>
      <w:tr>
        <w:trPr>
          <w:trHeight w:val="185"/>
        </w:trPr>
        <w:tc>
          <w:tcPr>
            <w:tcW w:w="3520" w:type="dxa"/>
            <w:vAlign w:val="bottom"/>
          </w:tcPr>
          <w:p>
            <w:pPr>
              <w:spacing w:after="0"/>
              <w:rPr>
                <w:sz w:val="16"/>
                <w:szCs w:val="16"/>
                <w:color w:val="auto"/>
              </w:rPr>
            </w:pPr>
          </w:p>
        </w:tc>
        <w:tc>
          <w:tcPr>
            <w:tcW w:w="15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Shares Owned</w:t>
            </w:r>
            <w:r>
              <w:rPr>
                <w:rFonts w:ascii="Arial" w:cs="Arial" w:eastAsia="Arial" w:hAnsi="Arial"/>
                <w:sz w:val="18"/>
                <w:szCs w:val="18"/>
                <w:b w:val="1"/>
                <w:bCs w:val="1"/>
                <w:color w:val="auto"/>
                <w:vertAlign w:val="superscript"/>
              </w:rPr>
              <w:t>2</w:t>
            </w:r>
          </w:p>
        </w:tc>
        <w:tc>
          <w:tcPr>
            <w:tcW w:w="1520" w:type="dxa"/>
            <w:vAlign w:val="bottom"/>
          </w:tcPr>
          <w:p>
            <w:pPr>
              <w:jc w:val="center"/>
              <w:ind w:left="8"/>
              <w:spacing w:after="0"/>
              <w:rPr>
                <w:sz w:val="20"/>
                <w:szCs w:val="20"/>
                <w:color w:val="auto"/>
              </w:rPr>
            </w:pPr>
            <w:r>
              <w:rPr>
                <w:rFonts w:ascii="Arial" w:cs="Arial" w:eastAsia="Arial" w:hAnsi="Arial"/>
                <w:sz w:val="14"/>
                <w:szCs w:val="14"/>
                <w:b w:val="1"/>
                <w:bCs w:val="1"/>
                <w:color w:val="auto"/>
              </w:rPr>
              <w:t>Distributable</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Percent</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Distributable Within 60</w:t>
            </w:r>
          </w:p>
        </w:tc>
        <w:tc>
          <w:tcPr>
            <w:tcW w:w="0" w:type="dxa"/>
            <w:vAlign w:val="bottom"/>
          </w:tcPr>
          <w:p>
            <w:pPr>
              <w:spacing w:after="0"/>
              <w:rPr>
                <w:sz w:val="1"/>
                <w:szCs w:val="1"/>
                <w:color w:val="auto"/>
              </w:rPr>
            </w:pPr>
          </w:p>
        </w:tc>
      </w:tr>
      <w:tr>
        <w:trPr>
          <w:trHeight w:val="243"/>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Beneficial Owners</w:t>
            </w:r>
          </w:p>
        </w:tc>
        <w:tc>
          <w:tcPr>
            <w:tcW w:w="1520" w:type="dxa"/>
            <w:vAlign w:val="bottom"/>
            <w:tcBorders>
              <w:bottom w:val="single" w:sz="8" w:color="auto"/>
            </w:tcBorders>
            <w:vMerge w:val="continue"/>
          </w:tcPr>
          <w:p>
            <w:pPr>
              <w:spacing w:after="0"/>
              <w:rPr>
                <w:sz w:val="21"/>
                <w:szCs w:val="21"/>
                <w:color w:val="auto"/>
              </w:rPr>
            </w:pPr>
          </w:p>
        </w:tc>
        <w:tc>
          <w:tcPr>
            <w:tcW w:w="15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Within 60 Days</w:t>
            </w:r>
            <w:r>
              <w:rPr>
                <w:rFonts w:ascii="Arial" w:cs="Arial" w:eastAsia="Arial" w:hAnsi="Arial"/>
                <w:sz w:val="18"/>
                <w:szCs w:val="18"/>
                <w:b w:val="1"/>
                <w:bCs w:val="1"/>
                <w:color w:val="auto"/>
                <w:vertAlign w:val="superscript"/>
              </w:rPr>
              <w:t>3</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of Class</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Days</w:t>
            </w:r>
            <w:r>
              <w:rPr>
                <w:rFonts w:ascii="Arial" w:cs="Arial" w:eastAsia="Arial" w:hAnsi="Arial"/>
                <w:sz w:val="18"/>
                <w:szCs w:val="18"/>
                <w:b w:val="1"/>
                <w:bCs w:val="1"/>
                <w:color w:val="auto"/>
                <w:w w:val="99"/>
                <w:vertAlign w:val="superscript"/>
              </w:rPr>
              <w:t>4</w:t>
            </w:r>
          </w:p>
        </w:tc>
        <w:tc>
          <w:tcPr>
            <w:tcW w:w="0" w:type="dxa"/>
            <w:vAlign w:val="bottom"/>
          </w:tcPr>
          <w:p>
            <w:pPr>
              <w:spacing w:after="0"/>
              <w:rPr>
                <w:sz w:val="1"/>
                <w:szCs w:val="1"/>
                <w:color w:val="auto"/>
              </w:rPr>
            </w:pPr>
          </w:p>
        </w:tc>
      </w:tr>
      <w:tr>
        <w:trPr>
          <w:trHeight w:val="217"/>
        </w:trPr>
        <w:tc>
          <w:tcPr>
            <w:tcW w:w="35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Ralph Alvarez</w:t>
            </w:r>
          </w:p>
        </w:tc>
        <w:tc>
          <w:tcPr>
            <w:tcW w:w="1520" w:type="dxa"/>
            <w:vAlign w:val="bottom"/>
            <w:tcBorders>
              <w:bottom w:val="single" w:sz="8" w:color="F2F2F2"/>
            </w:tcBorders>
            <w:shd w:val="clear" w:color="auto" w:fill="F2F2F2"/>
          </w:tcPr>
          <w:p>
            <w:pPr>
              <w:jc w:val="right"/>
              <w:ind w:right="3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F2F2F2"/>
            </w:tcBorders>
            <w:shd w:val="clear" w:color="auto" w:fill="F2F2F2"/>
          </w:tcPr>
          <w:p>
            <w:pPr>
              <w:jc w:val="right"/>
              <w:ind w:right="448"/>
              <w:spacing w:after="0"/>
              <w:rPr>
                <w:sz w:val="20"/>
                <w:szCs w:val="20"/>
                <w:color w:val="auto"/>
              </w:rPr>
            </w:pPr>
            <w:r>
              <w:rPr>
                <w:rFonts w:ascii="Arial" w:cs="Arial" w:eastAsia="Arial" w:hAnsi="Arial"/>
                <w:sz w:val="14"/>
                <w:szCs w:val="14"/>
                <w:color w:val="auto"/>
              </w:rPr>
              <w:t>52,772</w:t>
            </w:r>
          </w:p>
        </w:tc>
        <w:tc>
          <w:tcPr>
            <w:tcW w:w="0" w:type="dxa"/>
            <w:vAlign w:val="bottom"/>
          </w:tcPr>
          <w:p>
            <w:pPr>
              <w:spacing w:after="0"/>
              <w:rPr>
                <w:sz w:val="1"/>
                <w:szCs w:val="1"/>
                <w:color w:val="auto"/>
              </w:rPr>
            </w:pPr>
          </w:p>
        </w:tc>
      </w:tr>
      <w:tr>
        <w:trPr>
          <w:trHeight w:val="235"/>
        </w:trPr>
        <w:tc>
          <w:tcPr>
            <w:tcW w:w="3520" w:type="dxa"/>
            <w:vAlign w:val="bottom"/>
          </w:tcPr>
          <w:p>
            <w:pPr>
              <w:ind w:left="20"/>
              <w:spacing w:after="0"/>
              <w:rPr>
                <w:sz w:val="20"/>
                <w:szCs w:val="20"/>
                <w:color w:val="auto"/>
              </w:rPr>
            </w:pPr>
            <w:r>
              <w:rPr>
                <w:rFonts w:ascii="Arial" w:cs="Arial" w:eastAsia="Arial" w:hAnsi="Arial"/>
                <w:sz w:val="14"/>
                <w:szCs w:val="14"/>
                <w:color w:val="auto"/>
              </w:rPr>
              <w:t>Anat Ashkenazi</w:t>
            </w:r>
          </w:p>
        </w:tc>
        <w:tc>
          <w:tcPr>
            <w:tcW w:w="1520" w:type="dxa"/>
            <w:vAlign w:val="bottom"/>
          </w:tcPr>
          <w:p>
            <w:pPr>
              <w:jc w:val="right"/>
              <w:ind w:right="328"/>
              <w:spacing w:after="0"/>
              <w:rPr>
                <w:sz w:val="20"/>
                <w:szCs w:val="20"/>
                <w:color w:val="auto"/>
              </w:rPr>
            </w:pPr>
            <w:r>
              <w:rPr>
                <w:rFonts w:ascii="Arial" w:cs="Arial" w:eastAsia="Arial" w:hAnsi="Arial"/>
                <w:sz w:val="14"/>
                <w:szCs w:val="14"/>
                <w:color w:val="auto"/>
              </w:rPr>
              <w:t>38,305</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448"/>
              <w:spacing w:after="0"/>
              <w:rPr>
                <w:sz w:val="20"/>
                <w:szCs w:val="20"/>
                <w:color w:val="auto"/>
              </w:rPr>
            </w:pPr>
            <w:r>
              <w:rPr>
                <w:rFonts w:ascii="Arial" w:cs="Arial" w:eastAsia="Arial" w:hAnsi="Arial"/>
                <w:sz w:val="14"/>
                <w:szCs w:val="14"/>
                <w:color w:val="auto"/>
              </w:rPr>
              <w:t>11,499</w:t>
            </w:r>
          </w:p>
        </w:tc>
        <w:tc>
          <w:tcPr>
            <w:tcW w:w="0" w:type="dxa"/>
            <w:vAlign w:val="bottom"/>
          </w:tcPr>
          <w:p>
            <w:pPr>
              <w:spacing w:after="0"/>
              <w:rPr>
                <w:sz w:val="1"/>
                <w:szCs w:val="1"/>
                <w:color w:val="auto"/>
              </w:rPr>
            </w:pPr>
          </w:p>
        </w:tc>
      </w:tr>
      <w:tr>
        <w:trPr>
          <w:trHeight w:val="22"/>
        </w:trPr>
        <w:tc>
          <w:tcPr>
            <w:tcW w:w="3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Katherine Baicker, Ph.D.</w:t>
            </w:r>
          </w:p>
        </w:tc>
        <w:tc>
          <w:tcPr>
            <w:tcW w:w="1520" w:type="dxa"/>
            <w:vAlign w:val="bottom"/>
            <w:tcBorders>
              <w:bottom w:val="single" w:sz="8" w:color="F2F2F2"/>
            </w:tcBorders>
            <w:shd w:val="clear" w:color="auto" w:fill="F2F2F2"/>
          </w:tcPr>
          <w:p>
            <w:pPr>
              <w:jc w:val="right"/>
              <w:ind w:right="3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F2F2F2"/>
            </w:tcBorders>
            <w:shd w:val="clear" w:color="auto" w:fill="F2F2F2"/>
          </w:tcPr>
          <w:p>
            <w:pPr>
              <w:jc w:val="right"/>
              <w:ind w:right="448"/>
              <w:spacing w:after="0"/>
              <w:rPr>
                <w:sz w:val="20"/>
                <w:szCs w:val="20"/>
                <w:color w:val="auto"/>
              </w:rPr>
            </w:pPr>
            <w:r>
              <w:rPr>
                <w:rFonts w:ascii="Arial" w:cs="Arial" w:eastAsia="Arial" w:hAnsi="Arial"/>
                <w:sz w:val="14"/>
                <w:szCs w:val="14"/>
                <w:color w:val="auto"/>
              </w:rPr>
              <w:t>22,154</w:t>
            </w:r>
          </w:p>
        </w:tc>
        <w:tc>
          <w:tcPr>
            <w:tcW w:w="0" w:type="dxa"/>
            <w:vAlign w:val="bottom"/>
          </w:tcPr>
          <w:p>
            <w:pPr>
              <w:spacing w:after="0"/>
              <w:rPr>
                <w:sz w:val="1"/>
                <w:szCs w:val="1"/>
                <w:color w:val="auto"/>
              </w:rPr>
            </w:pPr>
          </w:p>
        </w:tc>
      </w:tr>
      <w:tr>
        <w:trPr>
          <w:trHeight w:val="235"/>
        </w:trPr>
        <w:tc>
          <w:tcPr>
            <w:tcW w:w="3520" w:type="dxa"/>
            <w:vAlign w:val="bottom"/>
          </w:tcPr>
          <w:p>
            <w:pPr>
              <w:ind w:left="20"/>
              <w:spacing w:after="0"/>
              <w:rPr>
                <w:sz w:val="20"/>
                <w:szCs w:val="20"/>
                <w:color w:val="auto"/>
              </w:rPr>
            </w:pPr>
            <w:r>
              <w:rPr>
                <w:rFonts w:ascii="Arial" w:cs="Arial" w:eastAsia="Arial" w:hAnsi="Arial"/>
                <w:sz w:val="14"/>
                <w:szCs w:val="14"/>
                <w:color w:val="auto"/>
              </w:rPr>
              <w:t>J. Erik Fyrwald</w:t>
            </w:r>
          </w:p>
        </w:tc>
        <w:tc>
          <w:tcPr>
            <w:tcW w:w="1520" w:type="dxa"/>
            <w:vAlign w:val="bottom"/>
          </w:tcPr>
          <w:p>
            <w:pPr>
              <w:jc w:val="right"/>
              <w:ind w:right="328"/>
              <w:spacing w:after="0"/>
              <w:rPr>
                <w:sz w:val="20"/>
                <w:szCs w:val="20"/>
                <w:color w:val="auto"/>
              </w:rPr>
            </w:pPr>
            <w:r>
              <w:rPr>
                <w:rFonts w:ascii="Arial" w:cs="Arial" w:eastAsia="Arial" w:hAnsi="Arial"/>
                <w:sz w:val="14"/>
                <w:szCs w:val="14"/>
                <w:color w:val="auto"/>
              </w:rPr>
              <w:t>100</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448"/>
              <w:spacing w:after="0"/>
              <w:rPr>
                <w:sz w:val="20"/>
                <w:szCs w:val="20"/>
                <w:color w:val="auto"/>
              </w:rPr>
            </w:pPr>
            <w:r>
              <w:rPr>
                <w:rFonts w:ascii="Arial" w:cs="Arial" w:eastAsia="Arial" w:hAnsi="Arial"/>
                <w:sz w:val="14"/>
                <w:szCs w:val="14"/>
                <w:color w:val="auto"/>
              </w:rPr>
              <w:t>70,539</w:t>
            </w:r>
          </w:p>
        </w:tc>
        <w:tc>
          <w:tcPr>
            <w:tcW w:w="0" w:type="dxa"/>
            <w:vAlign w:val="bottom"/>
          </w:tcPr>
          <w:p>
            <w:pPr>
              <w:spacing w:after="0"/>
              <w:rPr>
                <w:sz w:val="1"/>
                <w:szCs w:val="1"/>
                <w:color w:val="auto"/>
              </w:rPr>
            </w:pPr>
          </w:p>
        </w:tc>
      </w:tr>
      <w:tr>
        <w:trPr>
          <w:trHeight w:val="22"/>
        </w:trPr>
        <w:tc>
          <w:tcPr>
            <w:tcW w:w="3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Anat Hakim</w:t>
            </w:r>
          </w:p>
        </w:tc>
        <w:tc>
          <w:tcPr>
            <w:tcW w:w="1520" w:type="dxa"/>
            <w:vAlign w:val="bottom"/>
            <w:tcBorders>
              <w:bottom w:val="single" w:sz="8" w:color="F2F2F2"/>
            </w:tcBorders>
            <w:shd w:val="clear" w:color="auto" w:fill="F2F2F2"/>
          </w:tcPr>
          <w:p>
            <w:pPr>
              <w:jc w:val="right"/>
              <w:ind w:right="328"/>
              <w:spacing w:after="0"/>
              <w:rPr>
                <w:sz w:val="20"/>
                <w:szCs w:val="20"/>
                <w:color w:val="auto"/>
              </w:rPr>
            </w:pPr>
            <w:r>
              <w:rPr>
                <w:rFonts w:ascii="Arial" w:cs="Arial" w:eastAsia="Arial" w:hAnsi="Arial"/>
                <w:sz w:val="14"/>
                <w:szCs w:val="14"/>
                <w:color w:val="auto"/>
              </w:rPr>
              <w:t>22,189</w:t>
            </w:r>
          </w:p>
        </w:tc>
        <w:tc>
          <w:tcPr>
            <w:tcW w:w="15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F2F2F2"/>
            </w:tcBorders>
            <w:shd w:val="clear" w:color="auto" w:fill="F2F2F2"/>
          </w:tcPr>
          <w:p>
            <w:pPr>
              <w:jc w:val="right"/>
              <w:ind w:right="448"/>
              <w:spacing w:after="0"/>
              <w:rPr>
                <w:sz w:val="20"/>
                <w:szCs w:val="20"/>
                <w:color w:val="auto"/>
              </w:rPr>
            </w:pPr>
            <w:r>
              <w:rPr>
                <w:rFonts w:ascii="Arial" w:cs="Arial" w:eastAsia="Arial" w:hAnsi="Arial"/>
                <w:sz w:val="14"/>
                <w:szCs w:val="14"/>
                <w:color w:val="auto"/>
              </w:rPr>
              <w:t>4,442</w:t>
            </w:r>
          </w:p>
        </w:tc>
        <w:tc>
          <w:tcPr>
            <w:tcW w:w="0" w:type="dxa"/>
            <w:vAlign w:val="bottom"/>
          </w:tcPr>
          <w:p>
            <w:pPr>
              <w:spacing w:after="0"/>
              <w:rPr>
                <w:sz w:val="1"/>
                <w:szCs w:val="1"/>
                <w:color w:val="auto"/>
              </w:rPr>
            </w:pPr>
          </w:p>
        </w:tc>
      </w:tr>
      <w:tr>
        <w:trPr>
          <w:trHeight w:val="235"/>
        </w:trPr>
        <w:tc>
          <w:tcPr>
            <w:tcW w:w="3520" w:type="dxa"/>
            <w:vAlign w:val="bottom"/>
          </w:tcPr>
          <w:p>
            <w:pPr>
              <w:ind w:left="20"/>
              <w:spacing w:after="0"/>
              <w:rPr>
                <w:sz w:val="20"/>
                <w:szCs w:val="20"/>
                <w:color w:val="auto"/>
              </w:rPr>
            </w:pPr>
            <w:r>
              <w:rPr>
                <w:rFonts w:ascii="Arial" w:cs="Arial" w:eastAsia="Arial" w:hAnsi="Arial"/>
                <w:sz w:val="14"/>
                <w:szCs w:val="14"/>
                <w:color w:val="auto"/>
              </w:rPr>
              <w:t>Mary Lynne Hedley</w:t>
            </w:r>
          </w:p>
        </w:tc>
        <w:tc>
          <w:tcPr>
            <w:tcW w:w="15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448"/>
              <w:spacing w:after="0"/>
              <w:rPr>
                <w:sz w:val="20"/>
                <w:szCs w:val="20"/>
                <w:color w:val="auto"/>
              </w:rPr>
            </w:pPr>
            <w:r>
              <w:rPr>
                <w:rFonts w:ascii="Arial" w:cs="Arial" w:eastAsia="Arial" w:hAnsi="Arial"/>
                <w:sz w:val="14"/>
                <w:szCs w:val="14"/>
                <w:color w:val="auto"/>
              </w:rPr>
              <w:t>623</w:t>
            </w:r>
          </w:p>
        </w:tc>
        <w:tc>
          <w:tcPr>
            <w:tcW w:w="0" w:type="dxa"/>
            <w:vAlign w:val="bottom"/>
          </w:tcPr>
          <w:p>
            <w:pPr>
              <w:spacing w:after="0"/>
              <w:rPr>
                <w:sz w:val="1"/>
                <w:szCs w:val="1"/>
                <w:color w:val="auto"/>
              </w:rPr>
            </w:pPr>
          </w:p>
        </w:tc>
      </w:tr>
      <w:tr>
        <w:trPr>
          <w:trHeight w:val="22"/>
        </w:trPr>
        <w:tc>
          <w:tcPr>
            <w:tcW w:w="3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Jamere Jackson</w:t>
            </w:r>
          </w:p>
        </w:tc>
        <w:tc>
          <w:tcPr>
            <w:tcW w:w="1520" w:type="dxa"/>
            <w:vAlign w:val="bottom"/>
            <w:tcBorders>
              <w:bottom w:val="single" w:sz="8" w:color="F2F2F2"/>
            </w:tcBorders>
            <w:shd w:val="clear" w:color="auto" w:fill="F2F2F2"/>
          </w:tcPr>
          <w:p>
            <w:pPr>
              <w:jc w:val="right"/>
              <w:ind w:right="3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F2F2F2"/>
            </w:tcBorders>
            <w:shd w:val="clear" w:color="auto" w:fill="F2F2F2"/>
          </w:tcPr>
          <w:p>
            <w:pPr>
              <w:jc w:val="right"/>
              <w:ind w:right="448"/>
              <w:spacing w:after="0"/>
              <w:rPr>
                <w:sz w:val="20"/>
                <w:szCs w:val="20"/>
                <w:color w:val="auto"/>
              </w:rPr>
            </w:pPr>
            <w:r>
              <w:rPr>
                <w:rFonts w:ascii="Arial" w:cs="Arial" w:eastAsia="Arial" w:hAnsi="Arial"/>
                <w:sz w:val="14"/>
                <w:szCs w:val="14"/>
                <w:color w:val="auto"/>
              </w:rPr>
              <w:t>8,392</w:t>
            </w:r>
          </w:p>
        </w:tc>
        <w:tc>
          <w:tcPr>
            <w:tcW w:w="0" w:type="dxa"/>
            <w:vAlign w:val="bottom"/>
          </w:tcPr>
          <w:p>
            <w:pPr>
              <w:spacing w:after="0"/>
              <w:rPr>
                <w:sz w:val="1"/>
                <w:szCs w:val="1"/>
                <w:color w:val="auto"/>
              </w:rPr>
            </w:pPr>
          </w:p>
        </w:tc>
      </w:tr>
      <w:tr>
        <w:trPr>
          <w:trHeight w:val="235"/>
        </w:trPr>
        <w:tc>
          <w:tcPr>
            <w:tcW w:w="3520" w:type="dxa"/>
            <w:vAlign w:val="bottom"/>
          </w:tcPr>
          <w:p>
            <w:pPr>
              <w:ind w:left="20"/>
              <w:spacing w:after="0"/>
              <w:rPr>
                <w:sz w:val="20"/>
                <w:szCs w:val="20"/>
                <w:color w:val="auto"/>
              </w:rPr>
            </w:pPr>
            <w:r>
              <w:rPr>
                <w:rFonts w:ascii="Arial" w:cs="Arial" w:eastAsia="Arial" w:hAnsi="Arial"/>
                <w:sz w:val="14"/>
                <w:szCs w:val="14"/>
                <w:color w:val="auto"/>
              </w:rPr>
              <w:t>Kimberly H. Johnson</w:t>
            </w:r>
          </w:p>
        </w:tc>
        <w:tc>
          <w:tcPr>
            <w:tcW w:w="15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448"/>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22"/>
        </w:trPr>
        <w:tc>
          <w:tcPr>
            <w:tcW w:w="3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Patrik Jonsson</w:t>
            </w:r>
          </w:p>
        </w:tc>
        <w:tc>
          <w:tcPr>
            <w:tcW w:w="1520" w:type="dxa"/>
            <w:vAlign w:val="bottom"/>
            <w:tcBorders>
              <w:bottom w:val="single" w:sz="8" w:color="F2F2F2"/>
            </w:tcBorders>
            <w:shd w:val="clear" w:color="auto" w:fill="F2F2F2"/>
          </w:tcPr>
          <w:p>
            <w:pPr>
              <w:jc w:val="right"/>
              <w:ind w:right="328"/>
              <w:spacing w:after="0"/>
              <w:rPr>
                <w:sz w:val="20"/>
                <w:szCs w:val="20"/>
                <w:color w:val="auto"/>
              </w:rPr>
            </w:pPr>
            <w:r>
              <w:rPr>
                <w:rFonts w:ascii="Arial" w:cs="Arial" w:eastAsia="Arial" w:hAnsi="Arial"/>
                <w:sz w:val="14"/>
                <w:szCs w:val="14"/>
                <w:color w:val="auto"/>
              </w:rPr>
              <w:t>43,417</w:t>
            </w:r>
          </w:p>
        </w:tc>
        <w:tc>
          <w:tcPr>
            <w:tcW w:w="15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F2F2F2"/>
            </w:tcBorders>
            <w:shd w:val="clear" w:color="auto" w:fill="F2F2F2"/>
          </w:tcPr>
          <w:p>
            <w:pPr>
              <w:jc w:val="right"/>
              <w:ind w:right="448"/>
              <w:spacing w:after="0"/>
              <w:rPr>
                <w:sz w:val="20"/>
                <w:szCs w:val="20"/>
                <w:color w:val="auto"/>
              </w:rPr>
            </w:pPr>
            <w:r>
              <w:rPr>
                <w:rFonts w:ascii="Arial" w:cs="Arial" w:eastAsia="Arial" w:hAnsi="Arial"/>
                <w:sz w:val="14"/>
                <w:szCs w:val="14"/>
                <w:color w:val="auto"/>
              </w:rPr>
              <w:t>4,124</w:t>
            </w:r>
          </w:p>
        </w:tc>
        <w:tc>
          <w:tcPr>
            <w:tcW w:w="0" w:type="dxa"/>
            <w:vAlign w:val="bottom"/>
          </w:tcPr>
          <w:p>
            <w:pPr>
              <w:spacing w:after="0"/>
              <w:rPr>
                <w:sz w:val="1"/>
                <w:szCs w:val="1"/>
                <w:color w:val="auto"/>
              </w:rPr>
            </w:pPr>
          </w:p>
        </w:tc>
      </w:tr>
      <w:tr>
        <w:trPr>
          <w:trHeight w:val="235"/>
        </w:trPr>
        <w:tc>
          <w:tcPr>
            <w:tcW w:w="3520" w:type="dxa"/>
            <w:vAlign w:val="bottom"/>
          </w:tcPr>
          <w:p>
            <w:pPr>
              <w:ind w:left="20"/>
              <w:spacing w:after="0"/>
              <w:rPr>
                <w:sz w:val="20"/>
                <w:szCs w:val="20"/>
                <w:color w:val="auto"/>
              </w:rPr>
            </w:pPr>
            <w:r>
              <w:rPr>
                <w:rFonts w:ascii="Arial" w:cs="Arial" w:eastAsia="Arial" w:hAnsi="Arial"/>
                <w:sz w:val="14"/>
                <w:szCs w:val="14"/>
                <w:color w:val="auto"/>
              </w:rPr>
              <w:t>William G. Kaelin, Jr., M.D.</w:t>
            </w:r>
          </w:p>
        </w:tc>
        <w:tc>
          <w:tcPr>
            <w:tcW w:w="15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448"/>
              <w:spacing w:after="0"/>
              <w:rPr>
                <w:sz w:val="20"/>
                <w:szCs w:val="20"/>
                <w:color w:val="auto"/>
              </w:rPr>
            </w:pPr>
            <w:r>
              <w:rPr>
                <w:rFonts w:ascii="Arial" w:cs="Arial" w:eastAsia="Arial" w:hAnsi="Arial"/>
                <w:sz w:val="14"/>
                <w:szCs w:val="14"/>
                <w:color w:val="auto"/>
              </w:rPr>
              <w:t>20,525</w:t>
            </w:r>
          </w:p>
        </w:tc>
        <w:tc>
          <w:tcPr>
            <w:tcW w:w="0" w:type="dxa"/>
            <w:vAlign w:val="bottom"/>
          </w:tcPr>
          <w:p>
            <w:pPr>
              <w:spacing w:after="0"/>
              <w:rPr>
                <w:sz w:val="1"/>
                <w:szCs w:val="1"/>
                <w:color w:val="auto"/>
              </w:rPr>
            </w:pPr>
          </w:p>
        </w:tc>
      </w:tr>
      <w:tr>
        <w:trPr>
          <w:trHeight w:val="22"/>
        </w:trPr>
        <w:tc>
          <w:tcPr>
            <w:tcW w:w="3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Juan R. Luciano</w:t>
            </w:r>
          </w:p>
        </w:tc>
        <w:tc>
          <w:tcPr>
            <w:tcW w:w="1520" w:type="dxa"/>
            <w:vAlign w:val="bottom"/>
            <w:tcBorders>
              <w:bottom w:val="single" w:sz="8" w:color="F2F2F2"/>
            </w:tcBorders>
            <w:shd w:val="clear" w:color="auto" w:fill="F2F2F2"/>
          </w:tcPr>
          <w:p>
            <w:pPr>
              <w:jc w:val="right"/>
              <w:ind w:right="3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F2F2F2"/>
            </w:tcBorders>
            <w:shd w:val="clear" w:color="auto" w:fill="F2F2F2"/>
          </w:tcPr>
          <w:p>
            <w:pPr>
              <w:jc w:val="right"/>
              <w:ind w:right="448"/>
              <w:spacing w:after="0"/>
              <w:rPr>
                <w:sz w:val="20"/>
                <w:szCs w:val="20"/>
                <w:color w:val="auto"/>
              </w:rPr>
            </w:pPr>
            <w:r>
              <w:rPr>
                <w:rFonts w:ascii="Arial" w:cs="Arial" w:eastAsia="Arial" w:hAnsi="Arial"/>
                <w:sz w:val="14"/>
                <w:szCs w:val="14"/>
                <w:color w:val="auto"/>
              </w:rPr>
              <w:t>14,783</w:t>
            </w:r>
          </w:p>
        </w:tc>
        <w:tc>
          <w:tcPr>
            <w:tcW w:w="0" w:type="dxa"/>
            <w:vAlign w:val="bottom"/>
          </w:tcPr>
          <w:p>
            <w:pPr>
              <w:spacing w:after="0"/>
              <w:rPr>
                <w:sz w:val="1"/>
                <w:szCs w:val="1"/>
                <w:color w:val="auto"/>
              </w:rPr>
            </w:pPr>
          </w:p>
        </w:tc>
      </w:tr>
      <w:tr>
        <w:trPr>
          <w:trHeight w:val="235"/>
        </w:trPr>
        <w:tc>
          <w:tcPr>
            <w:tcW w:w="3520" w:type="dxa"/>
            <w:vAlign w:val="bottom"/>
          </w:tcPr>
          <w:p>
            <w:pPr>
              <w:ind w:left="20"/>
              <w:spacing w:after="0"/>
              <w:rPr>
                <w:sz w:val="20"/>
                <w:szCs w:val="20"/>
                <w:color w:val="auto"/>
              </w:rPr>
            </w:pPr>
            <w:r>
              <w:rPr>
                <w:rFonts w:ascii="Arial" w:cs="Arial" w:eastAsia="Arial" w:hAnsi="Arial"/>
                <w:sz w:val="14"/>
                <w:szCs w:val="14"/>
                <w:color w:val="auto"/>
              </w:rPr>
              <w:t>David A. Ricks</w:t>
            </w:r>
          </w:p>
        </w:tc>
        <w:tc>
          <w:tcPr>
            <w:tcW w:w="1520" w:type="dxa"/>
            <w:vAlign w:val="bottom"/>
          </w:tcPr>
          <w:p>
            <w:pPr>
              <w:jc w:val="right"/>
              <w:ind w:right="328"/>
              <w:spacing w:after="0"/>
              <w:rPr>
                <w:sz w:val="20"/>
                <w:szCs w:val="20"/>
                <w:color w:val="auto"/>
              </w:rPr>
            </w:pPr>
            <w:r>
              <w:rPr>
                <w:rFonts w:ascii="Arial" w:cs="Arial" w:eastAsia="Arial" w:hAnsi="Arial"/>
                <w:sz w:val="14"/>
                <w:szCs w:val="14"/>
                <w:color w:val="auto"/>
              </w:rPr>
              <w:t>644,144</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448"/>
              <w:spacing w:after="0"/>
              <w:rPr>
                <w:sz w:val="20"/>
                <w:szCs w:val="20"/>
                <w:color w:val="auto"/>
              </w:rPr>
            </w:pPr>
            <w:r>
              <w:rPr>
                <w:rFonts w:ascii="Arial" w:cs="Arial" w:eastAsia="Arial" w:hAnsi="Arial"/>
                <w:sz w:val="14"/>
                <w:szCs w:val="14"/>
                <w:color w:val="auto"/>
              </w:rPr>
              <w:t>29,611</w:t>
            </w:r>
          </w:p>
        </w:tc>
        <w:tc>
          <w:tcPr>
            <w:tcW w:w="0" w:type="dxa"/>
            <w:vAlign w:val="bottom"/>
          </w:tcPr>
          <w:p>
            <w:pPr>
              <w:spacing w:after="0"/>
              <w:rPr>
                <w:sz w:val="1"/>
                <w:szCs w:val="1"/>
                <w:color w:val="auto"/>
              </w:rPr>
            </w:pPr>
          </w:p>
        </w:tc>
      </w:tr>
      <w:tr>
        <w:trPr>
          <w:trHeight w:val="22"/>
        </w:trPr>
        <w:tc>
          <w:tcPr>
            <w:tcW w:w="3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Marschall S. Runge, M.D., Ph.D.</w:t>
            </w:r>
          </w:p>
        </w:tc>
        <w:tc>
          <w:tcPr>
            <w:tcW w:w="1520" w:type="dxa"/>
            <w:vAlign w:val="bottom"/>
            <w:tcBorders>
              <w:bottom w:val="single" w:sz="8" w:color="F2F2F2"/>
            </w:tcBorders>
            <w:shd w:val="clear" w:color="auto" w:fill="F2F2F2"/>
          </w:tcPr>
          <w:p>
            <w:pPr>
              <w:jc w:val="right"/>
              <w:ind w:right="328"/>
              <w:spacing w:after="0"/>
              <w:rPr>
                <w:sz w:val="20"/>
                <w:szCs w:val="20"/>
                <w:color w:val="auto"/>
              </w:rPr>
            </w:pPr>
            <w:r>
              <w:rPr>
                <w:rFonts w:ascii="Arial" w:cs="Arial" w:eastAsia="Arial" w:hAnsi="Arial"/>
                <w:sz w:val="14"/>
                <w:szCs w:val="14"/>
                <w:color w:val="auto"/>
              </w:rPr>
              <w:t>202</w:t>
            </w:r>
          </w:p>
        </w:tc>
        <w:tc>
          <w:tcPr>
            <w:tcW w:w="15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F2F2F2"/>
            </w:tcBorders>
            <w:shd w:val="clear" w:color="auto" w:fill="F2F2F2"/>
          </w:tcPr>
          <w:p>
            <w:pPr>
              <w:jc w:val="right"/>
              <w:ind w:right="448"/>
              <w:spacing w:after="0"/>
              <w:rPr>
                <w:sz w:val="20"/>
                <w:szCs w:val="20"/>
                <w:color w:val="auto"/>
              </w:rPr>
            </w:pPr>
            <w:r>
              <w:rPr>
                <w:rFonts w:ascii="Arial" w:cs="Arial" w:eastAsia="Arial" w:hAnsi="Arial"/>
                <w:sz w:val="14"/>
                <w:szCs w:val="14"/>
                <w:color w:val="auto"/>
              </w:rPr>
              <w:t>15,928</w:t>
            </w:r>
          </w:p>
        </w:tc>
        <w:tc>
          <w:tcPr>
            <w:tcW w:w="0" w:type="dxa"/>
            <w:vAlign w:val="bottom"/>
          </w:tcPr>
          <w:p>
            <w:pPr>
              <w:spacing w:after="0"/>
              <w:rPr>
                <w:sz w:val="1"/>
                <w:szCs w:val="1"/>
                <w:color w:val="auto"/>
              </w:rPr>
            </w:pPr>
          </w:p>
        </w:tc>
      </w:tr>
      <w:tr>
        <w:trPr>
          <w:trHeight w:val="235"/>
        </w:trPr>
        <w:tc>
          <w:tcPr>
            <w:tcW w:w="3520" w:type="dxa"/>
            <w:vAlign w:val="bottom"/>
          </w:tcPr>
          <w:p>
            <w:pPr>
              <w:ind w:left="20"/>
              <w:spacing w:after="0"/>
              <w:rPr>
                <w:sz w:val="20"/>
                <w:szCs w:val="20"/>
                <w:color w:val="auto"/>
              </w:rPr>
            </w:pPr>
            <w:r>
              <w:rPr>
                <w:rFonts w:ascii="Arial" w:cs="Arial" w:eastAsia="Arial" w:hAnsi="Arial"/>
                <w:sz w:val="14"/>
                <w:szCs w:val="14"/>
                <w:color w:val="auto"/>
              </w:rPr>
              <w:t>Daniel Skovronsky, M.D., Ph.D.</w:t>
            </w:r>
          </w:p>
        </w:tc>
        <w:tc>
          <w:tcPr>
            <w:tcW w:w="1520" w:type="dxa"/>
            <w:vAlign w:val="bottom"/>
          </w:tcPr>
          <w:p>
            <w:pPr>
              <w:jc w:val="right"/>
              <w:ind w:right="328"/>
              <w:spacing w:after="0"/>
              <w:rPr>
                <w:sz w:val="20"/>
                <w:szCs w:val="20"/>
                <w:color w:val="auto"/>
              </w:rPr>
            </w:pPr>
            <w:r>
              <w:rPr>
                <w:rFonts w:ascii="Arial" w:cs="Arial" w:eastAsia="Arial" w:hAnsi="Arial"/>
                <w:sz w:val="14"/>
                <w:szCs w:val="14"/>
                <w:color w:val="auto"/>
              </w:rPr>
              <w:t>175,587</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448"/>
              <w:spacing w:after="0"/>
              <w:rPr>
                <w:sz w:val="20"/>
                <w:szCs w:val="20"/>
                <w:color w:val="auto"/>
              </w:rPr>
            </w:pPr>
            <w:r>
              <w:rPr>
                <w:rFonts w:ascii="Arial" w:cs="Arial" w:eastAsia="Arial" w:hAnsi="Arial"/>
                <w:sz w:val="14"/>
                <w:szCs w:val="14"/>
                <w:color w:val="auto"/>
              </w:rPr>
              <w:t>9,941</w:t>
            </w:r>
          </w:p>
        </w:tc>
        <w:tc>
          <w:tcPr>
            <w:tcW w:w="0" w:type="dxa"/>
            <w:vAlign w:val="bottom"/>
          </w:tcPr>
          <w:p>
            <w:pPr>
              <w:spacing w:after="0"/>
              <w:rPr>
                <w:sz w:val="1"/>
                <w:szCs w:val="1"/>
                <w:color w:val="auto"/>
              </w:rPr>
            </w:pPr>
          </w:p>
        </w:tc>
      </w:tr>
      <w:tr>
        <w:trPr>
          <w:trHeight w:val="21"/>
        </w:trPr>
        <w:tc>
          <w:tcPr>
            <w:tcW w:w="3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Gabrielle Sulzberger</w:t>
            </w:r>
          </w:p>
        </w:tc>
        <w:tc>
          <w:tcPr>
            <w:tcW w:w="1520" w:type="dxa"/>
            <w:vAlign w:val="bottom"/>
            <w:tcBorders>
              <w:bottom w:val="single" w:sz="8" w:color="F2F2F2"/>
            </w:tcBorders>
            <w:shd w:val="clear" w:color="auto" w:fill="F2F2F2"/>
          </w:tcPr>
          <w:p>
            <w:pPr>
              <w:jc w:val="right"/>
              <w:ind w:right="3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F2F2F2"/>
            </w:tcBorders>
            <w:shd w:val="clear" w:color="auto" w:fill="F2F2F2"/>
          </w:tcPr>
          <w:p>
            <w:pPr>
              <w:jc w:val="right"/>
              <w:ind w:right="448"/>
              <w:spacing w:after="0"/>
              <w:rPr>
                <w:sz w:val="20"/>
                <w:szCs w:val="20"/>
                <w:color w:val="auto"/>
              </w:rPr>
            </w:pPr>
            <w:r>
              <w:rPr>
                <w:rFonts w:ascii="Arial" w:cs="Arial" w:eastAsia="Arial" w:hAnsi="Arial"/>
                <w:sz w:val="14"/>
                <w:szCs w:val="14"/>
                <w:color w:val="auto"/>
              </w:rPr>
              <w:t>1,614</w:t>
            </w:r>
          </w:p>
        </w:tc>
        <w:tc>
          <w:tcPr>
            <w:tcW w:w="0" w:type="dxa"/>
            <w:vAlign w:val="bottom"/>
          </w:tcPr>
          <w:p>
            <w:pPr>
              <w:spacing w:after="0"/>
              <w:rPr>
                <w:sz w:val="1"/>
                <w:szCs w:val="1"/>
                <w:color w:val="auto"/>
              </w:rPr>
            </w:pPr>
          </w:p>
        </w:tc>
      </w:tr>
      <w:tr>
        <w:trPr>
          <w:trHeight w:val="235"/>
        </w:trPr>
        <w:tc>
          <w:tcPr>
            <w:tcW w:w="3520" w:type="dxa"/>
            <w:vAlign w:val="bottom"/>
          </w:tcPr>
          <w:p>
            <w:pPr>
              <w:ind w:left="20"/>
              <w:spacing w:after="0"/>
              <w:rPr>
                <w:sz w:val="20"/>
                <w:szCs w:val="20"/>
                <w:color w:val="auto"/>
              </w:rPr>
            </w:pPr>
            <w:r>
              <w:rPr>
                <w:rFonts w:ascii="Arial" w:cs="Arial" w:eastAsia="Arial" w:hAnsi="Arial"/>
                <w:sz w:val="14"/>
                <w:szCs w:val="14"/>
                <w:color w:val="auto"/>
              </w:rPr>
              <w:t>Jackson P. Tai</w:t>
            </w:r>
          </w:p>
        </w:tc>
        <w:tc>
          <w:tcPr>
            <w:tcW w:w="1520" w:type="dxa"/>
            <w:vAlign w:val="bottom"/>
          </w:tcPr>
          <w:p>
            <w:pPr>
              <w:jc w:val="right"/>
              <w:ind w:right="328"/>
              <w:spacing w:after="0"/>
              <w:rPr>
                <w:sz w:val="20"/>
                <w:szCs w:val="20"/>
                <w:color w:val="auto"/>
              </w:rPr>
            </w:pPr>
            <w:r>
              <w:rPr>
                <w:rFonts w:ascii="Arial" w:cs="Arial" w:eastAsia="Arial" w:hAnsi="Arial"/>
                <w:sz w:val="14"/>
                <w:szCs w:val="14"/>
                <w:color w:val="auto"/>
              </w:rPr>
              <w:t>47,592</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448"/>
              <w:spacing w:after="0"/>
              <w:rPr>
                <w:sz w:val="20"/>
                <w:szCs w:val="20"/>
                <w:color w:val="auto"/>
              </w:rPr>
            </w:pPr>
            <w:r>
              <w:rPr>
                <w:rFonts w:ascii="Arial" w:cs="Arial" w:eastAsia="Arial" w:hAnsi="Arial"/>
                <w:sz w:val="14"/>
                <w:szCs w:val="14"/>
                <w:color w:val="auto"/>
              </w:rPr>
              <w:t>15,864</w:t>
            </w:r>
          </w:p>
        </w:tc>
        <w:tc>
          <w:tcPr>
            <w:tcW w:w="0" w:type="dxa"/>
            <w:vAlign w:val="bottom"/>
          </w:tcPr>
          <w:p>
            <w:pPr>
              <w:spacing w:after="0"/>
              <w:rPr>
                <w:sz w:val="1"/>
                <w:szCs w:val="1"/>
                <w:color w:val="auto"/>
              </w:rPr>
            </w:pPr>
          </w:p>
        </w:tc>
      </w:tr>
      <w:tr>
        <w:trPr>
          <w:trHeight w:val="22"/>
        </w:trPr>
        <w:tc>
          <w:tcPr>
            <w:tcW w:w="3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35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Karen Walker</w:t>
            </w:r>
          </w:p>
        </w:tc>
        <w:tc>
          <w:tcPr>
            <w:tcW w:w="1520" w:type="dxa"/>
            <w:vAlign w:val="bottom"/>
            <w:tcBorders>
              <w:bottom w:val="single" w:sz="8" w:color="F2F2F2"/>
            </w:tcBorders>
            <w:shd w:val="clear" w:color="auto" w:fill="F2F2F2"/>
          </w:tcPr>
          <w:p>
            <w:pPr>
              <w:jc w:val="right"/>
              <w:ind w:right="3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F2F2F2"/>
            </w:tcBorders>
            <w:shd w:val="clear" w:color="auto" w:fill="F2F2F2"/>
          </w:tcPr>
          <w:p>
            <w:pPr>
              <w:jc w:val="right"/>
              <w:ind w:right="448"/>
              <w:spacing w:after="0"/>
              <w:rPr>
                <w:sz w:val="20"/>
                <w:szCs w:val="20"/>
                <w:color w:val="auto"/>
              </w:rPr>
            </w:pPr>
            <w:r>
              <w:rPr>
                <w:rFonts w:ascii="Arial" w:cs="Arial" w:eastAsia="Arial" w:hAnsi="Arial"/>
                <w:sz w:val="14"/>
                <w:szCs w:val="14"/>
                <w:color w:val="auto"/>
              </w:rPr>
              <w:t>5,529</w:t>
            </w:r>
          </w:p>
        </w:tc>
        <w:tc>
          <w:tcPr>
            <w:tcW w:w="0" w:type="dxa"/>
            <w:vAlign w:val="bottom"/>
          </w:tcPr>
          <w:p>
            <w:pPr>
              <w:spacing w:after="0"/>
              <w:rPr>
                <w:sz w:val="1"/>
                <w:szCs w:val="1"/>
                <w:color w:val="auto"/>
              </w:rPr>
            </w:pPr>
          </w:p>
        </w:tc>
      </w:tr>
      <w:tr>
        <w:trPr>
          <w:trHeight w:val="187"/>
        </w:trPr>
        <w:tc>
          <w:tcPr>
            <w:tcW w:w="35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All directors and current executive officers as a</w:t>
            </w:r>
          </w:p>
        </w:tc>
        <w:tc>
          <w:tcPr>
            <w:tcW w:w="15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5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group (27 people):</w:t>
            </w:r>
          </w:p>
        </w:tc>
        <w:tc>
          <w:tcPr>
            <w:tcW w:w="15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1,212,249</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5,271</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341,071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-264795</wp:posOffset>
            </wp:positionV>
            <wp:extent cx="8890" cy="171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-239395</wp:posOffset>
            </wp:positionV>
            <wp:extent cx="889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-222250</wp:posOffset>
            </wp:positionV>
            <wp:extent cx="889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-205105</wp:posOffset>
            </wp:positionV>
            <wp:extent cx="889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-187960</wp:posOffset>
            </wp:positionV>
            <wp:extent cx="889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-170815</wp:posOffset>
            </wp:positionV>
            <wp:extent cx="889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-153670</wp:posOffset>
            </wp:positionV>
            <wp:extent cx="889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-136525</wp:posOffset>
            </wp:positionV>
            <wp:extent cx="889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-119380</wp:posOffset>
            </wp:positionV>
            <wp:extent cx="889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-102235</wp:posOffset>
            </wp:positionV>
            <wp:extent cx="889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-85090</wp:posOffset>
            </wp:positionV>
            <wp:extent cx="889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-67945</wp:posOffset>
            </wp:positionV>
            <wp:extent cx="889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-50800</wp:posOffset>
            </wp:positionV>
            <wp:extent cx="889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-33655</wp:posOffset>
            </wp:positionV>
            <wp:extent cx="889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-16510</wp:posOffset>
            </wp:positionV>
            <wp:extent cx="889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-264795</wp:posOffset>
            </wp:positionV>
            <wp:extent cx="8255" cy="171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-239395</wp:posOffset>
            </wp:positionV>
            <wp:extent cx="8255"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-222250</wp:posOffset>
            </wp:positionV>
            <wp:extent cx="8255"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-205105</wp:posOffset>
            </wp:positionV>
            <wp:extent cx="8255"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-187960</wp:posOffset>
            </wp:positionV>
            <wp:extent cx="8255"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-170815</wp:posOffset>
            </wp:positionV>
            <wp:extent cx="8255"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-153670</wp:posOffset>
            </wp:positionV>
            <wp:extent cx="8255"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-136525</wp:posOffset>
            </wp:positionV>
            <wp:extent cx="8255"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-119380</wp:posOffset>
            </wp:positionV>
            <wp:extent cx="8255"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-102235</wp:posOffset>
            </wp:positionV>
            <wp:extent cx="8255"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-85090</wp:posOffset>
            </wp:positionV>
            <wp:extent cx="8255"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-67945</wp:posOffset>
            </wp:positionV>
            <wp:extent cx="8255"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-50800</wp:posOffset>
            </wp:positionV>
            <wp:extent cx="8255"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-33655</wp:posOffset>
            </wp:positionV>
            <wp:extent cx="8255"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-16510</wp:posOffset>
            </wp:positionV>
            <wp:extent cx="8255"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-419735</wp:posOffset>
            </wp:positionV>
            <wp:extent cx="889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-402590</wp:posOffset>
            </wp:positionV>
            <wp:extent cx="889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-385445</wp:posOffset>
            </wp:positionV>
            <wp:extent cx="889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-367665</wp:posOffset>
            </wp:positionV>
            <wp:extent cx="889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-350520</wp:posOffset>
            </wp:positionV>
            <wp:extent cx="889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-334010</wp:posOffset>
            </wp:positionV>
            <wp:extent cx="889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-316865</wp:posOffset>
            </wp:positionV>
            <wp:extent cx="889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-299720</wp:posOffset>
            </wp:positionV>
            <wp:extent cx="889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-281940</wp:posOffset>
            </wp:positionV>
            <wp:extent cx="889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-419735</wp:posOffset>
            </wp:positionV>
            <wp:extent cx="8255"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-402590</wp:posOffset>
            </wp:positionV>
            <wp:extent cx="8255"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-385445</wp:posOffset>
            </wp:positionV>
            <wp:extent cx="8255"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-367665</wp:posOffset>
            </wp:positionV>
            <wp:extent cx="8255"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-350520</wp:posOffset>
            </wp:positionV>
            <wp:extent cx="8255"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-334010</wp:posOffset>
            </wp:positionV>
            <wp:extent cx="8255"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-316865</wp:posOffset>
            </wp:positionV>
            <wp:extent cx="8255"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-299720</wp:posOffset>
            </wp:positionV>
            <wp:extent cx="8255"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-281940</wp:posOffset>
            </wp:positionV>
            <wp:extent cx="8255"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-582295</wp:posOffset>
            </wp:positionV>
            <wp:extent cx="889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-565150</wp:posOffset>
            </wp:positionV>
            <wp:extent cx="889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-548005</wp:posOffset>
            </wp:positionV>
            <wp:extent cx="889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-530860</wp:posOffset>
            </wp:positionV>
            <wp:extent cx="889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-513715</wp:posOffset>
            </wp:positionV>
            <wp:extent cx="8890"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-496570</wp:posOffset>
            </wp:positionV>
            <wp:extent cx="8890"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-479425</wp:posOffset>
            </wp:positionV>
            <wp:extent cx="889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-462280</wp:posOffset>
            </wp:positionV>
            <wp:extent cx="889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-445135</wp:posOffset>
            </wp:positionV>
            <wp:extent cx="8890" cy="1714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-582295</wp:posOffset>
            </wp:positionV>
            <wp:extent cx="8255"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-565150</wp:posOffset>
            </wp:positionV>
            <wp:extent cx="8255"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-548005</wp:posOffset>
            </wp:positionV>
            <wp:extent cx="8255"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-530860</wp:posOffset>
            </wp:positionV>
            <wp:extent cx="8255"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-513715</wp:posOffset>
            </wp:positionV>
            <wp:extent cx="8255"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-496570</wp:posOffset>
            </wp:positionV>
            <wp:extent cx="8255"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-479425</wp:posOffset>
            </wp:positionV>
            <wp:extent cx="8255"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-462280</wp:posOffset>
            </wp:positionV>
            <wp:extent cx="8255"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-445135</wp:posOffset>
            </wp:positionV>
            <wp:extent cx="8255" cy="1714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-745490</wp:posOffset>
            </wp:positionV>
            <wp:extent cx="889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-728345</wp:posOffset>
            </wp:positionV>
            <wp:extent cx="889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-710565</wp:posOffset>
            </wp:positionV>
            <wp:extent cx="889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-693420</wp:posOffset>
            </wp:positionV>
            <wp:extent cx="889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-676910</wp:posOffset>
            </wp:positionV>
            <wp:extent cx="889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-659765</wp:posOffset>
            </wp:positionV>
            <wp:extent cx="889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-642620</wp:posOffset>
            </wp:positionV>
            <wp:extent cx="8890"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-624840</wp:posOffset>
            </wp:positionV>
            <wp:extent cx="889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-607695</wp:posOffset>
            </wp:positionV>
            <wp:extent cx="8890" cy="1714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-745490</wp:posOffset>
            </wp:positionV>
            <wp:extent cx="8255"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-728345</wp:posOffset>
            </wp:positionV>
            <wp:extent cx="8255"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-710565</wp:posOffset>
            </wp:positionV>
            <wp:extent cx="8255"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-693420</wp:posOffset>
            </wp:positionV>
            <wp:extent cx="8255"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-676910</wp:posOffset>
            </wp:positionV>
            <wp:extent cx="8255"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-659765</wp:posOffset>
            </wp:positionV>
            <wp:extent cx="8255"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-642620</wp:posOffset>
            </wp:positionV>
            <wp:extent cx="8255"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-624840</wp:posOffset>
            </wp:positionV>
            <wp:extent cx="8255"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-607695</wp:posOffset>
            </wp:positionV>
            <wp:extent cx="8255" cy="1714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-908050</wp:posOffset>
            </wp:positionV>
            <wp:extent cx="889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-890905</wp:posOffset>
            </wp:positionV>
            <wp:extent cx="8890"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-873760</wp:posOffset>
            </wp:positionV>
            <wp:extent cx="889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-856615</wp:posOffset>
            </wp:positionV>
            <wp:extent cx="889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-839470</wp:posOffset>
            </wp:positionV>
            <wp:extent cx="889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-822325</wp:posOffset>
            </wp:positionV>
            <wp:extent cx="889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-805180</wp:posOffset>
            </wp:positionV>
            <wp:extent cx="889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-788035</wp:posOffset>
            </wp:positionV>
            <wp:extent cx="889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-770890</wp:posOffset>
            </wp:positionV>
            <wp:extent cx="8890" cy="1714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-908050</wp:posOffset>
            </wp:positionV>
            <wp:extent cx="8255"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-890905</wp:posOffset>
            </wp:positionV>
            <wp:extent cx="8255"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-873760</wp:posOffset>
            </wp:positionV>
            <wp:extent cx="8255"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-856615</wp:posOffset>
            </wp:positionV>
            <wp:extent cx="8255"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-839470</wp:posOffset>
            </wp:positionV>
            <wp:extent cx="8255"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-822325</wp:posOffset>
            </wp:positionV>
            <wp:extent cx="8255"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-805180</wp:posOffset>
            </wp:positionV>
            <wp:extent cx="8255"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-788035</wp:posOffset>
            </wp:positionV>
            <wp:extent cx="8255"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-770890</wp:posOffset>
            </wp:positionV>
            <wp:extent cx="8255" cy="1714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-1071245</wp:posOffset>
            </wp:positionV>
            <wp:extent cx="889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-1053465</wp:posOffset>
            </wp:positionV>
            <wp:extent cx="8890"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-1036320</wp:posOffset>
            </wp:positionV>
            <wp:extent cx="889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-1019175</wp:posOffset>
            </wp:positionV>
            <wp:extent cx="8890"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-1002665</wp:posOffset>
            </wp:positionV>
            <wp:extent cx="889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-985520</wp:posOffset>
            </wp:positionV>
            <wp:extent cx="889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-967740</wp:posOffset>
            </wp:positionV>
            <wp:extent cx="889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-950595</wp:posOffset>
            </wp:positionV>
            <wp:extent cx="8890"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-933450</wp:posOffset>
            </wp:positionV>
            <wp:extent cx="8890" cy="1714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-1071245</wp:posOffset>
            </wp:positionV>
            <wp:extent cx="8255"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-1053465</wp:posOffset>
            </wp:positionV>
            <wp:extent cx="8255"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-1036320</wp:posOffset>
            </wp:positionV>
            <wp:extent cx="8255"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-1019175</wp:posOffset>
            </wp:positionV>
            <wp:extent cx="8255"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-1002665</wp:posOffset>
            </wp:positionV>
            <wp:extent cx="8255"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-985520</wp:posOffset>
            </wp:positionV>
            <wp:extent cx="8255"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-967740</wp:posOffset>
            </wp:positionV>
            <wp:extent cx="8255"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-950595</wp:posOffset>
            </wp:positionV>
            <wp:extent cx="8255"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-933450</wp:posOffset>
            </wp:positionV>
            <wp:extent cx="8255" cy="1714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-1233805</wp:posOffset>
            </wp:positionV>
            <wp:extent cx="8890"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-1216660</wp:posOffset>
            </wp:positionV>
            <wp:extent cx="889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-1199515</wp:posOffset>
            </wp:positionV>
            <wp:extent cx="889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-1182370</wp:posOffset>
            </wp:positionV>
            <wp:extent cx="8890"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-1165225</wp:posOffset>
            </wp:positionV>
            <wp:extent cx="8890"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-1148080</wp:posOffset>
            </wp:positionV>
            <wp:extent cx="8890"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-1130935</wp:posOffset>
            </wp:positionV>
            <wp:extent cx="889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-1113790</wp:posOffset>
            </wp:positionV>
            <wp:extent cx="889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-1096645</wp:posOffset>
            </wp:positionV>
            <wp:extent cx="8890" cy="1714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-1233805</wp:posOffset>
            </wp:positionV>
            <wp:extent cx="8255"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-1216660</wp:posOffset>
            </wp:positionV>
            <wp:extent cx="8255"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-1199515</wp:posOffset>
            </wp:positionV>
            <wp:extent cx="8255"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-1182370</wp:posOffset>
            </wp:positionV>
            <wp:extent cx="8255"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-1165225</wp:posOffset>
            </wp:positionV>
            <wp:extent cx="8255"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-1148080</wp:posOffset>
            </wp:positionV>
            <wp:extent cx="8255"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-1130935</wp:posOffset>
            </wp:positionV>
            <wp:extent cx="8255"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-1113790</wp:posOffset>
            </wp:positionV>
            <wp:extent cx="8255"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-1096645</wp:posOffset>
            </wp:positionV>
            <wp:extent cx="8255" cy="1714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-1396365</wp:posOffset>
            </wp:positionV>
            <wp:extent cx="8890"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-1379220</wp:posOffset>
            </wp:positionV>
            <wp:extent cx="8890"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-1362075</wp:posOffset>
            </wp:positionV>
            <wp:extent cx="8890"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-1345565</wp:posOffset>
            </wp:positionV>
            <wp:extent cx="889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-1328420</wp:posOffset>
            </wp:positionV>
            <wp:extent cx="889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-1310640</wp:posOffset>
            </wp:positionV>
            <wp:extent cx="8890"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-1293495</wp:posOffset>
            </wp:positionV>
            <wp:extent cx="8890"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-1276350</wp:posOffset>
            </wp:positionV>
            <wp:extent cx="8890"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-1259840</wp:posOffset>
            </wp:positionV>
            <wp:extent cx="8890" cy="1714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-1396365</wp:posOffset>
            </wp:positionV>
            <wp:extent cx="8255"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-1379220</wp:posOffset>
            </wp:positionV>
            <wp:extent cx="8255"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-1362075</wp:posOffset>
            </wp:positionV>
            <wp:extent cx="8255"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-1345565</wp:posOffset>
            </wp:positionV>
            <wp:extent cx="8255"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-1328420</wp:posOffset>
            </wp:positionV>
            <wp:extent cx="8255"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-1310640</wp:posOffset>
            </wp:positionV>
            <wp:extent cx="8255"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-1293495</wp:posOffset>
            </wp:positionV>
            <wp:extent cx="8255"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-1276350</wp:posOffset>
            </wp:positionV>
            <wp:extent cx="8255"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-1259840</wp:posOffset>
            </wp:positionV>
            <wp:extent cx="8255" cy="1714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-1559560</wp:posOffset>
            </wp:positionV>
            <wp:extent cx="8890"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-1542415</wp:posOffset>
            </wp:positionV>
            <wp:extent cx="889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-1525270</wp:posOffset>
            </wp:positionV>
            <wp:extent cx="889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-1508125</wp:posOffset>
            </wp:positionV>
            <wp:extent cx="8890"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-1490980</wp:posOffset>
            </wp:positionV>
            <wp:extent cx="8890"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-1473835</wp:posOffset>
            </wp:positionV>
            <wp:extent cx="889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-1456690</wp:posOffset>
            </wp:positionV>
            <wp:extent cx="889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-1439545</wp:posOffset>
            </wp:positionV>
            <wp:extent cx="8890"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-1422400</wp:posOffset>
            </wp:positionV>
            <wp:extent cx="8890" cy="1714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-1559560</wp:posOffset>
            </wp:positionV>
            <wp:extent cx="8255"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-1542415</wp:posOffset>
            </wp:positionV>
            <wp:extent cx="8255"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-1525270</wp:posOffset>
            </wp:positionV>
            <wp:extent cx="8255"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-1508125</wp:posOffset>
            </wp:positionV>
            <wp:extent cx="8255"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-1490980</wp:posOffset>
            </wp:positionV>
            <wp:extent cx="8255"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-1473835</wp:posOffset>
            </wp:positionV>
            <wp:extent cx="8255"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-1456690</wp:posOffset>
            </wp:positionV>
            <wp:extent cx="8255"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-1439545</wp:posOffset>
            </wp:positionV>
            <wp:extent cx="8255"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-1422400</wp:posOffset>
            </wp:positionV>
            <wp:extent cx="8255" cy="1714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-1722120</wp:posOffset>
            </wp:positionV>
            <wp:extent cx="8890"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-1704975</wp:posOffset>
            </wp:positionV>
            <wp:extent cx="8890"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-1687830</wp:posOffset>
            </wp:positionV>
            <wp:extent cx="8890"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-1671320</wp:posOffset>
            </wp:positionV>
            <wp:extent cx="889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-1653540</wp:posOffset>
            </wp:positionV>
            <wp:extent cx="889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-1636395</wp:posOffset>
            </wp:positionV>
            <wp:extent cx="8890"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-1619250</wp:posOffset>
            </wp:positionV>
            <wp:extent cx="8890"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-1602105</wp:posOffset>
            </wp:positionV>
            <wp:extent cx="8890"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-1585595</wp:posOffset>
            </wp:positionV>
            <wp:extent cx="8890" cy="1714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-1722120</wp:posOffset>
            </wp:positionV>
            <wp:extent cx="8255"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-1704975</wp:posOffset>
            </wp:positionV>
            <wp:extent cx="8255"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-1687830</wp:posOffset>
            </wp:positionV>
            <wp:extent cx="8255"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-1671320</wp:posOffset>
            </wp:positionV>
            <wp:extent cx="8255"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-1653540</wp:posOffset>
            </wp:positionV>
            <wp:extent cx="8255"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-1636395</wp:posOffset>
            </wp:positionV>
            <wp:extent cx="8255"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-1619250</wp:posOffset>
            </wp:positionV>
            <wp:extent cx="8255"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-1602105</wp:posOffset>
            </wp:positionV>
            <wp:extent cx="8255"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-1585595</wp:posOffset>
            </wp:positionV>
            <wp:extent cx="8255" cy="1714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-1885315</wp:posOffset>
            </wp:positionV>
            <wp:extent cx="889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-1868170</wp:posOffset>
            </wp:positionV>
            <wp:extent cx="889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-1851025</wp:posOffset>
            </wp:positionV>
            <wp:extent cx="8890"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-1833880</wp:posOffset>
            </wp:positionV>
            <wp:extent cx="8890"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-1816735</wp:posOffset>
            </wp:positionV>
            <wp:extent cx="8890"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-1799590</wp:posOffset>
            </wp:positionV>
            <wp:extent cx="889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-1782445</wp:posOffset>
            </wp:positionV>
            <wp:extent cx="889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-1765300</wp:posOffset>
            </wp:positionV>
            <wp:extent cx="8890"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-1748155</wp:posOffset>
            </wp:positionV>
            <wp:extent cx="8890" cy="1714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-1885315</wp:posOffset>
            </wp:positionV>
            <wp:extent cx="8255"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-1868170</wp:posOffset>
            </wp:positionV>
            <wp:extent cx="8255"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-1851025</wp:posOffset>
            </wp:positionV>
            <wp:extent cx="8255"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-1833880</wp:posOffset>
            </wp:positionV>
            <wp:extent cx="8255"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-1816735</wp:posOffset>
            </wp:positionV>
            <wp:extent cx="8255"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-1799590</wp:posOffset>
            </wp:positionV>
            <wp:extent cx="8255"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-1782445</wp:posOffset>
            </wp:positionV>
            <wp:extent cx="8255"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-1765300</wp:posOffset>
            </wp:positionV>
            <wp:extent cx="8255"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-1748155</wp:posOffset>
            </wp:positionV>
            <wp:extent cx="8255" cy="1714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-2048510</wp:posOffset>
            </wp:positionV>
            <wp:extent cx="889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-2030730</wp:posOffset>
            </wp:positionV>
            <wp:extent cx="8890"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-2014220</wp:posOffset>
            </wp:positionV>
            <wp:extent cx="8890"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-1996440</wp:posOffset>
            </wp:positionV>
            <wp:extent cx="8890"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-1979295</wp:posOffset>
            </wp:positionV>
            <wp:extent cx="8890"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-1962785</wp:posOffset>
            </wp:positionV>
            <wp:extent cx="889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-1945005</wp:posOffset>
            </wp:positionV>
            <wp:extent cx="8890"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-1928495</wp:posOffset>
            </wp:positionV>
            <wp:extent cx="8890"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-1910715</wp:posOffset>
            </wp:positionV>
            <wp:extent cx="8890" cy="1714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-2048510</wp:posOffset>
            </wp:positionV>
            <wp:extent cx="8255"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-2030730</wp:posOffset>
            </wp:positionV>
            <wp:extent cx="8255"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-2014220</wp:posOffset>
            </wp:positionV>
            <wp:extent cx="8255"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-1996440</wp:posOffset>
            </wp:positionV>
            <wp:extent cx="8255"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-1979295</wp:posOffset>
            </wp:positionV>
            <wp:extent cx="8255"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-1962785</wp:posOffset>
            </wp:positionV>
            <wp:extent cx="8255"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-1945005</wp:posOffset>
            </wp:positionV>
            <wp:extent cx="8255"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-1928495</wp:posOffset>
            </wp:positionV>
            <wp:extent cx="8255" cy="82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-1910715</wp:posOffset>
            </wp:positionV>
            <wp:extent cx="8255" cy="1714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-2211070</wp:posOffset>
            </wp:positionV>
            <wp:extent cx="8890"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-2193925</wp:posOffset>
            </wp:positionV>
            <wp:extent cx="8890"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-2176780</wp:posOffset>
            </wp:positionV>
            <wp:extent cx="889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-2159635</wp:posOffset>
            </wp:positionV>
            <wp:extent cx="8890"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-2142490</wp:posOffset>
            </wp:positionV>
            <wp:extent cx="8890"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-2125345</wp:posOffset>
            </wp:positionV>
            <wp:extent cx="8890" cy="82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-2108200</wp:posOffset>
            </wp:positionV>
            <wp:extent cx="8890" cy="825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-2091055</wp:posOffset>
            </wp:positionV>
            <wp:extent cx="889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-2073910</wp:posOffset>
            </wp:positionV>
            <wp:extent cx="8890" cy="1714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-2211070</wp:posOffset>
            </wp:positionV>
            <wp:extent cx="8255" cy="82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-2193925</wp:posOffset>
            </wp:positionV>
            <wp:extent cx="8255"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-2176780</wp:posOffset>
            </wp:positionV>
            <wp:extent cx="8255"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-2159635</wp:posOffset>
            </wp:positionV>
            <wp:extent cx="8255"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-2142490</wp:posOffset>
            </wp:positionV>
            <wp:extent cx="8255"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-2125345</wp:posOffset>
            </wp:positionV>
            <wp:extent cx="8255" cy="825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-2108200</wp:posOffset>
            </wp:positionV>
            <wp:extent cx="8255" cy="82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-2091055</wp:posOffset>
            </wp:positionV>
            <wp:extent cx="8255"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-2073910</wp:posOffset>
            </wp:positionV>
            <wp:extent cx="8255" cy="1714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-2373630</wp:posOffset>
            </wp:positionV>
            <wp:extent cx="8890"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-2357120</wp:posOffset>
            </wp:positionV>
            <wp:extent cx="8890" cy="825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-2339340</wp:posOffset>
            </wp:positionV>
            <wp:extent cx="8890" cy="825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-2322195</wp:posOffset>
            </wp:positionV>
            <wp:extent cx="8890" cy="82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-2305685</wp:posOffset>
            </wp:positionV>
            <wp:extent cx="889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-2287905</wp:posOffset>
            </wp:positionV>
            <wp:extent cx="8890" cy="82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-2271395</wp:posOffset>
            </wp:positionV>
            <wp:extent cx="8890" cy="82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-2253615</wp:posOffset>
            </wp:positionV>
            <wp:extent cx="8890" cy="825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-2236470</wp:posOffset>
            </wp:positionV>
            <wp:extent cx="8890" cy="1714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-2373630</wp:posOffset>
            </wp:positionV>
            <wp:extent cx="8255"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-2357120</wp:posOffset>
            </wp:positionV>
            <wp:extent cx="8255"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-2339340</wp:posOffset>
            </wp:positionV>
            <wp:extent cx="8255"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-2322195</wp:posOffset>
            </wp:positionV>
            <wp:extent cx="8255"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-2305685</wp:posOffset>
            </wp:positionV>
            <wp:extent cx="8255"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-2287905</wp:posOffset>
            </wp:positionV>
            <wp:extent cx="8255" cy="82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-2271395</wp:posOffset>
            </wp:positionV>
            <wp:extent cx="8255"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-2253615</wp:posOffset>
            </wp:positionV>
            <wp:extent cx="8255" cy="82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-2236470</wp:posOffset>
            </wp:positionV>
            <wp:extent cx="8255" cy="1714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-2536825</wp:posOffset>
            </wp:positionV>
            <wp:extent cx="8890"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-2519680</wp:posOffset>
            </wp:positionV>
            <wp:extent cx="8890"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-2502535</wp:posOffset>
            </wp:positionV>
            <wp:extent cx="8890"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-2485390</wp:posOffset>
            </wp:positionV>
            <wp:extent cx="8890"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-2468245</wp:posOffset>
            </wp:positionV>
            <wp:extent cx="8890"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-2451100</wp:posOffset>
            </wp:positionV>
            <wp:extent cx="8890"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-2433955</wp:posOffset>
            </wp:positionV>
            <wp:extent cx="889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-2416810</wp:posOffset>
            </wp:positionV>
            <wp:extent cx="8890" cy="82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-2399665</wp:posOffset>
            </wp:positionV>
            <wp:extent cx="8890" cy="1714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-2536825</wp:posOffset>
            </wp:positionV>
            <wp:extent cx="8255"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-2519680</wp:posOffset>
            </wp:positionV>
            <wp:extent cx="8255"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-2502535</wp:posOffset>
            </wp:positionV>
            <wp:extent cx="8255"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-2485390</wp:posOffset>
            </wp:positionV>
            <wp:extent cx="8255"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-2468245</wp:posOffset>
            </wp:positionV>
            <wp:extent cx="8255" cy="82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-2451100</wp:posOffset>
            </wp:positionV>
            <wp:extent cx="8255" cy="825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-2433955</wp:posOffset>
            </wp:positionV>
            <wp:extent cx="8255"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-2416810</wp:posOffset>
            </wp:positionV>
            <wp:extent cx="8255" cy="82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-2399665</wp:posOffset>
            </wp:positionV>
            <wp:extent cx="8255" cy="1714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-2700020</wp:posOffset>
            </wp:positionV>
            <wp:extent cx="889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-2682240</wp:posOffset>
            </wp:positionV>
            <wp:extent cx="8890" cy="825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-2665095</wp:posOffset>
            </wp:positionV>
            <wp:extent cx="8890"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-2647950</wp:posOffset>
            </wp:positionV>
            <wp:extent cx="8890"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-2630805</wp:posOffset>
            </wp:positionV>
            <wp:extent cx="8890" cy="825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-2614295</wp:posOffset>
            </wp:positionV>
            <wp:extent cx="889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-2596515</wp:posOffset>
            </wp:positionV>
            <wp:extent cx="8890" cy="825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-2579370</wp:posOffset>
            </wp:positionV>
            <wp:extent cx="8890" cy="82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-2562225</wp:posOffset>
            </wp:positionV>
            <wp:extent cx="8890" cy="1714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-2700020</wp:posOffset>
            </wp:positionV>
            <wp:extent cx="8255"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-2682240</wp:posOffset>
            </wp:positionV>
            <wp:extent cx="8255" cy="825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-2665095</wp:posOffset>
            </wp:positionV>
            <wp:extent cx="8255"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-2647950</wp:posOffset>
            </wp:positionV>
            <wp:extent cx="8255" cy="82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-2630805</wp:posOffset>
            </wp:positionV>
            <wp:extent cx="8255" cy="82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-2614295</wp:posOffset>
            </wp:positionV>
            <wp:extent cx="8255"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-2596515</wp:posOffset>
            </wp:positionV>
            <wp:extent cx="8255" cy="825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-2579370</wp:posOffset>
            </wp:positionV>
            <wp:extent cx="8255" cy="82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-2562225</wp:posOffset>
            </wp:positionV>
            <wp:extent cx="8255" cy="1714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-2862580</wp:posOffset>
            </wp:positionV>
            <wp:extent cx="8890" cy="825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-2845435</wp:posOffset>
            </wp:positionV>
            <wp:extent cx="8890" cy="825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-2828290</wp:posOffset>
            </wp:positionV>
            <wp:extent cx="889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-2811145</wp:posOffset>
            </wp:positionV>
            <wp:extent cx="8890"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-2794000</wp:posOffset>
            </wp:positionV>
            <wp:extent cx="8890" cy="825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-2776855</wp:posOffset>
            </wp:positionV>
            <wp:extent cx="8890" cy="825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-2759710</wp:posOffset>
            </wp:positionV>
            <wp:extent cx="8890" cy="825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-2742565</wp:posOffset>
            </wp:positionV>
            <wp:extent cx="889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-2725420</wp:posOffset>
            </wp:positionV>
            <wp:extent cx="8890" cy="1714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-2862580</wp:posOffset>
            </wp:positionV>
            <wp:extent cx="8255" cy="825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-2845435</wp:posOffset>
            </wp:positionV>
            <wp:extent cx="8255" cy="825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-2828290</wp:posOffset>
            </wp:positionV>
            <wp:extent cx="8255"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-2811145</wp:posOffset>
            </wp:positionV>
            <wp:extent cx="8255" cy="825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-2794000</wp:posOffset>
            </wp:positionV>
            <wp:extent cx="8255" cy="82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-2776855</wp:posOffset>
            </wp:positionV>
            <wp:extent cx="8255"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-2759710</wp:posOffset>
            </wp:positionV>
            <wp:extent cx="8255" cy="825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-2742565</wp:posOffset>
            </wp:positionV>
            <wp:extent cx="8255"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-2725420</wp:posOffset>
            </wp:positionV>
            <wp:extent cx="8255" cy="1714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-3034030</wp:posOffset>
            </wp:positionV>
            <wp:extent cx="8890" cy="1714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-3007995</wp:posOffset>
            </wp:positionV>
            <wp:extent cx="8890" cy="825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-2990850</wp:posOffset>
            </wp:positionV>
            <wp:extent cx="8890" cy="825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-2973705</wp:posOffset>
            </wp:positionV>
            <wp:extent cx="8890" cy="825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-2957195</wp:posOffset>
            </wp:positionV>
            <wp:extent cx="889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-2939415</wp:posOffset>
            </wp:positionV>
            <wp:extent cx="8890" cy="825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-2922270</wp:posOffset>
            </wp:positionV>
            <wp:extent cx="8890" cy="82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-2905125</wp:posOffset>
            </wp:positionV>
            <wp:extent cx="8890" cy="825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-2887980</wp:posOffset>
            </wp:positionV>
            <wp:extent cx="8890" cy="1714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-3034030</wp:posOffset>
            </wp:positionV>
            <wp:extent cx="8255" cy="1714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-3007995</wp:posOffset>
            </wp:positionV>
            <wp:extent cx="8255" cy="825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-2990850</wp:posOffset>
            </wp:positionV>
            <wp:extent cx="8255" cy="825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-2973705</wp:posOffset>
            </wp:positionV>
            <wp:extent cx="8255" cy="825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-2957195</wp:posOffset>
            </wp:positionV>
            <wp:extent cx="8255"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-2939415</wp:posOffset>
            </wp:positionV>
            <wp:extent cx="8255" cy="82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-2922270</wp:posOffset>
            </wp:positionV>
            <wp:extent cx="8255" cy="825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-2905125</wp:posOffset>
            </wp:positionV>
            <wp:extent cx="8255" cy="82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-2887980</wp:posOffset>
            </wp:positionV>
            <wp:extent cx="8255" cy="1714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-3411220</wp:posOffset>
            </wp:positionV>
            <wp:extent cx="8890" cy="825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-3394075</wp:posOffset>
            </wp:positionV>
            <wp:extent cx="8890" cy="825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-3376930</wp:posOffset>
            </wp:positionV>
            <wp:extent cx="8890" cy="82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-3359785</wp:posOffset>
            </wp:positionV>
            <wp:extent cx="8890" cy="825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-3342640</wp:posOffset>
            </wp:positionV>
            <wp:extent cx="889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-3325495</wp:posOffset>
            </wp:positionV>
            <wp:extent cx="8890" cy="825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-3308350</wp:posOffset>
            </wp:positionV>
            <wp:extent cx="8890" cy="825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-3291205</wp:posOffset>
            </wp:positionV>
            <wp:extent cx="8890" cy="825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-3274060</wp:posOffset>
            </wp:positionV>
            <wp:extent cx="8890" cy="825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-3256915</wp:posOffset>
            </wp:positionV>
            <wp:extent cx="889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-3239770</wp:posOffset>
            </wp:positionV>
            <wp:extent cx="8890" cy="82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-3222625</wp:posOffset>
            </wp:positionV>
            <wp:extent cx="8890" cy="825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-3205480</wp:posOffset>
            </wp:positionV>
            <wp:extent cx="8890" cy="825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-3188335</wp:posOffset>
            </wp:positionV>
            <wp:extent cx="8890" cy="825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-3171190</wp:posOffset>
            </wp:positionV>
            <wp:extent cx="889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-3154045</wp:posOffset>
            </wp:positionV>
            <wp:extent cx="8890" cy="825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-3136900</wp:posOffset>
            </wp:positionV>
            <wp:extent cx="8890" cy="825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-3119755</wp:posOffset>
            </wp:positionV>
            <wp:extent cx="8890" cy="825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-3102610</wp:posOffset>
            </wp:positionV>
            <wp:extent cx="8890" cy="825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-3085465</wp:posOffset>
            </wp:positionV>
            <wp:extent cx="889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-3068320</wp:posOffset>
            </wp:positionV>
            <wp:extent cx="8890" cy="825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-3051175</wp:posOffset>
            </wp:positionV>
            <wp:extent cx="8890" cy="825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-3411220</wp:posOffset>
            </wp:positionV>
            <wp:extent cx="8255" cy="825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-3394075</wp:posOffset>
            </wp:positionV>
            <wp:extent cx="8255"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-3376930</wp:posOffset>
            </wp:positionV>
            <wp:extent cx="8255" cy="825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-3359785</wp:posOffset>
            </wp:positionV>
            <wp:extent cx="8255" cy="825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-3342640</wp:posOffset>
            </wp:positionV>
            <wp:extent cx="8255"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-3325495</wp:posOffset>
            </wp:positionV>
            <wp:extent cx="8255" cy="825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-3308350</wp:posOffset>
            </wp:positionV>
            <wp:extent cx="8255" cy="825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-3291205</wp:posOffset>
            </wp:positionV>
            <wp:extent cx="8255" cy="825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-3274060</wp:posOffset>
            </wp:positionV>
            <wp:extent cx="8255" cy="825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-3256915</wp:posOffset>
            </wp:positionV>
            <wp:extent cx="8255"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-3239770</wp:posOffset>
            </wp:positionV>
            <wp:extent cx="8255" cy="825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-3222625</wp:posOffset>
            </wp:positionV>
            <wp:extent cx="8255" cy="825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-3205480</wp:posOffset>
            </wp:positionV>
            <wp:extent cx="8255" cy="825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-3188335</wp:posOffset>
            </wp:positionV>
            <wp:extent cx="8255" cy="825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-3171190</wp:posOffset>
            </wp:positionV>
            <wp:extent cx="8255"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-3154045</wp:posOffset>
            </wp:positionV>
            <wp:extent cx="8255" cy="825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-3136900</wp:posOffset>
            </wp:positionV>
            <wp:extent cx="8255" cy="825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-3119755</wp:posOffset>
            </wp:positionV>
            <wp:extent cx="8255" cy="825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-3102610</wp:posOffset>
            </wp:positionV>
            <wp:extent cx="8255" cy="825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-3085465</wp:posOffset>
            </wp:positionV>
            <wp:extent cx="8255"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-3068320</wp:posOffset>
            </wp:positionV>
            <wp:extent cx="8255" cy="825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-3051175</wp:posOffset>
            </wp:positionV>
            <wp:extent cx="8255" cy="825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 Less than 1.0 percent of the outstanding common stock of the company.</w:t>
      </w:r>
    </w:p>
    <w:p>
      <w:pPr>
        <w:spacing w:after="0" w:line="69" w:lineRule="exact"/>
        <w:rPr>
          <w:sz w:val="20"/>
          <w:szCs w:val="20"/>
          <w:color w:val="auto"/>
        </w:rPr>
      </w:pPr>
    </w:p>
    <w:p>
      <w:pPr>
        <w:jc w:val="both"/>
        <w:ind w:left="80" w:right="180" w:hanging="72"/>
        <w:spacing w:after="0" w:line="222" w:lineRule="auto"/>
        <w:tabs>
          <w:tab w:leader="none" w:pos="91" w:val="left"/>
        </w:tabs>
        <w:numPr>
          <w:ilvl w:val="0"/>
          <w:numId w:val="113"/>
        </w:numPr>
        <w:rPr>
          <w:rFonts w:ascii="Arial" w:cs="Arial" w:eastAsia="Arial" w:hAnsi="Arial"/>
          <w:sz w:val="19"/>
          <w:szCs w:val="19"/>
          <w:color w:val="auto"/>
          <w:vertAlign w:val="superscript"/>
        </w:rPr>
      </w:pPr>
      <w:r>
        <w:rPr>
          <w:rFonts w:ascii="Arial" w:cs="Arial" w:eastAsia="Arial" w:hAnsi="Arial"/>
          <w:sz w:val="14"/>
          <w:szCs w:val="14"/>
          <w:color w:val="auto"/>
        </w:rPr>
        <w:t>The sum of the “Shares Owned” and “Stock Units Distributable Within 60 Days” columns represents the shares considered “beneficially owned” for purposes of disclosure in this proxy statement. Unless otherwise indicated in a footnote, each person listed in the table possesses sole voting and sole investment power with respect to their shares.</w:t>
      </w:r>
    </w:p>
    <w:p>
      <w:pPr>
        <w:spacing w:after="0" w:line="40" w:lineRule="exact"/>
        <w:rPr>
          <w:sz w:val="20"/>
          <w:szCs w:val="20"/>
          <w:color w:val="auto"/>
        </w:rPr>
      </w:pPr>
    </w:p>
    <w:p>
      <w:pPr>
        <w:ind w:left="80" w:right="360" w:hanging="72"/>
        <w:spacing w:after="0" w:line="300" w:lineRule="auto"/>
        <w:tabs>
          <w:tab w:leader="none" w:pos="91" w:val="left"/>
        </w:tabs>
        <w:numPr>
          <w:ilvl w:val="0"/>
          <w:numId w:val="114"/>
        </w:numPr>
        <w:rPr>
          <w:rFonts w:ascii="Arial" w:cs="Arial" w:eastAsia="Arial" w:hAnsi="Arial"/>
          <w:sz w:val="9"/>
          <w:szCs w:val="9"/>
          <w:color w:val="auto"/>
        </w:rPr>
      </w:pPr>
      <w:r>
        <w:rPr>
          <w:rFonts w:ascii="Arial" w:cs="Arial" w:eastAsia="Arial" w:hAnsi="Arial"/>
          <w:sz w:val="14"/>
          <w:szCs w:val="14"/>
          <w:color w:val="auto"/>
        </w:rPr>
        <w:t>This column includes the number of shares of common stock held directly or indirectly, including the number of 401(k) Plan shares held by the beneficial owners indirectly through the 401(k) Plan.</w:t>
      </w:r>
    </w:p>
    <w:p>
      <w:pPr>
        <w:ind w:left="100" w:hanging="92"/>
        <w:spacing w:after="0" w:line="211" w:lineRule="auto"/>
        <w:tabs>
          <w:tab w:leader="none" w:pos="100" w:val="left"/>
        </w:tabs>
        <w:numPr>
          <w:ilvl w:val="0"/>
          <w:numId w:val="115"/>
        </w:numPr>
        <w:rPr>
          <w:rFonts w:ascii="Arial" w:cs="Arial" w:eastAsia="Arial" w:hAnsi="Arial"/>
          <w:sz w:val="19"/>
          <w:szCs w:val="19"/>
          <w:color w:val="auto"/>
          <w:vertAlign w:val="superscript"/>
        </w:rPr>
      </w:pPr>
      <w:r>
        <w:rPr>
          <w:rFonts w:ascii="Arial" w:cs="Arial" w:eastAsia="Arial" w:hAnsi="Arial"/>
          <w:sz w:val="14"/>
          <w:szCs w:val="14"/>
          <w:color w:val="auto"/>
        </w:rPr>
        <w:t>This column sets forth restricted stock units that vest within 60 days of February 21, 2023.</w:t>
      </w:r>
    </w:p>
    <w:p>
      <w:pPr>
        <w:spacing w:after="0" w:line="46" w:lineRule="exact"/>
        <w:rPr>
          <w:sz w:val="20"/>
          <w:szCs w:val="20"/>
          <w:color w:val="auto"/>
        </w:rPr>
      </w:pPr>
    </w:p>
    <w:p>
      <w:pPr>
        <w:ind w:left="80" w:right="80" w:hanging="72"/>
        <w:spacing w:after="0" w:line="219" w:lineRule="auto"/>
        <w:tabs>
          <w:tab w:leader="none" w:pos="91" w:val="left"/>
        </w:tabs>
        <w:numPr>
          <w:ilvl w:val="0"/>
          <w:numId w:val="116"/>
        </w:numPr>
        <w:rPr>
          <w:rFonts w:ascii="Arial" w:cs="Arial" w:eastAsia="Arial" w:hAnsi="Arial"/>
          <w:sz w:val="19"/>
          <w:szCs w:val="19"/>
          <w:color w:val="auto"/>
          <w:vertAlign w:val="superscript"/>
        </w:rPr>
      </w:pPr>
      <w:r>
        <w:rPr>
          <w:rFonts w:ascii="Arial" w:cs="Arial" w:eastAsia="Arial" w:hAnsi="Arial"/>
          <w:sz w:val="14"/>
          <w:szCs w:val="14"/>
          <w:color w:val="auto"/>
        </w:rPr>
        <w:t>For the executive officers, this column reflects restricted stock units that will not vest within 60 days of February 21, 2023. For the non-employee directors, this column reflects the number of units representing the right to receive shares of company stock credited to the directors’ accounts in the Lilly Directors’ Deferral Plan.</w:t>
      </w:r>
    </w:p>
    <w:p>
      <w:pPr>
        <w:spacing w:after="0" w:line="40" w:lineRule="exact"/>
        <w:rPr>
          <w:sz w:val="20"/>
          <w:szCs w:val="20"/>
          <w:color w:val="auto"/>
        </w:rPr>
      </w:pPr>
    </w:p>
    <w:p>
      <w:pPr>
        <w:ind w:left="80" w:right="600" w:hanging="72"/>
        <w:spacing w:after="0" w:line="305" w:lineRule="auto"/>
        <w:tabs>
          <w:tab w:leader="none" w:pos="91" w:val="left"/>
        </w:tabs>
        <w:numPr>
          <w:ilvl w:val="0"/>
          <w:numId w:val="117"/>
        </w:numPr>
        <w:rPr>
          <w:rFonts w:ascii="Arial" w:cs="Arial" w:eastAsia="Arial" w:hAnsi="Arial"/>
          <w:sz w:val="9"/>
          <w:szCs w:val="9"/>
          <w:color w:val="auto"/>
        </w:rPr>
      </w:pPr>
      <w:r>
        <w:rPr>
          <w:rFonts w:ascii="Arial" w:cs="Arial" w:eastAsia="Arial" w:hAnsi="Arial"/>
          <w:sz w:val="14"/>
          <w:szCs w:val="14"/>
          <w:color w:val="auto"/>
        </w:rPr>
        <w:t>The shares shown for Mr. Ricks include 55,497 shares that are owned by a family foundation for which he is a director. Mr. Ricks has shared voting power and shared investment power with respect to the shares held by the foundation.</w:t>
      </w:r>
    </w:p>
    <w:p>
      <w:pPr>
        <w:spacing w:after="0" w:line="89"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Common Stock Ownership of Certain Beneficial Holders</w:t>
      </w:r>
    </w:p>
    <w:p>
      <w:pPr>
        <w:spacing w:after="0" w:line="69" w:lineRule="exact"/>
        <w:rPr>
          <w:sz w:val="20"/>
          <w:szCs w:val="20"/>
          <w:color w:val="auto"/>
        </w:rPr>
      </w:pPr>
    </w:p>
    <w:p>
      <w:pPr>
        <w:jc w:val="both"/>
        <w:ind w:right="740"/>
        <w:spacing w:after="0" w:line="268" w:lineRule="auto"/>
        <w:rPr>
          <w:sz w:val="20"/>
          <w:szCs w:val="20"/>
          <w:color w:val="auto"/>
        </w:rPr>
      </w:pPr>
      <w:r>
        <w:rPr>
          <w:rFonts w:ascii="Arial" w:cs="Arial" w:eastAsia="Arial" w:hAnsi="Arial"/>
          <w:sz w:val="18"/>
          <w:szCs w:val="18"/>
          <w:color w:val="auto"/>
        </w:rPr>
        <w:t>The following table sets forth the number of shares of company common stock beneficially owned as of December 31, 2022, unless otherwise indicated, by each person known to the company to beneficially own more than 5 percent of the outstanding shares of the company’s common stock:</w:t>
      </w:r>
    </w:p>
    <w:p>
      <w:pPr>
        <w:sectPr>
          <w:pgSz w:w="11900" w:h="16838" w:orient="portrait"/>
          <w:cols w:equalWidth="0" w:num="1">
            <w:col w:w="11220"/>
          </w:cols>
          <w:pgMar w:left="320" w:top="1125" w:right="35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5" w:right="359" w:bottom="144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162"/>
        </w:trPr>
        <w:tc>
          <w:tcPr>
            <w:tcW w:w="2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00" w:type="dxa"/>
            <w:vAlign w:val="bottom"/>
          </w:tcPr>
          <w:p>
            <w:pPr>
              <w:ind w:left="300"/>
              <w:spacing w:after="0"/>
              <w:rPr>
                <w:sz w:val="20"/>
                <w:szCs w:val="20"/>
                <w:color w:val="auto"/>
              </w:rPr>
            </w:pPr>
            <w:r>
              <w:rPr>
                <w:rFonts w:ascii="Arial" w:cs="Arial" w:eastAsia="Arial" w:hAnsi="Arial"/>
                <w:sz w:val="14"/>
                <w:szCs w:val="14"/>
                <w:b w:val="1"/>
                <w:bCs w:val="1"/>
                <w:color w:val="auto"/>
              </w:rPr>
              <w:t>Number of Shares</w:t>
            </w:r>
          </w:p>
        </w:tc>
        <w:tc>
          <w:tcPr>
            <w:tcW w:w="200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Percent of Class</w:t>
            </w:r>
            <w:r>
              <w:rPr>
                <w:rFonts w:ascii="Arial" w:cs="Arial" w:eastAsia="Arial" w:hAnsi="Arial"/>
                <w:sz w:val="18"/>
                <w:szCs w:val="18"/>
                <w:b w:val="1"/>
                <w:bCs w:val="1"/>
                <w:color w:val="auto"/>
                <w:vertAlign w:val="superscript"/>
              </w:rPr>
              <w:t>*</w:t>
            </w:r>
          </w:p>
        </w:tc>
        <w:tc>
          <w:tcPr>
            <w:tcW w:w="0" w:type="dxa"/>
            <w:vAlign w:val="bottom"/>
          </w:tcPr>
          <w:p>
            <w:pPr>
              <w:spacing w:after="0"/>
              <w:rPr>
                <w:sz w:val="1"/>
                <w:szCs w:val="1"/>
                <w:color w:val="auto"/>
              </w:rPr>
            </w:pPr>
          </w:p>
        </w:tc>
      </w:tr>
      <w:tr>
        <w:trPr>
          <w:trHeight w:val="219"/>
        </w:trPr>
        <w:tc>
          <w:tcPr>
            <w:tcW w:w="256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Name and Address</w:t>
            </w:r>
          </w:p>
        </w:tc>
        <w:tc>
          <w:tcPr>
            <w:tcW w:w="4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Beneficially Owned</w:t>
            </w:r>
          </w:p>
        </w:tc>
        <w:tc>
          <w:tcPr>
            <w:tcW w:w="2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560" w:type="dxa"/>
            <w:vAlign w:val="bottom"/>
            <w:shd w:val="clear" w:color="auto" w:fill="F2F2F2"/>
          </w:tcPr>
          <w:p>
            <w:pPr>
              <w:ind w:left="20"/>
              <w:spacing w:after="0"/>
              <w:rPr>
                <w:sz w:val="20"/>
                <w:szCs w:val="20"/>
                <w:color w:val="auto"/>
              </w:rPr>
            </w:pPr>
            <w:r>
              <w:rPr>
                <w:rFonts w:ascii="Arial" w:cs="Arial" w:eastAsia="Arial" w:hAnsi="Arial"/>
                <w:sz w:val="14"/>
                <w:szCs w:val="14"/>
                <w:color w:val="auto"/>
              </w:rPr>
              <w:t>Lilly Endowment Inc. (the Endowment)</w:t>
            </w:r>
          </w:p>
        </w:tc>
        <w:tc>
          <w:tcPr>
            <w:tcW w:w="400" w:type="dxa"/>
            <w:vAlign w:val="bottom"/>
            <w:shd w:val="clear" w:color="auto" w:fill="F2F2F2"/>
          </w:tcPr>
          <w:p>
            <w:pPr>
              <w:jc w:val="right"/>
              <w:ind w:right="213"/>
              <w:spacing w:after="0"/>
              <w:rPr>
                <w:sz w:val="20"/>
                <w:szCs w:val="20"/>
                <w:color w:val="auto"/>
              </w:rPr>
            </w:pPr>
            <w:r>
              <w:rPr>
                <w:rFonts w:ascii="Arial" w:cs="Arial" w:eastAsia="Arial" w:hAnsi="Arial"/>
                <w:sz w:val="9"/>
                <w:szCs w:val="9"/>
                <w:color w:val="auto"/>
              </w:rPr>
              <w:t>1</w:t>
            </w:r>
          </w:p>
        </w:tc>
        <w:tc>
          <w:tcPr>
            <w:tcW w:w="2100" w:type="dxa"/>
            <w:vAlign w:val="bottom"/>
            <w:shd w:val="clear" w:color="auto" w:fill="F2F2F2"/>
          </w:tcPr>
          <w:p>
            <w:pPr>
              <w:jc w:val="center"/>
              <w:ind w:right="148"/>
              <w:spacing w:after="0"/>
              <w:rPr>
                <w:sz w:val="20"/>
                <w:szCs w:val="20"/>
                <w:color w:val="auto"/>
              </w:rPr>
            </w:pPr>
            <w:r>
              <w:rPr>
                <w:rFonts w:ascii="Arial" w:cs="Arial" w:eastAsia="Arial" w:hAnsi="Arial"/>
                <w:sz w:val="14"/>
                <w:szCs w:val="14"/>
                <w:color w:val="auto"/>
              </w:rPr>
              <w:t>102,948,810</w:t>
            </w:r>
          </w:p>
        </w:tc>
        <w:tc>
          <w:tcPr>
            <w:tcW w:w="2000" w:type="dxa"/>
            <w:vAlign w:val="bottom"/>
            <w:shd w:val="clear" w:color="auto" w:fill="F2F2F2"/>
          </w:tcPr>
          <w:p>
            <w:pPr>
              <w:jc w:val="center"/>
              <w:ind w:left="128"/>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76"/>
        </w:trPr>
        <w:tc>
          <w:tcPr>
            <w:tcW w:w="2560" w:type="dxa"/>
            <w:vAlign w:val="bottom"/>
            <w:shd w:val="clear" w:color="auto" w:fill="F2F2F2"/>
          </w:tcPr>
          <w:p>
            <w:pPr>
              <w:ind w:left="20"/>
              <w:spacing w:after="0"/>
              <w:rPr>
                <w:sz w:val="20"/>
                <w:szCs w:val="20"/>
                <w:color w:val="auto"/>
              </w:rPr>
            </w:pPr>
            <w:r>
              <w:rPr>
                <w:rFonts w:ascii="Arial" w:cs="Arial" w:eastAsia="Arial" w:hAnsi="Arial"/>
                <w:sz w:val="14"/>
                <w:szCs w:val="14"/>
                <w:color w:val="auto"/>
              </w:rPr>
              <w:t>2801 North Meridian Street</w:t>
            </w:r>
          </w:p>
        </w:tc>
        <w:tc>
          <w:tcPr>
            <w:tcW w:w="400" w:type="dxa"/>
            <w:vAlign w:val="bottom"/>
            <w:shd w:val="clear" w:color="auto" w:fill="F2F2F2"/>
          </w:tcPr>
          <w:p>
            <w:pPr>
              <w:spacing w:after="0"/>
              <w:rPr>
                <w:sz w:val="15"/>
                <w:szCs w:val="15"/>
                <w:color w:val="auto"/>
              </w:rPr>
            </w:pPr>
          </w:p>
        </w:tc>
        <w:tc>
          <w:tcPr>
            <w:tcW w:w="2100" w:type="dxa"/>
            <w:vAlign w:val="bottom"/>
            <w:shd w:val="clear" w:color="auto" w:fill="F2F2F2"/>
          </w:tcPr>
          <w:p>
            <w:pPr>
              <w:spacing w:after="0"/>
              <w:rPr>
                <w:sz w:val="15"/>
                <w:szCs w:val="15"/>
                <w:color w:val="auto"/>
              </w:rPr>
            </w:pPr>
          </w:p>
        </w:tc>
        <w:tc>
          <w:tcPr>
            <w:tcW w:w="200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Indianapolis, IN 46208</w:t>
            </w:r>
          </w:p>
        </w:tc>
        <w:tc>
          <w:tcPr>
            <w:tcW w:w="400" w:type="dxa"/>
            <w:vAlign w:val="bottom"/>
            <w:tcBorders>
              <w:bottom w:val="single" w:sz="8" w:color="F2F2F2"/>
            </w:tcBorders>
            <w:shd w:val="clear" w:color="auto" w:fill="F2F2F2"/>
          </w:tcPr>
          <w:p>
            <w:pPr>
              <w:spacing w:after="0"/>
              <w:rPr>
                <w:sz w:val="17"/>
                <w:szCs w:val="17"/>
                <w:color w:val="auto"/>
              </w:rPr>
            </w:pPr>
          </w:p>
        </w:tc>
        <w:tc>
          <w:tcPr>
            <w:tcW w:w="2100" w:type="dxa"/>
            <w:vAlign w:val="bottom"/>
            <w:tcBorders>
              <w:bottom w:val="single" w:sz="8" w:color="F2F2F2"/>
            </w:tcBorders>
            <w:shd w:val="clear" w:color="auto" w:fill="F2F2F2"/>
          </w:tcPr>
          <w:p>
            <w:pPr>
              <w:spacing w:after="0"/>
              <w:rPr>
                <w:sz w:val="17"/>
                <w:szCs w:val="17"/>
                <w:color w:val="auto"/>
              </w:rPr>
            </w:pPr>
          </w:p>
        </w:tc>
        <w:tc>
          <w:tcPr>
            <w:tcW w:w="2000" w:type="dxa"/>
            <w:vAlign w:val="bottom"/>
            <w:tcBorders>
              <w:bottom w:val="single" w:sz="8" w:color="F2F2F2"/>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560" w:type="dxa"/>
            <w:vAlign w:val="bottom"/>
          </w:tcPr>
          <w:p>
            <w:pPr>
              <w:ind w:left="20"/>
              <w:spacing w:after="0"/>
              <w:rPr>
                <w:sz w:val="20"/>
                <w:szCs w:val="20"/>
                <w:color w:val="auto"/>
              </w:rPr>
            </w:pPr>
            <w:r>
              <w:rPr>
                <w:rFonts w:ascii="Arial" w:cs="Arial" w:eastAsia="Arial" w:hAnsi="Arial"/>
                <w:sz w:val="14"/>
                <w:szCs w:val="14"/>
                <w:color w:val="auto"/>
              </w:rPr>
              <w:t>The Vanguard Group</w:t>
            </w:r>
          </w:p>
        </w:tc>
        <w:tc>
          <w:tcPr>
            <w:tcW w:w="400" w:type="dxa"/>
            <w:vAlign w:val="bottom"/>
          </w:tcPr>
          <w:p>
            <w:pPr>
              <w:jc w:val="right"/>
              <w:ind w:right="213"/>
              <w:spacing w:after="0"/>
              <w:rPr>
                <w:sz w:val="20"/>
                <w:szCs w:val="20"/>
                <w:color w:val="auto"/>
              </w:rPr>
            </w:pPr>
            <w:r>
              <w:rPr>
                <w:rFonts w:ascii="Arial" w:cs="Arial" w:eastAsia="Arial" w:hAnsi="Arial"/>
                <w:sz w:val="9"/>
                <w:szCs w:val="9"/>
                <w:color w:val="auto"/>
              </w:rPr>
              <w:t>2</w:t>
            </w:r>
          </w:p>
        </w:tc>
        <w:tc>
          <w:tcPr>
            <w:tcW w:w="2100" w:type="dxa"/>
            <w:vAlign w:val="bottom"/>
          </w:tcPr>
          <w:p>
            <w:pPr>
              <w:jc w:val="center"/>
              <w:ind w:right="148"/>
              <w:spacing w:after="0"/>
              <w:rPr>
                <w:sz w:val="20"/>
                <w:szCs w:val="20"/>
                <w:color w:val="auto"/>
              </w:rPr>
            </w:pPr>
            <w:r>
              <w:rPr>
                <w:rFonts w:ascii="Arial" w:cs="Arial" w:eastAsia="Arial" w:hAnsi="Arial"/>
                <w:sz w:val="14"/>
                <w:szCs w:val="14"/>
                <w:color w:val="auto"/>
              </w:rPr>
              <w:t>73,429,863</w:t>
            </w:r>
          </w:p>
        </w:tc>
        <w:tc>
          <w:tcPr>
            <w:tcW w:w="2000" w:type="dxa"/>
            <w:vAlign w:val="bottom"/>
          </w:tcPr>
          <w:p>
            <w:pPr>
              <w:jc w:val="center"/>
              <w:ind w:left="128"/>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76"/>
        </w:trPr>
        <w:tc>
          <w:tcPr>
            <w:tcW w:w="2560" w:type="dxa"/>
            <w:vAlign w:val="bottom"/>
          </w:tcPr>
          <w:p>
            <w:pPr>
              <w:ind w:left="20"/>
              <w:spacing w:after="0"/>
              <w:rPr>
                <w:sz w:val="20"/>
                <w:szCs w:val="20"/>
                <w:color w:val="auto"/>
              </w:rPr>
            </w:pPr>
            <w:r>
              <w:rPr>
                <w:rFonts w:ascii="Arial" w:cs="Arial" w:eastAsia="Arial" w:hAnsi="Arial"/>
                <w:sz w:val="14"/>
                <w:szCs w:val="14"/>
                <w:color w:val="auto"/>
              </w:rPr>
              <w:t>100 Vanguard Blvd.</w:t>
            </w:r>
          </w:p>
        </w:tc>
        <w:tc>
          <w:tcPr>
            <w:tcW w:w="4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560" w:type="dxa"/>
            <w:vAlign w:val="bottom"/>
          </w:tcPr>
          <w:p>
            <w:pPr>
              <w:ind w:left="20"/>
              <w:spacing w:after="0"/>
              <w:rPr>
                <w:sz w:val="20"/>
                <w:szCs w:val="20"/>
                <w:color w:val="auto"/>
              </w:rPr>
            </w:pPr>
            <w:r>
              <w:rPr>
                <w:rFonts w:ascii="Arial" w:cs="Arial" w:eastAsia="Arial" w:hAnsi="Arial"/>
                <w:sz w:val="14"/>
                <w:szCs w:val="14"/>
                <w:color w:val="auto"/>
              </w:rPr>
              <w:t>Malvern, PA 19355</w:t>
            </w:r>
          </w:p>
        </w:tc>
        <w:tc>
          <w:tcPr>
            <w:tcW w:w="4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560" w:type="dxa"/>
            <w:vAlign w:val="bottom"/>
            <w:shd w:val="clear" w:color="auto" w:fill="F2F2F2"/>
          </w:tcPr>
          <w:p>
            <w:pPr>
              <w:ind w:left="20"/>
              <w:spacing w:after="0"/>
              <w:rPr>
                <w:sz w:val="20"/>
                <w:szCs w:val="20"/>
                <w:color w:val="auto"/>
              </w:rPr>
            </w:pPr>
            <w:r>
              <w:rPr>
                <w:rFonts w:ascii="Arial" w:cs="Arial" w:eastAsia="Arial" w:hAnsi="Arial"/>
                <w:sz w:val="14"/>
                <w:szCs w:val="14"/>
                <w:color w:val="auto"/>
              </w:rPr>
              <w:t>BlackRock, Inc.</w:t>
            </w:r>
          </w:p>
        </w:tc>
        <w:tc>
          <w:tcPr>
            <w:tcW w:w="400" w:type="dxa"/>
            <w:vAlign w:val="bottom"/>
            <w:shd w:val="clear" w:color="auto" w:fill="F2F2F2"/>
          </w:tcPr>
          <w:p>
            <w:pPr>
              <w:jc w:val="right"/>
              <w:ind w:right="213"/>
              <w:spacing w:after="0"/>
              <w:rPr>
                <w:sz w:val="20"/>
                <w:szCs w:val="20"/>
                <w:color w:val="auto"/>
              </w:rPr>
            </w:pPr>
            <w:r>
              <w:rPr>
                <w:rFonts w:ascii="Arial" w:cs="Arial" w:eastAsia="Arial" w:hAnsi="Arial"/>
                <w:sz w:val="9"/>
                <w:szCs w:val="9"/>
                <w:color w:val="auto"/>
              </w:rPr>
              <w:t>3</w:t>
            </w:r>
          </w:p>
        </w:tc>
        <w:tc>
          <w:tcPr>
            <w:tcW w:w="2100" w:type="dxa"/>
            <w:vAlign w:val="bottom"/>
            <w:shd w:val="clear" w:color="auto" w:fill="F2F2F2"/>
          </w:tcPr>
          <w:p>
            <w:pPr>
              <w:jc w:val="center"/>
              <w:ind w:right="148"/>
              <w:spacing w:after="0"/>
              <w:rPr>
                <w:sz w:val="20"/>
                <w:szCs w:val="20"/>
                <w:color w:val="auto"/>
              </w:rPr>
            </w:pPr>
            <w:r>
              <w:rPr>
                <w:rFonts w:ascii="Arial" w:cs="Arial" w:eastAsia="Arial" w:hAnsi="Arial"/>
                <w:sz w:val="14"/>
                <w:szCs w:val="14"/>
                <w:color w:val="auto"/>
              </w:rPr>
              <w:t>65,467,793</w:t>
            </w:r>
          </w:p>
        </w:tc>
        <w:tc>
          <w:tcPr>
            <w:tcW w:w="2000" w:type="dxa"/>
            <w:vAlign w:val="bottom"/>
            <w:shd w:val="clear" w:color="auto" w:fill="F2F2F2"/>
          </w:tcPr>
          <w:p>
            <w:pPr>
              <w:jc w:val="center"/>
              <w:ind w:left="128"/>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75"/>
        </w:trPr>
        <w:tc>
          <w:tcPr>
            <w:tcW w:w="2560" w:type="dxa"/>
            <w:vAlign w:val="bottom"/>
            <w:shd w:val="clear" w:color="auto" w:fill="F2F2F2"/>
          </w:tcPr>
          <w:p>
            <w:pPr>
              <w:ind w:left="20"/>
              <w:spacing w:after="0"/>
              <w:rPr>
                <w:sz w:val="20"/>
                <w:szCs w:val="20"/>
                <w:color w:val="auto"/>
              </w:rPr>
            </w:pPr>
            <w:r>
              <w:rPr>
                <w:rFonts w:ascii="Arial" w:cs="Arial" w:eastAsia="Arial" w:hAnsi="Arial"/>
                <w:sz w:val="14"/>
                <w:szCs w:val="14"/>
                <w:color w:val="auto"/>
              </w:rPr>
              <w:t>55 East 52nd Street</w:t>
            </w:r>
          </w:p>
        </w:tc>
        <w:tc>
          <w:tcPr>
            <w:tcW w:w="400" w:type="dxa"/>
            <w:vAlign w:val="bottom"/>
            <w:shd w:val="clear" w:color="auto" w:fill="F2F2F2"/>
          </w:tcPr>
          <w:p>
            <w:pPr>
              <w:spacing w:after="0"/>
              <w:rPr>
                <w:sz w:val="15"/>
                <w:szCs w:val="15"/>
                <w:color w:val="auto"/>
              </w:rPr>
            </w:pPr>
          </w:p>
        </w:tc>
        <w:tc>
          <w:tcPr>
            <w:tcW w:w="2100" w:type="dxa"/>
            <w:vAlign w:val="bottom"/>
            <w:shd w:val="clear" w:color="auto" w:fill="F2F2F2"/>
          </w:tcPr>
          <w:p>
            <w:pPr>
              <w:spacing w:after="0"/>
              <w:rPr>
                <w:sz w:val="15"/>
                <w:szCs w:val="15"/>
                <w:color w:val="auto"/>
              </w:rPr>
            </w:pPr>
          </w:p>
        </w:tc>
        <w:tc>
          <w:tcPr>
            <w:tcW w:w="200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5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New York, NY 10055</w:t>
            </w:r>
          </w:p>
        </w:tc>
        <w:tc>
          <w:tcPr>
            <w:tcW w:w="400" w:type="dxa"/>
            <w:vAlign w:val="bottom"/>
            <w:tcBorders>
              <w:bottom w:val="single" w:sz="8" w:color="F2F2F2"/>
            </w:tcBorders>
            <w:shd w:val="clear" w:color="auto" w:fill="F2F2F2"/>
          </w:tcPr>
          <w:p>
            <w:pPr>
              <w:spacing w:after="0"/>
              <w:rPr>
                <w:sz w:val="19"/>
                <w:szCs w:val="19"/>
                <w:color w:val="auto"/>
              </w:rPr>
            </w:pPr>
          </w:p>
        </w:tc>
        <w:tc>
          <w:tcPr>
            <w:tcW w:w="2100" w:type="dxa"/>
            <w:vAlign w:val="bottom"/>
            <w:tcBorders>
              <w:bottom w:val="single" w:sz="8" w:color="F2F2F2"/>
            </w:tcBorders>
            <w:shd w:val="clear" w:color="auto" w:fill="F2F2F2"/>
          </w:tcPr>
          <w:p>
            <w:pPr>
              <w:spacing w:after="0"/>
              <w:rPr>
                <w:sz w:val="19"/>
                <w:szCs w:val="19"/>
                <w:color w:val="auto"/>
              </w:rPr>
            </w:pPr>
          </w:p>
        </w:tc>
        <w:tc>
          <w:tcPr>
            <w:tcW w:w="2000" w:type="dxa"/>
            <w:vAlign w:val="bottom"/>
            <w:tcBorders>
              <w:bottom w:val="single" w:sz="8" w:color="F2F2F2"/>
            </w:tcBorders>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960" w:type="dxa"/>
            <w:vAlign w:val="bottom"/>
            <w:gridSpan w:val="2"/>
          </w:tcPr>
          <w:p>
            <w:pPr>
              <w:ind w:left="20"/>
              <w:spacing w:after="0"/>
              <w:rPr>
                <w:sz w:val="20"/>
                <w:szCs w:val="20"/>
                <w:color w:val="auto"/>
              </w:rPr>
            </w:pPr>
            <w:r>
              <w:rPr>
                <w:rFonts w:ascii="Arial" w:cs="Arial" w:eastAsia="Arial" w:hAnsi="Arial"/>
                <w:sz w:val="14"/>
                <w:szCs w:val="14"/>
                <w:color w:val="auto"/>
              </w:rPr>
              <w:t xml:space="preserve">The PNC Financial Services Group, Inc. </w:t>
            </w:r>
            <w:r>
              <w:rPr>
                <w:rFonts w:ascii="Arial" w:cs="Arial" w:eastAsia="Arial" w:hAnsi="Arial"/>
                <w:sz w:val="9"/>
                <w:szCs w:val="9"/>
                <w:color w:val="auto"/>
              </w:rPr>
              <w:t>4</w:t>
            </w:r>
          </w:p>
        </w:tc>
        <w:tc>
          <w:tcPr>
            <w:tcW w:w="2100" w:type="dxa"/>
            <w:vAlign w:val="bottom"/>
          </w:tcPr>
          <w:p>
            <w:pPr>
              <w:jc w:val="center"/>
              <w:ind w:right="148"/>
              <w:spacing w:after="0"/>
              <w:rPr>
                <w:sz w:val="20"/>
                <w:szCs w:val="20"/>
                <w:color w:val="auto"/>
              </w:rPr>
            </w:pPr>
            <w:r>
              <w:rPr>
                <w:rFonts w:ascii="Arial" w:cs="Arial" w:eastAsia="Arial" w:hAnsi="Arial"/>
                <w:sz w:val="14"/>
                <w:szCs w:val="14"/>
                <w:color w:val="auto"/>
              </w:rPr>
              <w:t>51,829,873</w:t>
            </w:r>
          </w:p>
        </w:tc>
        <w:tc>
          <w:tcPr>
            <w:tcW w:w="2000" w:type="dxa"/>
            <w:vAlign w:val="bottom"/>
          </w:tcPr>
          <w:p>
            <w:pPr>
              <w:jc w:val="center"/>
              <w:ind w:left="12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75"/>
        </w:trPr>
        <w:tc>
          <w:tcPr>
            <w:tcW w:w="2560" w:type="dxa"/>
            <w:vAlign w:val="bottom"/>
          </w:tcPr>
          <w:p>
            <w:pPr>
              <w:ind w:left="20"/>
              <w:spacing w:after="0"/>
              <w:rPr>
                <w:sz w:val="20"/>
                <w:szCs w:val="20"/>
                <w:color w:val="auto"/>
              </w:rPr>
            </w:pPr>
            <w:r>
              <w:rPr>
                <w:rFonts w:ascii="Arial" w:cs="Arial" w:eastAsia="Arial" w:hAnsi="Arial"/>
                <w:sz w:val="14"/>
                <w:szCs w:val="14"/>
                <w:color w:val="auto"/>
              </w:rPr>
              <w:t>300 Fifth Avenue</w:t>
            </w:r>
          </w:p>
        </w:tc>
        <w:tc>
          <w:tcPr>
            <w:tcW w:w="4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560" w:type="dxa"/>
            <w:vAlign w:val="bottom"/>
          </w:tcPr>
          <w:p>
            <w:pPr>
              <w:ind w:left="20"/>
              <w:spacing w:after="0"/>
              <w:rPr>
                <w:sz w:val="20"/>
                <w:szCs w:val="20"/>
                <w:color w:val="auto"/>
              </w:rPr>
            </w:pPr>
            <w:r>
              <w:rPr>
                <w:rFonts w:ascii="Arial" w:cs="Arial" w:eastAsia="Arial" w:hAnsi="Arial"/>
                <w:sz w:val="14"/>
                <w:szCs w:val="14"/>
                <w:color w:val="auto"/>
              </w:rPr>
              <w:t>Pittsburgh, PA 15222</w:t>
            </w:r>
          </w:p>
        </w:tc>
        <w:tc>
          <w:tcPr>
            <w:tcW w:w="4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5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4474845" cy="825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4474845"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*Percent of class is calculated based on the shares of our common stock outstanding as of February 21, 2023.</w:t>
      </w:r>
    </w:p>
    <w:p>
      <w:pPr>
        <w:spacing w:after="0" w:line="69" w:lineRule="exact"/>
        <w:rPr>
          <w:sz w:val="20"/>
          <w:szCs w:val="20"/>
          <w:color w:val="auto"/>
        </w:rPr>
      </w:pPr>
    </w:p>
    <w:p>
      <w:pPr>
        <w:ind w:left="80" w:right="520" w:hanging="72"/>
        <w:spacing w:after="0" w:line="231" w:lineRule="auto"/>
        <w:tabs>
          <w:tab w:leader="none" w:pos="91" w:val="left"/>
        </w:tabs>
        <w:numPr>
          <w:ilvl w:val="0"/>
          <w:numId w:val="118"/>
        </w:numPr>
        <w:rPr>
          <w:rFonts w:ascii="Arial" w:cs="Arial" w:eastAsia="Arial" w:hAnsi="Arial"/>
          <w:sz w:val="19"/>
          <w:szCs w:val="19"/>
          <w:color w:val="auto"/>
          <w:vertAlign w:val="superscript"/>
        </w:rPr>
      </w:pPr>
      <w:r>
        <w:rPr>
          <w:rFonts w:ascii="Arial" w:cs="Arial" w:eastAsia="Arial" w:hAnsi="Arial"/>
          <w:sz w:val="14"/>
          <w:szCs w:val="14"/>
          <w:color w:val="auto"/>
        </w:rPr>
        <w:t>Based on information provided to Lilly by the Endowment as of January 6, 2023, and a Schedule 13G/A filed by the Endowment with the SEC on January 25, 2023, the Endowment has sole voting and sole dispositive power with respect to all of its shares.</w:t>
      </w:r>
    </w:p>
    <w:p>
      <w:pPr>
        <w:spacing w:after="0" w:line="40" w:lineRule="exact"/>
        <w:rPr>
          <w:sz w:val="20"/>
          <w:szCs w:val="20"/>
          <w:color w:val="auto"/>
        </w:rPr>
      </w:pPr>
    </w:p>
    <w:p>
      <w:pPr>
        <w:jc w:val="both"/>
        <w:ind w:left="80" w:right="60" w:hanging="72"/>
        <w:spacing w:after="0" w:line="234" w:lineRule="auto"/>
        <w:tabs>
          <w:tab w:leader="none" w:pos="91" w:val="left"/>
        </w:tabs>
        <w:numPr>
          <w:ilvl w:val="0"/>
          <w:numId w:val="119"/>
        </w:numPr>
        <w:rPr>
          <w:rFonts w:ascii="Arial" w:cs="Arial" w:eastAsia="Arial" w:hAnsi="Arial"/>
          <w:sz w:val="19"/>
          <w:szCs w:val="19"/>
          <w:color w:val="auto"/>
          <w:vertAlign w:val="superscript"/>
        </w:rPr>
      </w:pPr>
      <w:r>
        <w:rPr>
          <w:rFonts w:ascii="Arial" w:cs="Arial" w:eastAsia="Arial" w:hAnsi="Arial"/>
          <w:sz w:val="14"/>
          <w:szCs w:val="14"/>
          <w:color w:val="auto"/>
        </w:rPr>
        <w:t>Based solely on the Schedule 13G/A filed with the SEC on February 9, 2023, by The Vanguard Group, it beneficially owns 73,429,863 shares altogether. It does not have sole voting power with respect to any of its shares and it has shared voting power with respect to 1,190,462 of its shares. It has sole dispositive power with respect to 70,058,275 of its shares and shared dispositive power with respect to 3,371,588 of its shares.</w:t>
      </w:r>
    </w:p>
    <w:p>
      <w:pPr>
        <w:spacing w:after="0" w:line="40" w:lineRule="exact"/>
        <w:rPr>
          <w:sz w:val="20"/>
          <w:szCs w:val="20"/>
          <w:color w:val="auto"/>
        </w:rPr>
      </w:pPr>
    </w:p>
    <w:p>
      <w:pPr>
        <w:ind w:left="80" w:right="320" w:hanging="72"/>
        <w:spacing w:after="0" w:line="231" w:lineRule="auto"/>
        <w:tabs>
          <w:tab w:leader="none" w:pos="91" w:val="left"/>
        </w:tabs>
        <w:numPr>
          <w:ilvl w:val="0"/>
          <w:numId w:val="120"/>
        </w:numPr>
        <w:rPr>
          <w:rFonts w:ascii="Arial" w:cs="Arial" w:eastAsia="Arial" w:hAnsi="Arial"/>
          <w:sz w:val="19"/>
          <w:szCs w:val="19"/>
          <w:color w:val="auto"/>
          <w:vertAlign w:val="superscript"/>
        </w:rPr>
      </w:pPr>
      <w:r>
        <w:rPr>
          <w:rFonts w:ascii="Arial" w:cs="Arial" w:eastAsia="Arial" w:hAnsi="Arial"/>
          <w:sz w:val="14"/>
          <w:szCs w:val="14"/>
          <w:color w:val="auto"/>
        </w:rPr>
        <w:t>Based solely on the Schedule 13G/A filed with the SEC on February 1, 2023, by BlackRock, Inc., it has sole voting power with respect to 58,947,344 of its shares and sole dispositive power with respect to 65,467,793 of its shares.</w:t>
      </w:r>
    </w:p>
    <w:p>
      <w:pPr>
        <w:spacing w:after="0" w:line="40" w:lineRule="exact"/>
        <w:rPr>
          <w:sz w:val="20"/>
          <w:szCs w:val="20"/>
          <w:color w:val="auto"/>
        </w:rPr>
      </w:pPr>
    </w:p>
    <w:p>
      <w:pPr>
        <w:ind w:left="80" w:right="40" w:hanging="72"/>
        <w:spacing w:after="0" w:line="248" w:lineRule="auto"/>
        <w:tabs>
          <w:tab w:leader="none" w:pos="91" w:val="left"/>
        </w:tabs>
        <w:numPr>
          <w:ilvl w:val="0"/>
          <w:numId w:val="121"/>
        </w:numPr>
        <w:rPr>
          <w:rFonts w:ascii="Arial" w:cs="Arial" w:eastAsia="Arial" w:hAnsi="Arial"/>
          <w:sz w:val="19"/>
          <w:szCs w:val="19"/>
          <w:color w:val="auto"/>
          <w:vertAlign w:val="superscript"/>
        </w:rPr>
      </w:pPr>
      <w:r>
        <w:rPr>
          <w:rFonts w:ascii="Arial" w:cs="Arial" w:eastAsia="Arial" w:hAnsi="Arial"/>
          <w:sz w:val="14"/>
          <w:szCs w:val="14"/>
          <w:color w:val="auto"/>
        </w:rPr>
        <w:t>Based solely on the Schedule 13G/A filed with the SEC on February 10, 2023, by The PNC Financial Services Group, Inc.; PNC Bancorp, Inc.; PNC Bank, National Association (PNC Bank); PNC Delaware Trust Company; and PNC Investments LLC (collectively, PNC), PNC beneficially owns 51,829,873 shares altogether. PNC has sole voting power with respect to 1,795,248 of its shares and shared voting power with respect to 50,007,832 of its shares. PNC has sole dispositive power with respect to 1,472,029 of its shares and shared dispositive power with respect to 50,311,228 of its shares. Of the total shares of common stock reported for PNC above, 50,000,000 shares are held in the Eli Lilly and Company Compensation Trust account for which PNC Bank serves as directed trustee. As directed trustee, PNC Bank is deemed to share both voting power and investment discretion with respect to those 50,000,000 shares.</w:t>
      </w:r>
    </w:p>
    <w:p>
      <w:pPr>
        <w:spacing w:after="0" w:line="115"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Delinquent Section 16(a) Reports</w:t>
      </w:r>
    </w:p>
    <w:p>
      <w:pPr>
        <w:spacing w:after="0" w:line="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Section 16(a) of the Exchange Act requires our directors and executive officers and persons who own more than 10% of a registered class of our equity securities to file reports of ownership of, and transactions in, our equity securities with the SEC. Based on a review of the copies of these reports, and on written representations from our reporting persons, we believe that all such reports were timely filed, except that, due to administrative error, Marschall Runge was four days late in reporting an open market purchase of common stock.</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52"/>
          <w:szCs w:val="52"/>
          <w:b w:val="1"/>
          <w:bCs w:val="1"/>
          <w:color w:val="auto"/>
        </w:rPr>
        <w:t>Compensation</w:t>
      </w:r>
    </w:p>
    <w:p>
      <w:pPr>
        <w:spacing w:after="0" w:line="200" w:lineRule="exact"/>
        <w:rPr>
          <w:sz w:val="20"/>
          <w:szCs w:val="20"/>
          <w:color w:val="auto"/>
        </w:rPr>
      </w:pPr>
    </w:p>
    <w:p>
      <w:pPr>
        <w:spacing w:after="0" w:line="211" w:lineRule="exact"/>
        <w:rPr>
          <w:sz w:val="20"/>
          <w:szCs w:val="20"/>
          <w:color w:val="auto"/>
        </w:rPr>
      </w:pPr>
    </w:p>
    <w:p>
      <w:pPr>
        <w:ind w:right="1200"/>
        <w:spacing w:after="0" w:line="276" w:lineRule="auto"/>
        <w:rPr>
          <w:sz w:val="20"/>
          <w:szCs w:val="20"/>
          <w:color w:val="auto"/>
        </w:rPr>
      </w:pPr>
      <w:r>
        <w:rPr>
          <w:rFonts w:ascii="Arial" w:cs="Arial" w:eastAsia="Arial" w:hAnsi="Arial"/>
          <w:sz w:val="32"/>
          <w:szCs w:val="32"/>
          <w:b w:val="1"/>
          <w:bCs w:val="1"/>
          <w:color w:val="D52B1E"/>
        </w:rPr>
        <w:t>Item 2. Advisory Vote on Compensation Paid to Named Executive Officers</w:t>
      </w:r>
    </w:p>
    <w:p>
      <w:pPr>
        <w:spacing w:after="0" w:line="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Section 14A of the Securities Exchange Act of 1934 provides the company’s shareholders with the opportunity to approve, on an advisory basis, the compensation of the company’s named executive officers as disclosed in this proxy statement. Our compensation philosophy is designed to attract, engage, and retain highly talented individuals from a variety of backgrounds and motivate them to create long-term shareholder value by achieving top-tier corporate performance while embracing the company’s core values of integrity, excellence, and respect for people.</w:t>
      </w:r>
    </w:p>
    <w:p>
      <w:pPr>
        <w:spacing w:after="0" w:line="125"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The Talent and Compensation Committee and the board believe that our executive compensation aligns well with our philosophy and with corporate performance. Executive compensation is an important matter for our shareholders. We routinely review our compensation practices and engage in ongoing dialogue with our shareholders to ensure our practices are aligned with stakeholder interests and reflect best practices.</w:t>
      </w:r>
    </w:p>
    <w:p>
      <w:pPr>
        <w:spacing w:after="0" w:line="12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We request shareholder approval, on an advisory basis, of the compensation of the company’s named executive officers as disclosed in this proxy statement. As an advisory vote, this proposal is not binding on the company.</w:t>
      </w:r>
    </w:p>
    <w:p>
      <w:pPr>
        <w:sectPr>
          <w:pgSz w:w="11900" w:h="16838" w:orient="portrait"/>
          <w:cols w:equalWidth="0" w:num="1">
            <w:col w:w="11240"/>
          </w:cols>
          <w:pgMar w:left="320" w:top="994" w:right="339" w:bottom="1440" w:gutter="0" w:footer="0" w:header="0"/>
        </w:sect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157720" cy="4254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type w:val="continuous"/>
        </w:sectPr>
      </w:pPr>
    </w:p>
    <w:bookmarkStart w:id="55" w:name="page56"/>
    <w:bookmarkEnd w:id="55"/>
    <w:p>
      <w:pPr>
        <w:ind w:right="220"/>
        <w:spacing w:after="0" w:line="287" w:lineRule="auto"/>
        <w:rPr>
          <w:sz w:val="20"/>
          <w:szCs w:val="20"/>
          <w:color w:val="auto"/>
        </w:rPr>
      </w:pPr>
      <w:r>
        <w:rPr>
          <w:rFonts w:ascii="Arial" w:cs="Arial" w:eastAsia="Arial" w:hAnsi="Arial"/>
          <w:sz w:val="18"/>
          <w:szCs w:val="18"/>
          <w:color w:val="auto"/>
        </w:rPr>
        <w:t>However, the Talent and Compensation Committee values input from shareholders and will consider the outcome of the vote when making future executive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5760720" cy="86614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5760720" cy="866140"/>
                    </a:xfrm>
                    <a:prstGeom prst="rect">
                      <a:avLst/>
                    </a:prstGeom>
                    <a:noFill/>
                  </pic:spPr>
                </pic:pic>
              </a:graphicData>
            </a:graphic>
          </wp:anchor>
        </w:drawing>
      </w:r>
    </w:p>
    <w:p>
      <w:pPr>
        <w:spacing w:after="0" w:line="47" w:lineRule="exact"/>
        <w:rPr>
          <w:sz w:val="20"/>
          <w:szCs w:val="20"/>
          <w:color w:val="auto"/>
        </w:rPr>
      </w:pPr>
    </w:p>
    <w:p>
      <w:pPr>
        <w:ind w:left="1020"/>
        <w:spacing w:after="0"/>
        <w:rPr>
          <w:sz w:val="20"/>
          <w:szCs w:val="20"/>
          <w:color w:val="auto"/>
        </w:rPr>
      </w:pPr>
      <w:r>
        <w:rPr>
          <w:rFonts w:ascii="Arial" w:cs="Arial" w:eastAsia="Arial" w:hAnsi="Arial"/>
          <w:sz w:val="20"/>
          <w:szCs w:val="20"/>
          <w:b w:val="1"/>
          <w:bCs w:val="1"/>
          <w:color w:val="D52B1E"/>
        </w:rPr>
        <w:t>RECOMMENDATION FOR</w:t>
      </w:r>
    </w:p>
    <w:p>
      <w:pPr>
        <w:spacing w:after="0" w:line="172" w:lineRule="exact"/>
        <w:rPr>
          <w:sz w:val="20"/>
          <w:szCs w:val="20"/>
          <w:color w:val="auto"/>
        </w:rPr>
      </w:pPr>
    </w:p>
    <w:p>
      <w:pPr>
        <w:ind w:left="200" w:right="2180"/>
        <w:spacing w:after="0" w:line="273" w:lineRule="auto"/>
        <w:rPr>
          <w:sz w:val="20"/>
          <w:szCs w:val="20"/>
          <w:color w:val="auto"/>
        </w:rPr>
      </w:pPr>
      <w:r>
        <w:rPr>
          <w:rFonts w:ascii="Arial" w:cs="Arial" w:eastAsia="Arial" w:hAnsi="Arial"/>
          <w:sz w:val="18"/>
          <w:szCs w:val="18"/>
          <w:color w:val="auto"/>
        </w:rPr>
        <w:t xml:space="preserve">The board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approval, on an advisory basis, of the compensation paid to the named executive officers, as disclosed pursuant to Item 402 of Regulation S-K, including the CD&amp;A, the compensation tables, and related narratives provided below in this proxy statement.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Talent and Compensation Committee Matters</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Background</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Role of the Independent Consultant in Assessing Executive Compensation</w:t>
      </w:r>
    </w:p>
    <w:p>
      <w:pPr>
        <w:spacing w:after="0" w:line="5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Talent and Compensation Committee has retained Frederic W. Cook &amp; Co., Inc. (FW Cook) as its independent compensation consultant. FW Cook reports directly to the Talent and Compensation Committee, and it is not permitted to have any business or personal relationship with management or members of the Talent and Compensation Committee. FW Cook’s responsibilities are to:</w:t>
      </w:r>
    </w:p>
    <w:p>
      <w:pPr>
        <w:spacing w:after="0" w:line="9" w:lineRule="exact"/>
        <w:rPr>
          <w:sz w:val="20"/>
          <w:szCs w:val="20"/>
          <w:color w:val="auto"/>
        </w:rPr>
      </w:pPr>
    </w:p>
    <w:p>
      <w:pPr>
        <w:ind w:left="500" w:right="880" w:hanging="330"/>
        <w:spacing w:after="0" w:line="281" w:lineRule="auto"/>
        <w:tabs>
          <w:tab w:leader="none" w:pos="489" w:val="left"/>
        </w:tabs>
        <w:numPr>
          <w:ilvl w:val="0"/>
          <w:numId w:val="122"/>
        </w:numPr>
        <w:rPr>
          <w:rFonts w:ascii="Arial" w:cs="Arial" w:eastAsia="Arial" w:hAnsi="Arial"/>
          <w:sz w:val="16"/>
          <w:szCs w:val="16"/>
          <w:color w:val="auto"/>
        </w:rPr>
      </w:pPr>
      <w:r>
        <w:rPr>
          <w:rFonts w:ascii="Arial" w:cs="Arial" w:eastAsia="Arial" w:hAnsi="Arial"/>
          <w:sz w:val="18"/>
          <w:szCs w:val="18"/>
          <w:color w:val="auto"/>
        </w:rPr>
        <w:t>review the company’s total compensation philosophy, peer group, and target competitive positioning for reasonableness and appropriateness;</w:t>
      </w:r>
    </w:p>
    <w:p>
      <w:pPr>
        <w:spacing w:after="0" w:line="1" w:lineRule="exact"/>
        <w:rPr>
          <w:rFonts w:ascii="Arial" w:cs="Arial" w:eastAsia="Arial" w:hAnsi="Arial"/>
          <w:sz w:val="16"/>
          <w:szCs w:val="16"/>
          <w:color w:val="auto"/>
        </w:rPr>
      </w:pPr>
    </w:p>
    <w:p>
      <w:pPr>
        <w:ind w:left="500" w:right="780" w:hanging="330"/>
        <w:spacing w:after="0" w:line="281" w:lineRule="auto"/>
        <w:tabs>
          <w:tab w:leader="none" w:pos="489" w:val="left"/>
        </w:tabs>
        <w:numPr>
          <w:ilvl w:val="0"/>
          <w:numId w:val="122"/>
        </w:numPr>
        <w:rPr>
          <w:rFonts w:ascii="Arial" w:cs="Arial" w:eastAsia="Arial" w:hAnsi="Arial"/>
          <w:sz w:val="16"/>
          <w:szCs w:val="16"/>
          <w:color w:val="auto"/>
        </w:rPr>
      </w:pPr>
      <w:r>
        <w:rPr>
          <w:rFonts w:ascii="Arial" w:cs="Arial" w:eastAsia="Arial" w:hAnsi="Arial"/>
          <w:sz w:val="18"/>
          <w:szCs w:val="18"/>
          <w:color w:val="auto"/>
        </w:rPr>
        <w:t>review the company’s executive compensation program and advise the Talent and Compensation Committee of evolving best practices;</w:t>
      </w:r>
    </w:p>
    <w:p>
      <w:pPr>
        <w:spacing w:after="0" w:line="1" w:lineRule="exact"/>
        <w:rPr>
          <w:rFonts w:ascii="Arial" w:cs="Arial" w:eastAsia="Arial" w:hAnsi="Arial"/>
          <w:sz w:val="16"/>
          <w:szCs w:val="16"/>
          <w:color w:val="auto"/>
        </w:rPr>
      </w:pPr>
    </w:p>
    <w:p>
      <w:pPr>
        <w:ind w:left="480" w:hanging="310"/>
        <w:spacing w:after="0"/>
        <w:tabs>
          <w:tab w:leader="none" w:pos="480" w:val="left"/>
        </w:tabs>
        <w:numPr>
          <w:ilvl w:val="0"/>
          <w:numId w:val="122"/>
        </w:numPr>
        <w:rPr>
          <w:rFonts w:ascii="Arial" w:cs="Arial" w:eastAsia="Arial" w:hAnsi="Arial"/>
          <w:sz w:val="16"/>
          <w:szCs w:val="16"/>
          <w:color w:val="auto"/>
        </w:rPr>
      </w:pPr>
      <w:r>
        <w:rPr>
          <w:rFonts w:ascii="Arial" w:cs="Arial" w:eastAsia="Arial" w:hAnsi="Arial"/>
          <w:sz w:val="18"/>
          <w:szCs w:val="18"/>
          <w:color w:val="auto"/>
        </w:rPr>
        <w:t>provide independent analyses and recommendations to the Talent and Compensation Committee on the CEO’s pay;</w:t>
      </w:r>
    </w:p>
    <w:p>
      <w:pPr>
        <w:spacing w:after="0" w:line="63" w:lineRule="exact"/>
        <w:rPr>
          <w:rFonts w:ascii="Arial" w:cs="Arial" w:eastAsia="Arial" w:hAnsi="Arial"/>
          <w:sz w:val="16"/>
          <w:szCs w:val="16"/>
          <w:color w:val="auto"/>
        </w:rPr>
      </w:pPr>
    </w:p>
    <w:p>
      <w:pPr>
        <w:ind w:left="480" w:hanging="310"/>
        <w:spacing w:after="0"/>
        <w:tabs>
          <w:tab w:leader="none" w:pos="480" w:val="left"/>
        </w:tabs>
        <w:numPr>
          <w:ilvl w:val="0"/>
          <w:numId w:val="122"/>
        </w:numPr>
        <w:rPr>
          <w:rFonts w:ascii="Arial" w:cs="Arial" w:eastAsia="Arial" w:hAnsi="Arial"/>
          <w:sz w:val="16"/>
          <w:szCs w:val="16"/>
          <w:color w:val="auto"/>
        </w:rPr>
      </w:pPr>
      <w:r>
        <w:rPr>
          <w:rFonts w:ascii="Arial" w:cs="Arial" w:eastAsia="Arial" w:hAnsi="Arial"/>
          <w:sz w:val="18"/>
          <w:szCs w:val="18"/>
          <w:color w:val="auto"/>
        </w:rPr>
        <w:t>review the draft CD&amp;A and related tables for the proxy statement;</w:t>
      </w:r>
    </w:p>
    <w:p>
      <w:pPr>
        <w:spacing w:after="0" w:line="63" w:lineRule="exact"/>
        <w:rPr>
          <w:rFonts w:ascii="Arial" w:cs="Arial" w:eastAsia="Arial" w:hAnsi="Arial"/>
          <w:sz w:val="16"/>
          <w:szCs w:val="16"/>
          <w:color w:val="auto"/>
        </w:rPr>
      </w:pPr>
    </w:p>
    <w:p>
      <w:pPr>
        <w:ind w:left="480" w:hanging="310"/>
        <w:spacing w:after="0"/>
        <w:tabs>
          <w:tab w:leader="none" w:pos="480" w:val="left"/>
        </w:tabs>
        <w:numPr>
          <w:ilvl w:val="0"/>
          <w:numId w:val="122"/>
        </w:numPr>
        <w:rPr>
          <w:rFonts w:ascii="Arial" w:cs="Arial" w:eastAsia="Arial" w:hAnsi="Arial"/>
          <w:sz w:val="16"/>
          <w:szCs w:val="16"/>
          <w:color w:val="auto"/>
        </w:rPr>
      </w:pPr>
      <w:r>
        <w:rPr>
          <w:rFonts w:ascii="Arial" w:cs="Arial" w:eastAsia="Arial" w:hAnsi="Arial"/>
          <w:sz w:val="18"/>
          <w:szCs w:val="18"/>
          <w:color w:val="auto"/>
        </w:rPr>
        <w:t>proactively advise the Talent and Compensation Committee on best practices for board governance of executive compensation; and</w:t>
      </w:r>
    </w:p>
    <w:p>
      <w:pPr>
        <w:spacing w:after="0" w:line="63" w:lineRule="exact"/>
        <w:rPr>
          <w:rFonts w:ascii="Arial" w:cs="Arial" w:eastAsia="Arial" w:hAnsi="Arial"/>
          <w:sz w:val="16"/>
          <w:szCs w:val="16"/>
          <w:color w:val="auto"/>
        </w:rPr>
      </w:pPr>
    </w:p>
    <w:p>
      <w:pPr>
        <w:ind w:left="480" w:hanging="310"/>
        <w:spacing w:after="0"/>
        <w:tabs>
          <w:tab w:leader="none" w:pos="480" w:val="left"/>
        </w:tabs>
        <w:numPr>
          <w:ilvl w:val="0"/>
          <w:numId w:val="122"/>
        </w:numPr>
        <w:rPr>
          <w:rFonts w:ascii="Arial" w:cs="Arial" w:eastAsia="Arial" w:hAnsi="Arial"/>
          <w:sz w:val="16"/>
          <w:szCs w:val="16"/>
          <w:color w:val="auto"/>
        </w:rPr>
      </w:pPr>
      <w:r>
        <w:rPr>
          <w:rFonts w:ascii="Arial" w:cs="Arial" w:eastAsia="Arial" w:hAnsi="Arial"/>
          <w:sz w:val="18"/>
          <w:szCs w:val="18"/>
          <w:color w:val="auto"/>
        </w:rPr>
        <w:t>undertake special projects at the request of the Talent and Compensation Committee or its chair.</w:t>
      </w:r>
    </w:p>
    <w:p>
      <w:pPr>
        <w:spacing w:after="0" w:line="63"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FW Cook interacts directly with members of company management only on matters under the Talent and Compensation Committee’s oversight and with the knowledge and permission of the Talent and Compensation Committee chair.</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Role of Executive Officers and Management in Assessing Executive Compensation</w:t>
      </w:r>
    </w:p>
    <w:p>
      <w:pPr>
        <w:spacing w:after="0" w:line="5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With the oversight of the CEO and the executive vice president of human resources and diversity, the company’s global compensation group formulates recommendations on compensation philosophy, plan design, and compensation for executive officers (other than the CEO, as noted below). The CEO provides the Talent and Compensation Committee with a performance assessment and compensation recommendation for each of the other executive officers. The Talent and Compensation Committee considers those recommendations with the assistance of its compensation consultant FW Cook. The CEO and the executive vice president of human resources and diversity attend Talent and Compensation Committee meetings; however, they are not present for executive sessions or any discussion of their own compensation. Only non-employee directors and the Talent and Compensation Committee’s consultant attend executive sessions.</w:t>
      </w:r>
    </w:p>
    <w:p>
      <w:pPr>
        <w:spacing w:after="0" w:line="129" w:lineRule="exact"/>
        <w:rPr>
          <w:sz w:val="20"/>
          <w:szCs w:val="20"/>
          <w:color w:val="auto"/>
        </w:rPr>
      </w:pPr>
    </w:p>
    <w:p>
      <w:pPr>
        <w:ind w:right="1280"/>
        <w:spacing w:after="0" w:line="287" w:lineRule="auto"/>
        <w:rPr>
          <w:sz w:val="20"/>
          <w:szCs w:val="20"/>
          <w:color w:val="auto"/>
        </w:rPr>
      </w:pPr>
      <w:r>
        <w:rPr>
          <w:rFonts w:ascii="Arial" w:cs="Arial" w:eastAsia="Arial" w:hAnsi="Arial"/>
          <w:sz w:val="18"/>
          <w:szCs w:val="18"/>
          <w:color w:val="auto"/>
        </w:rPr>
        <w:t>The CEO does not participate in the formulation or discussion of his pay recommendations. He has no prior knowledge of the recommendations that FW Cook makes to the Talent and Compensation Committee.</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 Assessment Process</w:t>
      </w:r>
    </w:p>
    <w:p>
      <w:pPr>
        <w:spacing w:after="0" w:line="5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part of the company’s overall enterprise risk management program, in 2022 (consistent with prior years), the Talent and Compensation Committee reviewed the company’s compensation policies and practices and concluded that the programs and practices are not reasonably likely to have a material adverse effect on the company. The Talent and Compensation Committee noted numerous policy and design features of the company’s compensation programs and governance structure that reduce the likelihood of inappropriate or excessive risk-taking, including, but not limited to:</w:t>
      </w:r>
    </w:p>
    <w:p>
      <w:pPr>
        <w:spacing w:after="0" w:line="17" w:lineRule="exact"/>
        <w:rPr>
          <w:sz w:val="20"/>
          <w:szCs w:val="20"/>
          <w:color w:val="auto"/>
        </w:rPr>
      </w:pPr>
    </w:p>
    <w:p>
      <w:pPr>
        <w:ind w:left="5520" w:right="4480" w:hanging="5350"/>
        <w:spacing w:after="0" w:line="837" w:lineRule="auto"/>
        <w:tabs>
          <w:tab w:leader="none" w:pos="484" w:val="left"/>
        </w:tabs>
        <w:numPr>
          <w:ilvl w:val="0"/>
          <w:numId w:val="123"/>
        </w:numPr>
        <w:rPr>
          <w:rFonts w:ascii="Arial" w:cs="Arial" w:eastAsia="Arial" w:hAnsi="Arial"/>
          <w:sz w:val="16"/>
          <w:szCs w:val="16"/>
          <w:color w:val="auto"/>
        </w:rPr>
      </w:pPr>
      <w:r>
        <w:rPr>
          <w:rFonts w:ascii="Arial" w:cs="Arial" w:eastAsia="Arial" w:hAnsi="Arial"/>
          <w:sz w:val="18"/>
          <w:szCs w:val="18"/>
          <w:color w:val="auto"/>
        </w:rPr>
        <w:t>Only independent directors serve on the Talent and Compensation Committee.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-265430</wp:posOffset>
            </wp:positionV>
            <wp:extent cx="7157720" cy="4254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6" w:name="page57"/>
    <w:bookmarkEnd w:id="56"/>
    <w:p>
      <w:pPr>
        <w:ind w:left="480" w:hanging="310"/>
        <w:spacing w:after="0"/>
        <w:tabs>
          <w:tab w:leader="none" w:pos="480" w:val="left"/>
        </w:tabs>
        <w:numPr>
          <w:ilvl w:val="0"/>
          <w:numId w:val="124"/>
        </w:numPr>
        <w:rPr>
          <w:rFonts w:ascii="Arial" w:cs="Arial" w:eastAsia="Arial" w:hAnsi="Arial"/>
          <w:sz w:val="16"/>
          <w:szCs w:val="16"/>
          <w:color w:val="auto"/>
        </w:rPr>
      </w:pPr>
      <w:r>
        <w:rPr>
          <w:rFonts w:ascii="Arial" w:cs="Arial" w:eastAsia="Arial" w:hAnsi="Arial"/>
          <w:sz w:val="18"/>
          <w:szCs w:val="18"/>
          <w:color w:val="auto"/>
        </w:rPr>
        <w:t>The Talent and Compensation Committee engages its own independent compensation consultant.</w:t>
      </w:r>
    </w:p>
    <w:p>
      <w:pPr>
        <w:spacing w:after="0" w:line="63" w:lineRule="exact"/>
        <w:rPr>
          <w:rFonts w:ascii="Arial" w:cs="Arial" w:eastAsia="Arial" w:hAnsi="Arial"/>
          <w:sz w:val="16"/>
          <w:szCs w:val="16"/>
          <w:color w:val="auto"/>
        </w:rPr>
      </w:pPr>
    </w:p>
    <w:p>
      <w:pPr>
        <w:ind w:left="480" w:hanging="310"/>
        <w:spacing w:after="0"/>
        <w:tabs>
          <w:tab w:leader="none" w:pos="480" w:val="left"/>
        </w:tabs>
        <w:numPr>
          <w:ilvl w:val="0"/>
          <w:numId w:val="124"/>
        </w:numPr>
        <w:rPr>
          <w:rFonts w:ascii="Arial" w:cs="Arial" w:eastAsia="Arial" w:hAnsi="Arial"/>
          <w:sz w:val="16"/>
          <w:szCs w:val="16"/>
          <w:color w:val="auto"/>
        </w:rPr>
      </w:pPr>
      <w:r>
        <w:rPr>
          <w:rFonts w:ascii="Arial" w:cs="Arial" w:eastAsia="Arial" w:hAnsi="Arial"/>
          <w:sz w:val="18"/>
          <w:szCs w:val="18"/>
          <w:color w:val="auto"/>
        </w:rPr>
        <w:t>The Talent and Compensation Committee has downward discretion to lower compensation plan payouts.</w:t>
      </w:r>
    </w:p>
    <w:p>
      <w:pPr>
        <w:spacing w:after="0" w:line="63" w:lineRule="exact"/>
        <w:rPr>
          <w:rFonts w:ascii="Arial" w:cs="Arial" w:eastAsia="Arial" w:hAnsi="Arial"/>
          <w:sz w:val="16"/>
          <w:szCs w:val="16"/>
          <w:color w:val="auto"/>
        </w:rPr>
      </w:pPr>
    </w:p>
    <w:p>
      <w:pPr>
        <w:ind w:left="480" w:hanging="310"/>
        <w:spacing w:after="0"/>
        <w:tabs>
          <w:tab w:leader="none" w:pos="480" w:val="left"/>
        </w:tabs>
        <w:numPr>
          <w:ilvl w:val="0"/>
          <w:numId w:val="124"/>
        </w:numPr>
        <w:rPr>
          <w:rFonts w:ascii="Arial" w:cs="Arial" w:eastAsia="Arial" w:hAnsi="Arial"/>
          <w:sz w:val="16"/>
          <w:szCs w:val="16"/>
          <w:color w:val="auto"/>
        </w:rPr>
      </w:pPr>
      <w:r>
        <w:rPr>
          <w:rFonts w:ascii="Arial" w:cs="Arial" w:eastAsia="Arial" w:hAnsi="Arial"/>
          <w:sz w:val="18"/>
          <w:szCs w:val="18"/>
          <w:color w:val="auto"/>
        </w:rPr>
        <w:t>The Talent and Compensation Committee approves all adjustments to financial results that affect compensation calculations.</w:t>
      </w:r>
    </w:p>
    <w:p>
      <w:pPr>
        <w:spacing w:after="0" w:line="63" w:lineRule="exact"/>
        <w:rPr>
          <w:rFonts w:ascii="Arial" w:cs="Arial" w:eastAsia="Arial" w:hAnsi="Arial"/>
          <w:sz w:val="16"/>
          <w:szCs w:val="16"/>
          <w:color w:val="auto"/>
        </w:rPr>
      </w:pPr>
    </w:p>
    <w:p>
      <w:pPr>
        <w:ind w:left="500" w:right="60" w:hanging="330"/>
        <w:spacing w:after="0" w:line="281" w:lineRule="auto"/>
        <w:tabs>
          <w:tab w:leader="none" w:pos="489" w:val="left"/>
        </w:tabs>
        <w:numPr>
          <w:ilvl w:val="0"/>
          <w:numId w:val="124"/>
        </w:numPr>
        <w:rPr>
          <w:rFonts w:ascii="Arial" w:cs="Arial" w:eastAsia="Arial" w:hAnsi="Arial"/>
          <w:sz w:val="16"/>
          <w:szCs w:val="16"/>
          <w:color w:val="auto"/>
        </w:rPr>
      </w:pPr>
      <w:r>
        <w:rPr>
          <w:rFonts w:ascii="Arial" w:cs="Arial" w:eastAsia="Arial" w:hAnsi="Arial"/>
          <w:sz w:val="18"/>
          <w:szCs w:val="18"/>
          <w:color w:val="auto"/>
        </w:rPr>
        <w:t>Different measures and metrics are used across multiple incentive plans that appropriately balance cash/stock, fixed/variable pay, and short-term/long-term incentives.</w:t>
      </w:r>
    </w:p>
    <w:p>
      <w:pPr>
        <w:spacing w:after="0" w:line="1" w:lineRule="exact"/>
        <w:rPr>
          <w:rFonts w:ascii="Arial" w:cs="Arial" w:eastAsia="Arial" w:hAnsi="Arial"/>
          <w:sz w:val="16"/>
          <w:szCs w:val="16"/>
          <w:color w:val="auto"/>
        </w:rPr>
      </w:pPr>
    </w:p>
    <w:p>
      <w:pPr>
        <w:ind w:left="480" w:hanging="310"/>
        <w:spacing w:after="0"/>
        <w:tabs>
          <w:tab w:leader="none" w:pos="480" w:val="left"/>
        </w:tabs>
        <w:numPr>
          <w:ilvl w:val="0"/>
          <w:numId w:val="124"/>
        </w:numPr>
        <w:rPr>
          <w:rFonts w:ascii="Arial" w:cs="Arial" w:eastAsia="Arial" w:hAnsi="Arial"/>
          <w:sz w:val="16"/>
          <w:szCs w:val="16"/>
          <w:color w:val="auto"/>
        </w:rPr>
      </w:pPr>
      <w:r>
        <w:rPr>
          <w:rFonts w:ascii="Arial" w:cs="Arial" w:eastAsia="Arial" w:hAnsi="Arial"/>
          <w:sz w:val="18"/>
          <w:szCs w:val="18"/>
          <w:color w:val="auto"/>
        </w:rPr>
        <w:t>Incentive plans have predetermined maximum payouts.</w:t>
      </w:r>
    </w:p>
    <w:p>
      <w:pPr>
        <w:spacing w:after="0" w:line="63" w:lineRule="exact"/>
        <w:rPr>
          <w:rFonts w:ascii="Arial" w:cs="Arial" w:eastAsia="Arial" w:hAnsi="Arial"/>
          <w:sz w:val="16"/>
          <w:szCs w:val="16"/>
          <w:color w:val="auto"/>
        </w:rPr>
      </w:pPr>
    </w:p>
    <w:p>
      <w:pPr>
        <w:ind w:left="480" w:hanging="310"/>
        <w:spacing w:after="0"/>
        <w:tabs>
          <w:tab w:leader="none" w:pos="480" w:val="left"/>
        </w:tabs>
        <w:numPr>
          <w:ilvl w:val="0"/>
          <w:numId w:val="124"/>
        </w:numPr>
        <w:rPr>
          <w:rFonts w:ascii="Arial" w:cs="Arial" w:eastAsia="Arial" w:hAnsi="Arial"/>
          <w:sz w:val="16"/>
          <w:szCs w:val="16"/>
          <w:color w:val="auto"/>
        </w:rPr>
      </w:pPr>
      <w:r>
        <w:rPr>
          <w:rFonts w:ascii="Arial" w:cs="Arial" w:eastAsia="Arial" w:hAnsi="Arial"/>
          <w:sz w:val="18"/>
          <w:szCs w:val="18"/>
          <w:color w:val="auto"/>
        </w:rPr>
        <w:t>Performance objectives are challenging but achievable.</w:t>
      </w:r>
    </w:p>
    <w:p>
      <w:pPr>
        <w:spacing w:after="0" w:line="63" w:lineRule="exact"/>
        <w:rPr>
          <w:rFonts w:ascii="Arial" w:cs="Arial" w:eastAsia="Arial" w:hAnsi="Arial"/>
          <w:sz w:val="16"/>
          <w:szCs w:val="16"/>
          <w:color w:val="auto"/>
        </w:rPr>
      </w:pPr>
    </w:p>
    <w:p>
      <w:pPr>
        <w:ind w:left="500" w:right="160" w:hanging="330"/>
        <w:spacing w:after="0" w:line="281" w:lineRule="auto"/>
        <w:tabs>
          <w:tab w:leader="none" w:pos="489" w:val="left"/>
        </w:tabs>
        <w:numPr>
          <w:ilvl w:val="0"/>
          <w:numId w:val="124"/>
        </w:numPr>
        <w:rPr>
          <w:rFonts w:ascii="Arial" w:cs="Arial" w:eastAsia="Arial" w:hAnsi="Arial"/>
          <w:sz w:val="16"/>
          <w:szCs w:val="16"/>
          <w:color w:val="auto"/>
        </w:rPr>
      </w:pPr>
      <w:r>
        <w:rPr>
          <w:rFonts w:ascii="Arial" w:cs="Arial" w:eastAsia="Arial" w:hAnsi="Arial"/>
          <w:sz w:val="18"/>
          <w:szCs w:val="18"/>
          <w:color w:val="auto"/>
        </w:rPr>
        <w:t>Programs with operational metrics have a continuum of payout multiples based upon achievement of performance milestones, rather than “cliffs” that might encourage suboptimal or improper behavior.</w:t>
      </w:r>
    </w:p>
    <w:p>
      <w:pPr>
        <w:spacing w:after="0" w:line="1" w:lineRule="exact"/>
        <w:rPr>
          <w:rFonts w:ascii="Arial" w:cs="Arial" w:eastAsia="Arial" w:hAnsi="Arial"/>
          <w:sz w:val="16"/>
          <w:szCs w:val="16"/>
          <w:color w:val="auto"/>
        </w:rPr>
      </w:pPr>
    </w:p>
    <w:p>
      <w:pPr>
        <w:ind w:left="500" w:hanging="330"/>
        <w:spacing w:after="0" w:line="281" w:lineRule="auto"/>
        <w:tabs>
          <w:tab w:leader="none" w:pos="489" w:val="left"/>
        </w:tabs>
        <w:numPr>
          <w:ilvl w:val="0"/>
          <w:numId w:val="124"/>
        </w:numPr>
        <w:rPr>
          <w:rFonts w:ascii="Arial" w:cs="Arial" w:eastAsia="Arial" w:hAnsi="Arial"/>
          <w:sz w:val="16"/>
          <w:szCs w:val="16"/>
          <w:color w:val="auto"/>
        </w:rPr>
      </w:pPr>
      <w:r>
        <w:rPr>
          <w:rFonts w:ascii="Arial" w:cs="Arial" w:eastAsia="Arial" w:hAnsi="Arial"/>
          <w:sz w:val="18"/>
          <w:szCs w:val="18"/>
          <w:color w:val="auto"/>
        </w:rPr>
        <w:t>A compensation recovery policy is in place for all members of senior management; negative compensation consequences can result in cases involving serious compliance violations.</w:t>
      </w:r>
    </w:p>
    <w:p>
      <w:pPr>
        <w:spacing w:after="0" w:line="1" w:lineRule="exact"/>
        <w:rPr>
          <w:rFonts w:ascii="Arial" w:cs="Arial" w:eastAsia="Arial" w:hAnsi="Arial"/>
          <w:sz w:val="16"/>
          <w:szCs w:val="16"/>
          <w:color w:val="auto"/>
        </w:rPr>
      </w:pPr>
    </w:p>
    <w:p>
      <w:pPr>
        <w:ind w:left="480" w:hanging="310"/>
        <w:spacing w:after="0"/>
        <w:tabs>
          <w:tab w:leader="none" w:pos="480" w:val="left"/>
        </w:tabs>
        <w:numPr>
          <w:ilvl w:val="0"/>
          <w:numId w:val="124"/>
        </w:numPr>
        <w:rPr>
          <w:rFonts w:ascii="Arial" w:cs="Arial" w:eastAsia="Arial" w:hAnsi="Arial"/>
          <w:sz w:val="16"/>
          <w:szCs w:val="16"/>
          <w:color w:val="auto"/>
        </w:rPr>
      </w:pPr>
      <w:r>
        <w:rPr>
          <w:rFonts w:ascii="Arial" w:cs="Arial" w:eastAsia="Arial" w:hAnsi="Arial"/>
          <w:sz w:val="18"/>
          <w:szCs w:val="18"/>
          <w:color w:val="auto"/>
        </w:rPr>
        <w:t>Meaningful share ownership and retention requirements are in place for all members of senior management and the board.</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Talent and Compensation Committee Report</w:t>
      </w:r>
    </w:p>
    <w:p>
      <w:pPr>
        <w:spacing w:after="0" w:line="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Talent and Compensation Committee evaluates and establishes compensation for executive officers and oversees the deferred compensation plan, management stock plans, and other management incentive and benefit programs. Management has the primary responsibility for the company’s financial statements and reporting process, including the disclosure of executive compensation in the CD&amp;A. With this in mind, the Talent and Compensation Committee has reviewed and discussed the CD&amp;A with management. Based on this discussion, the Talent and Compensation Committee recommended to the board that the CD&amp;A be included in this proxy statement and the company’s Annual Report on Form 10-K for the fiscal year ended December 31, 2022, for filing with the SEC.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Talent and Compensation Committee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Ralph Alvarez, 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 Erik Fyrwald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Kimberly H. Johnson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Juan R. Luciano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Karen Walker</w:t>
      </w:r>
    </w:p>
    <w:p>
      <w:pPr>
        <w:spacing w:after="0" w:line="358"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Compensation Discussion and Analysis</w:t>
      </w:r>
    </w:p>
    <w:p>
      <w:pPr>
        <w:spacing w:after="0" w:line="7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This CD&amp;A describes our executive compensation philosophy, the Talent and Compensation Committee’s process for setting executive compensation, the elements of our compensation program, the factors the Talent and Compensation Committee considered when setting executive compensation for 2022, and how the company’s results affected incentive payouts. This CD&amp;A provides compensation information for our chief executive officer, David Ricks, our chief financial officer, Anat Ashkenazi, and our next three most highly compensated executive officers who were serving as executive officers on December 31, 2022, Daniel Skovronsky, Anat Hakim, and Patrik Jonsson.</w:t>
      </w: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57" w:name="page58"/>
    <w:bookmarkEnd w:id="57"/>
    <w:p>
      <w:pPr>
        <w:ind w:left="288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5674995" cy="825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5674995" cy="8255"/>
                    </a:xfrm>
                    <a:prstGeom prst="rect">
                      <a:avLst/>
                    </a:prstGeom>
                    <a:noFill/>
                  </pic:spPr>
                </pic:pic>
              </a:graphicData>
            </a:graphic>
          </wp:anchor>
        </w:drawing>
        <w:t>Name and principal 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5674995" cy="71120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5674995" cy="71120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1320"/>
        <w:spacing w:after="0"/>
        <w:rPr>
          <w:sz w:val="20"/>
          <w:szCs w:val="20"/>
          <w:color w:val="auto"/>
        </w:rPr>
      </w:pPr>
      <w:r>
        <w:rPr>
          <w:rFonts w:ascii="Arial" w:cs="Arial" w:eastAsia="Arial" w:hAnsi="Arial"/>
          <w:sz w:val="19"/>
          <w:szCs w:val="19"/>
          <w:b w:val="1"/>
          <w:bCs w:val="1"/>
          <w:color w:val="auto"/>
        </w:rPr>
        <w:t>David Ricks</w:t>
      </w:r>
    </w:p>
    <w:p>
      <w:pPr>
        <w:spacing w:after="0" w:line="47"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Chair,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207645</wp:posOffset>
            </wp:positionV>
            <wp:extent cx="5614670" cy="78867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561467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320"/>
        <w:spacing w:after="0"/>
        <w:rPr>
          <w:sz w:val="20"/>
          <w:szCs w:val="20"/>
          <w:color w:val="auto"/>
        </w:rPr>
      </w:pPr>
      <w:r>
        <w:rPr>
          <w:rFonts w:ascii="Arial" w:cs="Arial" w:eastAsia="Arial" w:hAnsi="Arial"/>
          <w:sz w:val="19"/>
          <w:szCs w:val="19"/>
          <w:b w:val="1"/>
          <w:bCs w:val="1"/>
          <w:color w:val="auto"/>
          <w:shd w:val="clear" w:color="auto" w:fill="E6E6E6"/>
        </w:rPr>
        <w:t>Anat Ashkenazi</w:t>
      </w:r>
    </w:p>
    <w:p>
      <w:pPr>
        <w:spacing w:after="0" w:line="47"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216535</wp:posOffset>
            </wp:positionV>
            <wp:extent cx="702945" cy="70294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clrChange>
                        <a:clrFrom>
                          <a:srgbClr val="000000"/>
                        </a:clrFrom>
                        <a:clrTo>
                          <a:srgbClr val="000000">
                            <a:alpha val="0"/>
                          </a:srgbClr>
                        </a:clrTo>
                      </a:clrChange>
                      <a:extLst>
                        <a:ext uri="{28A0092B-C50C-407E-A947-70E740481C1C}"/>
                      </a:extLst>
                    </a:blip>
                    <a:srcRect/>
                    <a:stretch>
                      <a:fillRect/>
                    </a:stretch>
                  </pic:blipFill>
                  <pic:spPr bwMode="auto">
                    <a:xfrm>
                      <a:off x="0" y="0"/>
                      <a:ext cx="702945" cy="70294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216535</wp:posOffset>
            </wp:positionV>
            <wp:extent cx="702945" cy="70294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clrChange>
                        <a:clrFrom>
                          <a:srgbClr val="FFFFFF"/>
                        </a:clrFrom>
                        <a:clrTo>
                          <a:srgbClr val="FFFFFF">
                            <a:alpha val="0"/>
                          </a:srgbClr>
                        </a:clrTo>
                      </a:clrChange>
                      <a:extLst>
                        <a:ext uri="{28A0092B-C50C-407E-A947-70E740481C1C}"/>
                      </a:extLst>
                    </a:blip>
                    <a:srcRect/>
                    <a:stretch>
                      <a:fillRect/>
                    </a:stretch>
                  </pic:blipFill>
                  <pic:spPr bwMode="auto">
                    <a:xfrm>
                      <a:off x="0" y="0"/>
                      <a:ext cx="70294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320"/>
        <w:spacing w:after="0"/>
        <w:rPr>
          <w:sz w:val="20"/>
          <w:szCs w:val="20"/>
          <w:color w:val="auto"/>
        </w:rPr>
      </w:pPr>
      <w:r>
        <w:rPr>
          <w:rFonts w:ascii="Arial" w:cs="Arial" w:eastAsia="Arial" w:hAnsi="Arial"/>
          <w:sz w:val="19"/>
          <w:szCs w:val="19"/>
          <w:b w:val="1"/>
          <w:bCs w:val="1"/>
          <w:color w:val="auto"/>
        </w:rPr>
        <w:t>Daniel Skovronsky, M.D., Ph.D.</w:t>
      </w:r>
    </w:p>
    <w:p>
      <w:pPr>
        <w:spacing w:after="0" w:line="47"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Executive Vice President, Chief Scientific and Medical Officer and President, Lilly Research Laboratories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207645</wp:posOffset>
            </wp:positionV>
            <wp:extent cx="5614670" cy="77152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561467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320"/>
        <w:spacing w:after="0"/>
        <w:rPr>
          <w:sz w:val="20"/>
          <w:szCs w:val="20"/>
          <w:color w:val="auto"/>
        </w:rPr>
      </w:pPr>
      <w:r>
        <w:rPr>
          <w:rFonts w:ascii="Arial" w:cs="Arial" w:eastAsia="Arial" w:hAnsi="Arial"/>
          <w:sz w:val="19"/>
          <w:szCs w:val="19"/>
          <w:b w:val="1"/>
          <w:bCs w:val="1"/>
          <w:color w:val="auto"/>
          <w:shd w:val="clear" w:color="auto" w:fill="E6E6E6"/>
        </w:rPr>
        <w:t>Anat Hakim</w:t>
      </w:r>
    </w:p>
    <w:p>
      <w:pPr>
        <w:spacing w:after="0" w:line="47"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Executive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207645</wp:posOffset>
            </wp:positionV>
            <wp:extent cx="711200" cy="71120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clrChange>
                        <a:clrFrom>
                          <a:srgbClr val="000000"/>
                        </a:clrFrom>
                        <a:clrTo>
                          <a:srgbClr val="000000">
                            <a:alpha val="0"/>
                          </a:srgbClr>
                        </a:clrTo>
                      </a:clrChange>
                      <a:extLst>
                        <a:ext uri="{28A0092B-C50C-407E-A947-70E740481C1C}"/>
                      </a:extLst>
                    </a:blip>
                    <a:srcRect/>
                    <a:stretch>
                      <a:fillRect/>
                    </a:stretch>
                  </pic:blipFill>
                  <pic:spPr bwMode="auto">
                    <a:xfrm>
                      <a:off x="0" y="0"/>
                      <a:ext cx="711200" cy="71120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207645</wp:posOffset>
            </wp:positionV>
            <wp:extent cx="711200" cy="71120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clrChange>
                        <a:clrFrom>
                          <a:srgbClr val="FFFFFF"/>
                        </a:clrFrom>
                        <a:clrTo>
                          <a:srgbClr val="FFFFFF">
                            <a:alpha val="0"/>
                          </a:srgbClr>
                        </a:clrTo>
                      </a:clrChange>
                      <a:extLst>
                        <a:ext uri="{28A0092B-C50C-407E-A947-70E740481C1C}"/>
                      </a:extLst>
                    </a:blip>
                    <a:srcRect/>
                    <a:stretch>
                      <a:fillRect/>
                    </a:stretch>
                  </pic:blipFill>
                  <pic:spPr bwMode="auto">
                    <a:xfrm>
                      <a:off x="0" y="0"/>
                      <a:ext cx="71120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320"/>
        <w:spacing w:after="0"/>
        <w:rPr>
          <w:sz w:val="20"/>
          <w:szCs w:val="20"/>
          <w:color w:val="auto"/>
        </w:rPr>
      </w:pPr>
      <w:r>
        <w:rPr>
          <w:rFonts w:ascii="Arial" w:cs="Arial" w:eastAsia="Arial" w:hAnsi="Arial"/>
          <w:sz w:val="19"/>
          <w:szCs w:val="19"/>
          <w:b w:val="1"/>
          <w:bCs w:val="1"/>
          <w:color w:val="auto"/>
        </w:rPr>
        <w:t>Patrik Jonsson</w:t>
      </w:r>
    </w:p>
    <w:p>
      <w:pPr>
        <w:spacing w:after="0" w:line="47"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Executive Vice President and President, Lilly Immunology, Lilly USA and Chief Customer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5674995"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5674995" cy="8890"/>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Our Philosophy on Compensation</w:t>
      </w:r>
    </w:p>
    <w:p>
      <w:pPr>
        <w:spacing w:after="0" w:line="6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Lilly, our purpose is to unite caring with discovery to create medicines that make life better for people around the world. To do this, we must attract, engage, and retain highly talented individuals from a variety of backgrounds and motivate them to create long-term shareholder value by achieving top-tier corporate performance while embracing the company’s core values of integrity, excellence, and respect for people. Our compensation programs are designed to help us achieve these goals while balancing the long-term interests of our shareholders and customers.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Objectives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and benefits programs are based on the following objectives:</w:t>
      </w:r>
    </w:p>
    <w:p>
      <w:pPr>
        <w:spacing w:after="0" w:line="166" w:lineRule="exact"/>
        <w:rPr>
          <w:sz w:val="20"/>
          <w:szCs w:val="20"/>
          <w:color w:val="auto"/>
        </w:rPr>
      </w:pPr>
    </w:p>
    <w:p>
      <w:pPr>
        <w:ind w:left="660" w:right="80" w:hanging="328"/>
        <w:spacing w:after="0" w:line="264" w:lineRule="auto"/>
        <w:tabs>
          <w:tab w:leader="none" w:pos="649" w:val="left"/>
        </w:tabs>
        <w:numPr>
          <w:ilvl w:val="0"/>
          <w:numId w:val="125"/>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Reflect individual and company performance: </w:t>
      </w:r>
      <w:r>
        <w:rPr>
          <w:rFonts w:ascii="Arial" w:cs="Arial" w:eastAsia="Arial" w:hAnsi="Arial"/>
          <w:sz w:val="17"/>
          <w:szCs w:val="17"/>
          <w:color w:val="000000"/>
        </w:rPr>
        <w:t>We reinforce a high-performance culture by linking pay with individual and</w:t>
      </w:r>
      <w:r>
        <w:rPr>
          <w:rFonts w:ascii="Arial" w:cs="Arial" w:eastAsia="Arial" w:hAnsi="Arial"/>
          <w:sz w:val="20"/>
          <w:szCs w:val="20"/>
          <w:b w:val="1"/>
          <w:bCs w:val="1"/>
          <w:color w:val="D52B1E"/>
        </w:rPr>
        <w:t xml:space="preserve"> </w:t>
      </w:r>
      <w:r>
        <w:rPr>
          <w:rFonts w:ascii="Arial" w:cs="Arial" w:eastAsia="Arial" w:hAnsi="Arial"/>
          <w:sz w:val="17"/>
          <w:szCs w:val="17"/>
          <w:color w:val="000000"/>
        </w:rPr>
        <w:t>company performance. As employees assume greater responsibilities, the proportion of total compensation based on absolute company performance, relative company performance and shareholder returns increases. We perform annual reviews to ensure our programs provide an incentive to deliver long-term, sustainable business results while discouraging excessive risk-taking or other adverse behaviors.</w:t>
      </w:r>
    </w:p>
    <w:p>
      <w:pPr>
        <w:spacing w:after="0" w:line="319" w:lineRule="exact"/>
        <w:rPr>
          <w:rFonts w:ascii="Arial" w:cs="Arial" w:eastAsia="Arial" w:hAnsi="Arial"/>
          <w:sz w:val="16"/>
          <w:szCs w:val="16"/>
          <w:b w:val="1"/>
          <w:bCs w:val="1"/>
          <w:color w:val="D52B1E"/>
        </w:rPr>
      </w:pPr>
    </w:p>
    <w:p>
      <w:pPr>
        <w:ind w:left="660" w:right="300" w:hanging="328"/>
        <w:spacing w:after="0" w:line="253" w:lineRule="auto"/>
        <w:tabs>
          <w:tab w:leader="none" w:pos="649" w:val="left"/>
        </w:tabs>
        <w:numPr>
          <w:ilvl w:val="0"/>
          <w:numId w:val="125"/>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Attract and retain talented employees: </w:t>
      </w:r>
      <w:r>
        <w:rPr>
          <w:rFonts w:ascii="Arial" w:cs="Arial" w:eastAsia="Arial" w:hAnsi="Arial"/>
          <w:sz w:val="17"/>
          <w:szCs w:val="17"/>
          <w:color w:val="000000"/>
        </w:rPr>
        <w:t>Compensation opportunity is market competitive and reflects the level of job impact</w:t>
      </w:r>
      <w:r>
        <w:rPr>
          <w:rFonts w:ascii="Arial" w:cs="Arial" w:eastAsia="Arial" w:hAnsi="Arial"/>
          <w:sz w:val="20"/>
          <w:szCs w:val="20"/>
          <w:b w:val="1"/>
          <w:bCs w:val="1"/>
          <w:color w:val="D52B1E"/>
        </w:rPr>
        <w:t xml:space="preserve"> </w:t>
      </w:r>
      <w:r>
        <w:rPr>
          <w:rFonts w:ascii="Arial" w:cs="Arial" w:eastAsia="Arial" w:hAnsi="Arial"/>
          <w:sz w:val="17"/>
          <w:szCs w:val="17"/>
          <w:color w:val="000000"/>
        </w:rPr>
        <w:t>and responsibilities. Retention of talent is an important factor in the design of our compensation and benefit programs.</w:t>
      </w:r>
    </w:p>
    <w:p>
      <w:pPr>
        <w:spacing w:after="0" w:line="122" w:lineRule="exact"/>
        <w:rPr>
          <w:rFonts w:ascii="Arial" w:cs="Arial" w:eastAsia="Arial" w:hAnsi="Arial"/>
          <w:sz w:val="16"/>
          <w:szCs w:val="16"/>
          <w:b w:val="1"/>
          <w:bCs w:val="1"/>
          <w:color w:val="D52B1E"/>
        </w:rPr>
      </w:pPr>
    </w:p>
    <w:p>
      <w:pPr>
        <w:ind w:left="660" w:right="240" w:hanging="328"/>
        <w:spacing w:after="0" w:line="274" w:lineRule="auto"/>
        <w:tabs>
          <w:tab w:leader="none" w:pos="649" w:val="left"/>
        </w:tabs>
        <w:numPr>
          <w:ilvl w:val="0"/>
          <w:numId w:val="125"/>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Implement broad-based programs: </w:t>
      </w:r>
      <w:r>
        <w:rPr>
          <w:rFonts w:ascii="Arial" w:cs="Arial" w:eastAsia="Arial" w:hAnsi="Arial"/>
          <w:sz w:val="17"/>
          <w:szCs w:val="17"/>
          <w:color w:val="000000"/>
        </w:rPr>
        <w:t>While the amount of compensation paid to employees varies, the overall structure of our</w:t>
      </w:r>
      <w:r>
        <w:rPr>
          <w:rFonts w:ascii="Arial" w:cs="Arial" w:eastAsia="Arial" w:hAnsi="Arial"/>
          <w:sz w:val="20"/>
          <w:szCs w:val="20"/>
          <w:b w:val="1"/>
          <w:bCs w:val="1"/>
          <w:color w:val="D52B1E"/>
        </w:rPr>
        <w:t xml:space="preserve"> </w:t>
      </w:r>
      <w:r>
        <w:rPr>
          <w:rFonts w:ascii="Arial" w:cs="Arial" w:eastAsia="Arial" w:hAnsi="Arial"/>
          <w:sz w:val="17"/>
          <w:szCs w:val="17"/>
          <w:color w:val="000000"/>
        </w:rPr>
        <w:t>compensation and benefit programs is broadly similar across the organization to encourage and reward all employees who contribute to our success.</w:t>
      </w:r>
    </w:p>
    <w:p>
      <w:pPr>
        <w:spacing w:after="0" w:line="102" w:lineRule="exact"/>
        <w:rPr>
          <w:rFonts w:ascii="Arial" w:cs="Arial" w:eastAsia="Arial" w:hAnsi="Arial"/>
          <w:sz w:val="16"/>
          <w:szCs w:val="16"/>
          <w:b w:val="1"/>
          <w:bCs w:val="1"/>
          <w:color w:val="D52B1E"/>
        </w:rPr>
      </w:pPr>
    </w:p>
    <w:p>
      <w:pPr>
        <w:ind w:left="660" w:right="40" w:hanging="328"/>
        <w:spacing w:after="0" w:line="315" w:lineRule="auto"/>
        <w:tabs>
          <w:tab w:leader="none" w:pos="649" w:val="left"/>
        </w:tabs>
        <w:numPr>
          <w:ilvl w:val="0"/>
          <w:numId w:val="125"/>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Consider shareholder input: </w:t>
      </w:r>
      <w:r>
        <w:rPr>
          <w:rFonts w:ascii="Arial" w:cs="Arial" w:eastAsia="Arial" w:hAnsi="Arial"/>
          <w:sz w:val="17"/>
          <w:szCs w:val="17"/>
          <w:color w:val="000000"/>
        </w:rPr>
        <w:t>Management and the Talent and Compensation Committee consider the results of our annual say-on-pay vote and other sources of shareholder feedback when designing executive compensation and benefit programs.</w:t>
      </w:r>
    </w:p>
    <w:p>
      <w:pPr>
        <w:sectPr>
          <w:pgSz w:w="11900" w:h="16838" w:orient="portrait"/>
          <w:cols w:equalWidth="0" w:num="1">
            <w:col w:w="11220"/>
          </w:cols>
          <w:pgMar w:left="320" w:top="948" w:right="359" w:bottom="1440"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8" w:right="35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22"/>
          <w:szCs w:val="22"/>
          <w:b w:val="1"/>
          <w:bCs w:val="1"/>
          <w:color w:val="auto"/>
        </w:rPr>
        <w:t>Say-on-Pay Results</w:t>
      </w:r>
    </w:p>
    <w:p>
      <w:pPr>
        <w:spacing w:after="0" w:line="18"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At our 2022 annual meeting of shareholders, greater than 94 percent of the votes cast were in favor of the company’s say-on-pay proposal on executive compensation. Management and the Talent and Compensation Committee view this vote as supportive of the company’s overall approach toward executive compensation.</w:t>
      </w:r>
    </w:p>
    <w:p>
      <w:pPr>
        <w:spacing w:after="0" w:line="119"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Talent and Compensation Committee’s Processes and Analyses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Setting Compensation</w:t>
      </w:r>
    </w:p>
    <w:p>
      <w:pPr>
        <w:spacing w:after="0" w:line="18"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The Talent and Compensation Committee considers individual performance assessments, compensation recommendations from the CEO (with respect to each of the other executive officers), company performance, peer group data, input from its compensation consultant, feedback from shareholders, and its own judgment when determining compensation for the company’s executive officers.</w:t>
      </w:r>
    </w:p>
    <w:p>
      <w:pPr>
        <w:spacing w:after="0" w:line="120" w:lineRule="exact"/>
        <w:rPr>
          <w:sz w:val="20"/>
          <w:szCs w:val="20"/>
          <w:color w:val="auto"/>
        </w:rPr>
      </w:pPr>
    </w:p>
    <w:p>
      <w:pPr>
        <w:ind w:left="640" w:hanging="308"/>
        <w:spacing w:after="0"/>
        <w:tabs>
          <w:tab w:leader="none" w:pos="640" w:val="left"/>
        </w:tabs>
        <w:numPr>
          <w:ilvl w:val="0"/>
          <w:numId w:val="126"/>
        </w:numPr>
        <w:rPr>
          <w:rFonts w:ascii="Arial" w:cs="Arial" w:eastAsia="Arial" w:hAnsi="Arial"/>
          <w:sz w:val="16"/>
          <w:szCs w:val="16"/>
          <w:b w:val="1"/>
          <w:bCs w:val="1"/>
          <w:color w:val="D52B1E"/>
        </w:rPr>
      </w:pPr>
      <w:r>
        <w:rPr>
          <w:rFonts w:ascii="Arial" w:cs="Arial" w:eastAsia="Arial" w:hAnsi="Arial"/>
          <w:sz w:val="20"/>
          <w:szCs w:val="20"/>
          <w:b w:val="1"/>
          <w:bCs w:val="1"/>
          <w:color w:val="D52B1E"/>
        </w:rPr>
        <w:t>Individual performance:</w:t>
      </w:r>
    </w:p>
    <w:p>
      <w:pPr>
        <w:spacing w:after="0" w:line="58" w:lineRule="exact"/>
        <w:rPr>
          <w:rFonts w:ascii="Arial" w:cs="Arial" w:eastAsia="Arial" w:hAnsi="Arial"/>
          <w:sz w:val="16"/>
          <w:szCs w:val="16"/>
          <w:b w:val="1"/>
          <w:bCs w:val="1"/>
          <w:color w:val="D52B1E"/>
        </w:rPr>
      </w:pPr>
    </w:p>
    <w:p>
      <w:pPr>
        <w:ind w:left="980" w:hanging="324"/>
        <w:spacing w:after="0" w:line="259" w:lineRule="auto"/>
        <w:rPr>
          <w:rFonts w:ascii="Arial" w:cs="Arial" w:eastAsia="Arial" w:hAnsi="Arial"/>
          <w:sz w:val="16"/>
          <w:szCs w:val="16"/>
          <w:b w:val="1"/>
          <w:bCs w:val="1"/>
          <w:color w:val="D52B1E"/>
        </w:rPr>
      </w:pPr>
      <w:r>
        <w:rPr>
          <w:rFonts w:ascii="Arial" w:cs="Arial" w:eastAsia="Arial" w:hAnsi="Arial"/>
          <w:sz w:val="18"/>
          <w:szCs w:val="18"/>
          <w:b w:val="1"/>
          <w:bCs w:val="1"/>
          <w:color w:val="00A1DE"/>
        </w:rPr>
        <w:t xml:space="preserve">– CEO: </w:t>
      </w:r>
      <w:r>
        <w:rPr>
          <w:rFonts w:ascii="Arial" w:cs="Arial" w:eastAsia="Arial" w:hAnsi="Arial"/>
          <w:sz w:val="18"/>
          <w:szCs w:val="18"/>
          <w:color w:val="000000"/>
        </w:rPr>
        <w:t>Generally, the independent directors, under the direction of the lead independent director, meet with the CEO at the</w:t>
      </w:r>
      <w:r>
        <w:rPr>
          <w:rFonts w:ascii="Arial" w:cs="Arial" w:eastAsia="Arial" w:hAnsi="Arial"/>
          <w:sz w:val="18"/>
          <w:szCs w:val="18"/>
          <w:b w:val="1"/>
          <w:bCs w:val="1"/>
          <w:color w:val="00A1DE"/>
        </w:rPr>
        <w:t xml:space="preserve"> </w:t>
      </w:r>
      <w:r>
        <w:rPr>
          <w:rFonts w:ascii="Arial" w:cs="Arial" w:eastAsia="Arial" w:hAnsi="Arial"/>
          <w:sz w:val="18"/>
          <w:szCs w:val="18"/>
          <w:color w:val="000000"/>
        </w:rPr>
        <w:t>beginning of each year to establish the CEO’s performance objectives. At the end of the year, the independent directors meet to assess the CEO’s achievement of those objectives along with other factors, including contribution to the company’s performance, environmental, social (DEI) and governance matters, ethics, and integrity. This evaluation is used in setting the CEO’s compensation opportunity for the next year.</w:t>
      </w:r>
    </w:p>
    <w:p>
      <w:pPr>
        <w:spacing w:after="0" w:line="17" w:lineRule="exact"/>
        <w:rPr>
          <w:rFonts w:ascii="Arial" w:cs="Arial" w:eastAsia="Arial" w:hAnsi="Arial"/>
          <w:sz w:val="16"/>
          <w:szCs w:val="16"/>
          <w:b w:val="1"/>
          <w:bCs w:val="1"/>
          <w:color w:val="D52B1E"/>
        </w:rPr>
      </w:pPr>
    </w:p>
    <w:p>
      <w:pPr>
        <w:ind w:left="980" w:right="40" w:hanging="324"/>
        <w:spacing w:after="0" w:line="256" w:lineRule="auto"/>
        <w:rPr>
          <w:rFonts w:ascii="Arial" w:cs="Arial" w:eastAsia="Arial" w:hAnsi="Arial"/>
          <w:sz w:val="16"/>
          <w:szCs w:val="16"/>
          <w:b w:val="1"/>
          <w:bCs w:val="1"/>
          <w:color w:val="D52B1E"/>
        </w:rPr>
      </w:pPr>
      <w:r>
        <w:rPr>
          <w:rFonts w:ascii="Arial" w:cs="Arial" w:eastAsia="Arial" w:hAnsi="Arial"/>
          <w:sz w:val="18"/>
          <w:szCs w:val="18"/>
          <w:b w:val="1"/>
          <w:bCs w:val="1"/>
          <w:color w:val="00A1DE"/>
        </w:rPr>
        <w:t xml:space="preserve">– Other Executives: </w:t>
      </w:r>
      <w:r>
        <w:rPr>
          <w:rFonts w:ascii="Arial" w:cs="Arial" w:eastAsia="Arial" w:hAnsi="Arial"/>
          <w:sz w:val="18"/>
          <w:szCs w:val="18"/>
          <w:color w:val="000000"/>
        </w:rPr>
        <w:t>The Talent and Compensation Committee receives individual performance assessments and target</w:t>
      </w:r>
      <w:r>
        <w:rPr>
          <w:rFonts w:ascii="Arial" w:cs="Arial" w:eastAsia="Arial" w:hAnsi="Arial"/>
          <w:sz w:val="18"/>
          <w:szCs w:val="18"/>
          <w:b w:val="1"/>
          <w:bCs w:val="1"/>
          <w:color w:val="00A1DE"/>
        </w:rPr>
        <w:t xml:space="preserve"> </w:t>
      </w:r>
      <w:r>
        <w:rPr>
          <w:rFonts w:ascii="Arial" w:cs="Arial" w:eastAsia="Arial" w:hAnsi="Arial"/>
          <w:sz w:val="18"/>
          <w:szCs w:val="18"/>
          <w:color w:val="000000"/>
        </w:rPr>
        <w:t>compensation recommendations from the CEO for each of the remaining executive officers. Each executive officer’s performance assessment is based on the achievement of objectives established at the start of the year, as well as other factors, including contribution to the company’s performance, environmental, social (DEI) and governance matters, ethics, and integrity. The Talent and Compensation Committee considers these inputs, its knowledge of and interactions with each executive officer, and its judgment to develop a final individual performance assessment. For new executive officers, target compensation is set by the Talent and Compensation Committee at the time of promotion or appointment.</w:t>
      </w:r>
    </w:p>
    <w:p>
      <w:pPr>
        <w:spacing w:after="0" w:line="177" w:lineRule="exact"/>
        <w:rPr>
          <w:rFonts w:ascii="Arial" w:cs="Arial" w:eastAsia="Arial" w:hAnsi="Arial"/>
          <w:sz w:val="16"/>
          <w:szCs w:val="16"/>
          <w:b w:val="1"/>
          <w:bCs w:val="1"/>
          <w:color w:val="D52B1E"/>
        </w:rPr>
      </w:pPr>
    </w:p>
    <w:p>
      <w:pPr>
        <w:ind w:left="640" w:hanging="308"/>
        <w:spacing w:after="0"/>
        <w:tabs>
          <w:tab w:leader="none" w:pos="640" w:val="left"/>
        </w:tabs>
        <w:numPr>
          <w:ilvl w:val="0"/>
          <w:numId w:val="126"/>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Company performance: </w:t>
      </w:r>
      <w:r>
        <w:rPr>
          <w:rFonts w:ascii="Arial" w:cs="Arial" w:eastAsia="Arial" w:hAnsi="Arial"/>
          <w:sz w:val="17"/>
          <w:szCs w:val="17"/>
          <w:color w:val="000000"/>
        </w:rPr>
        <w:t>Lilly performance is considered in multiple ways:</w:t>
      </w:r>
    </w:p>
    <w:p>
      <w:pPr>
        <w:spacing w:after="0" w:line="85" w:lineRule="exact"/>
        <w:rPr>
          <w:rFonts w:ascii="Arial" w:cs="Arial" w:eastAsia="Arial" w:hAnsi="Arial"/>
          <w:sz w:val="16"/>
          <w:szCs w:val="16"/>
          <w:b w:val="1"/>
          <w:bCs w:val="1"/>
          <w:color w:val="D52B1E"/>
        </w:rPr>
      </w:pPr>
    </w:p>
    <w:p>
      <w:pPr>
        <w:ind w:left="660"/>
        <w:spacing w:after="0"/>
        <w:rPr>
          <w:rFonts w:ascii="Arial" w:cs="Arial" w:eastAsia="Arial" w:hAnsi="Arial"/>
          <w:sz w:val="16"/>
          <w:szCs w:val="16"/>
          <w:b w:val="1"/>
          <w:bCs w:val="1"/>
          <w:color w:val="D52B1E"/>
        </w:rPr>
      </w:pPr>
      <w:r>
        <w:rPr>
          <w:rFonts w:ascii="Arial" w:cs="Arial" w:eastAsia="Arial" w:hAnsi="Arial"/>
          <w:sz w:val="18"/>
          <w:szCs w:val="18"/>
          <w:color w:val="auto"/>
        </w:rPr>
        <w:t>–  Overall prior year performance is a factor in setting target compensation for the upcoming year.</w:t>
      </w:r>
    </w:p>
    <w:p>
      <w:pPr>
        <w:spacing w:after="0" w:line="63" w:lineRule="exact"/>
        <w:rPr>
          <w:rFonts w:ascii="Arial" w:cs="Arial" w:eastAsia="Arial" w:hAnsi="Arial"/>
          <w:sz w:val="16"/>
          <w:szCs w:val="16"/>
          <w:b w:val="1"/>
          <w:bCs w:val="1"/>
          <w:color w:val="D52B1E"/>
        </w:rPr>
      </w:pPr>
    </w:p>
    <w:p>
      <w:pPr>
        <w:ind w:left="980" w:right="180" w:hanging="324"/>
        <w:spacing w:after="0" w:line="281" w:lineRule="auto"/>
        <w:rPr>
          <w:rFonts w:ascii="Arial" w:cs="Arial" w:eastAsia="Arial" w:hAnsi="Arial"/>
          <w:sz w:val="16"/>
          <w:szCs w:val="16"/>
          <w:b w:val="1"/>
          <w:bCs w:val="1"/>
          <w:color w:val="D52B1E"/>
        </w:rPr>
      </w:pPr>
      <w:r>
        <w:rPr>
          <w:rFonts w:ascii="Arial" w:cs="Arial" w:eastAsia="Arial" w:hAnsi="Arial"/>
          <w:sz w:val="18"/>
          <w:szCs w:val="18"/>
          <w:color w:val="auto"/>
        </w:rPr>
        <w:t>– At the beginning of each calendar year, annual performance goals are established and approved by the Talent and Compensation Committee. Performance against these annual goals is used to determine the short-term cash incentive payout.</w:t>
      </w:r>
    </w:p>
    <w:p>
      <w:pPr>
        <w:spacing w:after="0" w:line="1" w:lineRule="exact"/>
        <w:rPr>
          <w:rFonts w:ascii="Arial" w:cs="Arial" w:eastAsia="Arial" w:hAnsi="Arial"/>
          <w:sz w:val="16"/>
          <w:szCs w:val="16"/>
          <w:b w:val="1"/>
          <w:bCs w:val="1"/>
          <w:color w:val="D52B1E"/>
        </w:rPr>
      </w:pPr>
    </w:p>
    <w:p>
      <w:pPr>
        <w:ind w:left="980" w:right="320" w:hanging="324"/>
        <w:spacing w:after="0" w:line="287" w:lineRule="auto"/>
        <w:rPr>
          <w:rFonts w:ascii="Arial" w:cs="Arial" w:eastAsia="Arial" w:hAnsi="Arial"/>
          <w:sz w:val="16"/>
          <w:szCs w:val="16"/>
          <w:b w:val="1"/>
          <w:bCs w:val="1"/>
          <w:color w:val="D52B1E"/>
        </w:rPr>
      </w:pPr>
      <w:r>
        <w:rPr>
          <w:rFonts w:ascii="Arial" w:cs="Arial" w:eastAsia="Arial" w:hAnsi="Arial"/>
          <w:sz w:val="18"/>
          <w:szCs w:val="18"/>
          <w:color w:val="auto"/>
        </w:rPr>
        <w:t>– Prior to the annual equity grant, multi-year performance goals are established and approved by the Talent and Compensation Committee. Performance against these multi-year objectives is used to determine the long-term incentive equity payout.</w:t>
      </w:r>
    </w:p>
    <w:p>
      <w:pPr>
        <w:spacing w:after="0" w:line="40" w:lineRule="exact"/>
        <w:rPr>
          <w:rFonts w:ascii="Arial" w:cs="Arial" w:eastAsia="Arial" w:hAnsi="Arial"/>
          <w:sz w:val="16"/>
          <w:szCs w:val="16"/>
          <w:b w:val="1"/>
          <w:bCs w:val="1"/>
          <w:color w:val="D52B1E"/>
        </w:rPr>
      </w:pPr>
    </w:p>
    <w:p>
      <w:pPr>
        <w:ind w:left="660" w:right="220" w:hanging="328"/>
        <w:spacing w:after="0" w:line="278" w:lineRule="auto"/>
        <w:tabs>
          <w:tab w:leader="none" w:pos="649" w:val="left"/>
        </w:tabs>
        <w:numPr>
          <w:ilvl w:val="0"/>
          <w:numId w:val="126"/>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Peer group analysis: </w:t>
      </w:r>
      <w:r>
        <w:rPr>
          <w:rFonts w:ascii="Arial" w:cs="Arial" w:eastAsia="Arial" w:hAnsi="Arial"/>
          <w:sz w:val="17"/>
          <w:szCs w:val="17"/>
          <w:color w:val="000000"/>
        </w:rPr>
        <w:t>The Talent and Compensation Committee uses data from the peer group described below as a market</w:t>
      </w:r>
      <w:r>
        <w:rPr>
          <w:rFonts w:ascii="Arial" w:cs="Arial" w:eastAsia="Arial" w:hAnsi="Arial"/>
          <w:sz w:val="20"/>
          <w:szCs w:val="20"/>
          <w:b w:val="1"/>
          <w:bCs w:val="1"/>
          <w:color w:val="D52B1E"/>
        </w:rPr>
        <w:t xml:space="preserve"> </w:t>
      </w:r>
      <w:r>
        <w:rPr>
          <w:rFonts w:ascii="Arial" w:cs="Arial" w:eastAsia="Arial" w:hAnsi="Arial"/>
          <w:sz w:val="17"/>
          <w:szCs w:val="17"/>
          <w:color w:val="000000"/>
        </w:rPr>
        <w:t>check for compensation decisions but does not use these data as the sole basis for its compensation targets and does not target a specific position within that range of market data.</w:t>
      </w:r>
    </w:p>
    <w:p>
      <w:pPr>
        <w:spacing w:after="0" w:line="104" w:lineRule="exact"/>
        <w:rPr>
          <w:rFonts w:ascii="Arial" w:cs="Arial" w:eastAsia="Arial" w:hAnsi="Arial"/>
          <w:sz w:val="16"/>
          <w:szCs w:val="16"/>
          <w:b w:val="1"/>
          <w:bCs w:val="1"/>
          <w:color w:val="D52B1E"/>
        </w:rPr>
      </w:pPr>
    </w:p>
    <w:p>
      <w:pPr>
        <w:ind w:left="660" w:right="360" w:hanging="328"/>
        <w:spacing w:after="0" w:line="281" w:lineRule="auto"/>
        <w:tabs>
          <w:tab w:leader="none" w:pos="649" w:val="left"/>
        </w:tabs>
        <w:numPr>
          <w:ilvl w:val="0"/>
          <w:numId w:val="126"/>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Input from independent compensation consultant: </w:t>
      </w:r>
      <w:r>
        <w:rPr>
          <w:rFonts w:ascii="Arial" w:cs="Arial" w:eastAsia="Arial" w:hAnsi="Arial"/>
          <w:sz w:val="17"/>
          <w:szCs w:val="17"/>
          <w:color w:val="000000"/>
        </w:rPr>
        <w:t>The Talent and Compensation Committee considers the advice of its</w:t>
      </w:r>
      <w:r>
        <w:rPr>
          <w:rFonts w:ascii="Arial" w:cs="Arial" w:eastAsia="Arial" w:hAnsi="Arial"/>
          <w:sz w:val="20"/>
          <w:szCs w:val="20"/>
          <w:b w:val="1"/>
          <w:bCs w:val="1"/>
          <w:color w:val="D52B1E"/>
        </w:rPr>
        <w:t xml:space="preserve"> </w:t>
      </w:r>
      <w:r>
        <w:rPr>
          <w:rFonts w:ascii="Arial" w:cs="Arial" w:eastAsia="Arial" w:hAnsi="Arial"/>
          <w:sz w:val="17"/>
          <w:szCs w:val="17"/>
          <w:color w:val="000000"/>
        </w:rPr>
        <w:t>independent compensation consultant, FW Cook, when setting executive officer compensation.</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Competitive Pay Assessment</w:t>
      </w:r>
    </w:p>
    <w:p>
      <w:pPr>
        <w:spacing w:after="0" w:line="1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Lilly’s peer group is composed of companies that directly compete with Lilly, use a similar business model, and employ people with the unique skills required to operate an established biopharmaceutical company. The Talent and Compensation Committee selects a peer group whose median market cap and revenue are broadly like Lilly’s. The Talent and Compensation Committee reviews and approves the peer group at least every three years, and the Chair and independent compensation consultant review the peer group annually. The Talent and Compensation Committee established the following peer group in May 2021 for purposes of assessing competitive pay:</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9" w:name="page60"/>
    <w:bookmarkEnd w:id="59"/>
    <w:tbl>
      <w:tblPr>
        <w:tblLayout w:type="fixed"/>
        <w:tblInd w:w="680" w:type="dxa"/>
        <w:tblCellMar>
          <w:top w:w="0" w:type="dxa"/>
          <w:left w:w="0" w:type="dxa"/>
          <w:bottom w:w="0" w:type="dxa"/>
          <w:right w:w="0" w:type="dxa"/>
        </w:tblCellMar>
      </w:tblPr>
      <w:tr>
        <w:trPr>
          <w:trHeight w:val="239"/>
        </w:trPr>
        <w:tc>
          <w:tcPr>
            <w:tcW w:w="1460" w:type="dxa"/>
            <w:vAlign w:val="bottom"/>
          </w:tcPr>
          <w:p>
            <w:pPr>
              <w:spacing w:after="0"/>
              <w:rPr>
                <w:sz w:val="20"/>
                <w:szCs w:val="20"/>
                <w:color w:val="auto"/>
              </w:rPr>
            </w:pPr>
            <w:r>
              <w:rPr>
                <w:rFonts w:ascii="Arial" w:cs="Arial" w:eastAsia="Arial" w:hAnsi="Arial"/>
                <w:sz w:val="18"/>
                <w:szCs w:val="18"/>
                <w:color w:val="auto"/>
              </w:rPr>
              <w:t>AbbVie</w:t>
            </w:r>
          </w:p>
        </w:tc>
        <w:tc>
          <w:tcPr>
            <w:tcW w:w="2460" w:type="dxa"/>
            <w:vAlign w:val="bottom"/>
          </w:tcPr>
          <w:p>
            <w:pPr>
              <w:ind w:left="460"/>
              <w:spacing w:after="0"/>
              <w:rPr>
                <w:sz w:val="20"/>
                <w:szCs w:val="20"/>
                <w:color w:val="auto"/>
              </w:rPr>
            </w:pPr>
            <w:r>
              <w:rPr>
                <w:rFonts w:ascii="Arial" w:cs="Arial" w:eastAsia="Arial" w:hAnsi="Arial"/>
                <w:sz w:val="18"/>
                <w:szCs w:val="18"/>
                <w:color w:val="auto"/>
              </w:rPr>
              <w:t>Bristol-Myers Squibb</w:t>
            </w:r>
          </w:p>
        </w:tc>
        <w:tc>
          <w:tcPr>
            <w:tcW w:w="1820" w:type="dxa"/>
            <w:vAlign w:val="bottom"/>
          </w:tcPr>
          <w:p>
            <w:pPr>
              <w:ind w:left="360"/>
              <w:spacing w:after="0"/>
              <w:rPr>
                <w:sz w:val="20"/>
                <w:szCs w:val="20"/>
                <w:color w:val="auto"/>
              </w:rPr>
            </w:pPr>
            <w:r>
              <w:rPr>
                <w:rFonts w:ascii="Arial" w:cs="Arial" w:eastAsia="Arial" w:hAnsi="Arial"/>
                <w:sz w:val="18"/>
                <w:szCs w:val="18"/>
                <w:color w:val="auto"/>
              </w:rPr>
              <w:t>Merck</w:t>
            </w:r>
          </w:p>
        </w:tc>
        <w:tc>
          <w:tcPr>
            <w:tcW w:w="940" w:type="dxa"/>
            <w:vAlign w:val="bottom"/>
          </w:tcPr>
          <w:p>
            <w:pPr>
              <w:ind w:left="360"/>
              <w:spacing w:after="0"/>
              <w:rPr>
                <w:sz w:val="20"/>
                <w:szCs w:val="20"/>
                <w:color w:val="auto"/>
              </w:rPr>
            </w:pPr>
            <w:r>
              <w:rPr>
                <w:rFonts w:ascii="Arial" w:cs="Arial" w:eastAsia="Arial" w:hAnsi="Arial"/>
                <w:sz w:val="18"/>
                <w:szCs w:val="18"/>
                <w:color w:val="auto"/>
              </w:rPr>
              <w:t>Roche</w:t>
            </w:r>
          </w:p>
        </w:tc>
      </w:tr>
      <w:tr>
        <w:trPr>
          <w:trHeight w:val="270"/>
        </w:trPr>
        <w:tc>
          <w:tcPr>
            <w:tcW w:w="1460" w:type="dxa"/>
            <w:vAlign w:val="bottom"/>
          </w:tcPr>
          <w:p>
            <w:pPr>
              <w:spacing w:after="0"/>
              <w:rPr>
                <w:sz w:val="20"/>
                <w:szCs w:val="20"/>
                <w:color w:val="auto"/>
              </w:rPr>
            </w:pPr>
            <w:r>
              <w:rPr>
                <w:rFonts w:ascii="Arial" w:cs="Arial" w:eastAsia="Arial" w:hAnsi="Arial"/>
                <w:sz w:val="18"/>
                <w:szCs w:val="18"/>
                <w:color w:val="auto"/>
              </w:rPr>
              <w:t>Amgen</w:t>
            </w:r>
          </w:p>
        </w:tc>
        <w:tc>
          <w:tcPr>
            <w:tcW w:w="2460" w:type="dxa"/>
            <w:vAlign w:val="bottom"/>
          </w:tcPr>
          <w:p>
            <w:pPr>
              <w:ind w:left="460"/>
              <w:spacing w:after="0"/>
              <w:rPr>
                <w:sz w:val="20"/>
                <w:szCs w:val="20"/>
                <w:color w:val="auto"/>
              </w:rPr>
            </w:pPr>
            <w:r>
              <w:rPr>
                <w:rFonts w:ascii="Arial" w:cs="Arial" w:eastAsia="Arial" w:hAnsi="Arial"/>
                <w:sz w:val="18"/>
                <w:szCs w:val="18"/>
                <w:color w:val="auto"/>
              </w:rPr>
              <w:t>Gilead</w:t>
            </w:r>
          </w:p>
        </w:tc>
        <w:tc>
          <w:tcPr>
            <w:tcW w:w="1820" w:type="dxa"/>
            <w:vAlign w:val="bottom"/>
          </w:tcPr>
          <w:p>
            <w:pPr>
              <w:ind w:left="360"/>
              <w:spacing w:after="0"/>
              <w:rPr>
                <w:sz w:val="20"/>
                <w:szCs w:val="20"/>
                <w:color w:val="auto"/>
              </w:rPr>
            </w:pPr>
            <w:r>
              <w:rPr>
                <w:rFonts w:ascii="Arial" w:cs="Arial" w:eastAsia="Arial" w:hAnsi="Arial"/>
                <w:sz w:val="18"/>
                <w:szCs w:val="18"/>
                <w:color w:val="auto"/>
              </w:rPr>
              <w:t>Novartis</w:t>
            </w:r>
          </w:p>
        </w:tc>
        <w:tc>
          <w:tcPr>
            <w:tcW w:w="940" w:type="dxa"/>
            <w:vAlign w:val="bottom"/>
          </w:tcPr>
          <w:p>
            <w:pPr>
              <w:ind w:left="360"/>
              <w:spacing w:after="0"/>
              <w:rPr>
                <w:sz w:val="20"/>
                <w:szCs w:val="20"/>
                <w:color w:val="auto"/>
              </w:rPr>
            </w:pPr>
            <w:r>
              <w:rPr>
                <w:rFonts w:ascii="Arial" w:cs="Arial" w:eastAsia="Arial" w:hAnsi="Arial"/>
                <w:sz w:val="18"/>
                <w:szCs w:val="18"/>
                <w:color w:val="auto"/>
              </w:rPr>
              <w:t>Sanofi</w:t>
            </w:r>
          </w:p>
        </w:tc>
      </w:tr>
      <w:tr>
        <w:trPr>
          <w:trHeight w:val="270"/>
        </w:trPr>
        <w:tc>
          <w:tcPr>
            <w:tcW w:w="1460" w:type="dxa"/>
            <w:vAlign w:val="bottom"/>
          </w:tcPr>
          <w:p>
            <w:pPr>
              <w:spacing w:after="0"/>
              <w:rPr>
                <w:sz w:val="20"/>
                <w:szCs w:val="20"/>
                <w:color w:val="auto"/>
              </w:rPr>
            </w:pPr>
            <w:r>
              <w:rPr>
                <w:rFonts w:ascii="Arial" w:cs="Arial" w:eastAsia="Arial" w:hAnsi="Arial"/>
                <w:sz w:val="18"/>
                <w:szCs w:val="18"/>
                <w:color w:val="auto"/>
              </w:rPr>
              <w:t>AstraZeneca</w:t>
            </w:r>
          </w:p>
        </w:tc>
        <w:tc>
          <w:tcPr>
            <w:tcW w:w="2460" w:type="dxa"/>
            <w:vAlign w:val="bottom"/>
          </w:tcPr>
          <w:p>
            <w:pPr>
              <w:ind w:left="460"/>
              <w:spacing w:after="0"/>
              <w:rPr>
                <w:sz w:val="20"/>
                <w:szCs w:val="20"/>
                <w:color w:val="auto"/>
              </w:rPr>
            </w:pPr>
            <w:r>
              <w:rPr>
                <w:rFonts w:ascii="Arial" w:cs="Arial" w:eastAsia="Arial" w:hAnsi="Arial"/>
                <w:sz w:val="18"/>
                <w:szCs w:val="18"/>
                <w:color w:val="auto"/>
              </w:rPr>
              <w:t>GlaxoSmithKline</w:t>
            </w:r>
          </w:p>
        </w:tc>
        <w:tc>
          <w:tcPr>
            <w:tcW w:w="1820" w:type="dxa"/>
            <w:vAlign w:val="bottom"/>
          </w:tcPr>
          <w:p>
            <w:pPr>
              <w:ind w:left="360"/>
              <w:spacing w:after="0"/>
              <w:rPr>
                <w:sz w:val="20"/>
                <w:szCs w:val="20"/>
                <w:color w:val="auto"/>
              </w:rPr>
            </w:pPr>
            <w:r>
              <w:rPr>
                <w:rFonts w:ascii="Arial" w:cs="Arial" w:eastAsia="Arial" w:hAnsi="Arial"/>
                <w:sz w:val="18"/>
                <w:szCs w:val="18"/>
                <w:color w:val="auto"/>
              </w:rPr>
              <w:t>Novo Nordisk</w:t>
            </w:r>
          </w:p>
        </w:tc>
        <w:tc>
          <w:tcPr>
            <w:tcW w:w="940" w:type="dxa"/>
            <w:vAlign w:val="bottom"/>
          </w:tcPr>
          <w:p>
            <w:pPr>
              <w:ind w:left="360"/>
              <w:spacing w:after="0"/>
              <w:rPr>
                <w:sz w:val="20"/>
                <w:szCs w:val="20"/>
                <w:color w:val="auto"/>
              </w:rPr>
            </w:pPr>
            <w:r>
              <w:rPr>
                <w:rFonts w:ascii="Arial" w:cs="Arial" w:eastAsia="Arial" w:hAnsi="Arial"/>
                <w:sz w:val="18"/>
                <w:szCs w:val="18"/>
                <w:color w:val="auto"/>
                <w:w w:val="93"/>
              </w:rPr>
              <w:t>Takeda</w:t>
            </w:r>
          </w:p>
        </w:tc>
      </w:tr>
      <w:tr>
        <w:trPr>
          <w:trHeight w:val="270"/>
        </w:trPr>
        <w:tc>
          <w:tcPr>
            <w:tcW w:w="1460" w:type="dxa"/>
            <w:vAlign w:val="bottom"/>
          </w:tcPr>
          <w:p>
            <w:pPr>
              <w:spacing w:after="0"/>
              <w:rPr>
                <w:sz w:val="20"/>
                <w:szCs w:val="20"/>
                <w:color w:val="auto"/>
              </w:rPr>
            </w:pPr>
            <w:r>
              <w:rPr>
                <w:rFonts w:ascii="Arial" w:cs="Arial" w:eastAsia="Arial" w:hAnsi="Arial"/>
                <w:sz w:val="18"/>
                <w:szCs w:val="18"/>
                <w:color w:val="auto"/>
              </w:rPr>
              <w:t>Biogen</w:t>
            </w:r>
          </w:p>
        </w:tc>
        <w:tc>
          <w:tcPr>
            <w:tcW w:w="2460" w:type="dxa"/>
            <w:vAlign w:val="bottom"/>
          </w:tcPr>
          <w:p>
            <w:pPr>
              <w:ind w:left="460"/>
              <w:spacing w:after="0"/>
              <w:rPr>
                <w:sz w:val="20"/>
                <w:szCs w:val="20"/>
                <w:color w:val="auto"/>
              </w:rPr>
            </w:pPr>
            <w:r>
              <w:rPr>
                <w:rFonts w:ascii="Arial" w:cs="Arial" w:eastAsia="Arial" w:hAnsi="Arial"/>
                <w:sz w:val="18"/>
                <w:szCs w:val="18"/>
                <w:color w:val="auto"/>
              </w:rPr>
              <w:t>Johnson &amp; Johnson</w:t>
            </w:r>
          </w:p>
        </w:tc>
        <w:tc>
          <w:tcPr>
            <w:tcW w:w="1820" w:type="dxa"/>
            <w:vAlign w:val="bottom"/>
          </w:tcPr>
          <w:p>
            <w:pPr>
              <w:ind w:left="360"/>
              <w:spacing w:after="0"/>
              <w:rPr>
                <w:sz w:val="20"/>
                <w:szCs w:val="20"/>
                <w:color w:val="auto"/>
              </w:rPr>
            </w:pPr>
            <w:r>
              <w:rPr>
                <w:rFonts w:ascii="Arial" w:cs="Arial" w:eastAsia="Arial" w:hAnsi="Arial"/>
                <w:sz w:val="18"/>
                <w:szCs w:val="18"/>
                <w:color w:val="auto"/>
              </w:rPr>
              <w:t>Pfizer</w:t>
            </w:r>
          </w:p>
        </w:tc>
        <w:tc>
          <w:tcPr>
            <w:tcW w:w="940" w:type="dxa"/>
            <w:vAlign w:val="bottom"/>
          </w:tcPr>
          <w:p>
            <w:pPr>
              <w:spacing w:after="0"/>
              <w:rPr>
                <w:sz w:val="23"/>
                <w:szCs w:val="23"/>
                <w:color w:val="auto"/>
              </w:rPr>
            </w:pPr>
          </w:p>
        </w:tc>
      </w:tr>
    </w:tbl>
    <w:p>
      <w:pPr>
        <w:spacing w:after="0" w:line="261" w:lineRule="exact"/>
        <w:rPr>
          <w:sz w:val="20"/>
          <w:szCs w:val="20"/>
          <w:color w:val="auto"/>
        </w:rPr>
      </w:pPr>
    </w:p>
    <w:p>
      <w:pPr>
        <w:jc w:val="both"/>
        <w:ind w:right="460"/>
        <w:spacing w:after="0" w:line="268" w:lineRule="auto"/>
        <w:rPr>
          <w:sz w:val="20"/>
          <w:szCs w:val="20"/>
          <w:color w:val="auto"/>
        </w:rPr>
      </w:pPr>
      <w:r>
        <w:rPr>
          <w:rFonts w:ascii="Arial" w:cs="Arial" w:eastAsia="Arial" w:hAnsi="Arial"/>
          <w:sz w:val="18"/>
          <w:szCs w:val="18"/>
          <w:color w:val="auto"/>
        </w:rPr>
        <w:t>At the time of the review in May 2021, all peer companies were no greater than two times our revenue or market cap except Johnson &amp; Johnson and Roche. The Talent and Compensation Committee included these two companies despite their size because they compete directly with Lilly, have similar business models, and seek to hire from the same pool of management and scientific talent.</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When determining pay levels for target compensation, the Talent and Compensation Committee considers an analysis of market competitive pay for each executive officer position (except CEO), along with internal factors such as the performance and experience of each executive officer. The independent compensation consultant for the Talent and Compensation Committee provides a similar analysis when recommending pay levels for the CEO. The CEO analysis includes a comparison of our CEO’s actual total direct compensation in the prior year to company performance on an absolute and relative basis. The analysis also includes a comparison of current target total direct compensation for our CEO to recently available data on CEO target total direct compensation for our peer group with an emphasis on peers that are headquartered in the United States. On average, the named executive officers’ target total direct compensation for 2022 was comparable to the median of the peer group.</w:t>
      </w:r>
    </w:p>
    <w:p>
      <w:pPr>
        <w:spacing w:after="0" w:line="125"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Components of Our Compensation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Our 2022 executive compensation was primarily composed of three components:</w:t>
      </w:r>
    </w:p>
    <w:p>
      <w:pPr>
        <w:spacing w:after="0" w:line="63" w:lineRule="exact"/>
        <w:rPr>
          <w:sz w:val="20"/>
          <w:szCs w:val="20"/>
          <w:color w:val="auto"/>
        </w:rPr>
      </w:pPr>
    </w:p>
    <w:p>
      <w:pPr>
        <w:ind w:left="640" w:hanging="308"/>
        <w:spacing w:after="0"/>
        <w:tabs>
          <w:tab w:leader="none" w:pos="640" w:val="left"/>
        </w:tabs>
        <w:numPr>
          <w:ilvl w:val="0"/>
          <w:numId w:val="127"/>
        </w:numPr>
        <w:rPr>
          <w:rFonts w:ascii="Arial" w:cs="Arial" w:eastAsia="Arial" w:hAnsi="Arial"/>
          <w:sz w:val="16"/>
          <w:szCs w:val="16"/>
          <w:color w:val="auto"/>
        </w:rPr>
      </w:pPr>
      <w:r>
        <w:rPr>
          <w:rFonts w:ascii="Arial" w:cs="Arial" w:eastAsia="Arial" w:hAnsi="Arial"/>
          <w:sz w:val="18"/>
          <w:szCs w:val="18"/>
          <w:color w:val="auto"/>
        </w:rPr>
        <w:t>base salary;</w:t>
      </w:r>
    </w:p>
    <w:p>
      <w:pPr>
        <w:spacing w:after="0" w:line="63" w:lineRule="exact"/>
        <w:rPr>
          <w:rFonts w:ascii="Arial" w:cs="Arial" w:eastAsia="Arial" w:hAnsi="Arial"/>
          <w:sz w:val="16"/>
          <w:szCs w:val="16"/>
          <w:color w:val="auto"/>
        </w:rPr>
      </w:pPr>
    </w:p>
    <w:p>
      <w:pPr>
        <w:ind w:left="660" w:right="720" w:hanging="328"/>
        <w:spacing w:after="0" w:line="281" w:lineRule="auto"/>
        <w:tabs>
          <w:tab w:leader="none" w:pos="649" w:val="left"/>
        </w:tabs>
        <w:numPr>
          <w:ilvl w:val="0"/>
          <w:numId w:val="127"/>
        </w:numPr>
        <w:rPr>
          <w:rFonts w:ascii="Arial" w:cs="Arial" w:eastAsia="Arial" w:hAnsi="Arial"/>
          <w:sz w:val="16"/>
          <w:szCs w:val="16"/>
          <w:color w:val="auto"/>
        </w:rPr>
      </w:pPr>
      <w:r>
        <w:rPr>
          <w:rFonts w:ascii="Arial" w:cs="Arial" w:eastAsia="Arial" w:hAnsi="Arial"/>
          <w:sz w:val="18"/>
          <w:szCs w:val="18"/>
          <w:color w:val="auto"/>
        </w:rPr>
        <w:t>annual cash bonus, which is generally based on company performance relative to internal targets for revenue, EPS, and the progress of our pipeline; and</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127"/>
        </w:numPr>
        <w:rPr>
          <w:rFonts w:ascii="Arial" w:cs="Arial" w:eastAsia="Arial" w:hAnsi="Arial"/>
          <w:sz w:val="16"/>
          <w:szCs w:val="16"/>
          <w:color w:val="auto"/>
        </w:rPr>
      </w:pPr>
      <w:r>
        <w:rPr>
          <w:rFonts w:ascii="Arial" w:cs="Arial" w:eastAsia="Arial" w:hAnsi="Arial"/>
          <w:sz w:val="18"/>
          <w:szCs w:val="18"/>
          <w:color w:val="auto"/>
        </w:rPr>
        <w:t>three different forms of equity incentives:</w:t>
      </w:r>
    </w:p>
    <w:p>
      <w:pPr>
        <w:spacing w:after="0" w:line="63" w:lineRule="exact"/>
        <w:rPr>
          <w:rFonts w:ascii="Arial" w:cs="Arial" w:eastAsia="Arial" w:hAnsi="Arial"/>
          <w:sz w:val="16"/>
          <w:szCs w:val="16"/>
          <w:color w:val="auto"/>
        </w:rPr>
      </w:pPr>
    </w:p>
    <w:p>
      <w:pPr>
        <w:ind w:left="980" w:right="120" w:hanging="324"/>
        <w:spacing w:after="0" w:line="268" w:lineRule="auto"/>
        <w:rPr>
          <w:rFonts w:ascii="Arial" w:cs="Arial" w:eastAsia="Arial" w:hAnsi="Arial"/>
          <w:sz w:val="16"/>
          <w:szCs w:val="16"/>
          <w:color w:val="auto"/>
        </w:rPr>
      </w:pPr>
      <w:r>
        <w:rPr>
          <w:rFonts w:ascii="Arial" w:cs="Arial" w:eastAsia="Arial" w:hAnsi="Arial"/>
          <w:sz w:val="18"/>
          <w:szCs w:val="18"/>
          <w:color w:val="auto"/>
        </w:rPr>
        <w:t>– performance award, which is a performance-based equity award that vests over three years. Payout is based on the company’s two-year growth in EPS relative to the median external analyst anticipated peer group EPS growth. After the two-year performance period, the performance-adjusted shares are then subject to a 13-month service-vesting period</w:t>
      </w:r>
    </w:p>
    <w:p>
      <w:pPr>
        <w:spacing w:after="0" w:line="8" w:lineRule="exact"/>
        <w:rPr>
          <w:rFonts w:ascii="Arial" w:cs="Arial" w:eastAsia="Arial" w:hAnsi="Arial"/>
          <w:sz w:val="16"/>
          <w:szCs w:val="16"/>
          <w:color w:val="auto"/>
        </w:rPr>
      </w:pPr>
    </w:p>
    <w:p>
      <w:pPr>
        <w:ind w:left="980" w:right="420" w:hanging="324"/>
        <w:spacing w:after="0" w:line="281" w:lineRule="auto"/>
        <w:rPr>
          <w:rFonts w:ascii="Arial" w:cs="Arial" w:eastAsia="Arial" w:hAnsi="Arial"/>
          <w:sz w:val="16"/>
          <w:szCs w:val="16"/>
          <w:color w:val="auto"/>
        </w:rPr>
      </w:pPr>
      <w:r>
        <w:rPr>
          <w:rFonts w:ascii="Arial" w:cs="Arial" w:eastAsia="Arial" w:hAnsi="Arial"/>
          <w:sz w:val="18"/>
          <w:szCs w:val="18"/>
          <w:color w:val="auto"/>
        </w:rPr>
        <w:t>– shareholder value award, which is a performance-based equity award that pays out based on absolute company stock price growth measured over a three-year period, followed by a one-year holding period</w:t>
      </w:r>
    </w:p>
    <w:p>
      <w:pPr>
        <w:spacing w:after="0" w:line="1" w:lineRule="exact"/>
        <w:rPr>
          <w:rFonts w:ascii="Arial" w:cs="Arial" w:eastAsia="Arial" w:hAnsi="Arial"/>
          <w:sz w:val="16"/>
          <w:szCs w:val="16"/>
          <w:color w:val="auto"/>
        </w:rPr>
      </w:pPr>
    </w:p>
    <w:p>
      <w:pPr>
        <w:ind w:left="980" w:right="100" w:hanging="324"/>
        <w:spacing w:after="0" w:line="281" w:lineRule="auto"/>
        <w:rPr>
          <w:rFonts w:ascii="Arial" w:cs="Arial" w:eastAsia="Arial" w:hAnsi="Arial"/>
          <w:sz w:val="16"/>
          <w:szCs w:val="16"/>
          <w:color w:val="auto"/>
        </w:rPr>
      </w:pPr>
      <w:r>
        <w:rPr>
          <w:rFonts w:ascii="Arial" w:cs="Arial" w:eastAsia="Arial" w:hAnsi="Arial"/>
          <w:sz w:val="18"/>
          <w:szCs w:val="18"/>
          <w:color w:val="auto"/>
        </w:rPr>
        <w:t>– relative value award, which is a performance-based equity award that pays out based on company TSR results relative to peers measured over a three-year period, followed by a one-year holding period.</w:t>
      </w:r>
    </w:p>
    <w:p>
      <w:pPr>
        <w:spacing w:after="0" w:line="1"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Executives also receive a company benefits package, described below under “</w:t>
      </w:r>
      <w:r>
        <w:rPr>
          <w:rFonts w:ascii="Arial" w:cs="Arial" w:eastAsia="Arial" w:hAnsi="Arial"/>
          <w:sz w:val="18"/>
          <w:szCs w:val="18"/>
          <w:u w:val="single" w:color="auto"/>
          <w:color w:val="0000FF"/>
        </w:rPr>
        <w:t>Other Compensation Practices and Information—Employee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Benefits</w:t>
      </w:r>
      <w:r>
        <w:rPr>
          <w:rFonts w:ascii="Arial" w:cs="Arial" w:eastAsia="Arial" w:hAnsi="Arial"/>
          <w:sz w:val="18"/>
          <w:szCs w:val="18"/>
          <w:color w:val="000000"/>
        </w:rPr>
        <w:t>.”</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Adjustments to Reported Financial Results</w:t>
      </w:r>
    </w:p>
    <w:p>
      <w:pPr>
        <w:spacing w:after="0" w:line="18"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The Talent and Compensation Committee has the authority to adjust the company’s reported revenue and EPS upon which incentive compensation payouts are determined to eliminate the distorting effect of unusual income or expense items. The adjustments are intended to:</w:t>
      </w:r>
    </w:p>
    <w:p>
      <w:pPr>
        <w:spacing w:after="0" w:line="16" w:lineRule="exact"/>
        <w:rPr>
          <w:sz w:val="20"/>
          <w:szCs w:val="20"/>
          <w:color w:val="auto"/>
        </w:rPr>
      </w:pPr>
    </w:p>
    <w:p>
      <w:pPr>
        <w:ind w:left="640" w:hanging="308"/>
        <w:spacing w:after="0"/>
        <w:tabs>
          <w:tab w:leader="none" w:pos="640" w:val="left"/>
        </w:tabs>
        <w:numPr>
          <w:ilvl w:val="0"/>
          <w:numId w:val="128"/>
        </w:numPr>
        <w:rPr>
          <w:rFonts w:ascii="Arial" w:cs="Arial" w:eastAsia="Arial" w:hAnsi="Arial"/>
          <w:sz w:val="16"/>
          <w:szCs w:val="16"/>
          <w:color w:val="auto"/>
        </w:rPr>
      </w:pPr>
      <w:r>
        <w:rPr>
          <w:rFonts w:ascii="Arial" w:cs="Arial" w:eastAsia="Arial" w:hAnsi="Arial"/>
          <w:sz w:val="18"/>
          <w:szCs w:val="18"/>
          <w:color w:val="auto"/>
        </w:rPr>
        <w:t>align award payments with the underlying performance of the core business;</w:t>
      </w:r>
    </w:p>
    <w:p>
      <w:pPr>
        <w:spacing w:after="0" w:line="63" w:lineRule="exact"/>
        <w:rPr>
          <w:rFonts w:ascii="Arial" w:cs="Arial" w:eastAsia="Arial" w:hAnsi="Arial"/>
          <w:sz w:val="16"/>
          <w:szCs w:val="16"/>
          <w:color w:val="auto"/>
        </w:rPr>
      </w:pPr>
    </w:p>
    <w:p>
      <w:pPr>
        <w:ind w:left="640" w:hanging="308"/>
        <w:spacing w:after="0"/>
        <w:tabs>
          <w:tab w:leader="none" w:pos="640" w:val="left"/>
        </w:tabs>
        <w:numPr>
          <w:ilvl w:val="0"/>
          <w:numId w:val="128"/>
        </w:numPr>
        <w:rPr>
          <w:rFonts w:ascii="Arial" w:cs="Arial" w:eastAsia="Arial" w:hAnsi="Arial"/>
          <w:sz w:val="16"/>
          <w:szCs w:val="16"/>
          <w:color w:val="auto"/>
        </w:rPr>
      </w:pPr>
      <w:r>
        <w:rPr>
          <w:rFonts w:ascii="Arial" w:cs="Arial" w:eastAsia="Arial" w:hAnsi="Arial"/>
          <w:sz w:val="18"/>
          <w:szCs w:val="18"/>
          <w:color w:val="auto"/>
        </w:rPr>
        <w:t>avoid volatile, artificial inflation or deflation of awards due to unusual items during the performance period;</w:t>
      </w:r>
    </w:p>
    <w:p>
      <w:pPr>
        <w:spacing w:after="0" w:line="63" w:lineRule="exact"/>
        <w:rPr>
          <w:rFonts w:ascii="Arial" w:cs="Arial" w:eastAsia="Arial" w:hAnsi="Arial"/>
          <w:sz w:val="16"/>
          <w:szCs w:val="16"/>
          <w:color w:val="auto"/>
        </w:rPr>
      </w:pPr>
    </w:p>
    <w:p>
      <w:pPr>
        <w:ind w:left="660" w:right="400" w:hanging="328"/>
        <w:spacing w:after="0" w:line="281" w:lineRule="auto"/>
        <w:tabs>
          <w:tab w:leader="none" w:pos="649" w:val="left"/>
        </w:tabs>
        <w:numPr>
          <w:ilvl w:val="0"/>
          <w:numId w:val="128"/>
        </w:numPr>
        <w:rPr>
          <w:rFonts w:ascii="Arial" w:cs="Arial" w:eastAsia="Arial" w:hAnsi="Arial"/>
          <w:sz w:val="16"/>
          <w:szCs w:val="16"/>
          <w:color w:val="auto"/>
        </w:rPr>
      </w:pPr>
      <w:r>
        <w:rPr>
          <w:rFonts w:ascii="Arial" w:cs="Arial" w:eastAsia="Arial" w:hAnsi="Arial"/>
          <w:sz w:val="18"/>
          <w:szCs w:val="18"/>
          <w:color w:val="auto"/>
        </w:rPr>
        <w:t>eliminate certain counterproductive short-term incentives—for example, incentives to refrain from acquiring new technologies, to defer disposing of underutilized assets, or to defer settling legacy legal proceedings to protect current bonus payments; and</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128"/>
        </w:numPr>
        <w:rPr>
          <w:rFonts w:ascii="Arial" w:cs="Arial" w:eastAsia="Arial" w:hAnsi="Arial"/>
          <w:sz w:val="16"/>
          <w:szCs w:val="16"/>
          <w:color w:val="auto"/>
        </w:rPr>
      </w:pPr>
      <w:r>
        <w:rPr>
          <w:rFonts w:ascii="Arial" w:cs="Arial" w:eastAsia="Arial" w:hAnsi="Arial"/>
          <w:sz w:val="18"/>
          <w:szCs w:val="18"/>
          <w:color w:val="auto"/>
        </w:rPr>
        <w:t>facilitate comparisons with peer companies.</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Talent and Compensation Committee considers the adjustments approved by the Audit Committee for reporting non-GAAP EPS and other adjustments, based on guidelines approved by the Talent and Compensation Committee. The Talent and Compensation Committee reviews and approves adjustments on a quarterly basis and may adjust payouts for items, including but not limited to, the impact of significant acquisitions or divestitures, the impact of share repurchases that differ significantly from business plan, and large swings in foreign exchange rates. Further details on the adjustments for 2022 and the rationale for making these adjustments are set forth in</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sectPr>
      </w:pPr>
    </w:p>
    <w:bookmarkStart w:id="60" w:name="page61"/>
    <w:bookmarkEnd w:id="60"/>
    <w:p>
      <w:pPr>
        <w:ind w:right="1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0000FF"/>
        </w:rPr>
        <w:t>Appendix A, Summary of Adjustments Related to the Annual Cash Bonus and Performance Award</w:t>
      </w:r>
      <w:r>
        <w:rPr>
          <w:rFonts w:ascii="Arial" w:cs="Arial" w:eastAsia="Arial" w:hAnsi="Arial"/>
          <w:sz w:val="18"/>
          <w:szCs w:val="18"/>
          <w:color w:val="auto"/>
        </w:rPr>
        <w:t xml:space="preserve">.” For ease of reference, throughout the CD&amp;A and the other compensation disclosures, we refer to “revenue”, “EPS”, and “adjusted non-GAAP EPS,” but we encourage you to review the information in </w:t>
      </w:r>
      <w:r>
        <w:rPr>
          <w:rFonts w:ascii="Arial" w:cs="Arial" w:eastAsia="Arial" w:hAnsi="Arial"/>
          <w:sz w:val="18"/>
          <w:szCs w:val="18"/>
          <w:u w:val="single" w:color="auto"/>
          <w:color w:val="0000FF"/>
        </w:rPr>
        <w:t>Appendix A t</w:t>
      </w:r>
      <w:r>
        <w:rPr>
          <w:rFonts w:ascii="Arial" w:cs="Arial" w:eastAsia="Arial" w:hAnsi="Arial"/>
          <w:sz w:val="18"/>
          <w:szCs w:val="18"/>
          <w:color w:val="auto"/>
        </w:rPr>
        <w:t>o understand the adjustments from reported revenue and EPS that were approved.</w:t>
      </w:r>
    </w:p>
    <w:p>
      <w:pPr>
        <w:spacing w:after="0" w:line="103"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The Talent and Compensation Committee has general authority to apply downward discretion to bonus, performance award, shareholder value award, and relative value award payouts for individual or all executive officers.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1. Base Salary</w:t>
      </w:r>
    </w:p>
    <w:p>
      <w:pPr>
        <w:spacing w:after="0" w:line="58"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In setting salaries, Lilly seeks to retain, motivate, and reward successful performers while maintaining affordability within the company’s business plan. Base salaries are reviewed and established annually and may be adjusted upon promotion, following a change in job responsibilities, or to maintain market competitiveness. Salaries are compared annually with peer group data and are based on each person’s level of contribution, responsibility, expertise, experience, performance over time, and competitiveness.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If an executive officer’s salary is deemed competitive given their experience and performance, no salary increase is provided.</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2. Annual Cash Bonus (Bonus Plan)</w:t>
      </w:r>
    </w:p>
    <w:p>
      <w:pPr>
        <w:spacing w:after="0" w:line="12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Bonus Plan is designed to reward the achievement of the company’s annual financial and innovation objectives. All the named executive officers participated in the Bonus Plan during 2022.</w:t>
      </w:r>
    </w:p>
    <w:p>
      <w:pPr>
        <w:spacing w:after="0" w:line="9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Talent and Compensation Committee sets Bonus Plan performance goals and individual bonus targets at the beginning of each year. The bonus is based on three areas of company performance measured relative to internal targets: revenue, EPS, and pipeline progress. The annual cash bonus payout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5597525" cy="36830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5597525" cy="368300"/>
                    </a:xfrm>
                    <a:prstGeom prst="rect">
                      <a:avLst/>
                    </a:prstGeom>
                    <a:noFill/>
                  </pic:spPr>
                </pic:pic>
              </a:graphicData>
            </a:graphic>
          </wp:anchor>
        </w:drawing>
      </w:r>
    </w:p>
    <w:p>
      <w:pPr>
        <w:spacing w:after="0" w:line="264"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FFFFFF"/>
        </w:rPr>
        <w:t xml:space="preserve">base salary earnings     </w:t>
      </w:r>
      <w:r>
        <w:rPr>
          <w:sz w:val="1"/>
          <w:szCs w:val="1"/>
          <w:color w:val="auto"/>
        </w:rPr>
        <w:drawing>
          <wp:inline distT="0" distB="0" distL="0" distR="0">
            <wp:extent cx="171450" cy="171450"/>
            <wp:effectExtent l="0" t="0" r="0" b="0"/>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9"/>
          <w:szCs w:val="19"/>
          <w:b w:val="1"/>
          <w:bCs w:val="1"/>
          <w:color w:val="auto"/>
        </w:rPr>
        <w:t xml:space="preserve">    individual bonus target    </w:t>
      </w:r>
      <w:r>
        <w:rPr>
          <w:sz w:val="1"/>
          <w:szCs w:val="1"/>
          <w:color w:val="auto"/>
        </w:rPr>
        <w:drawing>
          <wp:inline distT="0" distB="0" distL="0" distR="0">
            <wp:extent cx="171450" cy="171450"/>
            <wp:effectExtent l="0" t="0" r="0" b="0"/>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9"/>
          <w:szCs w:val="19"/>
          <w:b w:val="1"/>
          <w:bCs w:val="1"/>
          <w:color w:val="FFFFFF"/>
        </w:rPr>
        <w:t xml:space="preserve">       bonus multiple</w:t>
      </w:r>
    </w:p>
    <w:p>
      <w:pPr>
        <w:spacing w:after="0" w:line="386" w:lineRule="exact"/>
        <w:rPr>
          <w:sz w:val="20"/>
          <w:szCs w:val="20"/>
          <w:color w:val="auto"/>
        </w:rPr>
      </w:pPr>
    </w:p>
    <w:p>
      <w:pPr>
        <w:jc w:val="both"/>
        <w:ind w:right="360"/>
        <w:spacing w:after="0" w:line="268" w:lineRule="auto"/>
        <w:rPr>
          <w:sz w:val="20"/>
          <w:szCs w:val="20"/>
          <w:color w:val="auto"/>
        </w:rPr>
      </w:pPr>
      <w:r>
        <w:rPr>
          <w:rFonts w:ascii="Arial" w:cs="Arial" w:eastAsia="Arial" w:hAnsi="Arial"/>
          <w:sz w:val="18"/>
          <w:szCs w:val="18"/>
          <w:color w:val="auto"/>
        </w:rPr>
        <w:t>Actual payouts can range from 0 to 200 percent of an individual’s bonus target. The Talent and Compensation Committee references the annual operating plan and pipeline objectives to establish performance targets and to assess the relative weighting for each objective. In 2022, the performance measures and weightings remained unchanged from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102870</wp:posOffset>
            </wp:positionV>
            <wp:extent cx="239141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196" w:lineRule="exact"/>
        <w:rPr>
          <w:sz w:val="20"/>
          <w:szCs w:val="20"/>
          <w:color w:val="auto"/>
        </w:rPr>
      </w:pPr>
    </w:p>
    <w:tbl>
      <w:tblPr>
        <w:tblLayout w:type="fixed"/>
        <w:tblInd w:w="2520" w:type="dxa"/>
        <w:tblCellMar>
          <w:top w:w="0" w:type="dxa"/>
          <w:left w:w="0" w:type="dxa"/>
          <w:bottom w:w="0" w:type="dxa"/>
          <w:right w:w="0" w:type="dxa"/>
        </w:tblCellMar>
      </w:tblPr>
      <w:tr>
        <w:trPr>
          <w:trHeight w:val="265"/>
        </w:trPr>
        <w:tc>
          <w:tcPr>
            <w:tcW w:w="2160" w:type="dxa"/>
            <w:vAlign w:val="bottom"/>
            <w:tcBorders>
              <w:bottom w:val="single" w:sz="8" w:color="auto"/>
            </w:tcBorders>
          </w:tcPr>
          <w:p>
            <w:pPr>
              <w:ind w:left="600"/>
              <w:spacing w:after="0"/>
              <w:rPr>
                <w:sz w:val="20"/>
                <w:szCs w:val="20"/>
                <w:color w:val="auto"/>
              </w:rPr>
            </w:pPr>
            <w:r>
              <w:rPr>
                <w:rFonts w:ascii="Arial" w:cs="Arial" w:eastAsia="Arial" w:hAnsi="Arial"/>
                <w:sz w:val="19"/>
                <w:szCs w:val="19"/>
                <w:b w:val="1"/>
                <w:bCs w:val="1"/>
                <w:color w:val="auto"/>
              </w:rPr>
              <w:t>Lilly Goals</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w w:val="97"/>
              </w:rPr>
              <w:t>Weighting</w:t>
            </w:r>
          </w:p>
        </w:tc>
      </w:tr>
      <w:tr>
        <w:trPr>
          <w:trHeight w:val="246"/>
        </w:trPr>
        <w:tc>
          <w:tcPr>
            <w:tcW w:w="2160" w:type="dxa"/>
            <w:vAlign w:val="bottom"/>
          </w:tcPr>
          <w:p>
            <w:pPr>
              <w:ind w:left="20"/>
              <w:spacing w:after="0"/>
              <w:rPr>
                <w:sz w:val="20"/>
                <w:szCs w:val="20"/>
                <w:color w:val="auto"/>
              </w:rPr>
            </w:pPr>
            <w:r>
              <w:rPr>
                <w:rFonts w:ascii="Arial" w:cs="Arial" w:eastAsia="Arial" w:hAnsi="Arial"/>
                <w:sz w:val="18"/>
                <w:szCs w:val="18"/>
                <w:color w:val="auto"/>
              </w:rPr>
              <w:t>Revenue performance</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25%</w:t>
            </w: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EPS performance</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50%</w:t>
            </w: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Pipeline progress</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25%</w:t>
            </w:r>
          </w:p>
        </w:tc>
      </w:tr>
      <w:tr>
        <w:trPr>
          <w:trHeight w:val="23"/>
        </w:trPr>
        <w:tc>
          <w:tcPr>
            <w:tcW w:w="2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Based on this weighting, the company bonus multiple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5717540" cy="26543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5717540" cy="265430"/>
                    </a:xfrm>
                    <a:prstGeom prst="rect">
                      <a:avLst/>
                    </a:prstGeom>
                    <a:noFill/>
                  </pic:spPr>
                </pic:pic>
              </a:graphicData>
            </a:graphic>
          </wp:anchor>
        </w:drawing>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 xml:space="preserve">25% x revenue multiple </w:t>
      </w:r>
      <w:r>
        <w:rPr>
          <w:sz w:val="1"/>
          <w:szCs w:val="1"/>
          <w:color w:val="auto"/>
        </w:rPr>
        <w:drawing>
          <wp:inline distT="0" distB="0" distL="0" distR="0">
            <wp:extent cx="171450" cy="171450"/>
            <wp:effectExtent l="0" t="0" r="0" b="0"/>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7"/>
          <w:szCs w:val="17"/>
          <w:b w:val="1"/>
          <w:bCs w:val="1"/>
          <w:color w:val="FFFFFF"/>
        </w:rPr>
        <w:t xml:space="preserve">   50% x EPS multiple   </w:t>
      </w:r>
      <w:r>
        <w:rPr>
          <w:sz w:val="1"/>
          <w:szCs w:val="1"/>
          <w:color w:val="auto"/>
        </w:rPr>
        <w:drawing>
          <wp:inline distT="0" distB="0" distL="0" distR="0">
            <wp:extent cx="171450" cy="171450"/>
            <wp:effectExtent l="0" t="0" r="0" b="0"/>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7"/>
          <w:szCs w:val="17"/>
          <w:b w:val="1"/>
          <w:bCs w:val="1"/>
          <w:color w:val="auto"/>
        </w:rPr>
        <w:t xml:space="preserve"> 25% x pipeline multiple </w:t>
      </w:r>
      <w:r>
        <w:rPr>
          <w:sz w:val="1"/>
          <w:szCs w:val="1"/>
          <w:color w:val="auto"/>
        </w:rPr>
        <w:drawing>
          <wp:inline distT="0" distB="0" distL="0" distR="0">
            <wp:extent cx="171450" cy="171450"/>
            <wp:effectExtent l="0" t="0" r="0" b="0"/>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7"/>
          <w:szCs w:val="17"/>
          <w:b w:val="1"/>
          <w:bCs w:val="1"/>
          <w:color w:val="FFFFFF"/>
        </w:rPr>
        <w:t xml:space="preserve">     bonus multiple</w:t>
      </w:r>
    </w:p>
    <w:p>
      <w:pPr>
        <w:spacing w:after="0" w:line="385"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3. Equity Incentives</w:t>
      </w:r>
    </w:p>
    <w:p>
      <w:pPr>
        <w:spacing w:after="0" w:line="72"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The company grants three types of equity incentives to executives and certain other employees: performance awards that are designed to focus leaders on multi</w:t>
      </w:r>
      <w:r>
        <w:rPr>
          <w:rFonts w:ascii="MS PGothic" w:cs="MS PGothic" w:eastAsia="MS PGothic" w:hAnsi="MS PGothic"/>
          <w:sz w:val="18"/>
          <w:szCs w:val="18"/>
          <w:color w:val="auto"/>
        </w:rPr>
        <w:t>‑</w:t>
      </w:r>
      <w:r>
        <w:rPr>
          <w:rFonts w:ascii="Arial" w:cs="Arial" w:eastAsia="Arial" w:hAnsi="Arial"/>
          <w:sz w:val="18"/>
          <w:szCs w:val="18"/>
          <w:color w:val="auto"/>
        </w:rPr>
        <w:t>year operational performance relative to peer companies, shareholder value awards that are intended to align earned compensation with long-term growth in shareholder value, and relative value awards which encourage TSR outperformance compared to our peer group. These awards, when considered together, align with shareholder interests by incenting long-term operational excellence, shareholder return and peer company outperformance without encouraging excessive risk-taking behaviors.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Performance Awards</w:t>
      </w:r>
    </w:p>
    <w:p>
      <w:pPr>
        <w:spacing w:after="0" w:line="11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Performance awards vest after three years. Payouts are based on achieving EPS growth targets over a two-year performance period, followed by an additional 13-month service-vesting period for executive officers. During the service-vesting period, the award is held in the form of restricted stock units. The growth-rate targets are set relative to the median external analyst anticipated EPS growth for our peer group over the same performance period. These awards do not accumulate dividends during the two-year performance period, but they do</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accumulate dividend equivalent units during the service-vesting period.</w:t>
      </w:r>
    </w:p>
    <w:p>
      <w:pPr>
        <w:spacing w:after="0" w:line="171" w:lineRule="exact"/>
        <w:rPr>
          <w:sz w:val="20"/>
          <w:szCs w:val="20"/>
          <w:color w:val="auto"/>
        </w:rPr>
      </w:pPr>
    </w:p>
    <w:p>
      <w:pPr>
        <w:ind w:right="160"/>
        <w:spacing w:after="0" w:line="220" w:lineRule="exact"/>
        <w:rPr>
          <w:sz w:val="20"/>
          <w:szCs w:val="20"/>
          <w:color w:val="auto"/>
        </w:rPr>
      </w:pPr>
      <w:r>
        <w:rPr>
          <w:rFonts w:ascii="Arial" w:cs="Arial" w:eastAsia="Arial" w:hAnsi="Arial"/>
          <w:sz w:val="18"/>
          <w:szCs w:val="18"/>
          <w:color w:val="auto"/>
        </w:rPr>
        <w:t>The Talent and Compensation Committee believes EPS growth is an effective measure of operational performance because it is closely linked to shareholder value, is broadly communicated to the public, is understood by Lilly employees, and allows for comparisons to the performance of Lilly’s peer group. Consistent with the objectives established by the Talent and Compensation Committee, Lilly company performance exceeding the expected peer group median results in above</w:t>
      </w:r>
      <w:r>
        <w:rPr>
          <w:rFonts w:ascii="MS PGothic" w:cs="MS PGothic" w:eastAsia="MS PGothic" w:hAnsi="MS PGothic"/>
          <w:sz w:val="18"/>
          <w:szCs w:val="18"/>
          <w:color w:val="auto"/>
        </w:rPr>
        <w:t>‑</w:t>
      </w:r>
      <w:r>
        <w:rPr>
          <w:rFonts w:ascii="Arial" w:cs="Arial" w:eastAsia="Arial" w:hAnsi="Arial"/>
          <w:sz w:val="18"/>
          <w:szCs w:val="18"/>
          <w:color w:val="auto"/>
        </w:rPr>
        <w:t>target payouts, while Lilly company performance lagging the expected peer group median results in below</w:t>
      </w:r>
      <w:r>
        <w:rPr>
          <w:rFonts w:ascii="MS PGothic" w:cs="MS PGothic" w:eastAsia="MS PGothic" w:hAnsi="MS PGothic"/>
          <w:sz w:val="18"/>
          <w:szCs w:val="18"/>
          <w:color w:val="auto"/>
        </w:rPr>
        <w:t>‑</w:t>
      </w:r>
      <w:r>
        <w:rPr>
          <w:rFonts w:ascii="Arial" w:cs="Arial" w:eastAsia="Arial" w:hAnsi="Arial"/>
          <w:sz w:val="18"/>
          <w:szCs w:val="18"/>
          <w:color w:val="auto"/>
        </w:rPr>
        <w:t>target payouts. Possible payouts range from 0 percent to 175 percent of the target number of shares, depending on Lilly EPS growth over the performance period.</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measure of EPS used in the performance award program differs from the measure used in the Bonus Plan in two ways. First, the EPS goal in the Bonus Plan is set with reference to internal goals that align to our annual operating plan, while the EPS goal in the performance award program is set based on the external analyst anticipated EPS growth rates of our peer group. Second, the Bonus Plan measures EPS over a one-year period, while the performance award program measures EPS over a two-year period. In any given year, the Bonus Plan may pay above target while the performance award pays below target (or vice versa).</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Shareholder Value Awards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Shareholder value awards are earned based on Lilly’s share price performance. Shareholder value awards pay above target if Lilly’s stock outperforms an expected rate of return and below target if Lilly's stock underperforms that expected rate of return. The expected rate of return is based on the three-year TSR that a reasonable investor would consider appropriate when investing in a basket of large-cap U.S. companies, as determined by the Talent and Compensation Committee. The minimum price to achieve target is calculated by multiplying the starting share price of Lilly’s stock by the three-year compounded expected rate of return less Lilly’s dividend yield. Shareholder value awards have a three-year performance period, and any shares paid are subject to a one-year holding requirement. No dividends are accrued during the performance period. Possible payouts are based on share price growth and range from 0 to 175 percent of the target number of shares. Executive officers receive no payout if Lilly’s TSR for the three-year period is zero or negative.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Relative Value Awards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Relative value awards are earned based on Lilly’s TSR performance relative to our peer group. The minimum performance to achieve target is a TSR that is equal to the median TSR performance for the peer group. Relative value awards have a three-year performance period, and any shares paid are subject to a one-year holding requirement. No dividends are accrued during the performance period. Executive officers receive no payout if Lilly’s TSR for the three-year period is 30 or more percentage points below the median TSR performance for the peer group over the same time period. Possible payouts range from 0 to 175 percent of the target number of shares.</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 for Performance</w:t>
      </w:r>
    </w:p>
    <w:p>
      <w:pPr>
        <w:spacing w:after="0" w:line="10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mix of compensation for our named executive officers reflects Lilly’s desire to link executive compensation with individual and company performance. As reflected in the charts below, a substantial portion of the target pay for executive officers is performance-based. The annual cash bonus and equity payouts are contingent upon company performance, with the bonus factoring in performance over a one-year period, and equity compensation factoring in performance over multi-year periods. The charts depict the annualized mix of target compensation for Lilly’s CEO and the annualized average for Ms. Ashkenazi, Dr. Skovronsky, Ms. Hakim and Mr. Jonsson.</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5760720" cy="473202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clrChange>
                        <a:clrFrom>
                          <a:srgbClr val="FFFFFF"/>
                        </a:clrFrom>
                        <a:clrTo>
                          <a:srgbClr val="FFFFFF">
                            <a:alpha val="0"/>
                          </a:srgbClr>
                        </a:clrTo>
                      </a:clrChange>
                      <a:extLst>
                        <a:ext uri="{28A0092B-C50C-407E-A947-70E740481C1C}"/>
                      </a:extLst>
                    </a:blip>
                    <a:srcRect/>
                    <a:stretch>
                      <a:fillRect/>
                    </a:stretch>
                  </pic:blipFill>
                  <pic:spPr bwMode="auto">
                    <a:xfrm>
                      <a:off x="0" y="0"/>
                      <a:ext cx="5760720" cy="4732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Target Total Compensation</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Performance Review Process</w:t>
      </w:r>
    </w:p>
    <w:p>
      <w:pPr>
        <w:spacing w:after="0" w:line="18"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setting 2022 target compensation for the named executive officers, the Talent and Compensation Committee considered individual contributions, Lilly’s performance during 2021, internal relativity, peer group data, and input from the CEO for named executive officers other than himself.</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Evaluation of Individual Named Executive Officer Performance</w:t>
      </w:r>
    </w:p>
    <w:p>
      <w:pPr>
        <w:spacing w:after="0" w:line="18"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A summary of the Talent and Compensation Committee’s review of individual named executive officer performance in 2021 that influenced decisions on 2022 target compensation is provided below:</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David Ricks, Chair, President, and CEO:</w:t>
      </w:r>
    </w:p>
    <w:p>
      <w:pPr>
        <w:spacing w:after="0" w:line="7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accordance with the company’s corporate governance guidelines, the independent directors conducted an assessment of Mr. Ricks’ performance led by the lead independent director. The independent directors believe the company largely met or exceeded its combined financial and strategic goals for 2021 under Mr. Ricks’ leadership. In 2021, Mr. Ricks and his team:</w:t>
      </w:r>
    </w:p>
    <w:p>
      <w:pPr>
        <w:spacing w:after="0" w:line="117" w:lineRule="exact"/>
        <w:rPr>
          <w:sz w:val="20"/>
          <w:szCs w:val="20"/>
          <w:color w:val="auto"/>
        </w:rPr>
      </w:pPr>
    </w:p>
    <w:p>
      <w:pPr>
        <w:ind w:left="660" w:right="80" w:hanging="328"/>
        <w:spacing w:after="0" w:line="287" w:lineRule="auto"/>
        <w:tabs>
          <w:tab w:leader="none" w:pos="649" w:val="left"/>
        </w:tabs>
        <w:numPr>
          <w:ilvl w:val="0"/>
          <w:numId w:val="129"/>
        </w:numPr>
        <w:rPr>
          <w:rFonts w:ascii="Arial" w:cs="Arial" w:eastAsia="Arial" w:hAnsi="Arial"/>
          <w:sz w:val="16"/>
          <w:szCs w:val="16"/>
          <w:color w:val="auto"/>
        </w:rPr>
      </w:pPr>
      <w:r>
        <w:rPr>
          <w:rFonts w:ascii="Arial" w:cs="Arial" w:eastAsia="Arial" w:hAnsi="Arial"/>
          <w:sz w:val="18"/>
          <w:szCs w:val="18"/>
          <w:color w:val="auto"/>
        </w:rPr>
        <w:t>Launched 18 new indications for already marketed medicines to patients around the world including Verzenio in certain people with high-risk early breast cancer and Jardiance in heart failure which reduced ejection fraction.</w:t>
      </w:r>
    </w:p>
    <w:p>
      <w:pPr>
        <w:spacing w:after="0" w:line="98" w:lineRule="exact"/>
        <w:rPr>
          <w:rFonts w:ascii="Arial" w:cs="Arial" w:eastAsia="Arial" w:hAnsi="Arial"/>
          <w:sz w:val="16"/>
          <w:szCs w:val="16"/>
          <w:color w:val="auto"/>
        </w:rPr>
      </w:pPr>
    </w:p>
    <w:p>
      <w:pPr>
        <w:ind w:left="660" w:right="560" w:hanging="328"/>
        <w:spacing w:after="0" w:line="287" w:lineRule="auto"/>
        <w:tabs>
          <w:tab w:leader="none" w:pos="649" w:val="left"/>
        </w:tabs>
        <w:numPr>
          <w:ilvl w:val="0"/>
          <w:numId w:val="129"/>
        </w:numPr>
        <w:rPr>
          <w:rFonts w:ascii="Arial" w:cs="Arial" w:eastAsia="Arial" w:hAnsi="Arial"/>
          <w:sz w:val="16"/>
          <w:szCs w:val="16"/>
          <w:color w:val="auto"/>
        </w:rPr>
      </w:pPr>
      <w:r>
        <w:rPr>
          <w:rFonts w:ascii="Arial" w:cs="Arial" w:eastAsia="Arial" w:hAnsi="Arial"/>
          <w:sz w:val="18"/>
          <w:szCs w:val="18"/>
          <w:color w:val="auto"/>
        </w:rPr>
        <w:t>Progressed 12 and 10 potential new medicines into Phase I and Phase II clinical development respectively from both internal research and external sources.</w:t>
      </w:r>
    </w:p>
    <w:p>
      <w:pPr>
        <w:sectPr>
          <w:pgSz w:w="11900" w:h="16838" w:orient="portrait"/>
          <w:cols w:equalWidth="0" w:num="1">
            <w:col w:w="11120"/>
          </w:cols>
          <w:pgMar w:left="320" w:top="1440" w:right="45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type w:val="continuous"/>
        </w:sectPr>
      </w:pPr>
    </w:p>
    <w:bookmarkStart w:id="63" w:name="page64"/>
    <w:bookmarkEnd w:id="63"/>
    <w:p>
      <w:pPr>
        <w:ind w:left="660" w:right="740" w:hanging="328"/>
        <w:spacing w:after="0" w:line="287" w:lineRule="auto"/>
        <w:tabs>
          <w:tab w:leader="none" w:pos="649" w:val="left"/>
        </w:tabs>
        <w:numPr>
          <w:ilvl w:val="0"/>
          <w:numId w:val="130"/>
        </w:numPr>
        <w:rPr>
          <w:rFonts w:ascii="Arial" w:cs="Arial" w:eastAsia="Arial" w:hAnsi="Arial"/>
          <w:sz w:val="16"/>
          <w:szCs w:val="16"/>
          <w:color w:val="auto"/>
        </w:rPr>
      </w:pPr>
      <w:r>
        <w:rPr>
          <w:rFonts w:ascii="Arial" w:cs="Arial" w:eastAsia="Arial" w:hAnsi="Arial"/>
          <w:sz w:val="18"/>
          <w:szCs w:val="18"/>
          <w:color w:val="auto"/>
        </w:rPr>
        <w:t>Advanced tirzepatide and donanemab, two promising pipeline assets, both having significant data releases and initiating the regulatory review process.</w:t>
      </w:r>
    </w:p>
    <w:p>
      <w:pPr>
        <w:spacing w:after="0" w:line="98" w:lineRule="exact"/>
        <w:rPr>
          <w:rFonts w:ascii="Arial" w:cs="Arial" w:eastAsia="Arial" w:hAnsi="Arial"/>
          <w:sz w:val="16"/>
          <w:szCs w:val="16"/>
          <w:color w:val="auto"/>
        </w:rPr>
      </w:pPr>
    </w:p>
    <w:p>
      <w:pPr>
        <w:ind w:left="660" w:right="20" w:hanging="328"/>
        <w:spacing w:after="0" w:line="268" w:lineRule="auto"/>
        <w:tabs>
          <w:tab w:leader="none" w:pos="649" w:val="left"/>
        </w:tabs>
        <w:numPr>
          <w:ilvl w:val="0"/>
          <w:numId w:val="130"/>
        </w:numPr>
        <w:rPr>
          <w:rFonts w:ascii="Arial" w:cs="Arial" w:eastAsia="Arial" w:hAnsi="Arial"/>
          <w:sz w:val="16"/>
          <w:szCs w:val="16"/>
          <w:color w:val="auto"/>
        </w:rPr>
      </w:pPr>
      <w:r>
        <w:rPr>
          <w:rFonts w:ascii="Arial" w:cs="Arial" w:eastAsia="Arial" w:hAnsi="Arial"/>
          <w:sz w:val="18"/>
          <w:szCs w:val="18"/>
          <w:color w:val="auto"/>
        </w:rPr>
        <w:t>Contributed towards the fight against the global COVID-19 pandemic, including discovering and developing SARS-CoV-2 neutralizing antibodies and striving to protect the health and safety of Lilly employees who continued to provide lifesaving medicines to people around the world.</w:t>
      </w:r>
    </w:p>
    <w:p>
      <w:pPr>
        <w:spacing w:after="0" w:line="116" w:lineRule="exact"/>
        <w:rPr>
          <w:rFonts w:ascii="Arial" w:cs="Arial" w:eastAsia="Arial" w:hAnsi="Arial"/>
          <w:sz w:val="16"/>
          <w:szCs w:val="16"/>
          <w:color w:val="auto"/>
        </w:rPr>
      </w:pPr>
    </w:p>
    <w:p>
      <w:pPr>
        <w:ind w:left="660" w:right="40" w:hanging="328"/>
        <w:spacing w:after="0" w:line="287" w:lineRule="auto"/>
        <w:tabs>
          <w:tab w:leader="none" w:pos="649" w:val="left"/>
        </w:tabs>
        <w:numPr>
          <w:ilvl w:val="0"/>
          <w:numId w:val="130"/>
        </w:numPr>
        <w:rPr>
          <w:rFonts w:ascii="Arial" w:cs="Arial" w:eastAsia="Arial" w:hAnsi="Arial"/>
          <w:sz w:val="16"/>
          <w:szCs w:val="16"/>
          <w:color w:val="auto"/>
        </w:rPr>
      </w:pPr>
      <w:r>
        <w:rPr>
          <w:rFonts w:ascii="Arial" w:cs="Arial" w:eastAsia="Arial" w:hAnsi="Arial"/>
          <w:sz w:val="18"/>
          <w:szCs w:val="18"/>
          <w:color w:val="auto"/>
        </w:rPr>
        <w:t>Completed numerous pre-clinical and new modality business development transactions to complement and expand internal research efforts.</w:t>
      </w:r>
    </w:p>
    <w:p>
      <w:pPr>
        <w:spacing w:after="0" w:line="98" w:lineRule="exact"/>
        <w:rPr>
          <w:rFonts w:ascii="Arial" w:cs="Arial" w:eastAsia="Arial" w:hAnsi="Arial"/>
          <w:sz w:val="16"/>
          <w:szCs w:val="16"/>
          <w:color w:val="auto"/>
        </w:rPr>
      </w:pPr>
    </w:p>
    <w:p>
      <w:pPr>
        <w:ind w:left="660" w:right="540" w:hanging="328"/>
        <w:spacing w:after="0" w:line="287" w:lineRule="auto"/>
        <w:tabs>
          <w:tab w:leader="none" w:pos="649" w:val="left"/>
        </w:tabs>
        <w:numPr>
          <w:ilvl w:val="0"/>
          <w:numId w:val="130"/>
        </w:numPr>
        <w:rPr>
          <w:rFonts w:ascii="Arial" w:cs="Arial" w:eastAsia="Arial" w:hAnsi="Arial"/>
          <w:sz w:val="16"/>
          <w:szCs w:val="16"/>
          <w:color w:val="auto"/>
        </w:rPr>
      </w:pPr>
      <w:r>
        <w:rPr>
          <w:rFonts w:ascii="Arial" w:cs="Arial" w:eastAsia="Arial" w:hAnsi="Arial"/>
          <w:sz w:val="18"/>
          <w:szCs w:val="18"/>
          <w:color w:val="auto"/>
        </w:rPr>
        <w:t>Continued to drive a cross-company productivity agenda resulting in savings that funded increased investment in research and development and commercialization of key medicines.</w:t>
      </w:r>
    </w:p>
    <w:p>
      <w:pPr>
        <w:spacing w:after="0" w:line="98" w:lineRule="exact"/>
        <w:rPr>
          <w:rFonts w:ascii="Arial" w:cs="Arial" w:eastAsia="Arial" w:hAnsi="Arial"/>
          <w:sz w:val="16"/>
          <w:szCs w:val="16"/>
          <w:color w:val="auto"/>
        </w:rPr>
      </w:pPr>
    </w:p>
    <w:p>
      <w:pPr>
        <w:ind w:left="660" w:hanging="328"/>
        <w:spacing w:after="0" w:line="262" w:lineRule="auto"/>
        <w:tabs>
          <w:tab w:leader="none" w:pos="649" w:val="left"/>
        </w:tabs>
        <w:numPr>
          <w:ilvl w:val="0"/>
          <w:numId w:val="130"/>
        </w:numPr>
        <w:rPr>
          <w:rFonts w:ascii="Arial" w:cs="Arial" w:eastAsia="Arial" w:hAnsi="Arial"/>
          <w:sz w:val="16"/>
          <w:szCs w:val="16"/>
          <w:color w:val="auto"/>
        </w:rPr>
      </w:pPr>
      <w:r>
        <w:rPr>
          <w:rFonts w:ascii="Arial" w:cs="Arial" w:eastAsia="Arial" w:hAnsi="Arial"/>
          <w:sz w:val="18"/>
          <w:szCs w:val="18"/>
          <w:color w:val="auto"/>
        </w:rPr>
        <w:t>Continued execution of a comprehensive strategy that improved DEI across the company, increased the representation of women and minorities in management and conducted pay equity studies to promote equality in pay. The company was ranked #3 on the DiversityInc. top 50 companies list. Additionally, led the company’s comprehensive Racial Justice Commitment to help improve equity within Lilly and the communities in which it operates.</w:t>
      </w:r>
    </w:p>
    <w:p>
      <w:pPr>
        <w:spacing w:after="0" w:line="122" w:lineRule="exact"/>
        <w:rPr>
          <w:rFonts w:ascii="Arial" w:cs="Arial" w:eastAsia="Arial" w:hAnsi="Arial"/>
          <w:sz w:val="16"/>
          <w:szCs w:val="16"/>
          <w:color w:val="auto"/>
        </w:rPr>
      </w:pPr>
    </w:p>
    <w:p>
      <w:pPr>
        <w:jc w:val="both"/>
        <w:ind w:left="660" w:right="440" w:hanging="328"/>
        <w:spacing w:after="0" w:line="268" w:lineRule="auto"/>
        <w:tabs>
          <w:tab w:leader="none" w:pos="649" w:val="left"/>
        </w:tabs>
        <w:numPr>
          <w:ilvl w:val="0"/>
          <w:numId w:val="130"/>
        </w:numPr>
        <w:rPr>
          <w:rFonts w:ascii="Arial" w:cs="Arial" w:eastAsia="Arial" w:hAnsi="Arial"/>
          <w:sz w:val="16"/>
          <w:szCs w:val="16"/>
          <w:color w:val="auto"/>
        </w:rPr>
      </w:pPr>
      <w:r>
        <w:rPr>
          <w:rFonts w:ascii="Arial" w:cs="Arial" w:eastAsia="Arial" w:hAnsi="Arial"/>
          <w:sz w:val="18"/>
          <w:szCs w:val="18"/>
          <w:color w:val="auto"/>
        </w:rPr>
        <w:t>Established new 2030 environmental performance goals to be carbon neutral in our own operations, purchase 100% renewable electricity, have zero waste to landfill from routine operations and continue our water stewardship. Held the company’s first ESG investor meeting and published Lilly’s comprehensive ESG report.</w:t>
      </w:r>
    </w:p>
    <w:p>
      <w:pPr>
        <w:spacing w:after="0" w:line="142" w:lineRule="exact"/>
        <w:rPr>
          <w:rFonts w:ascii="Arial" w:cs="Arial" w:eastAsia="Arial" w:hAnsi="Arial"/>
          <w:sz w:val="16"/>
          <w:szCs w:val="16"/>
          <w:color w:val="auto"/>
        </w:rPr>
      </w:pPr>
    </w:p>
    <w:p>
      <w:pPr>
        <w:ind w:left="660" w:hanging="328"/>
        <w:spacing w:after="0"/>
        <w:tabs>
          <w:tab w:leader="none" w:pos="660" w:val="left"/>
        </w:tabs>
        <w:numPr>
          <w:ilvl w:val="0"/>
          <w:numId w:val="130"/>
        </w:numPr>
        <w:rPr>
          <w:rFonts w:ascii="Arial" w:cs="Arial" w:eastAsia="Arial" w:hAnsi="Arial"/>
          <w:sz w:val="22"/>
          <w:szCs w:val="22"/>
          <w:color w:val="auto"/>
        </w:rPr>
      </w:pPr>
      <w:r>
        <w:rPr>
          <w:rFonts w:ascii="Arial" w:cs="Arial" w:eastAsia="Arial" w:hAnsi="Arial"/>
          <w:sz w:val="18"/>
          <w:szCs w:val="18"/>
          <w:color w:val="auto"/>
        </w:rPr>
        <w:t>In addition, the company was named one of the world’s most ethical companies by the Ethisphere Institute</w:t>
      </w:r>
      <w:r>
        <w:rPr>
          <w:rFonts w:ascii="Arial" w:cs="Arial" w:eastAsia="Arial" w:hAnsi="Arial"/>
          <w:sz w:val="17"/>
          <w:szCs w:val="17"/>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Anat Ashkenazi, Executive Vice President and Chief Financial Officer:</w:t>
      </w:r>
    </w:p>
    <w:p>
      <w:pPr>
        <w:spacing w:after="0" w:line="7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Ms. Ashkenazi contributed to the strong financial performance of the company in her first year as chief financial officer. Ms. Ashkenazi’s 2021 accomplishments included:</w:t>
      </w:r>
    </w:p>
    <w:p>
      <w:pPr>
        <w:spacing w:after="0" w:line="99" w:lineRule="exact"/>
        <w:rPr>
          <w:sz w:val="20"/>
          <w:szCs w:val="20"/>
          <w:color w:val="auto"/>
        </w:rPr>
      </w:pPr>
    </w:p>
    <w:p>
      <w:pPr>
        <w:ind w:left="640" w:hanging="308"/>
        <w:spacing w:after="0"/>
        <w:tabs>
          <w:tab w:leader="none" w:pos="640" w:val="left"/>
        </w:tabs>
        <w:numPr>
          <w:ilvl w:val="0"/>
          <w:numId w:val="131"/>
        </w:numPr>
        <w:rPr>
          <w:rFonts w:ascii="Arial" w:cs="Arial" w:eastAsia="Arial" w:hAnsi="Arial"/>
          <w:sz w:val="16"/>
          <w:szCs w:val="16"/>
          <w:color w:val="auto"/>
        </w:rPr>
      </w:pPr>
      <w:r>
        <w:rPr>
          <w:rFonts w:ascii="Arial" w:cs="Arial" w:eastAsia="Arial" w:hAnsi="Arial"/>
          <w:sz w:val="18"/>
          <w:szCs w:val="18"/>
          <w:color w:val="auto"/>
        </w:rPr>
        <w:t>Played a key role in the company achieving its financial targets in 2021.</w:t>
      </w:r>
    </w:p>
    <w:p>
      <w:pPr>
        <w:spacing w:after="0" w:line="171" w:lineRule="exact"/>
        <w:rPr>
          <w:rFonts w:ascii="Arial" w:cs="Arial" w:eastAsia="Arial" w:hAnsi="Arial"/>
          <w:sz w:val="16"/>
          <w:szCs w:val="16"/>
          <w:color w:val="auto"/>
        </w:rPr>
      </w:pPr>
    </w:p>
    <w:p>
      <w:pPr>
        <w:ind w:left="640" w:hanging="308"/>
        <w:spacing w:after="0"/>
        <w:tabs>
          <w:tab w:leader="none" w:pos="640" w:val="left"/>
        </w:tabs>
        <w:numPr>
          <w:ilvl w:val="0"/>
          <w:numId w:val="131"/>
        </w:numPr>
        <w:rPr>
          <w:rFonts w:ascii="Arial" w:cs="Arial" w:eastAsia="Arial" w:hAnsi="Arial"/>
          <w:sz w:val="16"/>
          <w:szCs w:val="16"/>
          <w:color w:val="auto"/>
        </w:rPr>
      </w:pPr>
      <w:r>
        <w:rPr>
          <w:rFonts w:ascii="Arial" w:cs="Arial" w:eastAsia="Arial" w:hAnsi="Arial"/>
          <w:sz w:val="18"/>
          <w:szCs w:val="18"/>
          <w:color w:val="auto"/>
        </w:rPr>
        <w:t>Drove the company’s 2022 strategic planning and business planning process.</w:t>
      </w:r>
    </w:p>
    <w:p>
      <w:pPr>
        <w:spacing w:after="0" w:line="171" w:lineRule="exact"/>
        <w:rPr>
          <w:rFonts w:ascii="Arial" w:cs="Arial" w:eastAsia="Arial" w:hAnsi="Arial"/>
          <w:sz w:val="16"/>
          <w:szCs w:val="16"/>
          <w:color w:val="auto"/>
        </w:rPr>
      </w:pPr>
    </w:p>
    <w:p>
      <w:pPr>
        <w:ind w:left="660" w:right="540" w:hanging="328"/>
        <w:spacing w:after="0" w:line="287" w:lineRule="auto"/>
        <w:tabs>
          <w:tab w:leader="none" w:pos="649" w:val="left"/>
        </w:tabs>
        <w:numPr>
          <w:ilvl w:val="0"/>
          <w:numId w:val="131"/>
        </w:numPr>
        <w:rPr>
          <w:rFonts w:ascii="Arial" w:cs="Arial" w:eastAsia="Arial" w:hAnsi="Arial"/>
          <w:sz w:val="16"/>
          <w:szCs w:val="16"/>
          <w:color w:val="auto"/>
        </w:rPr>
      </w:pPr>
      <w:r>
        <w:rPr>
          <w:rFonts w:ascii="Arial" w:cs="Arial" w:eastAsia="Arial" w:hAnsi="Arial"/>
          <w:sz w:val="18"/>
          <w:szCs w:val="18"/>
          <w:color w:val="auto"/>
        </w:rPr>
        <w:t>Championed the company’s productivity agenda throughout 2021 and during the company’s strategic and operational planning processes.</w:t>
      </w:r>
    </w:p>
    <w:p>
      <w:pPr>
        <w:spacing w:after="0" w:line="98" w:lineRule="exact"/>
        <w:rPr>
          <w:rFonts w:ascii="Arial" w:cs="Arial" w:eastAsia="Arial" w:hAnsi="Arial"/>
          <w:sz w:val="16"/>
          <w:szCs w:val="16"/>
          <w:color w:val="auto"/>
        </w:rPr>
      </w:pPr>
    </w:p>
    <w:p>
      <w:pPr>
        <w:ind w:left="660" w:right="100" w:hanging="328"/>
        <w:spacing w:after="0" w:line="287" w:lineRule="auto"/>
        <w:tabs>
          <w:tab w:leader="none" w:pos="649" w:val="left"/>
        </w:tabs>
        <w:numPr>
          <w:ilvl w:val="0"/>
          <w:numId w:val="131"/>
        </w:numPr>
        <w:rPr>
          <w:rFonts w:ascii="Arial" w:cs="Arial" w:eastAsia="Arial" w:hAnsi="Arial"/>
          <w:sz w:val="16"/>
          <w:szCs w:val="16"/>
          <w:color w:val="auto"/>
        </w:rPr>
      </w:pPr>
      <w:r>
        <w:rPr>
          <w:rFonts w:ascii="Arial" w:cs="Arial" w:eastAsia="Arial" w:hAnsi="Arial"/>
          <w:sz w:val="18"/>
          <w:szCs w:val="18"/>
          <w:color w:val="auto"/>
        </w:rPr>
        <w:t>Led the capital allocation process allowing for investment in several in-licensing deals and increased funding for the advancement of new medicines through clinical development.</w:t>
      </w:r>
    </w:p>
    <w:p>
      <w:pPr>
        <w:spacing w:after="0" w:line="98" w:lineRule="exact"/>
        <w:rPr>
          <w:rFonts w:ascii="Arial" w:cs="Arial" w:eastAsia="Arial" w:hAnsi="Arial"/>
          <w:sz w:val="16"/>
          <w:szCs w:val="16"/>
          <w:color w:val="auto"/>
        </w:rPr>
      </w:pPr>
    </w:p>
    <w:p>
      <w:pPr>
        <w:ind w:left="640" w:hanging="308"/>
        <w:spacing w:after="0"/>
        <w:tabs>
          <w:tab w:leader="none" w:pos="640" w:val="left"/>
        </w:tabs>
        <w:numPr>
          <w:ilvl w:val="0"/>
          <w:numId w:val="131"/>
        </w:numPr>
        <w:rPr>
          <w:rFonts w:ascii="Arial" w:cs="Arial" w:eastAsia="Arial" w:hAnsi="Arial"/>
          <w:sz w:val="16"/>
          <w:szCs w:val="16"/>
          <w:color w:val="auto"/>
        </w:rPr>
      </w:pPr>
      <w:r>
        <w:rPr>
          <w:rFonts w:ascii="Arial" w:cs="Arial" w:eastAsia="Arial" w:hAnsi="Arial"/>
          <w:sz w:val="18"/>
          <w:szCs w:val="18"/>
          <w:color w:val="auto"/>
        </w:rPr>
        <w:t>Continued to build excellent rapport and represent the company with the investment community.</w:t>
      </w:r>
    </w:p>
    <w:p>
      <w:pPr>
        <w:spacing w:after="0" w:line="171" w:lineRule="exact"/>
        <w:rPr>
          <w:rFonts w:ascii="Arial" w:cs="Arial" w:eastAsia="Arial" w:hAnsi="Arial"/>
          <w:sz w:val="16"/>
          <w:szCs w:val="16"/>
          <w:color w:val="auto"/>
        </w:rPr>
      </w:pPr>
    </w:p>
    <w:p>
      <w:pPr>
        <w:ind w:left="660" w:right="920" w:hanging="328"/>
        <w:spacing w:after="0" w:line="287" w:lineRule="auto"/>
        <w:tabs>
          <w:tab w:leader="none" w:pos="649" w:val="left"/>
        </w:tabs>
        <w:numPr>
          <w:ilvl w:val="0"/>
          <w:numId w:val="131"/>
        </w:numPr>
        <w:rPr>
          <w:rFonts w:ascii="Arial" w:cs="Arial" w:eastAsia="Arial" w:hAnsi="Arial"/>
          <w:sz w:val="16"/>
          <w:szCs w:val="16"/>
          <w:color w:val="auto"/>
        </w:rPr>
      </w:pPr>
      <w:r>
        <w:rPr>
          <w:rFonts w:ascii="Arial" w:cs="Arial" w:eastAsia="Arial" w:hAnsi="Arial"/>
          <w:sz w:val="18"/>
          <w:szCs w:val="18"/>
          <w:color w:val="auto"/>
        </w:rPr>
        <w:t>Was a strong partner with the business unit presidents, chief scientific and medical officer, and president of manufacturing operations.</w:t>
      </w:r>
    </w:p>
    <w:p>
      <w:pPr>
        <w:spacing w:after="0" w:line="99" w:lineRule="exact"/>
        <w:rPr>
          <w:sz w:val="20"/>
          <w:szCs w:val="20"/>
          <w:color w:val="auto"/>
        </w:rPr>
      </w:pPr>
    </w:p>
    <w:p>
      <w:pPr>
        <w:ind w:left="660" w:right="580" w:hanging="328"/>
        <w:spacing w:after="0" w:line="287" w:lineRule="auto"/>
        <w:tabs>
          <w:tab w:leader="none" w:pos="65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Sponsors Lilly’s Veteran Network, an employee resource group focused on recruiting and advancing people who served in the country’s military.</w:t>
      </w:r>
    </w:p>
    <w:p>
      <w:pPr>
        <w:spacing w:after="0" w:line="148" w:lineRule="exact"/>
        <w:rPr>
          <w:sz w:val="20"/>
          <w:szCs w:val="20"/>
          <w:color w:val="auto"/>
        </w:rPr>
      </w:pPr>
    </w:p>
    <w:p>
      <w:pPr>
        <w:ind w:right="600"/>
        <w:spacing w:after="0" w:line="277" w:lineRule="auto"/>
        <w:rPr>
          <w:sz w:val="20"/>
          <w:szCs w:val="20"/>
          <w:color w:val="auto"/>
        </w:rPr>
      </w:pPr>
      <w:r>
        <w:rPr>
          <w:rFonts w:ascii="Arial" w:cs="Arial" w:eastAsia="Arial" w:hAnsi="Arial"/>
          <w:sz w:val="20"/>
          <w:szCs w:val="20"/>
          <w:b w:val="1"/>
          <w:bCs w:val="1"/>
          <w:color w:val="D52B1E"/>
        </w:rPr>
        <w:t>Daniel Skovronsky, M.D., Ph.D., Executive Vice President, Chief Scientific and Medical Officer and President, Lilly Research Laboratories:</w:t>
      </w:r>
    </w:p>
    <w:p>
      <w:pPr>
        <w:spacing w:after="0"/>
        <w:rPr>
          <w:sz w:val="20"/>
          <w:szCs w:val="20"/>
          <w:color w:val="auto"/>
        </w:rPr>
      </w:pPr>
      <w:r>
        <w:rPr>
          <w:rFonts w:ascii="Arial" w:cs="Arial" w:eastAsia="Arial" w:hAnsi="Arial"/>
          <w:sz w:val="18"/>
          <w:szCs w:val="18"/>
          <w:color w:val="auto"/>
        </w:rPr>
        <w:t>Dr. Skovronsky advanced innovation for patients as the company’s chief scientific and medical officer. His contributions in 2021 included:</w:t>
      </w:r>
    </w:p>
    <w:p>
      <w:pPr>
        <w:spacing w:after="0" w:line="171" w:lineRule="exact"/>
        <w:rPr>
          <w:sz w:val="20"/>
          <w:szCs w:val="20"/>
          <w:color w:val="auto"/>
        </w:rPr>
      </w:pPr>
    </w:p>
    <w:p>
      <w:pPr>
        <w:ind w:left="660" w:right="80" w:hanging="328"/>
        <w:spacing w:after="0" w:line="268" w:lineRule="auto"/>
        <w:tabs>
          <w:tab w:leader="none" w:pos="649" w:val="left"/>
        </w:tabs>
        <w:numPr>
          <w:ilvl w:val="0"/>
          <w:numId w:val="133"/>
        </w:numPr>
        <w:rPr>
          <w:rFonts w:ascii="Arial" w:cs="Arial" w:eastAsia="Arial" w:hAnsi="Arial"/>
          <w:sz w:val="16"/>
          <w:szCs w:val="16"/>
          <w:color w:val="auto"/>
        </w:rPr>
      </w:pPr>
      <w:r>
        <w:rPr>
          <w:rFonts w:ascii="Arial" w:cs="Arial" w:eastAsia="Arial" w:hAnsi="Arial"/>
          <w:sz w:val="18"/>
          <w:szCs w:val="18"/>
          <w:color w:val="auto"/>
        </w:rPr>
        <w:t>Advanced innovative medicines through the product pipeline leading to 18 new indications for already-marketed medicines that were launched to patients globally, including Verzenio in certain people with high-risk early breast cancer and Jardiance in heart failure which reduced ejection fraction in the United States and other key markets.</w:t>
      </w:r>
    </w:p>
    <w:p>
      <w:pPr>
        <w:spacing w:after="0" w:line="116" w:lineRule="exact"/>
        <w:rPr>
          <w:rFonts w:ascii="Arial" w:cs="Arial" w:eastAsia="Arial" w:hAnsi="Arial"/>
          <w:sz w:val="16"/>
          <w:szCs w:val="16"/>
          <w:color w:val="auto"/>
        </w:rPr>
      </w:pPr>
    </w:p>
    <w:p>
      <w:pPr>
        <w:ind w:left="660" w:right="80" w:hanging="328"/>
        <w:spacing w:after="0" w:line="287" w:lineRule="auto"/>
        <w:tabs>
          <w:tab w:leader="none" w:pos="649" w:val="left"/>
        </w:tabs>
        <w:numPr>
          <w:ilvl w:val="0"/>
          <w:numId w:val="133"/>
        </w:numPr>
        <w:rPr>
          <w:rFonts w:ascii="Arial" w:cs="Arial" w:eastAsia="Arial" w:hAnsi="Arial"/>
          <w:sz w:val="16"/>
          <w:szCs w:val="16"/>
          <w:color w:val="auto"/>
        </w:rPr>
      </w:pPr>
      <w:r>
        <w:rPr>
          <w:rFonts w:ascii="Arial" w:cs="Arial" w:eastAsia="Arial" w:hAnsi="Arial"/>
          <w:sz w:val="18"/>
          <w:szCs w:val="18"/>
          <w:color w:val="auto"/>
        </w:rPr>
        <w:t>Achieved industry leading speed across preclinical and clinical development, clinical success rates above the industry peer average, and sellside consensus as the highest valued pipeline in the industry.</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4" w:name="page65"/>
    <w:bookmarkEnd w:id="64"/>
    <w:p>
      <w:pPr>
        <w:ind w:left="640" w:hanging="308"/>
        <w:spacing w:after="0"/>
        <w:tabs>
          <w:tab w:leader="none" w:pos="640" w:val="left"/>
        </w:tabs>
        <w:numPr>
          <w:ilvl w:val="0"/>
          <w:numId w:val="134"/>
        </w:numPr>
        <w:rPr>
          <w:rFonts w:ascii="Arial" w:cs="Arial" w:eastAsia="Arial" w:hAnsi="Arial"/>
          <w:sz w:val="16"/>
          <w:szCs w:val="16"/>
          <w:color w:val="auto"/>
        </w:rPr>
      </w:pPr>
      <w:r>
        <w:rPr>
          <w:rFonts w:ascii="Arial" w:cs="Arial" w:eastAsia="Arial" w:hAnsi="Arial"/>
          <w:sz w:val="18"/>
          <w:szCs w:val="18"/>
          <w:color w:val="auto"/>
        </w:rPr>
        <w:t>Delivered several significant positive data readouts including for tirzepatide, donanemab, mirikizumab, and pirtobrutinib.</w:t>
      </w:r>
    </w:p>
    <w:p>
      <w:pPr>
        <w:spacing w:after="0" w:line="171" w:lineRule="exact"/>
        <w:rPr>
          <w:rFonts w:ascii="Arial" w:cs="Arial" w:eastAsia="Arial" w:hAnsi="Arial"/>
          <w:sz w:val="16"/>
          <w:szCs w:val="16"/>
          <w:color w:val="auto"/>
        </w:rPr>
      </w:pPr>
    </w:p>
    <w:p>
      <w:pPr>
        <w:ind w:left="640" w:hanging="308"/>
        <w:spacing w:after="0"/>
        <w:tabs>
          <w:tab w:leader="none" w:pos="640" w:val="left"/>
        </w:tabs>
        <w:numPr>
          <w:ilvl w:val="0"/>
          <w:numId w:val="134"/>
        </w:numPr>
        <w:rPr>
          <w:rFonts w:ascii="Arial" w:cs="Arial" w:eastAsia="Arial" w:hAnsi="Arial"/>
          <w:sz w:val="15"/>
          <w:szCs w:val="15"/>
          <w:color w:val="auto"/>
        </w:rPr>
      </w:pPr>
      <w:r>
        <w:rPr>
          <w:rFonts w:ascii="Arial" w:cs="Arial" w:eastAsia="Arial" w:hAnsi="Arial"/>
          <w:sz w:val="17"/>
          <w:szCs w:val="17"/>
          <w:color w:val="auto"/>
        </w:rPr>
        <w:t>Led numerous pre-clinical and new modality business development transactions to complement and expand internal research efforts.</w:t>
      </w:r>
    </w:p>
    <w:p>
      <w:pPr>
        <w:spacing w:after="0" w:line="182" w:lineRule="exact"/>
        <w:rPr>
          <w:rFonts w:ascii="Arial" w:cs="Arial" w:eastAsia="Arial" w:hAnsi="Arial"/>
          <w:sz w:val="15"/>
          <w:szCs w:val="15"/>
          <w:color w:val="auto"/>
        </w:rPr>
      </w:pPr>
    </w:p>
    <w:p>
      <w:pPr>
        <w:ind w:left="660" w:right="120" w:hanging="328"/>
        <w:spacing w:after="0" w:line="287" w:lineRule="auto"/>
        <w:tabs>
          <w:tab w:leader="none" w:pos="649" w:val="left"/>
        </w:tabs>
        <w:numPr>
          <w:ilvl w:val="0"/>
          <w:numId w:val="134"/>
        </w:numPr>
        <w:rPr>
          <w:rFonts w:ascii="Arial" w:cs="Arial" w:eastAsia="Arial" w:hAnsi="Arial"/>
          <w:sz w:val="16"/>
          <w:szCs w:val="16"/>
          <w:color w:val="auto"/>
        </w:rPr>
      </w:pPr>
      <w:r>
        <w:rPr>
          <w:rFonts w:ascii="Arial" w:cs="Arial" w:eastAsia="Arial" w:hAnsi="Arial"/>
          <w:sz w:val="18"/>
          <w:szCs w:val="18"/>
          <w:color w:val="auto"/>
        </w:rPr>
        <w:t>Sped research resulting in 12 and 10 potential new medicines into Phase I and Phase II clinical development respectively from both internal research and external sources via business development.</w:t>
      </w:r>
    </w:p>
    <w:p>
      <w:pPr>
        <w:spacing w:after="0" w:line="98" w:lineRule="exact"/>
        <w:rPr>
          <w:rFonts w:ascii="Arial" w:cs="Arial" w:eastAsia="Arial" w:hAnsi="Arial"/>
          <w:sz w:val="16"/>
          <w:szCs w:val="16"/>
          <w:color w:val="auto"/>
        </w:rPr>
      </w:pPr>
    </w:p>
    <w:p>
      <w:pPr>
        <w:ind w:left="660" w:right="840" w:hanging="328"/>
        <w:spacing w:after="0" w:line="287" w:lineRule="auto"/>
        <w:tabs>
          <w:tab w:leader="none" w:pos="649" w:val="left"/>
        </w:tabs>
        <w:numPr>
          <w:ilvl w:val="0"/>
          <w:numId w:val="134"/>
        </w:numPr>
        <w:rPr>
          <w:rFonts w:ascii="Arial" w:cs="Arial" w:eastAsia="Arial" w:hAnsi="Arial"/>
          <w:sz w:val="16"/>
          <w:szCs w:val="16"/>
          <w:color w:val="auto"/>
        </w:rPr>
      </w:pPr>
      <w:r>
        <w:rPr>
          <w:rFonts w:ascii="Arial" w:cs="Arial" w:eastAsia="Arial" w:hAnsi="Arial"/>
          <w:sz w:val="18"/>
          <w:szCs w:val="18"/>
          <w:color w:val="auto"/>
        </w:rPr>
        <w:t>Led the company’s efforts in the fight against SARS-CoV-2 including discovering and developing SARS-CoV-2 neutralizing antibodies.</w:t>
      </w:r>
    </w:p>
    <w:p>
      <w:pPr>
        <w:spacing w:after="0" w:line="98" w:lineRule="exact"/>
        <w:rPr>
          <w:rFonts w:ascii="Arial" w:cs="Arial" w:eastAsia="Arial" w:hAnsi="Arial"/>
          <w:sz w:val="16"/>
          <w:szCs w:val="16"/>
          <w:color w:val="auto"/>
        </w:rPr>
      </w:pPr>
    </w:p>
    <w:p>
      <w:pPr>
        <w:ind w:left="660" w:right="580" w:hanging="328"/>
        <w:spacing w:after="0" w:line="287" w:lineRule="auto"/>
        <w:tabs>
          <w:tab w:leader="none" w:pos="649" w:val="left"/>
        </w:tabs>
        <w:numPr>
          <w:ilvl w:val="0"/>
          <w:numId w:val="134"/>
        </w:numPr>
        <w:rPr>
          <w:rFonts w:ascii="Arial" w:cs="Arial" w:eastAsia="Arial" w:hAnsi="Arial"/>
          <w:sz w:val="16"/>
          <w:szCs w:val="16"/>
          <w:color w:val="auto"/>
        </w:rPr>
      </w:pPr>
      <w:r>
        <w:rPr>
          <w:rFonts w:ascii="Arial" w:cs="Arial" w:eastAsia="Arial" w:hAnsi="Arial"/>
          <w:sz w:val="18"/>
          <w:szCs w:val="18"/>
          <w:color w:val="auto"/>
        </w:rPr>
        <w:t>Led DEI strategies in research and development to improve innovation and productivity and sponsored Lilly’s Chinese Culture Network.</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Anat Hakim, Executive Vice President, General Counsel and Secretary:</w:t>
      </w:r>
    </w:p>
    <w:p>
      <w:pPr>
        <w:spacing w:after="0" w:line="72"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Ms. Hakim was effective and influential in her second year as general counsel in 2021, and she was a productive partner with the executive team. In 2021, she:</w:t>
      </w:r>
    </w:p>
    <w:p>
      <w:pPr>
        <w:spacing w:after="0" w:line="99" w:lineRule="exact"/>
        <w:rPr>
          <w:sz w:val="20"/>
          <w:szCs w:val="20"/>
          <w:color w:val="auto"/>
        </w:rPr>
      </w:pPr>
    </w:p>
    <w:p>
      <w:pPr>
        <w:ind w:left="640" w:hanging="308"/>
        <w:spacing w:after="0"/>
        <w:tabs>
          <w:tab w:leader="none" w:pos="640" w:val="left"/>
        </w:tabs>
        <w:numPr>
          <w:ilvl w:val="0"/>
          <w:numId w:val="135"/>
        </w:numPr>
        <w:rPr>
          <w:rFonts w:ascii="Arial" w:cs="Arial" w:eastAsia="Arial" w:hAnsi="Arial"/>
          <w:sz w:val="16"/>
          <w:szCs w:val="16"/>
          <w:color w:val="auto"/>
        </w:rPr>
      </w:pPr>
      <w:r>
        <w:rPr>
          <w:rFonts w:ascii="Arial" w:cs="Arial" w:eastAsia="Arial" w:hAnsi="Arial"/>
          <w:sz w:val="18"/>
          <w:szCs w:val="18"/>
          <w:color w:val="auto"/>
        </w:rPr>
        <w:t>Continued to build even stronger credibility with the company’s board as Corporate Secretary.</w:t>
      </w:r>
    </w:p>
    <w:p>
      <w:pPr>
        <w:spacing w:after="0" w:line="171" w:lineRule="exact"/>
        <w:rPr>
          <w:rFonts w:ascii="Arial" w:cs="Arial" w:eastAsia="Arial" w:hAnsi="Arial"/>
          <w:sz w:val="16"/>
          <w:szCs w:val="16"/>
          <w:color w:val="auto"/>
        </w:rPr>
      </w:pPr>
    </w:p>
    <w:p>
      <w:pPr>
        <w:ind w:left="640" w:hanging="308"/>
        <w:spacing w:after="0"/>
        <w:tabs>
          <w:tab w:leader="none" w:pos="640" w:val="left"/>
        </w:tabs>
        <w:numPr>
          <w:ilvl w:val="0"/>
          <w:numId w:val="135"/>
        </w:numPr>
        <w:rPr>
          <w:rFonts w:ascii="Arial" w:cs="Arial" w:eastAsia="Arial" w:hAnsi="Arial"/>
          <w:sz w:val="16"/>
          <w:szCs w:val="16"/>
          <w:color w:val="auto"/>
        </w:rPr>
      </w:pPr>
      <w:r>
        <w:rPr>
          <w:rFonts w:ascii="Arial" w:cs="Arial" w:eastAsia="Arial" w:hAnsi="Arial"/>
          <w:sz w:val="18"/>
          <w:szCs w:val="18"/>
          <w:color w:val="auto"/>
        </w:rPr>
        <w:t>Defended several key patents, including patents for Alimta and Taltz.</w:t>
      </w:r>
    </w:p>
    <w:p>
      <w:pPr>
        <w:spacing w:after="0" w:line="171" w:lineRule="exact"/>
        <w:rPr>
          <w:rFonts w:ascii="Arial" w:cs="Arial" w:eastAsia="Arial" w:hAnsi="Arial"/>
          <w:sz w:val="16"/>
          <w:szCs w:val="16"/>
          <w:color w:val="auto"/>
        </w:rPr>
      </w:pPr>
    </w:p>
    <w:p>
      <w:pPr>
        <w:ind w:left="660" w:right="140" w:hanging="328"/>
        <w:spacing w:after="0" w:line="287" w:lineRule="auto"/>
        <w:tabs>
          <w:tab w:leader="none" w:pos="649" w:val="left"/>
        </w:tabs>
        <w:numPr>
          <w:ilvl w:val="0"/>
          <w:numId w:val="135"/>
        </w:numPr>
        <w:rPr>
          <w:rFonts w:ascii="Arial" w:cs="Arial" w:eastAsia="Arial" w:hAnsi="Arial"/>
          <w:sz w:val="16"/>
          <w:szCs w:val="16"/>
          <w:color w:val="auto"/>
        </w:rPr>
      </w:pPr>
      <w:r>
        <w:rPr>
          <w:rFonts w:ascii="Arial" w:cs="Arial" w:eastAsia="Arial" w:hAnsi="Arial"/>
          <w:sz w:val="18"/>
          <w:szCs w:val="18"/>
          <w:color w:val="auto"/>
        </w:rPr>
        <w:t>Developed and implemented legal strategies in the areas of M&amp;A, intellectual property protection, product liability, regulatory reform and pharmaceutical pricing. Drove a transformation effort to increase the capability of the company’s law division.</w:t>
      </w:r>
    </w:p>
    <w:p>
      <w:pPr>
        <w:spacing w:after="0" w:line="98" w:lineRule="exact"/>
        <w:rPr>
          <w:rFonts w:ascii="Arial" w:cs="Arial" w:eastAsia="Arial" w:hAnsi="Arial"/>
          <w:sz w:val="16"/>
          <w:szCs w:val="16"/>
          <w:color w:val="auto"/>
        </w:rPr>
      </w:pPr>
    </w:p>
    <w:p>
      <w:pPr>
        <w:ind w:left="640" w:hanging="308"/>
        <w:spacing w:after="0"/>
        <w:tabs>
          <w:tab w:leader="none" w:pos="640" w:val="left"/>
        </w:tabs>
        <w:numPr>
          <w:ilvl w:val="0"/>
          <w:numId w:val="135"/>
        </w:numPr>
        <w:rPr>
          <w:rFonts w:ascii="Arial" w:cs="Arial" w:eastAsia="Arial" w:hAnsi="Arial"/>
          <w:sz w:val="16"/>
          <w:szCs w:val="16"/>
          <w:color w:val="auto"/>
        </w:rPr>
      </w:pPr>
      <w:r>
        <w:rPr>
          <w:rFonts w:ascii="Arial" w:cs="Arial" w:eastAsia="Arial" w:hAnsi="Arial"/>
          <w:sz w:val="18"/>
          <w:szCs w:val="18"/>
          <w:color w:val="auto"/>
        </w:rPr>
        <w:t>Provided sound legal counsel through numerous business development activities.</w:t>
      </w:r>
    </w:p>
    <w:p>
      <w:pPr>
        <w:spacing w:after="0" w:line="171" w:lineRule="exact"/>
        <w:rPr>
          <w:rFonts w:ascii="Arial" w:cs="Arial" w:eastAsia="Arial" w:hAnsi="Arial"/>
          <w:sz w:val="16"/>
          <w:szCs w:val="16"/>
          <w:color w:val="auto"/>
        </w:rPr>
      </w:pPr>
    </w:p>
    <w:p>
      <w:pPr>
        <w:ind w:left="660" w:right="640" w:hanging="328"/>
        <w:spacing w:after="0" w:line="287" w:lineRule="auto"/>
        <w:tabs>
          <w:tab w:leader="none" w:pos="649" w:val="left"/>
        </w:tabs>
        <w:numPr>
          <w:ilvl w:val="0"/>
          <w:numId w:val="135"/>
        </w:numPr>
        <w:rPr>
          <w:rFonts w:ascii="Arial" w:cs="Arial" w:eastAsia="Arial" w:hAnsi="Arial"/>
          <w:sz w:val="16"/>
          <w:szCs w:val="16"/>
          <w:color w:val="auto"/>
        </w:rPr>
      </w:pPr>
      <w:r>
        <w:rPr>
          <w:rFonts w:ascii="Arial" w:cs="Arial" w:eastAsia="Arial" w:hAnsi="Arial"/>
          <w:sz w:val="18"/>
          <w:szCs w:val="18"/>
          <w:color w:val="auto"/>
        </w:rPr>
        <w:t>Influenced the company’s ethics and compliance programs globally to ensure the company realizes its long-standing value of integrity.</w:t>
      </w:r>
    </w:p>
    <w:p>
      <w:pPr>
        <w:spacing w:after="0" w:line="98" w:lineRule="exact"/>
        <w:rPr>
          <w:rFonts w:ascii="Arial" w:cs="Arial" w:eastAsia="Arial" w:hAnsi="Arial"/>
          <w:sz w:val="16"/>
          <w:szCs w:val="16"/>
          <w:color w:val="auto"/>
        </w:rPr>
      </w:pPr>
    </w:p>
    <w:p>
      <w:pPr>
        <w:ind w:left="660" w:right="440" w:hanging="328"/>
        <w:spacing w:after="0" w:line="287" w:lineRule="auto"/>
        <w:tabs>
          <w:tab w:leader="none" w:pos="649" w:val="left"/>
        </w:tabs>
        <w:numPr>
          <w:ilvl w:val="0"/>
          <w:numId w:val="135"/>
        </w:numPr>
        <w:rPr>
          <w:rFonts w:ascii="Arial" w:cs="Arial" w:eastAsia="Arial" w:hAnsi="Arial"/>
          <w:sz w:val="16"/>
          <w:szCs w:val="16"/>
          <w:color w:val="auto"/>
        </w:rPr>
      </w:pPr>
      <w:r>
        <w:rPr>
          <w:rFonts w:ascii="Arial" w:cs="Arial" w:eastAsia="Arial" w:hAnsi="Arial"/>
          <w:sz w:val="18"/>
          <w:szCs w:val="18"/>
          <w:color w:val="auto"/>
        </w:rPr>
        <w:t>Led a company initiative to increase protection of Lilly’s intellectual property assets and partnered with the chief information and digital officer to improve cybersecurity.</w:t>
      </w:r>
    </w:p>
    <w:p>
      <w:pPr>
        <w:spacing w:after="0" w:line="98" w:lineRule="exact"/>
        <w:rPr>
          <w:rFonts w:ascii="Arial" w:cs="Arial" w:eastAsia="Arial" w:hAnsi="Arial"/>
          <w:sz w:val="16"/>
          <w:szCs w:val="16"/>
          <w:color w:val="auto"/>
        </w:rPr>
      </w:pPr>
    </w:p>
    <w:p>
      <w:pPr>
        <w:ind w:left="660" w:right="180" w:hanging="328"/>
        <w:spacing w:after="0" w:line="267" w:lineRule="auto"/>
        <w:tabs>
          <w:tab w:leader="none" w:pos="649" w:val="left"/>
        </w:tabs>
        <w:numPr>
          <w:ilvl w:val="0"/>
          <w:numId w:val="135"/>
        </w:numPr>
        <w:rPr>
          <w:rFonts w:ascii="Arial" w:cs="Arial" w:eastAsia="Arial" w:hAnsi="Arial"/>
          <w:sz w:val="16"/>
          <w:szCs w:val="16"/>
          <w:color w:val="auto"/>
        </w:rPr>
      </w:pPr>
      <w:r>
        <w:rPr>
          <w:rFonts w:ascii="Arial" w:cs="Arial" w:eastAsia="Arial" w:hAnsi="Arial"/>
          <w:sz w:val="18"/>
          <w:szCs w:val="18"/>
          <w:color w:val="auto"/>
        </w:rPr>
        <w:t>Led and served as an executive sponsor of the c</w:t>
      </w:r>
      <w:r>
        <w:rPr>
          <w:rFonts w:ascii="Arial" w:cs="Arial" w:eastAsia="Arial" w:hAnsi="Arial"/>
          <w:sz w:val="17"/>
          <w:szCs w:val="17"/>
          <w:color w:val="auto"/>
        </w:rPr>
        <w:t>ompany’s Women Leading in Lilly, an employee resource group focused on supporting</w:t>
      </w:r>
      <w:r>
        <w:rPr>
          <w:rFonts w:ascii="Arial" w:cs="Arial" w:eastAsia="Arial" w:hAnsi="Arial"/>
          <w:sz w:val="18"/>
          <w:szCs w:val="18"/>
          <w:color w:val="auto"/>
        </w:rPr>
        <w:t xml:space="preserve"> </w:t>
      </w:r>
      <w:r>
        <w:rPr>
          <w:rFonts w:ascii="Arial" w:cs="Arial" w:eastAsia="Arial" w:hAnsi="Arial"/>
          <w:sz w:val="17"/>
          <w:szCs w:val="17"/>
          <w:color w:val="auto"/>
        </w:rPr>
        <w:t>and advancing women within Lilly.</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Patrik Jonsson, Executive Vice President, President, Lilly Immunology and Lilly USA, and Chief Customer Officer: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Mr. Jonsson demonstrated strong leadership of Lilly Immunology, Lilly USA and across the company. In 2021, he:</w:t>
      </w:r>
    </w:p>
    <w:p>
      <w:pPr>
        <w:spacing w:after="0" w:line="171" w:lineRule="exact"/>
        <w:rPr>
          <w:sz w:val="20"/>
          <w:szCs w:val="20"/>
          <w:color w:val="auto"/>
        </w:rPr>
      </w:pPr>
    </w:p>
    <w:p>
      <w:pPr>
        <w:ind w:left="640" w:hanging="308"/>
        <w:spacing w:after="0"/>
        <w:tabs>
          <w:tab w:leader="none" w:pos="640" w:val="left"/>
        </w:tabs>
        <w:numPr>
          <w:ilvl w:val="0"/>
          <w:numId w:val="136"/>
        </w:numPr>
        <w:rPr>
          <w:rFonts w:ascii="Arial" w:cs="Arial" w:eastAsia="Arial" w:hAnsi="Arial"/>
          <w:sz w:val="16"/>
          <w:szCs w:val="16"/>
          <w:color w:val="auto"/>
        </w:rPr>
      </w:pPr>
      <w:r>
        <w:rPr>
          <w:rFonts w:ascii="Arial" w:cs="Arial" w:eastAsia="Arial" w:hAnsi="Arial"/>
          <w:sz w:val="18"/>
          <w:szCs w:val="18"/>
          <w:color w:val="auto"/>
        </w:rPr>
        <w:t>Drove volume growth within the immunology business unit and delivered financial results.</w:t>
      </w:r>
    </w:p>
    <w:p>
      <w:pPr>
        <w:spacing w:after="0" w:line="171" w:lineRule="exact"/>
        <w:rPr>
          <w:rFonts w:ascii="Arial" w:cs="Arial" w:eastAsia="Arial" w:hAnsi="Arial"/>
          <w:sz w:val="16"/>
          <w:szCs w:val="16"/>
          <w:color w:val="auto"/>
        </w:rPr>
      </w:pPr>
    </w:p>
    <w:p>
      <w:pPr>
        <w:ind w:left="640" w:hanging="308"/>
        <w:spacing w:after="0"/>
        <w:tabs>
          <w:tab w:leader="none" w:pos="640" w:val="left"/>
        </w:tabs>
        <w:numPr>
          <w:ilvl w:val="0"/>
          <w:numId w:val="136"/>
        </w:numPr>
        <w:rPr>
          <w:rFonts w:ascii="Arial" w:cs="Arial" w:eastAsia="Arial" w:hAnsi="Arial"/>
          <w:sz w:val="16"/>
          <w:szCs w:val="16"/>
          <w:color w:val="auto"/>
        </w:rPr>
      </w:pPr>
      <w:r>
        <w:rPr>
          <w:rFonts w:ascii="Arial" w:cs="Arial" w:eastAsia="Arial" w:hAnsi="Arial"/>
          <w:sz w:val="18"/>
          <w:szCs w:val="18"/>
          <w:color w:val="auto"/>
        </w:rPr>
        <w:t>Championed the development of potential new medicines with significant data readouts for mirikizumab and Olumiant.</w:t>
      </w:r>
    </w:p>
    <w:p>
      <w:pPr>
        <w:spacing w:after="0" w:line="171" w:lineRule="exact"/>
        <w:rPr>
          <w:rFonts w:ascii="Arial" w:cs="Arial" w:eastAsia="Arial" w:hAnsi="Arial"/>
          <w:sz w:val="16"/>
          <w:szCs w:val="16"/>
          <w:color w:val="auto"/>
        </w:rPr>
      </w:pPr>
    </w:p>
    <w:p>
      <w:pPr>
        <w:ind w:left="640" w:hanging="308"/>
        <w:spacing w:after="0"/>
        <w:tabs>
          <w:tab w:leader="none" w:pos="640" w:val="left"/>
        </w:tabs>
        <w:numPr>
          <w:ilvl w:val="0"/>
          <w:numId w:val="136"/>
        </w:numPr>
        <w:rPr>
          <w:rFonts w:ascii="Arial" w:cs="Arial" w:eastAsia="Arial" w:hAnsi="Arial"/>
          <w:sz w:val="16"/>
          <w:szCs w:val="16"/>
          <w:color w:val="auto"/>
        </w:rPr>
      </w:pPr>
      <w:r>
        <w:rPr>
          <w:rFonts w:ascii="Arial" w:cs="Arial" w:eastAsia="Arial" w:hAnsi="Arial"/>
          <w:sz w:val="18"/>
          <w:szCs w:val="18"/>
          <w:color w:val="auto"/>
        </w:rPr>
        <w:t>Successfully led the company’s commercial business in the United States, which is the company’s largest market.</w:t>
      </w:r>
    </w:p>
    <w:p>
      <w:pPr>
        <w:spacing w:after="0" w:line="171" w:lineRule="exact"/>
        <w:rPr>
          <w:rFonts w:ascii="Arial" w:cs="Arial" w:eastAsia="Arial" w:hAnsi="Arial"/>
          <w:sz w:val="16"/>
          <w:szCs w:val="16"/>
          <w:color w:val="auto"/>
        </w:rPr>
      </w:pPr>
    </w:p>
    <w:p>
      <w:pPr>
        <w:ind w:left="660" w:right="20" w:hanging="328"/>
        <w:spacing w:after="0" w:line="287" w:lineRule="auto"/>
        <w:tabs>
          <w:tab w:leader="none" w:pos="649" w:val="left"/>
        </w:tabs>
        <w:numPr>
          <w:ilvl w:val="0"/>
          <w:numId w:val="136"/>
        </w:numPr>
        <w:rPr>
          <w:rFonts w:ascii="Arial" w:cs="Arial" w:eastAsia="Arial" w:hAnsi="Arial"/>
          <w:sz w:val="16"/>
          <w:szCs w:val="16"/>
          <w:color w:val="auto"/>
        </w:rPr>
      </w:pPr>
      <w:r>
        <w:rPr>
          <w:rFonts w:ascii="Arial" w:cs="Arial" w:eastAsia="Arial" w:hAnsi="Arial"/>
          <w:sz w:val="18"/>
          <w:szCs w:val="18"/>
          <w:color w:val="auto"/>
        </w:rPr>
        <w:t>As the company’s chief customer officer, led the continued transformation of the company’s go-to-market strategies in preparation for potential launches of tirzepatide, donanemab, mirikizumab and pirtobrutinib.</w:t>
      </w:r>
    </w:p>
    <w:p>
      <w:pPr>
        <w:spacing w:after="0" w:line="98" w:lineRule="exact"/>
        <w:rPr>
          <w:rFonts w:ascii="Arial" w:cs="Arial" w:eastAsia="Arial" w:hAnsi="Arial"/>
          <w:sz w:val="16"/>
          <w:szCs w:val="16"/>
          <w:color w:val="auto"/>
        </w:rPr>
      </w:pPr>
    </w:p>
    <w:p>
      <w:pPr>
        <w:ind w:left="660" w:right="960" w:hanging="328"/>
        <w:spacing w:after="0" w:line="287" w:lineRule="auto"/>
        <w:tabs>
          <w:tab w:leader="none" w:pos="649" w:val="left"/>
        </w:tabs>
        <w:numPr>
          <w:ilvl w:val="0"/>
          <w:numId w:val="136"/>
        </w:numPr>
        <w:rPr>
          <w:rFonts w:ascii="Arial" w:cs="Arial" w:eastAsia="Arial" w:hAnsi="Arial"/>
          <w:sz w:val="16"/>
          <w:szCs w:val="16"/>
          <w:color w:val="auto"/>
        </w:rPr>
      </w:pPr>
      <w:r>
        <w:rPr>
          <w:rFonts w:ascii="Arial" w:cs="Arial" w:eastAsia="Arial" w:hAnsi="Arial"/>
          <w:sz w:val="18"/>
          <w:szCs w:val="18"/>
          <w:color w:val="auto"/>
        </w:rPr>
        <w:t>Served as executive sponsor of OLA, the company’s employee resource group focused on supporting and advancing the development of Latin and Hispanic employees across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Target Compensation</w:t>
      </w:r>
    </w:p>
    <w:p>
      <w:pPr>
        <w:spacing w:after="0" w:line="18" w:lineRule="exact"/>
        <w:rPr>
          <w:sz w:val="20"/>
          <w:szCs w:val="20"/>
          <w:color w:val="auto"/>
        </w:rPr>
      </w:pPr>
    </w:p>
    <w:p>
      <w:pPr>
        <w:ind w:right="520"/>
        <w:spacing w:after="0" w:line="266" w:lineRule="auto"/>
        <w:rPr>
          <w:sz w:val="20"/>
          <w:szCs w:val="20"/>
          <w:color w:val="auto"/>
        </w:rPr>
      </w:pPr>
      <w:r>
        <w:rPr>
          <w:rFonts w:ascii="Arial" w:cs="Arial" w:eastAsia="Arial" w:hAnsi="Arial"/>
          <w:sz w:val="18"/>
          <w:szCs w:val="18"/>
          <w:color w:val="auto"/>
        </w:rPr>
        <w:t>The information below reflects total compensation at target for named executive officers for 2022. The actual compensation received is summarized below in “</w:t>
      </w:r>
      <w:r>
        <w:rPr>
          <w:rFonts w:ascii="Arial" w:cs="Arial" w:eastAsia="Arial" w:hAnsi="Arial"/>
          <w:sz w:val="18"/>
          <w:szCs w:val="18"/>
          <w:u w:val="single" w:color="auto"/>
          <w:color w:val="0000FF"/>
        </w:rPr>
        <w:t>Compensation Results</w:t>
      </w:r>
      <w:r>
        <w:rPr>
          <w:rFonts w:ascii="Arial" w:cs="Arial" w:eastAsia="Arial" w:hAnsi="Arial"/>
          <w:sz w:val="18"/>
          <w:szCs w:val="18"/>
          <w:color w:val="auto"/>
        </w:rPr>
        <w:t>.”</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5" w:name="page66"/>
    <w:bookmarkEnd w:id="65"/>
    <w:p>
      <w:pPr>
        <w:spacing w:after="0"/>
        <w:rPr>
          <w:sz w:val="20"/>
          <w:szCs w:val="20"/>
          <w:color w:val="auto"/>
        </w:rPr>
      </w:pPr>
      <w:r>
        <w:rPr>
          <w:rFonts w:ascii="Arial" w:cs="Arial" w:eastAsia="Arial" w:hAnsi="Arial"/>
          <w:sz w:val="22"/>
          <w:szCs w:val="22"/>
          <w:b w:val="1"/>
          <w:bCs w:val="1"/>
          <w:color w:val="auto"/>
        </w:rPr>
        <w:t>Rationale for Changes to Named Executive Officer Target Compensation</w:t>
      </w:r>
    </w:p>
    <w:p>
      <w:pPr>
        <w:spacing w:after="0" w:line="18"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color w:val="auto"/>
        </w:rPr>
        <w:t>The Talent and Compensation Committee established the 2022 target total compensation for each named executive officer based on the named executive officer’s 2021 performance, internal relativity, and peer group data.</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Base Salary</w:t>
      </w:r>
    </w:p>
    <w:p>
      <w:pPr>
        <w:spacing w:after="0" w:line="7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 shows the approved annualized salary for each named executive officer. Mr. Ricks did not receive a base pay adjustment in 2022; however, other named executive officer base pay amounts were adjusted to align pay with their level of experience, internal relativity, peer group market data and individual performance. Each named executive officer’s actual base salary earned during 2022 is reflected in the Summary Compensation Table in the “Executive Compensation” section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4980305" cy="825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4980305" cy="8255"/>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820" w:type="dxa"/>
            <w:vAlign w:val="bottom"/>
          </w:tcPr>
          <w:p>
            <w:pPr>
              <w:spacing w:after="0"/>
              <w:rPr>
                <w:sz w:val="15"/>
                <w:szCs w:val="15"/>
                <w:color w:val="auto"/>
              </w:rPr>
            </w:pPr>
          </w:p>
        </w:tc>
        <w:tc>
          <w:tcPr>
            <w:tcW w:w="2640" w:type="dxa"/>
            <w:vAlign w:val="bottom"/>
          </w:tcPr>
          <w:p>
            <w:pPr>
              <w:jc w:val="right"/>
              <w:ind w:right="48"/>
              <w:spacing w:after="0"/>
              <w:rPr>
                <w:sz w:val="20"/>
                <w:szCs w:val="20"/>
                <w:color w:val="auto"/>
              </w:rPr>
            </w:pPr>
            <w:r>
              <w:rPr>
                <w:rFonts w:ascii="Arial" w:cs="Arial" w:eastAsia="Arial" w:hAnsi="Arial"/>
                <w:sz w:val="14"/>
                <w:szCs w:val="14"/>
                <w:b w:val="1"/>
                <w:bCs w:val="1"/>
                <w:color w:val="auto"/>
              </w:rPr>
              <w:t>2021 Annual Base Salary</w:t>
            </w:r>
          </w:p>
        </w:tc>
        <w:tc>
          <w:tcPr>
            <w:tcW w:w="2080" w:type="dxa"/>
            <w:vAlign w:val="bottom"/>
          </w:tcPr>
          <w:p>
            <w:pPr>
              <w:jc w:val="right"/>
              <w:ind w:right="208"/>
              <w:spacing w:after="0"/>
              <w:rPr>
                <w:sz w:val="20"/>
                <w:szCs w:val="20"/>
                <w:color w:val="auto"/>
              </w:rPr>
            </w:pPr>
            <w:r>
              <w:rPr>
                <w:rFonts w:ascii="Arial" w:cs="Arial" w:eastAsia="Arial" w:hAnsi="Arial"/>
                <w:sz w:val="14"/>
                <w:szCs w:val="14"/>
                <w:b w:val="1"/>
                <w:bCs w:val="1"/>
                <w:color w:val="auto"/>
              </w:rPr>
              <w:t>2022 Annual Base Salary</w:t>
            </w:r>
          </w:p>
        </w:tc>
        <w:tc>
          <w:tcPr>
            <w:tcW w:w="1320" w:type="dxa"/>
            <w:vAlign w:val="bottom"/>
          </w:tcPr>
          <w:p>
            <w:pPr>
              <w:spacing w:after="0"/>
              <w:rPr>
                <w:sz w:val="15"/>
                <w:szCs w:val="15"/>
                <w:color w:val="auto"/>
              </w:rPr>
            </w:pPr>
          </w:p>
        </w:tc>
      </w:tr>
      <w:tr>
        <w:trPr>
          <w:trHeight w:val="205"/>
        </w:trPr>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Effective March 7, 2021</w:t>
            </w:r>
          </w:p>
        </w:tc>
        <w:tc>
          <w:tcPr>
            <w:tcW w:w="20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Effective March 6, 2022</w:t>
            </w:r>
          </w:p>
        </w:tc>
        <w:tc>
          <w:tcPr>
            <w:tcW w:w="13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Increase</w:t>
            </w:r>
          </w:p>
        </w:tc>
      </w:tr>
      <w:tr>
        <w:trPr>
          <w:trHeight w:val="210"/>
        </w:trPr>
        <w:tc>
          <w:tcPr>
            <w:tcW w:w="18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2640" w:type="dxa"/>
            <w:vAlign w:val="bottom"/>
            <w:tcBorders>
              <w:bottom w:val="single" w:sz="8" w:color="F2F2F2"/>
            </w:tcBorders>
            <w:shd w:val="clear" w:color="auto" w:fill="F2F2F2"/>
          </w:tcPr>
          <w:p>
            <w:pPr>
              <w:jc w:val="right"/>
              <w:ind w:right="548"/>
              <w:spacing w:after="0"/>
              <w:rPr>
                <w:sz w:val="20"/>
                <w:szCs w:val="20"/>
                <w:color w:val="auto"/>
              </w:rPr>
            </w:pPr>
            <w:r>
              <w:rPr>
                <w:rFonts w:ascii="Arial" w:cs="Arial" w:eastAsia="Arial" w:hAnsi="Arial"/>
                <w:sz w:val="14"/>
                <w:szCs w:val="14"/>
                <w:color w:val="auto"/>
              </w:rPr>
              <w:t>$1,500,000</w:t>
            </w:r>
          </w:p>
        </w:tc>
        <w:tc>
          <w:tcPr>
            <w:tcW w:w="2080" w:type="dxa"/>
            <w:vAlign w:val="bottom"/>
            <w:tcBorders>
              <w:bottom w:val="single" w:sz="8" w:color="F2F2F2"/>
            </w:tcBorders>
            <w:shd w:val="clear" w:color="auto" w:fill="F2F2F2"/>
          </w:tcPr>
          <w:p>
            <w:pPr>
              <w:jc w:val="right"/>
              <w:ind w:right="648"/>
              <w:spacing w:after="0"/>
              <w:rPr>
                <w:sz w:val="20"/>
                <w:szCs w:val="20"/>
                <w:color w:val="auto"/>
              </w:rPr>
            </w:pPr>
            <w:r>
              <w:rPr>
                <w:rFonts w:ascii="Arial" w:cs="Arial" w:eastAsia="Arial" w:hAnsi="Arial"/>
                <w:sz w:val="14"/>
                <w:szCs w:val="14"/>
                <w:color w:val="auto"/>
              </w:rPr>
              <w:t>$1,500,000</w:t>
            </w:r>
          </w:p>
        </w:tc>
        <w:tc>
          <w:tcPr>
            <w:tcW w:w="1320" w:type="dxa"/>
            <w:vAlign w:val="bottom"/>
            <w:tcBorders>
              <w:bottom w:val="single" w:sz="8" w:color="F2F2F2"/>
            </w:tcBorders>
            <w:shd w:val="clear" w:color="auto" w:fill="F2F2F2"/>
          </w:tcPr>
          <w:p>
            <w:pPr>
              <w:jc w:val="right"/>
              <w:ind w:right="448"/>
              <w:spacing w:after="0"/>
              <w:rPr>
                <w:sz w:val="20"/>
                <w:szCs w:val="20"/>
                <w:color w:val="auto"/>
              </w:rPr>
            </w:pPr>
            <w:r>
              <w:rPr>
                <w:rFonts w:ascii="Arial" w:cs="Arial" w:eastAsia="Arial" w:hAnsi="Arial"/>
                <w:sz w:val="14"/>
                <w:szCs w:val="14"/>
                <w:color w:val="auto"/>
              </w:rPr>
              <w:t>0 %</w:t>
            </w:r>
          </w:p>
        </w:tc>
      </w:tr>
      <w:tr>
        <w:trPr>
          <w:trHeight w:val="208"/>
        </w:trPr>
        <w:tc>
          <w:tcPr>
            <w:tcW w:w="1820" w:type="dxa"/>
            <w:vAlign w:val="bottom"/>
          </w:tcPr>
          <w:p>
            <w:pPr>
              <w:ind w:left="20"/>
              <w:spacing w:after="0"/>
              <w:rPr>
                <w:sz w:val="20"/>
                <w:szCs w:val="20"/>
                <w:color w:val="auto"/>
              </w:rPr>
            </w:pPr>
            <w:r>
              <w:rPr>
                <w:rFonts w:ascii="Arial" w:cs="Arial" w:eastAsia="Arial" w:hAnsi="Arial"/>
                <w:sz w:val="14"/>
                <w:szCs w:val="14"/>
                <w:color w:val="auto"/>
              </w:rPr>
              <w:t>Ms. Ashkenazi</w:t>
            </w:r>
          </w:p>
        </w:tc>
        <w:tc>
          <w:tcPr>
            <w:tcW w:w="2640" w:type="dxa"/>
            <w:vAlign w:val="bottom"/>
          </w:tcPr>
          <w:p>
            <w:pPr>
              <w:jc w:val="right"/>
              <w:ind w:right="548"/>
              <w:spacing w:after="0"/>
              <w:rPr>
                <w:sz w:val="20"/>
                <w:szCs w:val="20"/>
                <w:color w:val="auto"/>
              </w:rPr>
            </w:pPr>
            <w:r>
              <w:rPr>
                <w:rFonts w:ascii="Arial" w:cs="Arial" w:eastAsia="Arial" w:hAnsi="Arial"/>
                <w:sz w:val="14"/>
                <w:szCs w:val="14"/>
                <w:color w:val="auto"/>
              </w:rPr>
              <w:t>$900,000</w:t>
            </w:r>
          </w:p>
        </w:tc>
        <w:tc>
          <w:tcPr>
            <w:tcW w:w="2080" w:type="dxa"/>
            <w:vAlign w:val="bottom"/>
          </w:tcPr>
          <w:p>
            <w:pPr>
              <w:jc w:val="right"/>
              <w:ind w:right="648"/>
              <w:spacing w:after="0"/>
              <w:rPr>
                <w:sz w:val="20"/>
                <w:szCs w:val="20"/>
                <w:color w:val="auto"/>
              </w:rPr>
            </w:pPr>
            <w:r>
              <w:rPr>
                <w:rFonts w:ascii="Arial" w:cs="Arial" w:eastAsia="Arial" w:hAnsi="Arial"/>
                <w:sz w:val="14"/>
                <w:szCs w:val="14"/>
                <w:color w:val="auto"/>
              </w:rPr>
              <w:t>$950,000</w:t>
            </w:r>
          </w:p>
        </w:tc>
        <w:tc>
          <w:tcPr>
            <w:tcW w:w="1320" w:type="dxa"/>
            <w:vAlign w:val="bottom"/>
          </w:tcPr>
          <w:p>
            <w:pPr>
              <w:jc w:val="right"/>
              <w:ind w:right="448"/>
              <w:spacing w:after="0"/>
              <w:rPr>
                <w:sz w:val="20"/>
                <w:szCs w:val="20"/>
                <w:color w:val="auto"/>
              </w:rPr>
            </w:pPr>
            <w:r>
              <w:rPr>
                <w:rFonts w:ascii="Arial" w:cs="Arial" w:eastAsia="Arial" w:hAnsi="Arial"/>
                <w:sz w:val="14"/>
                <w:szCs w:val="14"/>
                <w:color w:val="auto"/>
              </w:rPr>
              <w:t>5.6 %</w:t>
            </w:r>
          </w:p>
        </w:tc>
      </w:tr>
      <w:tr>
        <w:trPr>
          <w:trHeight w:val="22"/>
        </w:trPr>
        <w:tc>
          <w:tcPr>
            <w:tcW w:w="18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09"/>
        </w:trPr>
        <w:tc>
          <w:tcPr>
            <w:tcW w:w="18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2640" w:type="dxa"/>
            <w:vAlign w:val="bottom"/>
            <w:tcBorders>
              <w:bottom w:val="single" w:sz="8" w:color="F2F2F2"/>
            </w:tcBorders>
            <w:shd w:val="clear" w:color="auto" w:fill="F2F2F2"/>
          </w:tcPr>
          <w:p>
            <w:pPr>
              <w:jc w:val="right"/>
              <w:ind w:right="548"/>
              <w:spacing w:after="0"/>
              <w:rPr>
                <w:sz w:val="20"/>
                <w:szCs w:val="20"/>
                <w:color w:val="auto"/>
              </w:rPr>
            </w:pPr>
            <w:r>
              <w:rPr>
                <w:rFonts w:ascii="Arial" w:cs="Arial" w:eastAsia="Arial" w:hAnsi="Arial"/>
                <w:sz w:val="14"/>
                <w:szCs w:val="14"/>
                <w:color w:val="auto"/>
              </w:rPr>
              <w:t>$1,000,000</w:t>
            </w:r>
          </w:p>
        </w:tc>
        <w:tc>
          <w:tcPr>
            <w:tcW w:w="2080" w:type="dxa"/>
            <w:vAlign w:val="bottom"/>
            <w:tcBorders>
              <w:bottom w:val="single" w:sz="8" w:color="F2F2F2"/>
            </w:tcBorders>
            <w:shd w:val="clear" w:color="auto" w:fill="F2F2F2"/>
          </w:tcPr>
          <w:p>
            <w:pPr>
              <w:jc w:val="right"/>
              <w:ind w:right="648"/>
              <w:spacing w:after="0"/>
              <w:rPr>
                <w:sz w:val="20"/>
                <w:szCs w:val="20"/>
                <w:color w:val="auto"/>
              </w:rPr>
            </w:pPr>
            <w:r>
              <w:rPr>
                <w:rFonts w:ascii="Arial" w:cs="Arial" w:eastAsia="Arial" w:hAnsi="Arial"/>
                <w:sz w:val="14"/>
                <w:szCs w:val="14"/>
                <w:color w:val="auto"/>
              </w:rPr>
              <w:t>$1,250,000</w:t>
            </w:r>
          </w:p>
        </w:tc>
        <w:tc>
          <w:tcPr>
            <w:tcW w:w="1320" w:type="dxa"/>
            <w:vAlign w:val="bottom"/>
            <w:tcBorders>
              <w:bottom w:val="single" w:sz="8" w:color="F2F2F2"/>
            </w:tcBorders>
            <w:shd w:val="clear" w:color="auto" w:fill="F2F2F2"/>
          </w:tcPr>
          <w:p>
            <w:pPr>
              <w:jc w:val="right"/>
              <w:ind w:right="448"/>
              <w:spacing w:after="0"/>
              <w:rPr>
                <w:sz w:val="20"/>
                <w:szCs w:val="20"/>
                <w:color w:val="auto"/>
              </w:rPr>
            </w:pPr>
            <w:r>
              <w:rPr>
                <w:rFonts w:ascii="Arial" w:cs="Arial" w:eastAsia="Arial" w:hAnsi="Arial"/>
                <w:sz w:val="14"/>
                <w:szCs w:val="14"/>
                <w:color w:val="auto"/>
              </w:rPr>
              <w:t>25.0 %</w:t>
            </w:r>
          </w:p>
        </w:tc>
      </w:tr>
      <w:tr>
        <w:trPr>
          <w:trHeight w:val="191"/>
        </w:trPr>
        <w:tc>
          <w:tcPr>
            <w:tcW w:w="1820" w:type="dxa"/>
            <w:vAlign w:val="bottom"/>
          </w:tcPr>
          <w:p>
            <w:pPr>
              <w:ind w:left="20"/>
              <w:spacing w:after="0"/>
              <w:rPr>
                <w:sz w:val="20"/>
                <w:szCs w:val="20"/>
                <w:color w:val="auto"/>
              </w:rPr>
            </w:pPr>
            <w:r>
              <w:rPr>
                <w:rFonts w:ascii="Arial" w:cs="Arial" w:eastAsia="Arial" w:hAnsi="Arial"/>
                <w:sz w:val="14"/>
                <w:szCs w:val="14"/>
                <w:color w:val="auto"/>
              </w:rPr>
              <w:t>Ms. Hakim</w:t>
            </w:r>
          </w:p>
        </w:tc>
        <w:tc>
          <w:tcPr>
            <w:tcW w:w="2640" w:type="dxa"/>
            <w:vAlign w:val="bottom"/>
          </w:tcPr>
          <w:p>
            <w:pPr>
              <w:jc w:val="right"/>
              <w:ind w:right="548"/>
              <w:spacing w:after="0"/>
              <w:rPr>
                <w:sz w:val="20"/>
                <w:szCs w:val="20"/>
                <w:color w:val="auto"/>
              </w:rPr>
            </w:pPr>
            <w:r>
              <w:rPr>
                <w:rFonts w:ascii="Arial" w:cs="Arial" w:eastAsia="Arial" w:hAnsi="Arial"/>
                <w:sz w:val="14"/>
                <w:szCs w:val="14"/>
                <w:color w:val="auto"/>
              </w:rPr>
              <w:t>$775,000</w:t>
            </w:r>
          </w:p>
        </w:tc>
        <w:tc>
          <w:tcPr>
            <w:tcW w:w="2080" w:type="dxa"/>
            <w:vAlign w:val="bottom"/>
          </w:tcPr>
          <w:p>
            <w:pPr>
              <w:jc w:val="right"/>
              <w:ind w:right="648"/>
              <w:spacing w:after="0"/>
              <w:rPr>
                <w:sz w:val="20"/>
                <w:szCs w:val="20"/>
                <w:color w:val="auto"/>
              </w:rPr>
            </w:pPr>
            <w:r>
              <w:rPr>
                <w:rFonts w:ascii="Arial" w:cs="Arial" w:eastAsia="Arial" w:hAnsi="Arial"/>
                <w:sz w:val="14"/>
                <w:szCs w:val="14"/>
                <w:color w:val="auto"/>
              </w:rPr>
              <w:t>$900,000</w:t>
            </w:r>
          </w:p>
        </w:tc>
        <w:tc>
          <w:tcPr>
            <w:tcW w:w="1320" w:type="dxa"/>
            <w:vAlign w:val="bottom"/>
          </w:tcPr>
          <w:p>
            <w:pPr>
              <w:jc w:val="right"/>
              <w:ind w:right="448"/>
              <w:spacing w:after="0"/>
              <w:rPr>
                <w:sz w:val="20"/>
                <w:szCs w:val="20"/>
                <w:color w:val="auto"/>
              </w:rPr>
            </w:pPr>
            <w:r>
              <w:rPr>
                <w:rFonts w:ascii="Arial" w:cs="Arial" w:eastAsia="Arial" w:hAnsi="Arial"/>
                <w:sz w:val="14"/>
                <w:szCs w:val="14"/>
                <w:color w:val="auto"/>
              </w:rPr>
              <w:t>16.1 %</w:t>
            </w:r>
          </w:p>
        </w:tc>
      </w:tr>
      <w:tr>
        <w:trPr>
          <w:trHeight w:val="250"/>
        </w:trPr>
        <w:tc>
          <w:tcPr>
            <w:tcW w:w="1820" w:type="dxa"/>
            <w:vAlign w:val="bottom"/>
          </w:tcPr>
          <w:p>
            <w:pPr>
              <w:ind w:left="20"/>
              <w:spacing w:after="0"/>
              <w:rPr>
                <w:sz w:val="20"/>
                <w:szCs w:val="20"/>
                <w:color w:val="auto"/>
              </w:rPr>
            </w:pPr>
            <w:r>
              <w:rPr>
                <w:rFonts w:ascii="Arial" w:cs="Arial" w:eastAsia="Arial" w:hAnsi="Arial"/>
                <w:sz w:val="14"/>
                <w:szCs w:val="14"/>
                <w:color w:val="auto"/>
              </w:rPr>
              <w:t>Mr. Jonsson</w:t>
            </w:r>
          </w:p>
        </w:tc>
        <w:tc>
          <w:tcPr>
            <w:tcW w:w="2640" w:type="dxa"/>
            <w:vAlign w:val="bottom"/>
          </w:tcPr>
          <w:p>
            <w:pPr>
              <w:jc w:val="right"/>
              <w:ind w:right="468"/>
              <w:spacing w:after="0"/>
              <w:rPr>
                <w:sz w:val="20"/>
                <w:szCs w:val="20"/>
                <w:color w:val="auto"/>
              </w:rPr>
            </w:pPr>
            <w:r>
              <w:rPr>
                <w:rFonts w:ascii="Arial" w:cs="Arial" w:eastAsia="Arial" w:hAnsi="Arial"/>
                <w:sz w:val="14"/>
                <w:szCs w:val="14"/>
                <w:color w:val="auto"/>
              </w:rPr>
              <w:t xml:space="preserve">N/A </w:t>
            </w:r>
            <w:r>
              <w:rPr>
                <w:rFonts w:ascii="Arial" w:cs="Arial" w:eastAsia="Arial" w:hAnsi="Arial"/>
                <w:sz w:val="18"/>
                <w:szCs w:val="18"/>
                <w:color w:val="auto"/>
                <w:vertAlign w:val="superscript"/>
              </w:rPr>
              <w:t>1</w:t>
            </w:r>
          </w:p>
        </w:tc>
        <w:tc>
          <w:tcPr>
            <w:tcW w:w="2080" w:type="dxa"/>
            <w:vAlign w:val="bottom"/>
          </w:tcPr>
          <w:p>
            <w:pPr>
              <w:jc w:val="right"/>
              <w:ind w:right="648"/>
              <w:spacing w:after="0"/>
              <w:rPr>
                <w:sz w:val="20"/>
                <w:szCs w:val="20"/>
                <w:color w:val="auto"/>
              </w:rPr>
            </w:pPr>
            <w:r>
              <w:rPr>
                <w:rFonts w:ascii="Arial" w:cs="Arial" w:eastAsia="Arial" w:hAnsi="Arial"/>
                <w:sz w:val="14"/>
                <w:szCs w:val="14"/>
                <w:color w:val="auto"/>
              </w:rPr>
              <w:t>$750,000</w:t>
            </w:r>
          </w:p>
        </w:tc>
        <w:tc>
          <w:tcPr>
            <w:tcW w:w="1320" w:type="dxa"/>
            <w:vAlign w:val="bottom"/>
          </w:tcPr>
          <w:p>
            <w:pPr>
              <w:jc w:val="right"/>
              <w:ind w:right="348"/>
              <w:spacing w:after="0"/>
              <w:rPr>
                <w:sz w:val="20"/>
                <w:szCs w:val="20"/>
                <w:color w:val="auto"/>
              </w:rPr>
            </w:pPr>
            <w:r>
              <w:rPr>
                <w:rFonts w:ascii="Arial" w:cs="Arial" w:eastAsia="Arial" w:hAnsi="Arial"/>
                <w:sz w:val="14"/>
                <w:szCs w:val="14"/>
                <w:color w:val="auto"/>
              </w:rPr>
              <w:t xml:space="preserve">N/A </w:t>
            </w:r>
            <w:r>
              <w:rPr>
                <w:rFonts w:ascii="Arial" w:cs="Arial" w:eastAsia="Arial" w:hAnsi="Arial"/>
                <w:sz w:val="18"/>
                <w:szCs w:val="18"/>
                <w:color w:val="auto"/>
                <w:vertAlign w:val="superscript"/>
              </w:rPr>
              <w:t>1</w:t>
            </w:r>
          </w:p>
        </w:tc>
      </w:tr>
      <w:tr>
        <w:trPr>
          <w:trHeight w:val="45"/>
        </w:trPr>
        <w:tc>
          <w:tcPr>
            <w:tcW w:w="182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4980305" cy="16319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4980305" cy="163195"/>
                    </a:xfrm>
                    <a:prstGeom prst="rect">
                      <a:avLst/>
                    </a:prstGeom>
                    <a:noFill/>
                  </pic:spPr>
                </pic:pic>
              </a:graphicData>
            </a:graphic>
          </wp:anchor>
        </w:drawing>
      </w:r>
    </w:p>
    <w:p>
      <w:pPr>
        <w:spacing w:after="0" w:line="86" w:lineRule="exact"/>
        <w:rPr>
          <w:sz w:val="20"/>
          <w:szCs w:val="20"/>
          <w:color w:val="auto"/>
        </w:rPr>
      </w:pPr>
    </w:p>
    <w:p>
      <w:pPr>
        <w:ind w:left="120" w:hanging="112"/>
        <w:spacing w:after="0"/>
        <w:tabs>
          <w:tab w:leader="none" w:pos="120" w:val="left"/>
        </w:tabs>
        <w:numPr>
          <w:ilvl w:val="0"/>
          <w:numId w:val="137"/>
        </w:numPr>
        <w:rPr>
          <w:rFonts w:ascii="Arial" w:cs="Arial" w:eastAsia="Arial" w:hAnsi="Arial"/>
          <w:sz w:val="23"/>
          <w:szCs w:val="23"/>
          <w:color w:val="auto"/>
          <w:vertAlign w:val="superscript"/>
        </w:rPr>
      </w:pPr>
      <w:r>
        <w:rPr>
          <w:rFonts w:ascii="Arial" w:cs="Arial" w:eastAsia="Arial" w:hAnsi="Arial"/>
          <w:sz w:val="14"/>
          <w:szCs w:val="14"/>
          <w:color w:val="auto"/>
        </w:rPr>
        <w:t>Mr. Jonsson was not a named executive officer in 2021.</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Annual Cash Bonus Targets</w:t>
      </w:r>
    </w:p>
    <w:p>
      <w:pPr>
        <w:spacing w:after="0" w:line="7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Based on a review of internal relativity, peer group market data, and individual performance, the Talent and Compensation Committee retained the same percent-of-salary bonus targets as in 2021 for Mr. Ricks, Ms. Ashkenazi, Dr. Skovronsky and Ms. Hakim. Mr. Jonsson’s bonus target was set at 100 percent for the 2022 performance year. 2022 Bonus targets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3549015" cy="825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2021 Bonus Target</w:t>
            </w:r>
          </w:p>
        </w:tc>
        <w:tc>
          <w:tcPr>
            <w:tcW w:w="1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2022 Bonus Target</w:t>
            </w:r>
          </w:p>
        </w:tc>
      </w:tr>
      <w:tr>
        <w:trPr>
          <w:trHeight w:val="210"/>
        </w:trPr>
        <w:tc>
          <w:tcPr>
            <w:tcW w:w="18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2220" w:type="dxa"/>
            <w:vAlign w:val="bottom"/>
            <w:tcBorders>
              <w:bottom w:val="single" w:sz="8" w:color="F2F2F2"/>
            </w:tcBorders>
            <w:shd w:val="clear" w:color="auto" w:fill="F2F2F2"/>
          </w:tcPr>
          <w:p>
            <w:pPr>
              <w:jc w:val="right"/>
              <w:ind w:right="348"/>
              <w:spacing w:after="0"/>
              <w:rPr>
                <w:sz w:val="20"/>
                <w:szCs w:val="20"/>
                <w:color w:val="auto"/>
              </w:rPr>
            </w:pPr>
            <w:r>
              <w:rPr>
                <w:rFonts w:ascii="Arial" w:cs="Arial" w:eastAsia="Arial" w:hAnsi="Arial"/>
                <w:sz w:val="14"/>
                <w:szCs w:val="14"/>
                <w:color w:val="auto"/>
              </w:rPr>
              <w:t>150 %</w:t>
            </w:r>
          </w:p>
        </w:tc>
        <w:tc>
          <w:tcPr>
            <w:tcW w:w="1560" w:type="dxa"/>
            <w:vAlign w:val="bottom"/>
            <w:tcBorders>
              <w:bottom w:val="single" w:sz="8" w:color="F2F2F2"/>
            </w:tcBorders>
            <w:shd w:val="clear" w:color="auto" w:fill="F2F2F2"/>
          </w:tcPr>
          <w:p>
            <w:pPr>
              <w:jc w:val="right"/>
              <w:ind w:right="348"/>
              <w:spacing w:after="0"/>
              <w:rPr>
                <w:sz w:val="20"/>
                <w:szCs w:val="20"/>
                <w:color w:val="auto"/>
              </w:rPr>
            </w:pPr>
            <w:r>
              <w:rPr>
                <w:rFonts w:ascii="Arial" w:cs="Arial" w:eastAsia="Arial" w:hAnsi="Arial"/>
                <w:sz w:val="14"/>
                <w:szCs w:val="14"/>
                <w:color w:val="auto"/>
              </w:rPr>
              <w:t>150 %</w:t>
            </w:r>
          </w:p>
        </w:tc>
      </w:tr>
      <w:tr>
        <w:trPr>
          <w:trHeight w:val="208"/>
        </w:trPr>
        <w:tc>
          <w:tcPr>
            <w:tcW w:w="1820" w:type="dxa"/>
            <w:vAlign w:val="bottom"/>
          </w:tcPr>
          <w:p>
            <w:pPr>
              <w:ind w:left="20"/>
              <w:spacing w:after="0"/>
              <w:rPr>
                <w:sz w:val="20"/>
                <w:szCs w:val="20"/>
                <w:color w:val="auto"/>
              </w:rPr>
            </w:pPr>
            <w:r>
              <w:rPr>
                <w:rFonts w:ascii="Arial" w:cs="Arial" w:eastAsia="Arial" w:hAnsi="Arial"/>
                <w:sz w:val="14"/>
                <w:szCs w:val="14"/>
                <w:color w:val="auto"/>
              </w:rPr>
              <w:t>Ms. Ashkenazi</w:t>
            </w:r>
          </w:p>
        </w:tc>
        <w:tc>
          <w:tcPr>
            <w:tcW w:w="2220" w:type="dxa"/>
            <w:vAlign w:val="bottom"/>
          </w:tcPr>
          <w:p>
            <w:pPr>
              <w:jc w:val="right"/>
              <w:ind w:right="348"/>
              <w:spacing w:after="0"/>
              <w:rPr>
                <w:sz w:val="20"/>
                <w:szCs w:val="20"/>
                <w:color w:val="auto"/>
              </w:rPr>
            </w:pPr>
            <w:r>
              <w:rPr>
                <w:rFonts w:ascii="Arial" w:cs="Arial" w:eastAsia="Arial" w:hAnsi="Arial"/>
                <w:sz w:val="14"/>
                <w:szCs w:val="14"/>
                <w:color w:val="auto"/>
              </w:rPr>
              <w:t>100 %</w:t>
            </w:r>
          </w:p>
        </w:tc>
        <w:tc>
          <w:tcPr>
            <w:tcW w:w="1560" w:type="dxa"/>
            <w:vAlign w:val="bottom"/>
          </w:tcPr>
          <w:p>
            <w:pPr>
              <w:jc w:val="right"/>
              <w:ind w:right="348"/>
              <w:spacing w:after="0"/>
              <w:rPr>
                <w:sz w:val="20"/>
                <w:szCs w:val="20"/>
                <w:color w:val="auto"/>
              </w:rPr>
            </w:pPr>
            <w:r>
              <w:rPr>
                <w:rFonts w:ascii="Arial" w:cs="Arial" w:eastAsia="Arial" w:hAnsi="Arial"/>
                <w:sz w:val="14"/>
                <w:szCs w:val="14"/>
                <w:color w:val="auto"/>
              </w:rPr>
              <w:t>100 %</w:t>
            </w:r>
          </w:p>
        </w:tc>
      </w:tr>
      <w:tr>
        <w:trPr>
          <w:trHeight w:val="22"/>
        </w:trPr>
        <w:tc>
          <w:tcPr>
            <w:tcW w:w="1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09"/>
        </w:trPr>
        <w:tc>
          <w:tcPr>
            <w:tcW w:w="18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2220" w:type="dxa"/>
            <w:vAlign w:val="bottom"/>
            <w:tcBorders>
              <w:bottom w:val="single" w:sz="8" w:color="F2F2F2"/>
            </w:tcBorders>
            <w:shd w:val="clear" w:color="auto" w:fill="F2F2F2"/>
          </w:tcPr>
          <w:p>
            <w:pPr>
              <w:jc w:val="right"/>
              <w:ind w:right="348"/>
              <w:spacing w:after="0"/>
              <w:rPr>
                <w:sz w:val="20"/>
                <w:szCs w:val="20"/>
                <w:color w:val="auto"/>
              </w:rPr>
            </w:pPr>
            <w:r>
              <w:rPr>
                <w:rFonts w:ascii="Arial" w:cs="Arial" w:eastAsia="Arial" w:hAnsi="Arial"/>
                <w:sz w:val="14"/>
                <w:szCs w:val="14"/>
                <w:color w:val="auto"/>
              </w:rPr>
              <w:t>100 %</w:t>
            </w:r>
          </w:p>
        </w:tc>
        <w:tc>
          <w:tcPr>
            <w:tcW w:w="1560" w:type="dxa"/>
            <w:vAlign w:val="bottom"/>
            <w:tcBorders>
              <w:bottom w:val="single" w:sz="8" w:color="F2F2F2"/>
            </w:tcBorders>
            <w:shd w:val="clear" w:color="auto" w:fill="F2F2F2"/>
          </w:tcPr>
          <w:p>
            <w:pPr>
              <w:jc w:val="right"/>
              <w:ind w:right="348"/>
              <w:spacing w:after="0"/>
              <w:rPr>
                <w:sz w:val="20"/>
                <w:szCs w:val="20"/>
                <w:color w:val="auto"/>
              </w:rPr>
            </w:pPr>
            <w:r>
              <w:rPr>
                <w:rFonts w:ascii="Arial" w:cs="Arial" w:eastAsia="Arial" w:hAnsi="Arial"/>
                <w:sz w:val="14"/>
                <w:szCs w:val="14"/>
                <w:color w:val="auto"/>
              </w:rPr>
              <w:t>100 %</w:t>
            </w:r>
          </w:p>
        </w:tc>
      </w:tr>
      <w:tr>
        <w:trPr>
          <w:trHeight w:val="191"/>
        </w:trPr>
        <w:tc>
          <w:tcPr>
            <w:tcW w:w="1820" w:type="dxa"/>
            <w:vAlign w:val="bottom"/>
          </w:tcPr>
          <w:p>
            <w:pPr>
              <w:ind w:left="20"/>
              <w:spacing w:after="0"/>
              <w:rPr>
                <w:sz w:val="20"/>
                <w:szCs w:val="20"/>
                <w:color w:val="auto"/>
              </w:rPr>
            </w:pPr>
            <w:r>
              <w:rPr>
                <w:rFonts w:ascii="Arial" w:cs="Arial" w:eastAsia="Arial" w:hAnsi="Arial"/>
                <w:sz w:val="14"/>
                <w:szCs w:val="14"/>
                <w:color w:val="auto"/>
              </w:rPr>
              <w:t>Ms. Hakim</w:t>
            </w:r>
          </w:p>
        </w:tc>
        <w:tc>
          <w:tcPr>
            <w:tcW w:w="2220" w:type="dxa"/>
            <w:vAlign w:val="bottom"/>
          </w:tcPr>
          <w:p>
            <w:pPr>
              <w:jc w:val="right"/>
              <w:ind w:right="348"/>
              <w:spacing w:after="0"/>
              <w:rPr>
                <w:sz w:val="20"/>
                <w:szCs w:val="20"/>
                <w:color w:val="auto"/>
              </w:rPr>
            </w:pPr>
            <w:r>
              <w:rPr>
                <w:rFonts w:ascii="Arial" w:cs="Arial" w:eastAsia="Arial" w:hAnsi="Arial"/>
                <w:sz w:val="14"/>
                <w:szCs w:val="14"/>
                <w:color w:val="auto"/>
              </w:rPr>
              <w:t>100 %</w:t>
            </w:r>
          </w:p>
        </w:tc>
        <w:tc>
          <w:tcPr>
            <w:tcW w:w="1560" w:type="dxa"/>
            <w:vAlign w:val="bottom"/>
          </w:tcPr>
          <w:p>
            <w:pPr>
              <w:jc w:val="right"/>
              <w:ind w:right="348"/>
              <w:spacing w:after="0"/>
              <w:rPr>
                <w:sz w:val="20"/>
                <w:szCs w:val="20"/>
                <w:color w:val="auto"/>
              </w:rPr>
            </w:pPr>
            <w:r>
              <w:rPr>
                <w:rFonts w:ascii="Arial" w:cs="Arial" w:eastAsia="Arial" w:hAnsi="Arial"/>
                <w:sz w:val="14"/>
                <w:szCs w:val="14"/>
                <w:color w:val="auto"/>
              </w:rPr>
              <w:t>100 %</w:t>
            </w:r>
          </w:p>
        </w:tc>
      </w:tr>
      <w:tr>
        <w:trPr>
          <w:trHeight w:val="262"/>
        </w:trPr>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Mr. Jonsson</w:t>
            </w:r>
          </w:p>
        </w:tc>
        <w:tc>
          <w:tcPr>
            <w:tcW w:w="22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 xml:space="preserve">N/A </w:t>
            </w:r>
            <w:r>
              <w:rPr>
                <w:rFonts w:ascii="Arial" w:cs="Arial" w:eastAsia="Arial" w:hAnsi="Arial"/>
                <w:sz w:val="18"/>
                <w:szCs w:val="18"/>
                <w:color w:val="auto"/>
                <w:vertAlign w:val="superscript"/>
              </w:rPr>
              <w:t>1</w:t>
            </w:r>
          </w:p>
        </w:tc>
        <w:tc>
          <w:tcPr>
            <w:tcW w:w="15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3549015" cy="14605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3549015" cy="146050"/>
                    </a:xfrm>
                    <a:prstGeom prst="rect">
                      <a:avLst/>
                    </a:prstGeom>
                    <a:noFill/>
                  </pic:spPr>
                </pic:pic>
              </a:graphicData>
            </a:graphic>
          </wp:anchor>
        </w:drawing>
      </w:r>
    </w:p>
    <w:p>
      <w:pPr>
        <w:spacing w:after="0" w:line="160" w:lineRule="exact"/>
        <w:rPr>
          <w:sz w:val="20"/>
          <w:szCs w:val="20"/>
          <w:color w:val="auto"/>
        </w:rPr>
      </w:pPr>
    </w:p>
    <w:p>
      <w:pPr>
        <w:ind w:left="80" w:hanging="72"/>
        <w:spacing w:after="0"/>
        <w:tabs>
          <w:tab w:leader="none" w:pos="80" w:val="left"/>
        </w:tabs>
        <w:numPr>
          <w:ilvl w:val="0"/>
          <w:numId w:val="138"/>
        </w:numPr>
        <w:rPr>
          <w:rFonts w:ascii="Arial" w:cs="Arial" w:eastAsia="Arial" w:hAnsi="Arial"/>
          <w:sz w:val="9"/>
          <w:szCs w:val="9"/>
          <w:color w:val="auto"/>
        </w:rPr>
      </w:pPr>
      <w:r>
        <w:rPr>
          <w:rFonts w:ascii="Arial" w:cs="Arial" w:eastAsia="Arial" w:hAnsi="Arial"/>
          <w:sz w:val="14"/>
          <w:szCs w:val="14"/>
          <w:color w:val="auto"/>
        </w:rPr>
        <w:t>Mr. Jonsson was not a named executive officer in 2021.</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Equity Incentives - Target Grant Values</w:t>
      </w:r>
    </w:p>
    <w:p>
      <w:pPr>
        <w:spacing w:after="0" w:line="72" w:lineRule="exact"/>
        <w:rPr>
          <w:sz w:val="20"/>
          <w:szCs w:val="20"/>
          <w:color w:val="auto"/>
        </w:rPr>
      </w:pPr>
    </w:p>
    <w:p>
      <w:pPr>
        <w:jc w:val="both"/>
        <w:ind w:right="220"/>
        <w:spacing w:after="0" w:line="262" w:lineRule="auto"/>
        <w:rPr>
          <w:sz w:val="20"/>
          <w:szCs w:val="20"/>
          <w:color w:val="auto"/>
        </w:rPr>
      </w:pPr>
      <w:r>
        <w:rPr>
          <w:rFonts w:ascii="Arial" w:cs="Arial" w:eastAsia="Arial" w:hAnsi="Arial"/>
          <w:sz w:val="18"/>
          <w:szCs w:val="18"/>
          <w:color w:val="auto"/>
        </w:rPr>
        <w:t>For 2022 equity grants, the Talent and Compensation Committee set the total target values for named executive officers based on internal relativity, peer group market data and individual performance. Named executive officers have 35 percent of their equity target allocated to shareholder value awards and relative value awards, respectively, and 30 percent to performance awards. Total target values for the 2021 and 2022 equity grants to the named executive officers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4808855" cy="825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4808855" cy="8255"/>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32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 Annual Equity Grant</w:t>
            </w:r>
          </w:p>
        </w:tc>
        <w:tc>
          <w:tcPr>
            <w:tcW w:w="2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2022 Annual Equity Grant</w:t>
            </w:r>
          </w:p>
        </w:tc>
      </w:tr>
      <w:tr>
        <w:trPr>
          <w:trHeight w:val="223"/>
        </w:trPr>
        <w:tc>
          <w:tcPr>
            <w:tcW w:w="20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3200" w:type="dxa"/>
            <w:vAlign w:val="bottom"/>
            <w:tcBorders>
              <w:bottom w:val="single" w:sz="8" w:color="F2F2F2"/>
            </w:tcBorders>
            <w:shd w:val="clear" w:color="auto" w:fill="F2F2F2"/>
          </w:tcPr>
          <w:p>
            <w:pPr>
              <w:jc w:val="right"/>
              <w:ind w:right="988"/>
              <w:spacing w:after="0"/>
              <w:rPr>
                <w:sz w:val="20"/>
                <w:szCs w:val="20"/>
                <w:color w:val="auto"/>
              </w:rPr>
            </w:pPr>
            <w:r>
              <w:rPr>
                <w:rFonts w:ascii="Arial" w:cs="Arial" w:eastAsia="Arial" w:hAnsi="Arial"/>
                <w:sz w:val="14"/>
                <w:szCs w:val="14"/>
                <w:color w:val="auto"/>
              </w:rPr>
              <w:t>$14,000,000</w:t>
            </w:r>
          </w:p>
        </w:tc>
        <w:tc>
          <w:tcPr>
            <w:tcW w:w="2320" w:type="dxa"/>
            <w:vAlign w:val="bottom"/>
            <w:tcBorders>
              <w:bottom w:val="single" w:sz="8" w:color="F2F2F2"/>
            </w:tcBorders>
            <w:shd w:val="clear" w:color="auto" w:fill="F2F2F2"/>
          </w:tcPr>
          <w:p>
            <w:pPr>
              <w:jc w:val="right"/>
              <w:ind w:right="408"/>
              <w:spacing w:after="0"/>
              <w:rPr>
                <w:sz w:val="20"/>
                <w:szCs w:val="20"/>
                <w:color w:val="auto"/>
              </w:rPr>
            </w:pPr>
            <w:r>
              <w:rPr>
                <w:rFonts w:ascii="Arial" w:cs="Arial" w:eastAsia="Arial" w:hAnsi="Arial"/>
                <w:sz w:val="14"/>
                <w:szCs w:val="14"/>
                <w:color w:val="auto"/>
              </w:rPr>
              <w:t>$16,250,000</w:t>
            </w:r>
          </w:p>
        </w:tc>
      </w:tr>
      <w:tr>
        <w:trPr>
          <w:trHeight w:val="195"/>
        </w:trPr>
        <w:tc>
          <w:tcPr>
            <w:tcW w:w="2060" w:type="dxa"/>
            <w:vAlign w:val="bottom"/>
          </w:tcPr>
          <w:p>
            <w:pPr>
              <w:ind w:left="20"/>
              <w:spacing w:after="0"/>
              <w:rPr>
                <w:sz w:val="20"/>
                <w:szCs w:val="20"/>
                <w:color w:val="auto"/>
              </w:rPr>
            </w:pPr>
            <w:r>
              <w:rPr>
                <w:rFonts w:ascii="Arial" w:cs="Arial" w:eastAsia="Arial" w:hAnsi="Arial"/>
                <w:sz w:val="14"/>
                <w:szCs w:val="14"/>
                <w:color w:val="auto"/>
              </w:rPr>
              <w:t>Ms. Ashkenazi</w:t>
            </w:r>
          </w:p>
        </w:tc>
        <w:tc>
          <w:tcPr>
            <w:tcW w:w="3200" w:type="dxa"/>
            <w:vAlign w:val="bottom"/>
          </w:tcPr>
          <w:p>
            <w:pPr>
              <w:jc w:val="right"/>
              <w:ind w:right="988"/>
              <w:spacing w:after="0"/>
              <w:rPr>
                <w:sz w:val="20"/>
                <w:szCs w:val="20"/>
                <w:color w:val="auto"/>
              </w:rPr>
            </w:pPr>
            <w:r>
              <w:rPr>
                <w:rFonts w:ascii="Arial" w:cs="Arial" w:eastAsia="Arial" w:hAnsi="Arial"/>
                <w:sz w:val="14"/>
                <w:szCs w:val="14"/>
                <w:color w:val="auto"/>
              </w:rPr>
              <w:t>$2,200,000</w:t>
            </w:r>
          </w:p>
        </w:tc>
        <w:tc>
          <w:tcPr>
            <w:tcW w:w="2320" w:type="dxa"/>
            <w:vAlign w:val="bottom"/>
          </w:tcPr>
          <w:p>
            <w:pPr>
              <w:jc w:val="right"/>
              <w:ind w:right="408"/>
              <w:spacing w:after="0"/>
              <w:rPr>
                <w:sz w:val="20"/>
                <w:szCs w:val="20"/>
                <w:color w:val="auto"/>
              </w:rPr>
            </w:pPr>
            <w:r>
              <w:rPr>
                <w:rFonts w:ascii="Arial" w:cs="Arial" w:eastAsia="Arial" w:hAnsi="Arial"/>
                <w:sz w:val="14"/>
                <w:szCs w:val="14"/>
                <w:color w:val="auto"/>
              </w:rPr>
              <w:t>$3,000,000</w:t>
            </w:r>
          </w:p>
        </w:tc>
      </w:tr>
      <w:tr>
        <w:trPr>
          <w:trHeight w:val="62"/>
        </w:trPr>
        <w:tc>
          <w:tcPr>
            <w:tcW w:w="2060" w:type="dxa"/>
            <w:vAlign w:val="bottom"/>
          </w:tcPr>
          <w:p>
            <w:pPr>
              <w:spacing w:after="0"/>
              <w:rPr>
                <w:sz w:val="5"/>
                <w:szCs w:val="5"/>
                <w:color w:val="auto"/>
              </w:rPr>
            </w:pPr>
          </w:p>
        </w:tc>
        <w:tc>
          <w:tcPr>
            <w:tcW w:w="3200" w:type="dxa"/>
            <w:vAlign w:val="bottom"/>
          </w:tcPr>
          <w:p>
            <w:pPr>
              <w:spacing w:after="0"/>
              <w:rPr>
                <w:sz w:val="5"/>
                <w:szCs w:val="5"/>
                <w:color w:val="auto"/>
              </w:rPr>
            </w:pPr>
          </w:p>
        </w:tc>
        <w:tc>
          <w:tcPr>
            <w:tcW w:w="2320" w:type="dxa"/>
            <w:vAlign w:val="bottom"/>
          </w:tcPr>
          <w:p>
            <w:pPr>
              <w:spacing w:after="0"/>
              <w:rPr>
                <w:sz w:val="5"/>
                <w:szCs w:val="5"/>
                <w:color w:val="auto"/>
              </w:rPr>
            </w:pPr>
          </w:p>
        </w:tc>
      </w:tr>
      <w:tr>
        <w:trPr>
          <w:trHeight w:val="194"/>
        </w:trPr>
        <w:tc>
          <w:tcPr>
            <w:tcW w:w="2060" w:type="dxa"/>
            <w:vAlign w:val="bottom"/>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3200" w:type="dxa"/>
            <w:vAlign w:val="bottom"/>
            <w:shd w:val="clear" w:color="auto" w:fill="F2F2F2"/>
          </w:tcPr>
          <w:p>
            <w:pPr>
              <w:jc w:val="right"/>
              <w:ind w:right="988"/>
              <w:spacing w:after="0"/>
              <w:rPr>
                <w:sz w:val="20"/>
                <w:szCs w:val="20"/>
                <w:color w:val="auto"/>
              </w:rPr>
            </w:pPr>
            <w:r>
              <w:rPr>
                <w:rFonts w:ascii="Arial" w:cs="Arial" w:eastAsia="Arial" w:hAnsi="Arial"/>
                <w:sz w:val="14"/>
                <w:szCs w:val="14"/>
                <w:color w:val="auto"/>
              </w:rPr>
              <w:t>$4,700,000</w:t>
            </w:r>
          </w:p>
        </w:tc>
        <w:tc>
          <w:tcPr>
            <w:tcW w:w="2320" w:type="dxa"/>
            <w:vAlign w:val="bottom"/>
            <w:shd w:val="clear" w:color="auto" w:fill="F2F2F2"/>
          </w:tcPr>
          <w:p>
            <w:pPr>
              <w:jc w:val="right"/>
              <w:ind w:right="408"/>
              <w:spacing w:after="0"/>
              <w:rPr>
                <w:sz w:val="20"/>
                <w:szCs w:val="20"/>
                <w:color w:val="auto"/>
              </w:rPr>
            </w:pPr>
            <w:r>
              <w:rPr>
                <w:rFonts w:ascii="Arial" w:cs="Arial" w:eastAsia="Arial" w:hAnsi="Arial"/>
                <w:sz w:val="14"/>
                <w:szCs w:val="14"/>
                <w:color w:val="auto"/>
              </w:rPr>
              <w:t>$5,500,000</w:t>
            </w:r>
          </w:p>
        </w:tc>
      </w:tr>
      <w:tr>
        <w:trPr>
          <w:trHeight w:val="62"/>
        </w:trPr>
        <w:tc>
          <w:tcPr>
            <w:tcW w:w="2060" w:type="dxa"/>
            <w:vAlign w:val="bottom"/>
            <w:shd w:val="clear" w:color="auto" w:fill="F2F2F2"/>
          </w:tcPr>
          <w:p>
            <w:pPr>
              <w:spacing w:after="0"/>
              <w:rPr>
                <w:sz w:val="5"/>
                <w:szCs w:val="5"/>
                <w:color w:val="auto"/>
              </w:rPr>
            </w:pPr>
          </w:p>
        </w:tc>
        <w:tc>
          <w:tcPr>
            <w:tcW w:w="3200" w:type="dxa"/>
            <w:vAlign w:val="bottom"/>
            <w:shd w:val="clear" w:color="auto" w:fill="F2F2F2"/>
          </w:tcPr>
          <w:p>
            <w:pPr>
              <w:spacing w:after="0"/>
              <w:rPr>
                <w:sz w:val="5"/>
                <w:szCs w:val="5"/>
                <w:color w:val="auto"/>
              </w:rPr>
            </w:pPr>
          </w:p>
        </w:tc>
        <w:tc>
          <w:tcPr>
            <w:tcW w:w="2320" w:type="dxa"/>
            <w:vAlign w:val="bottom"/>
            <w:shd w:val="clear" w:color="auto" w:fill="F2F2F2"/>
          </w:tcPr>
          <w:p>
            <w:pPr>
              <w:spacing w:after="0"/>
              <w:rPr>
                <w:sz w:val="5"/>
                <w:szCs w:val="5"/>
                <w:color w:val="auto"/>
              </w:rPr>
            </w:pPr>
          </w:p>
        </w:tc>
      </w:tr>
      <w:tr>
        <w:trPr>
          <w:trHeight w:val="195"/>
        </w:trPr>
        <w:tc>
          <w:tcPr>
            <w:tcW w:w="2060" w:type="dxa"/>
            <w:vAlign w:val="bottom"/>
          </w:tcPr>
          <w:p>
            <w:pPr>
              <w:ind w:left="20"/>
              <w:spacing w:after="0"/>
              <w:rPr>
                <w:sz w:val="20"/>
                <w:szCs w:val="20"/>
                <w:color w:val="auto"/>
              </w:rPr>
            </w:pPr>
            <w:r>
              <w:rPr>
                <w:rFonts w:ascii="Arial" w:cs="Arial" w:eastAsia="Arial" w:hAnsi="Arial"/>
                <w:sz w:val="14"/>
                <w:szCs w:val="14"/>
                <w:color w:val="auto"/>
              </w:rPr>
              <w:t>Ms. Hakim</w:t>
            </w:r>
          </w:p>
        </w:tc>
        <w:tc>
          <w:tcPr>
            <w:tcW w:w="3200" w:type="dxa"/>
            <w:vAlign w:val="bottom"/>
          </w:tcPr>
          <w:p>
            <w:pPr>
              <w:jc w:val="right"/>
              <w:ind w:right="988"/>
              <w:spacing w:after="0"/>
              <w:rPr>
                <w:sz w:val="20"/>
                <w:szCs w:val="20"/>
                <w:color w:val="auto"/>
              </w:rPr>
            </w:pPr>
            <w:r>
              <w:rPr>
                <w:rFonts w:ascii="Arial" w:cs="Arial" w:eastAsia="Arial" w:hAnsi="Arial"/>
                <w:sz w:val="14"/>
                <w:szCs w:val="14"/>
                <w:color w:val="auto"/>
              </w:rPr>
              <w:t>$2,100,000</w:t>
            </w:r>
          </w:p>
        </w:tc>
        <w:tc>
          <w:tcPr>
            <w:tcW w:w="2320" w:type="dxa"/>
            <w:vAlign w:val="bottom"/>
          </w:tcPr>
          <w:p>
            <w:pPr>
              <w:jc w:val="right"/>
              <w:ind w:right="408"/>
              <w:spacing w:after="0"/>
              <w:rPr>
                <w:sz w:val="20"/>
                <w:szCs w:val="20"/>
                <w:color w:val="auto"/>
              </w:rPr>
            </w:pPr>
            <w:r>
              <w:rPr>
                <w:rFonts w:ascii="Arial" w:cs="Arial" w:eastAsia="Arial" w:hAnsi="Arial"/>
                <w:sz w:val="14"/>
                <w:szCs w:val="14"/>
                <w:color w:val="auto"/>
              </w:rPr>
              <w:t>$3,000,000</w:t>
            </w:r>
          </w:p>
        </w:tc>
      </w:tr>
      <w:tr>
        <w:trPr>
          <w:trHeight w:val="293"/>
        </w:trPr>
        <w:tc>
          <w:tcPr>
            <w:tcW w:w="2060" w:type="dxa"/>
            <w:vAlign w:val="bottom"/>
          </w:tcPr>
          <w:p>
            <w:pPr>
              <w:ind w:left="20"/>
              <w:spacing w:after="0"/>
              <w:rPr>
                <w:sz w:val="20"/>
                <w:szCs w:val="20"/>
                <w:color w:val="auto"/>
              </w:rPr>
            </w:pPr>
            <w:r>
              <w:rPr>
                <w:rFonts w:ascii="Arial" w:cs="Arial" w:eastAsia="Arial" w:hAnsi="Arial"/>
                <w:sz w:val="14"/>
                <w:szCs w:val="14"/>
                <w:color w:val="auto"/>
              </w:rPr>
              <w:t>Mr. Jonsson</w:t>
            </w:r>
          </w:p>
        </w:tc>
        <w:tc>
          <w:tcPr>
            <w:tcW w:w="3200" w:type="dxa"/>
            <w:vAlign w:val="bottom"/>
          </w:tcPr>
          <w:p>
            <w:pPr>
              <w:jc w:val="right"/>
              <w:ind w:right="888"/>
              <w:spacing w:after="0"/>
              <w:rPr>
                <w:sz w:val="20"/>
                <w:szCs w:val="20"/>
                <w:color w:val="auto"/>
              </w:rPr>
            </w:pPr>
            <w:r>
              <w:rPr>
                <w:rFonts w:ascii="Arial" w:cs="Arial" w:eastAsia="Arial" w:hAnsi="Arial"/>
                <w:sz w:val="14"/>
                <w:szCs w:val="14"/>
                <w:color w:val="auto"/>
              </w:rPr>
              <w:t xml:space="preserve">N/A </w:t>
            </w:r>
            <w:r>
              <w:rPr>
                <w:rFonts w:ascii="Arial" w:cs="Arial" w:eastAsia="Arial" w:hAnsi="Arial"/>
                <w:sz w:val="21"/>
                <w:szCs w:val="21"/>
                <w:color w:val="auto"/>
                <w:vertAlign w:val="superscript"/>
              </w:rPr>
              <w:t>1</w:t>
            </w:r>
          </w:p>
        </w:tc>
        <w:tc>
          <w:tcPr>
            <w:tcW w:w="2320" w:type="dxa"/>
            <w:vAlign w:val="bottom"/>
          </w:tcPr>
          <w:p>
            <w:pPr>
              <w:jc w:val="right"/>
              <w:ind w:right="408"/>
              <w:spacing w:after="0"/>
              <w:rPr>
                <w:sz w:val="20"/>
                <w:szCs w:val="20"/>
                <w:color w:val="auto"/>
              </w:rPr>
            </w:pPr>
            <w:r>
              <w:rPr>
                <w:rFonts w:ascii="Arial" w:cs="Arial" w:eastAsia="Arial" w:hAnsi="Arial"/>
                <w:sz w:val="14"/>
                <w:szCs w:val="14"/>
                <w:color w:val="auto"/>
              </w:rPr>
              <w:t>$2,100,000</w:t>
            </w:r>
          </w:p>
        </w:tc>
      </w:tr>
      <w:tr>
        <w:trPr>
          <w:trHeight w:val="26"/>
        </w:trPr>
        <w:tc>
          <w:tcPr>
            <w:tcW w:w="206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4808855" cy="16256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4808855" cy="162560"/>
                    </a:xfrm>
                    <a:prstGeom prst="rect">
                      <a:avLst/>
                    </a:prstGeom>
                    <a:noFill/>
                  </pic:spPr>
                </pic:pic>
              </a:graphicData>
            </a:graphic>
          </wp:anchor>
        </w:drawing>
      </w:r>
    </w:p>
    <w:p>
      <w:pPr>
        <w:spacing w:after="0" w:line="145" w:lineRule="exact"/>
        <w:rPr>
          <w:sz w:val="20"/>
          <w:szCs w:val="20"/>
          <w:color w:val="auto"/>
        </w:rPr>
      </w:pPr>
    </w:p>
    <w:p>
      <w:pPr>
        <w:ind w:left="100" w:hanging="92"/>
        <w:spacing w:after="0"/>
        <w:tabs>
          <w:tab w:leader="none" w:pos="100" w:val="left"/>
        </w:tabs>
        <w:numPr>
          <w:ilvl w:val="0"/>
          <w:numId w:val="139"/>
        </w:numPr>
        <w:rPr>
          <w:rFonts w:ascii="Arial" w:cs="Arial" w:eastAsia="Arial" w:hAnsi="Arial"/>
          <w:sz w:val="19"/>
          <w:szCs w:val="19"/>
          <w:color w:val="auto"/>
          <w:vertAlign w:val="superscript"/>
        </w:rPr>
      </w:pPr>
      <w:r>
        <w:rPr>
          <w:rFonts w:ascii="Arial" w:cs="Arial" w:eastAsia="Arial" w:hAnsi="Arial"/>
          <w:sz w:val="14"/>
          <w:szCs w:val="14"/>
          <w:color w:val="auto"/>
        </w:rPr>
        <w:t>Mr. Jonsson was not a named executive officer in 2021.</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9" w:right="399" w:bottom="1440" w:gutter="0" w:footer="0" w:header="0"/>
        </w:sectPr>
      </w:pPr>
    </w:p>
    <w:bookmarkStart w:id="66" w:name="page67"/>
    <w:bookmarkEnd w:id="66"/>
    <w:p>
      <w:pPr>
        <w:spacing w:after="0"/>
        <w:rPr>
          <w:sz w:val="20"/>
          <w:szCs w:val="20"/>
          <w:color w:val="auto"/>
        </w:rPr>
      </w:pPr>
      <w:r>
        <w:rPr>
          <w:rFonts w:ascii="Arial" w:cs="Arial" w:eastAsia="Arial" w:hAnsi="Arial"/>
          <w:sz w:val="22"/>
          <w:szCs w:val="22"/>
          <w:b w:val="1"/>
          <w:bCs w:val="1"/>
          <w:color w:val="auto"/>
        </w:rPr>
        <w:t>Performance Goals for Incentive Programs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Annual Cash Bonus Goals</w:t>
      </w:r>
    </w:p>
    <w:p>
      <w:pPr>
        <w:spacing w:after="0" w:line="72"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Talent and Compensation Committee established the company performance targets using the company’s 2022 annual operating plan, which was approved by the board in 2021. These targets are described below under “Compensation Results.”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Performance Award</w:t>
      </w:r>
    </w:p>
    <w:p>
      <w:pPr>
        <w:spacing w:after="0" w:line="16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 February 2022, the Talent and Compensation Committee established a two-year EPS growth target of 6.3 percent per year based on investment analysts’ EPS growth estimates for our peer group companies at that time. Shortly after the approval of the EPS growth target, following guidance from the SEC, Lilly’s presentation of Non-GAAP EPS began including acquired in-process research and development (acquired IPR&amp;D) and development milestone charges. In May 2022, the Talent and Compensation Committee reconvened to approve an updated 2021 EPS baseline that excluded all acquired IPR&amp;D and development milestone charges. As a result, the updated 2021 EPS baseline changed from $8.16 to $8.25. The Talent and Compensation Committee reapplied the previously approved 6.3 percent per year growth rate to establish the 2022-2024 performance target as calculated below:</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99"/>
              </w:rPr>
              <w:t>Target 2022 EPS</w:t>
            </w:r>
          </w:p>
        </w:tc>
        <w:tc>
          <w:tcPr>
            <w:tcW w:w="400" w:type="dxa"/>
            <w:vAlign w:val="bottom"/>
          </w:tcPr>
          <w:p>
            <w:pPr>
              <w:spacing w:after="0"/>
              <w:rPr>
                <w:sz w:val="22"/>
                <w:szCs w:val="22"/>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9"/>
              </w:rPr>
              <w:t>Target 2023 EPS</w:t>
            </w:r>
          </w:p>
        </w:tc>
        <w:tc>
          <w:tcPr>
            <w:tcW w:w="380" w:type="dxa"/>
            <w:vAlign w:val="bottom"/>
          </w:tcPr>
          <w:p>
            <w:pPr>
              <w:spacing w:after="0"/>
              <w:rPr>
                <w:sz w:val="22"/>
                <w:szCs w:val="22"/>
                <w:color w:val="auto"/>
              </w:rPr>
            </w:pPr>
          </w:p>
        </w:tc>
        <w:tc>
          <w:tcPr>
            <w:tcW w:w="2920" w:type="dxa"/>
            <w:vAlign w:val="bottom"/>
          </w:tcPr>
          <w:p>
            <w:pPr>
              <w:jc w:val="center"/>
              <w:spacing w:after="0"/>
              <w:rPr>
                <w:sz w:val="20"/>
                <w:szCs w:val="20"/>
                <w:color w:val="auto"/>
              </w:rPr>
            </w:pPr>
            <w:r>
              <w:rPr>
                <w:rFonts w:ascii="Arial" w:cs="Arial" w:eastAsia="Arial" w:hAnsi="Arial"/>
                <w:sz w:val="18"/>
                <w:szCs w:val="18"/>
                <w:b w:val="1"/>
                <w:bCs w:val="1"/>
                <w:color w:val="auto"/>
                <w:w w:val="98"/>
              </w:rPr>
              <w:t>Two-Year Cumulative Target EPS</w:t>
            </w:r>
          </w:p>
        </w:tc>
      </w:tr>
      <w:tr>
        <w:trPr>
          <w:trHeight w:val="343"/>
        </w:trPr>
        <w:tc>
          <w:tcPr>
            <w:tcW w:w="2700" w:type="dxa"/>
            <w:vAlign w:val="bottom"/>
            <w:shd w:val="clear" w:color="auto" w:fill="BFE4FF"/>
          </w:tcPr>
          <w:p>
            <w:pPr>
              <w:jc w:val="right"/>
              <w:ind w:right="770"/>
              <w:spacing w:after="0"/>
              <w:rPr>
                <w:sz w:val="20"/>
                <w:szCs w:val="20"/>
                <w:color w:val="auto"/>
              </w:rPr>
            </w:pPr>
            <w:r>
              <w:rPr>
                <w:rFonts w:ascii="Arial" w:cs="Arial" w:eastAsia="Arial" w:hAnsi="Arial"/>
                <w:sz w:val="18"/>
                <w:szCs w:val="18"/>
                <w:b w:val="1"/>
                <w:bCs w:val="1"/>
                <w:color w:val="auto"/>
              </w:rPr>
              <w:t>$8.25*1.063</w:t>
            </w:r>
          </w:p>
        </w:tc>
        <w:tc>
          <w:tcPr>
            <w:tcW w:w="400" w:type="dxa"/>
            <w:vAlign w:val="bottom"/>
          </w:tcPr>
          <w:p>
            <w:pPr>
              <w:spacing w:after="0"/>
              <w:rPr>
                <w:sz w:val="24"/>
                <w:szCs w:val="24"/>
                <w:color w:val="auto"/>
              </w:rPr>
            </w:pPr>
          </w:p>
        </w:tc>
        <w:tc>
          <w:tcPr>
            <w:tcW w:w="2680" w:type="dxa"/>
            <w:vAlign w:val="bottom"/>
            <w:shd w:val="clear" w:color="auto" w:fill="00A1DE"/>
          </w:tcPr>
          <w:p>
            <w:pPr>
              <w:jc w:val="right"/>
              <w:ind w:right="410"/>
              <w:spacing w:after="0"/>
              <w:rPr>
                <w:sz w:val="20"/>
                <w:szCs w:val="20"/>
                <w:color w:val="auto"/>
              </w:rPr>
            </w:pPr>
            <w:r>
              <w:rPr>
                <w:rFonts w:ascii="Arial" w:cs="Arial" w:eastAsia="Arial" w:hAnsi="Arial"/>
                <w:sz w:val="18"/>
                <w:szCs w:val="18"/>
                <w:b w:val="1"/>
                <w:bCs w:val="1"/>
                <w:color w:val="FFFFFF"/>
              </w:rPr>
              <w:t>$8.25 * 1.063 * 1.063</w:t>
            </w:r>
          </w:p>
        </w:tc>
        <w:tc>
          <w:tcPr>
            <w:tcW w:w="380" w:type="dxa"/>
            <w:vAlign w:val="bottom"/>
          </w:tcPr>
          <w:p>
            <w:pPr>
              <w:spacing w:after="0"/>
              <w:rPr>
                <w:sz w:val="24"/>
                <w:szCs w:val="24"/>
                <w:color w:val="auto"/>
              </w:rPr>
            </w:pPr>
          </w:p>
        </w:tc>
        <w:tc>
          <w:tcPr>
            <w:tcW w:w="2920" w:type="dxa"/>
            <w:vAlign w:val="bottom"/>
            <w:shd w:val="clear" w:color="auto" w:fill="EE2724"/>
          </w:tcPr>
          <w:p>
            <w:pPr>
              <w:jc w:val="right"/>
              <w:ind w:right="1090"/>
              <w:spacing w:after="0"/>
              <w:rPr>
                <w:sz w:val="20"/>
                <w:szCs w:val="20"/>
                <w:color w:val="auto"/>
              </w:rPr>
            </w:pPr>
            <w:r>
              <w:rPr>
                <w:rFonts w:ascii="Arial" w:cs="Arial" w:eastAsia="Arial" w:hAnsi="Arial"/>
                <w:sz w:val="18"/>
                <w:szCs w:val="18"/>
                <w:b w:val="1"/>
                <w:bCs w:val="1"/>
                <w:color w:val="FFFFFF"/>
              </w:rPr>
              <w:t>$18.09</w:t>
            </w:r>
          </w:p>
        </w:tc>
      </w:tr>
      <w:tr>
        <w:trPr>
          <w:trHeight w:val="96"/>
        </w:trPr>
        <w:tc>
          <w:tcPr>
            <w:tcW w:w="2700" w:type="dxa"/>
            <w:vAlign w:val="bottom"/>
            <w:shd w:val="clear" w:color="auto" w:fill="BFE4FF"/>
          </w:tcPr>
          <w:p>
            <w:pPr>
              <w:spacing w:after="0"/>
              <w:rPr>
                <w:sz w:val="8"/>
                <w:szCs w:val="8"/>
                <w:color w:val="auto"/>
              </w:rPr>
            </w:pPr>
          </w:p>
        </w:tc>
        <w:tc>
          <w:tcPr>
            <w:tcW w:w="400" w:type="dxa"/>
            <w:vAlign w:val="bottom"/>
          </w:tcPr>
          <w:p>
            <w:pPr>
              <w:spacing w:after="0"/>
              <w:rPr>
                <w:sz w:val="8"/>
                <w:szCs w:val="8"/>
                <w:color w:val="auto"/>
              </w:rPr>
            </w:pPr>
          </w:p>
        </w:tc>
        <w:tc>
          <w:tcPr>
            <w:tcW w:w="2680" w:type="dxa"/>
            <w:vAlign w:val="bottom"/>
            <w:shd w:val="clear" w:color="auto" w:fill="00A1DE"/>
          </w:tcPr>
          <w:p>
            <w:pPr>
              <w:spacing w:after="0"/>
              <w:rPr>
                <w:sz w:val="8"/>
                <w:szCs w:val="8"/>
                <w:color w:val="auto"/>
              </w:rPr>
            </w:pPr>
          </w:p>
        </w:tc>
        <w:tc>
          <w:tcPr>
            <w:tcW w:w="380" w:type="dxa"/>
            <w:vAlign w:val="bottom"/>
          </w:tcPr>
          <w:p>
            <w:pPr>
              <w:spacing w:after="0"/>
              <w:rPr>
                <w:sz w:val="8"/>
                <w:szCs w:val="8"/>
                <w:color w:val="auto"/>
              </w:rPr>
            </w:pPr>
          </w:p>
        </w:tc>
        <w:tc>
          <w:tcPr>
            <w:tcW w:w="2920" w:type="dxa"/>
            <w:vAlign w:val="bottom"/>
            <w:shd w:val="clear" w:color="auto" w:fill="EE2724"/>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-256540</wp:posOffset>
            </wp:positionV>
            <wp:extent cx="171450" cy="17145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-256540</wp:posOffset>
            </wp:positionV>
            <wp:extent cx="171450" cy="17145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Payouts for the 2022-2024 performance award can range from 0 to 175 percent of the target number of shares, as shown below:</w:t>
      </w:r>
    </w:p>
    <w:p>
      <w:pPr>
        <w:spacing w:after="0" w:line="229" w:lineRule="exact"/>
        <w:rPr>
          <w:sz w:val="20"/>
          <w:szCs w:val="20"/>
          <w:color w:val="auto"/>
        </w:rPr>
      </w:pPr>
    </w:p>
    <w:p>
      <w:pPr>
        <w:ind w:left="2980"/>
        <w:spacing w:after="0"/>
        <w:rPr>
          <w:sz w:val="20"/>
          <w:szCs w:val="20"/>
          <w:color w:val="auto"/>
        </w:rPr>
      </w:pPr>
      <w:r>
        <w:rPr>
          <w:rFonts w:ascii="Arial" w:cs="Arial" w:eastAsia="Arial" w:hAnsi="Arial"/>
          <w:sz w:val="22"/>
          <w:szCs w:val="22"/>
          <w:b w:val="1"/>
          <w:bCs w:val="1"/>
          <w:color w:val="auto"/>
        </w:rPr>
        <w:t>2022-2024 Performance Award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gridSpan w:val="2"/>
          </w:tcPr>
          <w:p>
            <w:pPr>
              <w:ind w:left="220"/>
              <w:spacing w:after="0"/>
              <w:rPr>
                <w:sz w:val="20"/>
                <w:szCs w:val="20"/>
                <w:color w:val="auto"/>
              </w:rPr>
            </w:pPr>
            <w:r>
              <w:rPr>
                <w:rFonts w:ascii="Arial" w:cs="Arial" w:eastAsia="Arial" w:hAnsi="Arial"/>
                <w:sz w:val="14"/>
                <w:szCs w:val="14"/>
                <w:b w:val="1"/>
                <w:bCs w:val="1"/>
                <w:color w:val="auto"/>
              </w:rPr>
              <w:t>Target</w:t>
            </w: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70"/>
        </w:trPr>
        <w:tc>
          <w:tcPr>
            <w:tcW w:w="1640" w:type="dxa"/>
            <w:vAlign w:val="bottom"/>
            <w:tcBorders>
              <w:right w:val="single" w:sz="8" w:color="auto"/>
            </w:tcBorders>
          </w:tcPr>
          <w:p>
            <w:pPr>
              <w:spacing w:after="0"/>
              <w:rPr>
                <w:sz w:val="14"/>
                <w:szCs w:val="14"/>
                <w:color w:val="auto"/>
              </w:rPr>
            </w:pPr>
          </w:p>
        </w:tc>
        <w:tc>
          <w:tcPr>
            <w:tcW w:w="154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17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r>
      <w:tr>
        <w:trPr>
          <w:trHeight w:val="363"/>
        </w:trPr>
        <w:tc>
          <w:tcPr>
            <w:tcW w:w="1640" w:type="dxa"/>
            <w:vAlign w:val="bottom"/>
            <w:tcBorders>
              <w:right w:val="single" w:sz="8" w:color="auto"/>
            </w:tcBorders>
          </w:tcPr>
          <w:p>
            <w:pPr>
              <w:spacing w:after="0"/>
              <w:rPr>
                <w:sz w:val="24"/>
                <w:szCs w:val="24"/>
                <w:color w:val="auto"/>
              </w:rPr>
            </w:pPr>
          </w:p>
        </w:tc>
        <w:tc>
          <w:tcPr>
            <w:tcW w:w="1540" w:type="dxa"/>
            <w:vAlign w:val="bottom"/>
            <w:shd w:val="clear" w:color="auto" w:fill="BFE4FF"/>
          </w:tcPr>
          <w:p>
            <w:pPr>
              <w:jc w:val="right"/>
              <w:ind w:right="188"/>
              <w:spacing w:after="0"/>
              <w:rPr>
                <w:sz w:val="20"/>
                <w:szCs w:val="20"/>
                <w:color w:val="auto"/>
              </w:rPr>
            </w:pPr>
            <w:r>
              <w:rPr>
                <w:rFonts w:ascii="Arial" w:cs="Arial" w:eastAsia="Arial" w:hAnsi="Arial"/>
                <w:sz w:val="14"/>
                <w:szCs w:val="14"/>
                <w:b w:val="1"/>
                <w:bCs w:val="1"/>
                <w:color w:val="auto"/>
              </w:rPr>
              <w:t>0%</w:t>
            </w:r>
          </w:p>
        </w:tc>
        <w:tc>
          <w:tcPr>
            <w:tcW w:w="820" w:type="dxa"/>
            <w:vAlign w:val="bottom"/>
            <w:tcBorders>
              <w:right w:val="single" w:sz="8" w:color="auto"/>
            </w:tcBorders>
            <w:shd w:val="clear" w:color="auto" w:fill="BFE4FF"/>
          </w:tcPr>
          <w:p>
            <w:pPr>
              <w:spacing w:after="0"/>
              <w:rPr>
                <w:sz w:val="24"/>
                <w:szCs w:val="24"/>
                <w:color w:val="auto"/>
              </w:rPr>
            </w:pPr>
          </w:p>
        </w:tc>
        <w:tc>
          <w:tcPr>
            <w:tcW w:w="1700" w:type="dxa"/>
            <w:vAlign w:val="bottom"/>
            <w:shd w:val="clear" w:color="auto" w:fill="BFE4FF"/>
          </w:tcPr>
          <w:p>
            <w:pPr>
              <w:jc w:val="right"/>
              <w:ind w:right="328"/>
              <w:spacing w:after="0"/>
              <w:rPr>
                <w:sz w:val="20"/>
                <w:szCs w:val="20"/>
                <w:color w:val="auto"/>
              </w:rPr>
            </w:pPr>
            <w:r>
              <w:rPr>
                <w:rFonts w:ascii="Arial" w:cs="Arial" w:eastAsia="Arial" w:hAnsi="Arial"/>
                <w:sz w:val="14"/>
                <w:szCs w:val="14"/>
                <w:b w:val="1"/>
                <w:bCs w:val="1"/>
                <w:color w:val="auto"/>
              </w:rPr>
              <w:t>50%</w:t>
            </w:r>
          </w:p>
        </w:tc>
        <w:tc>
          <w:tcPr>
            <w:tcW w:w="640" w:type="dxa"/>
            <w:vAlign w:val="bottom"/>
            <w:tcBorders>
              <w:right w:val="single" w:sz="8" w:color="auto"/>
            </w:tcBorders>
            <w:shd w:val="clear" w:color="auto" w:fill="BFE4FF"/>
          </w:tcPr>
          <w:p>
            <w:pPr>
              <w:spacing w:after="0"/>
              <w:rPr>
                <w:sz w:val="24"/>
                <w:szCs w:val="24"/>
                <w:color w:val="auto"/>
              </w:rPr>
            </w:pPr>
          </w:p>
        </w:tc>
        <w:tc>
          <w:tcPr>
            <w:tcW w:w="860" w:type="dxa"/>
            <w:vAlign w:val="bottom"/>
            <w:tcBorders>
              <w:right w:val="single" w:sz="8" w:color="auto"/>
            </w:tcBorders>
            <w:gridSpan w:val="2"/>
            <w:shd w:val="clear" w:color="auto" w:fill="BFE4FF"/>
          </w:tcPr>
          <w:p>
            <w:pPr>
              <w:jc w:val="right"/>
              <w:ind w:right="28"/>
              <w:spacing w:after="0"/>
              <w:rPr>
                <w:sz w:val="20"/>
                <w:szCs w:val="20"/>
                <w:color w:val="auto"/>
              </w:rPr>
            </w:pPr>
            <w:r>
              <w:rPr>
                <w:rFonts w:ascii="Arial" w:cs="Arial" w:eastAsia="Arial" w:hAnsi="Arial"/>
                <w:sz w:val="14"/>
                <w:szCs w:val="14"/>
                <w:b w:val="1"/>
                <w:bCs w:val="1"/>
                <w:color w:val="auto"/>
              </w:rPr>
              <w:t>51% -99%</w:t>
            </w:r>
          </w:p>
        </w:tc>
        <w:tc>
          <w:tcPr>
            <w:tcW w:w="1140" w:type="dxa"/>
            <w:vAlign w:val="bottom"/>
            <w:tcBorders>
              <w:right w:val="single" w:sz="8" w:color="auto"/>
            </w:tcBorders>
            <w:gridSpan w:val="2"/>
            <w:shd w:val="clear" w:color="auto" w:fill="BFE4FF"/>
          </w:tcPr>
          <w:p>
            <w:pPr>
              <w:jc w:val="right"/>
              <w:ind w:right="68"/>
              <w:spacing w:after="0"/>
              <w:rPr>
                <w:sz w:val="20"/>
                <w:szCs w:val="20"/>
                <w:color w:val="auto"/>
              </w:rPr>
            </w:pPr>
            <w:r>
              <w:rPr>
                <w:rFonts w:ascii="Arial" w:cs="Arial" w:eastAsia="Arial" w:hAnsi="Arial"/>
                <w:sz w:val="14"/>
                <w:szCs w:val="14"/>
                <w:b w:val="1"/>
                <w:bCs w:val="1"/>
                <w:color w:val="auto"/>
              </w:rPr>
              <w:t>100% - 174%</w:t>
            </w:r>
          </w:p>
        </w:tc>
        <w:tc>
          <w:tcPr>
            <w:tcW w:w="760" w:type="dxa"/>
            <w:vAlign w:val="bottom"/>
            <w:tcBorders>
              <w:right w:val="single" w:sz="8" w:color="auto"/>
            </w:tcBorders>
            <w:shd w:val="clear" w:color="auto" w:fill="BFE4FF"/>
          </w:tcPr>
          <w:p>
            <w:pPr>
              <w:jc w:val="right"/>
              <w:ind w:right="128"/>
              <w:spacing w:after="0"/>
              <w:rPr>
                <w:sz w:val="20"/>
                <w:szCs w:val="20"/>
                <w:color w:val="auto"/>
              </w:rPr>
            </w:pPr>
            <w:r>
              <w:rPr>
                <w:rFonts w:ascii="Arial" w:cs="Arial" w:eastAsia="Arial" w:hAnsi="Arial"/>
                <w:sz w:val="14"/>
                <w:szCs w:val="14"/>
                <w:b w:val="1"/>
                <w:bCs w:val="1"/>
                <w:color w:val="auto"/>
              </w:rPr>
              <w:t>175%</w:t>
            </w:r>
          </w:p>
        </w:tc>
      </w:tr>
      <w:tr>
        <w:trPr>
          <w:trHeight w:val="164"/>
        </w:trPr>
        <w:tc>
          <w:tcPr>
            <w:tcW w:w="1640" w:type="dxa"/>
            <w:vAlign w:val="bottom"/>
            <w:tcBorders>
              <w:right w:val="single" w:sz="8" w:color="auto"/>
            </w:tcBorders>
          </w:tcPr>
          <w:p>
            <w:pPr>
              <w:spacing w:after="0"/>
              <w:rPr>
                <w:sz w:val="14"/>
                <w:szCs w:val="14"/>
                <w:color w:val="auto"/>
              </w:rPr>
            </w:pPr>
          </w:p>
        </w:tc>
        <w:tc>
          <w:tcPr>
            <w:tcW w:w="1540" w:type="dxa"/>
            <w:vAlign w:val="bottom"/>
            <w:shd w:val="clear" w:color="auto" w:fill="BFE4FF"/>
          </w:tcPr>
          <w:p>
            <w:pPr>
              <w:spacing w:after="0"/>
              <w:rPr>
                <w:sz w:val="14"/>
                <w:szCs w:val="14"/>
                <w:color w:val="auto"/>
              </w:rPr>
            </w:pPr>
          </w:p>
        </w:tc>
        <w:tc>
          <w:tcPr>
            <w:tcW w:w="820" w:type="dxa"/>
            <w:vAlign w:val="bottom"/>
            <w:tcBorders>
              <w:right w:val="single" w:sz="8" w:color="auto"/>
            </w:tcBorders>
            <w:shd w:val="clear" w:color="auto" w:fill="BFE4FF"/>
          </w:tcPr>
          <w:p>
            <w:pPr>
              <w:spacing w:after="0"/>
              <w:rPr>
                <w:sz w:val="14"/>
                <w:szCs w:val="14"/>
                <w:color w:val="auto"/>
              </w:rPr>
            </w:pPr>
          </w:p>
        </w:tc>
        <w:tc>
          <w:tcPr>
            <w:tcW w:w="1700" w:type="dxa"/>
            <w:vAlign w:val="bottom"/>
            <w:shd w:val="clear" w:color="auto" w:fill="BFE4FF"/>
          </w:tcPr>
          <w:p>
            <w:pPr>
              <w:spacing w:after="0"/>
              <w:rPr>
                <w:sz w:val="14"/>
                <w:szCs w:val="14"/>
                <w:color w:val="auto"/>
              </w:rPr>
            </w:pPr>
          </w:p>
        </w:tc>
        <w:tc>
          <w:tcPr>
            <w:tcW w:w="640" w:type="dxa"/>
            <w:vAlign w:val="bottom"/>
            <w:tcBorders>
              <w:right w:val="single" w:sz="8" w:color="auto"/>
            </w:tcBorders>
            <w:shd w:val="clear" w:color="auto" w:fill="BFE4FF"/>
          </w:tcPr>
          <w:p>
            <w:pPr>
              <w:spacing w:after="0"/>
              <w:rPr>
                <w:sz w:val="14"/>
                <w:szCs w:val="14"/>
                <w:color w:val="auto"/>
              </w:rPr>
            </w:pPr>
          </w:p>
        </w:tc>
        <w:tc>
          <w:tcPr>
            <w:tcW w:w="420" w:type="dxa"/>
            <w:vAlign w:val="bottom"/>
            <w:shd w:val="clear" w:color="auto" w:fill="BFE4FF"/>
          </w:tcPr>
          <w:p>
            <w:pPr>
              <w:spacing w:after="0"/>
              <w:rPr>
                <w:sz w:val="14"/>
                <w:szCs w:val="14"/>
                <w:color w:val="auto"/>
              </w:rPr>
            </w:pPr>
          </w:p>
        </w:tc>
        <w:tc>
          <w:tcPr>
            <w:tcW w:w="440" w:type="dxa"/>
            <w:vAlign w:val="bottom"/>
            <w:tcBorders>
              <w:right w:val="single" w:sz="8" w:color="auto"/>
            </w:tcBorders>
            <w:shd w:val="clear" w:color="auto" w:fill="BFE4FF"/>
          </w:tcPr>
          <w:p>
            <w:pPr>
              <w:spacing w:after="0"/>
              <w:rPr>
                <w:sz w:val="14"/>
                <w:szCs w:val="14"/>
                <w:color w:val="auto"/>
              </w:rPr>
            </w:pPr>
          </w:p>
        </w:tc>
        <w:tc>
          <w:tcPr>
            <w:tcW w:w="540" w:type="dxa"/>
            <w:vAlign w:val="bottom"/>
            <w:shd w:val="clear" w:color="auto" w:fill="BFE4FF"/>
          </w:tcPr>
          <w:p>
            <w:pPr>
              <w:spacing w:after="0"/>
              <w:rPr>
                <w:sz w:val="14"/>
                <w:szCs w:val="14"/>
                <w:color w:val="auto"/>
              </w:rPr>
            </w:pPr>
          </w:p>
        </w:tc>
        <w:tc>
          <w:tcPr>
            <w:tcW w:w="600" w:type="dxa"/>
            <w:vAlign w:val="bottom"/>
            <w:tcBorders>
              <w:right w:val="single" w:sz="8" w:color="auto"/>
            </w:tcBorders>
            <w:shd w:val="clear" w:color="auto" w:fill="BFE4FF"/>
          </w:tcPr>
          <w:p>
            <w:pPr>
              <w:spacing w:after="0"/>
              <w:rPr>
                <w:sz w:val="14"/>
                <w:szCs w:val="14"/>
                <w:color w:val="auto"/>
              </w:rPr>
            </w:pPr>
          </w:p>
        </w:tc>
        <w:tc>
          <w:tcPr>
            <w:tcW w:w="760" w:type="dxa"/>
            <w:vAlign w:val="bottom"/>
            <w:tcBorders>
              <w:right w:val="single" w:sz="8" w:color="auto"/>
            </w:tcBorders>
            <w:shd w:val="clear" w:color="auto" w:fill="BFE4FF"/>
          </w:tcPr>
          <w:p>
            <w:pPr>
              <w:spacing w:after="0"/>
              <w:rPr>
                <w:sz w:val="14"/>
                <w:szCs w:val="14"/>
                <w:color w:val="auto"/>
              </w:rPr>
            </w:pPr>
          </w:p>
        </w:tc>
      </w:tr>
      <w:tr>
        <w:trPr>
          <w:trHeight w:val="94"/>
        </w:trPr>
        <w:tc>
          <w:tcPr>
            <w:tcW w:w="1640" w:type="dxa"/>
            <w:vAlign w:val="bottom"/>
            <w:tcBorders>
              <w:right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82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640" w:type="dxa"/>
            <w:vAlign w:val="bottom"/>
            <w:tcBorders>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Borders>
              <w:bottom w:val="single" w:sz="8" w:color="auto"/>
              <w:right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r>
      <w:tr>
        <w:trPr>
          <w:trHeight w:val="88"/>
        </w:trPr>
        <w:tc>
          <w:tcPr>
            <w:tcW w:w="1640" w:type="dxa"/>
            <w:vAlign w:val="bottom"/>
            <w:tcBorders>
              <w:right w:val="single" w:sz="8" w:color="auto"/>
            </w:tcBorders>
          </w:tcPr>
          <w:p>
            <w:pPr>
              <w:spacing w:after="0"/>
              <w:rPr>
                <w:sz w:val="7"/>
                <w:szCs w:val="7"/>
                <w:color w:val="auto"/>
              </w:rPr>
            </w:pPr>
          </w:p>
        </w:tc>
        <w:tc>
          <w:tcPr>
            <w:tcW w:w="1540" w:type="dxa"/>
            <w:vAlign w:val="bottom"/>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1700" w:type="dxa"/>
            <w:vAlign w:val="bottom"/>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r>
      <w:tr>
        <w:trPr>
          <w:trHeight w:val="377"/>
        </w:trPr>
        <w:tc>
          <w:tcPr>
            <w:tcW w:w="3180" w:type="dxa"/>
            <w:vAlign w:val="bottom"/>
            <w:tcBorders>
              <w:bottom w:val="single" w:sz="8" w:color="auto"/>
            </w:tcBorders>
            <w:gridSpan w:val="2"/>
          </w:tcPr>
          <w:p>
            <w:pPr>
              <w:jc w:val="right"/>
              <w:ind w:right="1488"/>
              <w:spacing w:after="0"/>
              <w:rPr>
                <w:sz w:val="20"/>
                <w:szCs w:val="20"/>
                <w:color w:val="auto"/>
              </w:rPr>
            </w:pPr>
            <w:r>
              <w:rPr>
                <w:rFonts w:ascii="Arial" w:cs="Arial" w:eastAsia="Arial" w:hAnsi="Arial"/>
                <w:sz w:val="14"/>
                <w:szCs w:val="14"/>
                <w:b w:val="1"/>
                <w:bCs w:val="1"/>
                <w:color w:val="auto"/>
              </w:rPr>
              <w:t>EPS Growth</w:t>
            </w:r>
          </w:p>
        </w:tc>
        <w:tc>
          <w:tcPr>
            <w:tcW w:w="2520" w:type="dxa"/>
            <w:vAlign w:val="bottom"/>
            <w:tcBorders>
              <w:bottom w:val="single" w:sz="8" w:color="auto"/>
            </w:tcBorders>
            <w:gridSpan w:val="2"/>
          </w:tcPr>
          <w:p>
            <w:pPr>
              <w:jc w:val="center"/>
              <w:ind w:right="848"/>
              <w:spacing w:after="0"/>
              <w:rPr>
                <w:sz w:val="20"/>
                <w:szCs w:val="20"/>
                <w:color w:val="auto"/>
              </w:rPr>
            </w:pPr>
            <w:r>
              <w:rPr>
                <w:rFonts w:ascii="Arial" w:cs="Arial" w:eastAsia="Arial" w:hAnsi="Arial"/>
                <w:sz w:val="14"/>
                <w:szCs w:val="14"/>
                <w:i w:val="1"/>
                <w:iCs w:val="1"/>
                <w:color w:val="auto"/>
              </w:rPr>
              <w:t>Payout threshold</w:t>
            </w:r>
          </w:p>
        </w:tc>
        <w:tc>
          <w:tcPr>
            <w:tcW w:w="106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color w:val="auto"/>
              </w:rPr>
              <w:t>-1.7%</w:t>
            </w:r>
          </w:p>
        </w:tc>
        <w:tc>
          <w:tcPr>
            <w:tcW w:w="98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color w:val="auto"/>
              </w:rPr>
              <w:t>6.3%</w:t>
            </w:r>
          </w:p>
        </w:tc>
        <w:tc>
          <w:tcPr>
            <w:tcW w:w="1360" w:type="dxa"/>
            <w:vAlign w:val="bottom"/>
            <w:tcBorders>
              <w:bottom w:val="single" w:sz="8" w:color="auto"/>
            </w:tcBorders>
            <w:gridSpan w:val="2"/>
          </w:tcPr>
          <w:p>
            <w:pPr>
              <w:jc w:val="right"/>
              <w:ind w:right="508"/>
              <w:spacing w:after="0"/>
              <w:rPr>
                <w:sz w:val="20"/>
                <w:szCs w:val="20"/>
                <w:color w:val="auto"/>
              </w:rPr>
            </w:pPr>
            <w:r>
              <w:rPr>
                <w:rFonts w:ascii="Arial" w:cs="Arial" w:eastAsia="Arial" w:hAnsi="Arial"/>
                <w:sz w:val="14"/>
                <w:szCs w:val="14"/>
                <w:color w:val="auto"/>
              </w:rPr>
              <w:t>18.3%</w:t>
            </w:r>
          </w:p>
        </w:tc>
      </w:tr>
      <w:tr>
        <w:trPr>
          <w:trHeight w:val="195"/>
        </w:trPr>
        <w:tc>
          <w:tcPr>
            <w:tcW w:w="3180" w:type="dxa"/>
            <w:vAlign w:val="bottom"/>
            <w:gridSpan w:val="2"/>
          </w:tcPr>
          <w:p>
            <w:pPr>
              <w:jc w:val="right"/>
              <w:ind w:right="1488"/>
              <w:spacing w:after="0"/>
              <w:rPr>
                <w:sz w:val="20"/>
                <w:szCs w:val="20"/>
                <w:color w:val="auto"/>
              </w:rPr>
            </w:pPr>
            <w:r>
              <w:rPr>
                <w:rFonts w:ascii="Arial" w:cs="Arial" w:eastAsia="Arial" w:hAnsi="Arial"/>
                <w:sz w:val="14"/>
                <w:szCs w:val="14"/>
                <w:b w:val="1"/>
                <w:bCs w:val="1"/>
                <w:color w:val="auto"/>
              </w:rPr>
              <w:t>Cumulative 2-Year EPS</w:t>
            </w:r>
          </w:p>
        </w:tc>
        <w:tc>
          <w:tcPr>
            <w:tcW w:w="2520" w:type="dxa"/>
            <w:vAlign w:val="bottom"/>
            <w:gridSpan w:val="2"/>
          </w:tcPr>
          <w:p>
            <w:pPr>
              <w:jc w:val="right"/>
              <w:ind w:right="1468"/>
              <w:spacing w:after="0"/>
              <w:rPr>
                <w:sz w:val="20"/>
                <w:szCs w:val="20"/>
                <w:color w:val="auto"/>
              </w:rPr>
            </w:pPr>
            <w:r>
              <w:rPr>
                <w:rFonts w:ascii="Arial" w:cs="Arial" w:eastAsia="Arial" w:hAnsi="Arial"/>
                <w:sz w:val="14"/>
                <w:szCs w:val="14"/>
                <w:color w:val="auto"/>
              </w:rPr>
              <w:t>$8.25</w:t>
            </w:r>
          </w:p>
        </w:tc>
        <w:tc>
          <w:tcPr>
            <w:tcW w:w="1060" w:type="dxa"/>
            <w:vAlign w:val="bottom"/>
            <w:gridSpan w:val="2"/>
          </w:tcPr>
          <w:p>
            <w:pPr>
              <w:jc w:val="right"/>
              <w:ind w:right="128"/>
              <w:spacing w:after="0"/>
              <w:rPr>
                <w:sz w:val="20"/>
                <w:szCs w:val="20"/>
                <w:color w:val="auto"/>
              </w:rPr>
            </w:pPr>
            <w:r>
              <w:rPr>
                <w:rFonts w:ascii="Arial" w:cs="Arial" w:eastAsia="Arial" w:hAnsi="Arial"/>
                <w:sz w:val="14"/>
                <w:szCs w:val="14"/>
                <w:color w:val="auto"/>
              </w:rPr>
              <w:t>$16.08</w:t>
            </w:r>
          </w:p>
        </w:tc>
        <w:tc>
          <w:tcPr>
            <w:tcW w:w="980" w:type="dxa"/>
            <w:vAlign w:val="bottom"/>
            <w:gridSpan w:val="2"/>
          </w:tcPr>
          <w:p>
            <w:pPr>
              <w:jc w:val="right"/>
              <w:ind w:right="248"/>
              <w:spacing w:after="0"/>
              <w:rPr>
                <w:sz w:val="20"/>
                <w:szCs w:val="20"/>
                <w:color w:val="auto"/>
              </w:rPr>
            </w:pPr>
            <w:r>
              <w:rPr>
                <w:rFonts w:ascii="Arial" w:cs="Arial" w:eastAsia="Arial" w:hAnsi="Arial"/>
                <w:sz w:val="14"/>
                <w:szCs w:val="14"/>
                <w:color w:val="auto"/>
              </w:rPr>
              <w:t>$18.09</w:t>
            </w:r>
          </w:p>
        </w:tc>
        <w:tc>
          <w:tcPr>
            <w:tcW w:w="1360" w:type="dxa"/>
            <w:vAlign w:val="bottom"/>
            <w:gridSpan w:val="2"/>
          </w:tcPr>
          <w:p>
            <w:pPr>
              <w:jc w:val="right"/>
              <w:ind w:right="448"/>
              <w:spacing w:after="0"/>
              <w:rPr>
                <w:sz w:val="20"/>
                <w:szCs w:val="20"/>
                <w:color w:val="auto"/>
              </w:rPr>
            </w:pPr>
            <w:r>
              <w:rPr>
                <w:rFonts w:ascii="Arial" w:cs="Arial" w:eastAsia="Arial" w:hAnsi="Arial"/>
                <w:sz w:val="14"/>
                <w:szCs w:val="14"/>
                <w:color w:val="auto"/>
              </w:rPr>
              <w:t>$21.31+</w:t>
            </w:r>
          </w:p>
        </w:tc>
      </w:tr>
    </w:tbl>
    <w:p>
      <w:pPr>
        <w:spacing w:after="0" w:line="329"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Shareholder Value Award</w:t>
      </w:r>
    </w:p>
    <w:p>
      <w:pPr>
        <w:spacing w:after="0" w:line="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purposes of establishing the stock price target for the shareholder value awards, the starting price was $260.57 per share, the average closing stock price for all trading days in November and December 2021. The target share price was established using the expected annual rate of return for large-cap companies (8 percent) as determined by the Talent and Compensation Committee, less an assumed Lilly dividend yield (1.50 percent). To determine payout, the ending price will be the average closing price of company stock for all trading days in November and December 2024. The award is designed to deliver no payout to executive officers if the shareholder return (including projected dividends) is zero or negative. Possible payouts based on share price ranges are illustrated in the grid below.</w:t>
      </w:r>
    </w:p>
    <w:p>
      <w:pPr>
        <w:spacing w:after="0" w:line="186"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2022-2024 Shareholder Value Award</w:t>
      </w:r>
    </w:p>
    <w:p>
      <w:pPr>
        <w:spacing w:after="0" w:line="293" w:lineRule="exact"/>
        <w:rPr>
          <w:sz w:val="20"/>
          <w:szCs w:val="20"/>
          <w:color w:val="auto"/>
        </w:rPr>
      </w:pPr>
    </w:p>
    <w:p>
      <w:pPr>
        <w:jc w:val="center"/>
        <w:ind w:right="520"/>
        <w:spacing w:after="0"/>
        <w:rPr>
          <w:sz w:val="20"/>
          <w:szCs w:val="20"/>
          <w:color w:val="auto"/>
        </w:rPr>
      </w:pPr>
      <w:r>
        <w:rPr>
          <w:rFonts w:ascii="Arial" w:cs="Arial" w:eastAsia="Arial" w:hAnsi="Arial"/>
          <w:sz w:val="14"/>
          <w:szCs w:val="14"/>
          <w:b w:val="1"/>
          <w:bCs w:val="1"/>
          <w:color w:val="auto"/>
        </w:rPr>
        <w:t>Target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76"/>
        </w:trPr>
        <w:tc>
          <w:tcPr>
            <w:tcW w:w="16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 of Target</w:t>
            </w:r>
          </w:p>
        </w:tc>
        <w:tc>
          <w:tcPr>
            <w:tcW w:w="800" w:type="dxa"/>
            <w:vAlign w:val="bottom"/>
            <w:tcBorders>
              <w:right w:val="single" w:sz="8" w:color="auto"/>
            </w:tcBorders>
          </w:tcPr>
          <w:p>
            <w:pPr>
              <w:spacing w:after="0"/>
              <w:rPr>
                <w:sz w:val="6"/>
                <w:szCs w:val="6"/>
                <w:color w:val="auto"/>
              </w:rPr>
            </w:pPr>
          </w:p>
        </w:tc>
        <w:tc>
          <w:tcPr>
            <w:tcW w:w="1180" w:type="dxa"/>
            <w:vAlign w:val="bottom"/>
            <w:tcBorders>
              <w:right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1160" w:type="dxa"/>
            <w:vAlign w:val="bottom"/>
            <w:tcBorders>
              <w:right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1640" w:type="dxa"/>
            <w:vAlign w:val="bottom"/>
            <w:tcBorders>
              <w:bottom w:val="single" w:sz="8" w:color="auto"/>
              <w:right w:val="single" w:sz="8" w:color="auto"/>
            </w:tcBorders>
            <w:vMerge w:val="continue"/>
          </w:tcPr>
          <w:p>
            <w:pPr>
              <w:spacing w:after="0"/>
              <w:rPr>
                <w:sz w:val="23"/>
                <w:szCs w:val="23"/>
                <w:color w:val="auto"/>
              </w:rPr>
            </w:pPr>
          </w:p>
        </w:tc>
        <w:tc>
          <w:tcPr>
            <w:tcW w:w="800" w:type="dxa"/>
            <w:vAlign w:val="bottom"/>
            <w:tcBorders>
              <w:bottom w:val="single" w:sz="8" w:color="auto"/>
              <w:right w:val="single" w:sz="8" w:color="auto"/>
            </w:tcBorders>
            <w:shd w:val="clear" w:color="auto" w:fill="BFE4FF"/>
          </w:tcPr>
          <w:p>
            <w:pPr>
              <w:jc w:val="center"/>
              <w:spacing w:after="0"/>
              <w:rPr>
                <w:sz w:val="20"/>
                <w:szCs w:val="20"/>
                <w:color w:val="auto"/>
              </w:rPr>
            </w:pPr>
            <w:r>
              <w:rPr>
                <w:rFonts w:ascii="Arial" w:cs="Arial" w:eastAsia="Arial" w:hAnsi="Arial"/>
                <w:sz w:val="13"/>
                <w:szCs w:val="13"/>
                <w:b w:val="1"/>
                <w:bCs w:val="1"/>
                <w:color w:val="auto"/>
              </w:rPr>
              <w:t>0%</w:t>
            </w:r>
          </w:p>
        </w:tc>
        <w:tc>
          <w:tcPr>
            <w:tcW w:w="1180" w:type="dxa"/>
            <w:vAlign w:val="bottom"/>
            <w:tcBorders>
              <w:bottom w:val="single" w:sz="8" w:color="auto"/>
              <w:right w:val="single" w:sz="8" w:color="auto"/>
            </w:tcBorders>
            <w:shd w:val="clear" w:color="auto" w:fill="BFE4FF"/>
          </w:tcPr>
          <w:p>
            <w:pPr>
              <w:jc w:val="right"/>
              <w:ind w:right="417"/>
              <w:spacing w:after="0"/>
              <w:rPr>
                <w:sz w:val="20"/>
                <w:szCs w:val="20"/>
                <w:color w:val="auto"/>
              </w:rPr>
            </w:pPr>
            <w:r>
              <w:rPr>
                <w:rFonts w:ascii="Arial" w:cs="Arial" w:eastAsia="Arial" w:hAnsi="Arial"/>
                <w:sz w:val="13"/>
                <w:szCs w:val="13"/>
                <w:b w:val="1"/>
                <w:bCs w:val="1"/>
                <w:color w:val="auto"/>
              </w:rPr>
              <w:t>50%</w:t>
            </w:r>
          </w:p>
        </w:tc>
        <w:tc>
          <w:tcPr>
            <w:tcW w:w="1160" w:type="dxa"/>
            <w:vAlign w:val="bottom"/>
            <w:tcBorders>
              <w:bottom w:val="single" w:sz="8" w:color="auto"/>
              <w:right w:val="single" w:sz="8" w:color="auto"/>
            </w:tcBorders>
            <w:gridSpan w:val="2"/>
            <w:shd w:val="clear" w:color="auto" w:fill="BFE4FF"/>
          </w:tcPr>
          <w:p>
            <w:pPr>
              <w:jc w:val="right"/>
              <w:ind w:right="397"/>
              <w:spacing w:after="0"/>
              <w:rPr>
                <w:sz w:val="20"/>
                <w:szCs w:val="20"/>
                <w:color w:val="auto"/>
              </w:rPr>
            </w:pPr>
            <w:r>
              <w:rPr>
                <w:rFonts w:ascii="Arial" w:cs="Arial" w:eastAsia="Arial" w:hAnsi="Arial"/>
                <w:sz w:val="13"/>
                <w:szCs w:val="13"/>
                <w:b w:val="1"/>
                <w:bCs w:val="1"/>
                <w:color w:val="auto"/>
              </w:rPr>
              <w:t>75%</w:t>
            </w:r>
          </w:p>
        </w:tc>
        <w:tc>
          <w:tcPr>
            <w:tcW w:w="1160" w:type="dxa"/>
            <w:vAlign w:val="bottom"/>
            <w:tcBorders>
              <w:bottom w:val="single" w:sz="8" w:color="auto"/>
              <w:right w:val="single" w:sz="8" w:color="auto"/>
            </w:tcBorders>
            <w:shd w:val="clear" w:color="auto" w:fill="BFE4FF"/>
          </w:tcPr>
          <w:p>
            <w:pPr>
              <w:jc w:val="center"/>
              <w:spacing w:after="0"/>
              <w:rPr>
                <w:sz w:val="20"/>
                <w:szCs w:val="20"/>
                <w:color w:val="auto"/>
              </w:rPr>
            </w:pPr>
            <w:r>
              <w:rPr>
                <w:rFonts w:ascii="Arial" w:cs="Arial" w:eastAsia="Arial" w:hAnsi="Arial"/>
                <w:sz w:val="13"/>
                <w:szCs w:val="13"/>
                <w:b w:val="1"/>
                <w:bCs w:val="1"/>
                <w:color w:val="auto"/>
                <w:w w:val="96"/>
              </w:rPr>
              <w:t>100%</w:t>
            </w:r>
          </w:p>
        </w:tc>
        <w:tc>
          <w:tcPr>
            <w:tcW w:w="1160" w:type="dxa"/>
            <w:vAlign w:val="bottom"/>
            <w:tcBorders>
              <w:bottom w:val="single" w:sz="8" w:color="auto"/>
              <w:right w:val="single" w:sz="8" w:color="auto"/>
            </w:tcBorders>
            <w:gridSpan w:val="2"/>
            <w:shd w:val="clear" w:color="auto" w:fill="BFE4FF"/>
          </w:tcPr>
          <w:p>
            <w:pPr>
              <w:jc w:val="right"/>
              <w:ind w:right="377"/>
              <w:spacing w:after="0"/>
              <w:rPr>
                <w:sz w:val="20"/>
                <w:szCs w:val="20"/>
                <w:color w:val="auto"/>
              </w:rPr>
            </w:pPr>
            <w:r>
              <w:rPr>
                <w:rFonts w:ascii="Arial" w:cs="Arial" w:eastAsia="Arial" w:hAnsi="Arial"/>
                <w:sz w:val="13"/>
                <w:szCs w:val="13"/>
                <w:b w:val="1"/>
                <w:bCs w:val="1"/>
                <w:color w:val="auto"/>
              </w:rPr>
              <w:t>125%</w:t>
            </w:r>
          </w:p>
        </w:tc>
        <w:tc>
          <w:tcPr>
            <w:tcW w:w="1180" w:type="dxa"/>
            <w:vAlign w:val="bottom"/>
            <w:tcBorders>
              <w:bottom w:val="single" w:sz="8" w:color="auto"/>
              <w:right w:val="single" w:sz="8" w:color="auto"/>
            </w:tcBorders>
            <w:gridSpan w:val="2"/>
            <w:shd w:val="clear" w:color="auto" w:fill="BFE4FF"/>
          </w:tcPr>
          <w:p>
            <w:pPr>
              <w:jc w:val="right"/>
              <w:ind w:right="377"/>
              <w:spacing w:after="0"/>
              <w:rPr>
                <w:sz w:val="20"/>
                <w:szCs w:val="20"/>
                <w:color w:val="auto"/>
              </w:rPr>
            </w:pPr>
            <w:r>
              <w:rPr>
                <w:rFonts w:ascii="Arial" w:cs="Arial" w:eastAsia="Arial" w:hAnsi="Arial"/>
                <w:sz w:val="13"/>
                <w:szCs w:val="13"/>
                <w:b w:val="1"/>
                <w:bCs w:val="1"/>
                <w:color w:val="auto"/>
              </w:rPr>
              <w:t>150%</w:t>
            </w:r>
          </w:p>
        </w:tc>
        <w:tc>
          <w:tcPr>
            <w:tcW w:w="800" w:type="dxa"/>
            <w:vAlign w:val="bottom"/>
            <w:tcBorders>
              <w:bottom w:val="single" w:sz="8" w:color="auto"/>
              <w:right w:val="single" w:sz="8" w:color="auto"/>
            </w:tcBorders>
            <w:shd w:val="clear" w:color="auto" w:fill="BFE4FF"/>
          </w:tcPr>
          <w:p>
            <w:pPr>
              <w:jc w:val="center"/>
              <w:spacing w:after="0"/>
              <w:rPr>
                <w:sz w:val="20"/>
                <w:szCs w:val="20"/>
                <w:color w:val="auto"/>
              </w:rPr>
            </w:pPr>
            <w:r>
              <w:rPr>
                <w:rFonts w:ascii="Arial" w:cs="Arial" w:eastAsia="Arial" w:hAnsi="Arial"/>
                <w:sz w:val="13"/>
                <w:szCs w:val="13"/>
                <w:b w:val="1"/>
                <w:bCs w:val="1"/>
                <w:color w:val="auto"/>
                <w:w w:val="96"/>
              </w:rPr>
              <w:t>175%</w:t>
            </w:r>
          </w:p>
        </w:tc>
        <w:tc>
          <w:tcPr>
            <w:tcW w:w="0" w:type="dxa"/>
            <w:vAlign w:val="bottom"/>
          </w:tcPr>
          <w:p>
            <w:pPr>
              <w:spacing w:after="0"/>
              <w:rPr>
                <w:sz w:val="1"/>
                <w:szCs w:val="1"/>
                <w:color w:val="auto"/>
              </w:rPr>
            </w:pPr>
          </w:p>
        </w:tc>
      </w:tr>
      <w:tr>
        <w:trPr>
          <w:trHeight w:val="264"/>
        </w:trPr>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Stock Price</w:t>
            </w:r>
          </w:p>
        </w:tc>
        <w:tc>
          <w:tcPr>
            <w:tcW w:w="800" w:type="dxa"/>
            <w:vAlign w:val="bottom"/>
            <w:tcBorders>
              <w:bottom w:val="single" w:sz="8" w:color="auto"/>
              <w:right w:val="single" w:sz="8" w:color="auto"/>
            </w:tcBorders>
            <w:shd w:val="clear" w:color="auto" w:fill="BFE4FF"/>
          </w:tcPr>
          <w:p>
            <w:pPr>
              <w:jc w:val="center"/>
              <w:spacing w:after="0"/>
              <w:rPr>
                <w:sz w:val="20"/>
                <w:szCs w:val="20"/>
                <w:color w:val="auto"/>
              </w:rPr>
            </w:pPr>
            <w:r>
              <w:rPr>
                <w:rFonts w:ascii="Arial" w:cs="Arial" w:eastAsia="Arial" w:hAnsi="Arial"/>
                <w:sz w:val="13"/>
                <w:szCs w:val="13"/>
                <w:b w:val="1"/>
                <w:bCs w:val="1"/>
                <w:color w:val="auto"/>
                <w:w w:val="95"/>
              </w:rPr>
              <w:t>&lt;$246.99</w:t>
            </w:r>
          </w:p>
        </w:tc>
        <w:tc>
          <w:tcPr>
            <w:tcW w:w="1180" w:type="dxa"/>
            <w:vAlign w:val="bottom"/>
            <w:tcBorders>
              <w:bottom w:val="single" w:sz="8" w:color="auto"/>
              <w:right w:val="single" w:sz="8" w:color="auto"/>
            </w:tcBorders>
            <w:shd w:val="clear" w:color="auto" w:fill="BFE4FF"/>
          </w:tcPr>
          <w:p>
            <w:pPr>
              <w:jc w:val="right"/>
              <w:ind w:right="57"/>
              <w:spacing w:after="0"/>
              <w:rPr>
                <w:sz w:val="20"/>
                <w:szCs w:val="20"/>
                <w:color w:val="auto"/>
              </w:rPr>
            </w:pPr>
            <w:r>
              <w:rPr>
                <w:rFonts w:ascii="Arial" w:cs="Arial" w:eastAsia="Arial" w:hAnsi="Arial"/>
                <w:sz w:val="13"/>
                <w:szCs w:val="13"/>
                <w:b w:val="1"/>
                <w:bCs w:val="1"/>
                <w:color w:val="auto"/>
              </w:rPr>
              <w:t>$246.99- $280.85</w:t>
            </w:r>
          </w:p>
        </w:tc>
        <w:tc>
          <w:tcPr>
            <w:tcW w:w="5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b w:val="1"/>
                <w:bCs w:val="1"/>
                <w:color w:val="auto"/>
              </w:rPr>
              <w:t>$280.86</w:t>
            </w:r>
          </w:p>
        </w:tc>
        <w:tc>
          <w:tcPr>
            <w:tcW w:w="640" w:type="dxa"/>
            <w:vAlign w:val="bottom"/>
            <w:tcBorders>
              <w:bottom w:val="single" w:sz="8" w:color="auto"/>
              <w:right w:val="single" w:sz="8" w:color="auto"/>
            </w:tcBorders>
            <w:shd w:val="clear" w:color="auto" w:fill="BFE4FF"/>
          </w:tcPr>
          <w:p>
            <w:pPr>
              <w:ind w:left="20"/>
              <w:spacing w:after="0"/>
              <w:rPr>
                <w:sz w:val="20"/>
                <w:szCs w:val="20"/>
                <w:color w:val="auto"/>
              </w:rPr>
            </w:pPr>
            <w:r>
              <w:rPr>
                <w:rFonts w:ascii="Arial" w:cs="Arial" w:eastAsia="Arial" w:hAnsi="Arial"/>
                <w:sz w:val="13"/>
                <w:szCs w:val="13"/>
                <w:b w:val="1"/>
                <w:bCs w:val="1"/>
                <w:color w:val="auto"/>
              </w:rPr>
              <w:t>- $314.71</w:t>
            </w:r>
          </w:p>
        </w:tc>
        <w:tc>
          <w:tcPr>
            <w:tcW w:w="1160" w:type="dxa"/>
            <w:vAlign w:val="bottom"/>
            <w:tcBorders>
              <w:bottom w:val="single" w:sz="8" w:color="auto"/>
              <w:right w:val="single" w:sz="8" w:color="auto"/>
            </w:tcBorders>
            <w:shd w:val="clear" w:color="auto" w:fill="BFE4FF"/>
          </w:tcPr>
          <w:p>
            <w:pPr>
              <w:jc w:val="center"/>
              <w:spacing w:after="0"/>
              <w:rPr>
                <w:sz w:val="20"/>
                <w:szCs w:val="20"/>
                <w:color w:val="auto"/>
              </w:rPr>
            </w:pPr>
            <w:r>
              <w:rPr>
                <w:rFonts w:ascii="Arial" w:cs="Arial" w:eastAsia="Arial" w:hAnsi="Arial"/>
                <w:sz w:val="13"/>
                <w:szCs w:val="13"/>
                <w:b w:val="1"/>
                <w:bCs w:val="1"/>
                <w:color w:val="auto"/>
                <w:w w:val="96"/>
              </w:rPr>
              <w:t>$314.72 - $348.58</w:t>
            </w:r>
          </w:p>
        </w:tc>
        <w:tc>
          <w:tcPr>
            <w:tcW w:w="5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b w:val="1"/>
                <w:bCs w:val="1"/>
                <w:color w:val="auto"/>
              </w:rPr>
              <w:t>$348.59</w:t>
            </w:r>
          </w:p>
        </w:tc>
        <w:tc>
          <w:tcPr>
            <w:tcW w:w="640" w:type="dxa"/>
            <w:vAlign w:val="bottom"/>
            <w:tcBorders>
              <w:bottom w:val="single" w:sz="8" w:color="auto"/>
              <w:right w:val="single" w:sz="8" w:color="auto"/>
            </w:tcBorders>
            <w:shd w:val="clear" w:color="auto" w:fill="BFE4FF"/>
          </w:tcPr>
          <w:p>
            <w:pPr>
              <w:ind w:left="20"/>
              <w:spacing w:after="0"/>
              <w:rPr>
                <w:sz w:val="20"/>
                <w:szCs w:val="20"/>
                <w:color w:val="auto"/>
              </w:rPr>
            </w:pPr>
            <w:r>
              <w:rPr>
                <w:rFonts w:ascii="Arial" w:cs="Arial" w:eastAsia="Arial" w:hAnsi="Arial"/>
                <w:sz w:val="13"/>
                <w:szCs w:val="13"/>
                <w:b w:val="1"/>
                <w:bCs w:val="1"/>
                <w:color w:val="auto"/>
              </w:rPr>
              <w:t>- $382.45</w:t>
            </w:r>
          </w:p>
        </w:tc>
        <w:tc>
          <w:tcPr>
            <w:tcW w:w="5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b w:val="1"/>
                <w:bCs w:val="1"/>
                <w:color w:val="auto"/>
              </w:rPr>
              <w:t>$382.46</w:t>
            </w:r>
          </w:p>
        </w:tc>
        <w:tc>
          <w:tcPr>
            <w:tcW w:w="640" w:type="dxa"/>
            <w:vAlign w:val="bottom"/>
            <w:tcBorders>
              <w:bottom w:val="single" w:sz="8" w:color="auto"/>
              <w:right w:val="single" w:sz="8" w:color="auto"/>
            </w:tcBorders>
            <w:shd w:val="clear" w:color="auto" w:fill="BFE4FF"/>
          </w:tcPr>
          <w:p>
            <w:pPr>
              <w:ind w:left="20"/>
              <w:spacing w:after="0"/>
              <w:rPr>
                <w:sz w:val="20"/>
                <w:szCs w:val="20"/>
                <w:color w:val="auto"/>
              </w:rPr>
            </w:pPr>
            <w:r>
              <w:rPr>
                <w:rFonts w:ascii="Arial" w:cs="Arial" w:eastAsia="Arial" w:hAnsi="Arial"/>
                <w:sz w:val="13"/>
                <w:szCs w:val="13"/>
                <w:b w:val="1"/>
                <w:bCs w:val="1"/>
                <w:color w:val="auto"/>
              </w:rPr>
              <w:t>- $416.32</w:t>
            </w:r>
          </w:p>
        </w:tc>
        <w:tc>
          <w:tcPr>
            <w:tcW w:w="800" w:type="dxa"/>
            <w:vAlign w:val="bottom"/>
            <w:tcBorders>
              <w:bottom w:val="single" w:sz="8" w:color="auto"/>
              <w:right w:val="single" w:sz="8" w:color="auto"/>
            </w:tcBorders>
            <w:shd w:val="clear" w:color="auto" w:fill="BFE4FF"/>
          </w:tcPr>
          <w:p>
            <w:pPr>
              <w:jc w:val="center"/>
              <w:spacing w:after="0"/>
              <w:rPr>
                <w:sz w:val="20"/>
                <w:szCs w:val="20"/>
                <w:color w:val="auto"/>
              </w:rPr>
            </w:pPr>
            <w:r>
              <w:rPr>
                <w:rFonts w:ascii="Arial" w:cs="Arial" w:eastAsia="Arial" w:hAnsi="Arial"/>
                <w:sz w:val="13"/>
                <w:szCs w:val="13"/>
                <w:b w:val="1"/>
                <w:bCs w:val="1"/>
                <w:color w:val="auto"/>
                <w:w w:val="98"/>
              </w:rPr>
              <w:t>&gt;$416.32</w:t>
            </w:r>
          </w:p>
        </w:tc>
        <w:tc>
          <w:tcPr>
            <w:tcW w:w="0" w:type="dxa"/>
            <w:vAlign w:val="bottom"/>
          </w:tcPr>
          <w:p>
            <w:pPr>
              <w:spacing w:after="0"/>
              <w:rPr>
                <w:sz w:val="1"/>
                <w:szCs w:val="1"/>
                <w:color w:val="auto"/>
              </w:rPr>
            </w:pPr>
          </w:p>
        </w:tc>
      </w:tr>
      <w:tr>
        <w:trPr>
          <w:trHeight w:val="191"/>
        </w:trPr>
        <w:tc>
          <w:tcPr>
            <w:tcW w:w="16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Compound Annual</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6"/>
              </w:rPr>
              <w:t>&lt;-1.8%</w:t>
            </w:r>
          </w:p>
        </w:tc>
        <w:tc>
          <w:tcPr>
            <w:tcW w:w="1180" w:type="dxa"/>
            <w:vAlign w:val="bottom"/>
            <w:tcBorders>
              <w:right w:val="single" w:sz="8" w:color="auto"/>
            </w:tcBorders>
            <w:vMerge w:val="restart"/>
          </w:tcPr>
          <w:p>
            <w:pPr>
              <w:jc w:val="right"/>
              <w:ind w:right="197"/>
              <w:spacing w:after="0"/>
              <w:rPr>
                <w:sz w:val="20"/>
                <w:szCs w:val="20"/>
                <w:color w:val="auto"/>
              </w:rPr>
            </w:pPr>
            <w:r>
              <w:rPr>
                <w:rFonts w:ascii="Arial" w:cs="Arial" w:eastAsia="Arial" w:hAnsi="Arial"/>
                <w:sz w:val="13"/>
                <w:szCs w:val="13"/>
                <w:color w:val="auto"/>
              </w:rPr>
              <w:t>-1.8%-2.5%</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2.5%</w:t>
            </w:r>
          </w:p>
        </w:tc>
        <w:tc>
          <w:tcPr>
            <w:tcW w:w="64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- 6.5%</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6.5% - 10.2%</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10.2%</w:t>
            </w:r>
          </w:p>
        </w:tc>
        <w:tc>
          <w:tcPr>
            <w:tcW w:w="64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- 13.6%</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13.6%</w:t>
            </w:r>
          </w:p>
        </w:tc>
        <w:tc>
          <w:tcPr>
            <w:tcW w:w="64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- 16.9%</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4"/>
              </w:rPr>
              <w:t>&gt;16.9%</w:t>
            </w:r>
          </w:p>
        </w:tc>
        <w:tc>
          <w:tcPr>
            <w:tcW w:w="0" w:type="dxa"/>
            <w:vAlign w:val="bottom"/>
          </w:tcPr>
          <w:p>
            <w:pPr>
              <w:spacing w:after="0"/>
              <w:rPr>
                <w:sz w:val="1"/>
                <w:szCs w:val="1"/>
                <w:color w:val="auto"/>
              </w:rPr>
            </w:pPr>
          </w:p>
        </w:tc>
      </w:tr>
      <w:tr>
        <w:trPr>
          <w:trHeight w:val="76"/>
        </w:trPr>
        <w:tc>
          <w:tcPr>
            <w:tcW w:w="16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Stock Price Growth</w:t>
            </w:r>
          </w:p>
        </w:tc>
        <w:tc>
          <w:tcPr>
            <w:tcW w:w="800" w:type="dxa"/>
            <w:vAlign w:val="bottom"/>
            <w:tcBorders>
              <w:right w:val="single" w:sz="8" w:color="auto"/>
            </w:tcBorders>
            <w:vMerge w:val="continue"/>
          </w:tcPr>
          <w:p>
            <w:pPr>
              <w:spacing w:after="0"/>
              <w:rPr>
                <w:sz w:val="6"/>
                <w:szCs w:val="6"/>
                <w:color w:val="auto"/>
              </w:rPr>
            </w:pPr>
          </w:p>
        </w:tc>
        <w:tc>
          <w:tcPr>
            <w:tcW w:w="1180" w:type="dxa"/>
            <w:vAlign w:val="bottom"/>
            <w:tcBorders>
              <w:right w:val="single" w:sz="8" w:color="auto"/>
            </w:tcBorders>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40" w:type="dxa"/>
            <w:vAlign w:val="bottom"/>
            <w:tcBorders>
              <w:right w:val="single" w:sz="8" w:color="auto"/>
            </w:tcBorders>
            <w:vMerge w:val="continue"/>
          </w:tcPr>
          <w:p>
            <w:pPr>
              <w:spacing w:after="0"/>
              <w:rPr>
                <w:sz w:val="6"/>
                <w:szCs w:val="6"/>
                <w:color w:val="auto"/>
              </w:rPr>
            </w:pPr>
          </w:p>
        </w:tc>
        <w:tc>
          <w:tcPr>
            <w:tcW w:w="1160" w:type="dxa"/>
            <w:vAlign w:val="bottom"/>
            <w:tcBorders>
              <w:right w:val="single" w:sz="8" w:color="auto"/>
            </w:tcBorders>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40" w:type="dxa"/>
            <w:vAlign w:val="bottom"/>
            <w:tcBorders>
              <w:right w:val="single" w:sz="8" w:color="auto"/>
            </w:tcBorders>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40" w:type="dxa"/>
            <w:vAlign w:val="bottom"/>
            <w:tcBorders>
              <w:right w:val="single" w:sz="8" w:color="auto"/>
            </w:tcBorders>
            <w:vMerge w:val="continue"/>
          </w:tcPr>
          <w:p>
            <w:pPr>
              <w:spacing w:after="0"/>
              <w:rPr>
                <w:sz w:val="6"/>
                <w:szCs w:val="6"/>
                <w:color w:val="auto"/>
              </w:rPr>
            </w:pPr>
          </w:p>
        </w:tc>
        <w:tc>
          <w:tcPr>
            <w:tcW w:w="8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164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164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118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116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9" w:right="379" w:bottom="1440" w:gutter="0" w:footer="0" w:header="0"/>
        </w:sectPr>
      </w:pPr>
    </w:p>
    <w:bookmarkStart w:id="67" w:name="page68"/>
    <w:bookmarkEnd w:id="67"/>
    <w:p>
      <w:pPr>
        <w:spacing w:after="0"/>
        <w:rPr>
          <w:sz w:val="20"/>
          <w:szCs w:val="20"/>
          <w:color w:val="auto"/>
        </w:rPr>
      </w:pPr>
      <w:r>
        <w:rPr>
          <w:rFonts w:ascii="Arial" w:cs="Arial" w:eastAsia="Arial" w:hAnsi="Arial"/>
          <w:sz w:val="20"/>
          <w:szCs w:val="20"/>
          <w:b w:val="1"/>
          <w:bCs w:val="1"/>
          <w:color w:val="D52B1E"/>
        </w:rPr>
        <w:t>Relative Value Award</w:t>
      </w:r>
    </w:p>
    <w:p>
      <w:pPr>
        <w:spacing w:after="0" w:line="7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relative value award is based on the three-year Lilly TSR performance compared to our peer group. To determine payout, the TSR performance is calculated for Lilly and its peers. This calculation compares the average closing price of each company’s stock for all trading days in November and December 2021 to the average closing price of each company’s stock for all trading days in November and December 2024, assuming reinvestment of dividends, to obtain the TSR for each company. The median TSR for the peer companies is then subtracted from Lilly’s TSR to determine what payout has been earned. For example, if Lilly’s TSR was 55 percent over the three-year performance period and the median peer company performance was 41 percent, Lilly would have outperformed by 14 percentage points (55 percent - 41 percent). This outperformance would have resulted in a 130 percent payout based on the payout ranges depicted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5760720" cy="254571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576072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Compensation Results</w:t>
      </w:r>
    </w:p>
    <w:p>
      <w:pPr>
        <w:spacing w:after="0" w:line="8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information in this section reflects the amounts paid to named executive officers under the Bonus Plan and for equity awards granted in prior years for which the relevant performance period ended in 2022.</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Lilly Performance</w:t>
      </w:r>
    </w:p>
    <w:p>
      <w:pPr>
        <w:spacing w:after="0" w:line="18"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In 2022, the company exceeded our revenue target and nearly achieved our EPS target. We also made significant pipeline advances. Key pipeline progression highlights include:</w:t>
      </w:r>
    </w:p>
    <w:p>
      <w:pPr>
        <w:spacing w:after="0" w:line="117" w:lineRule="exact"/>
        <w:rPr>
          <w:sz w:val="20"/>
          <w:szCs w:val="20"/>
          <w:color w:val="auto"/>
        </w:rPr>
      </w:pPr>
    </w:p>
    <w:p>
      <w:pPr>
        <w:ind w:left="660" w:right="380" w:hanging="328"/>
        <w:spacing w:after="0" w:line="287" w:lineRule="auto"/>
        <w:tabs>
          <w:tab w:leader="none" w:pos="649" w:val="left"/>
        </w:tabs>
        <w:numPr>
          <w:ilvl w:val="0"/>
          <w:numId w:val="140"/>
        </w:numPr>
        <w:rPr>
          <w:rFonts w:ascii="Arial" w:cs="Arial" w:eastAsia="Arial" w:hAnsi="Arial"/>
          <w:sz w:val="16"/>
          <w:szCs w:val="16"/>
          <w:color w:val="auto"/>
        </w:rPr>
      </w:pPr>
      <w:r>
        <w:rPr>
          <w:rFonts w:ascii="Arial" w:cs="Arial" w:eastAsia="Arial" w:hAnsi="Arial"/>
          <w:sz w:val="18"/>
          <w:szCs w:val="18"/>
          <w:color w:val="auto"/>
        </w:rPr>
        <w:t>U.S. approval of Mounjaro (tirzepatide), the first and only GIP and GLP-1 receptor agonist, for the treatment of adults with type 2 diabetes</w:t>
      </w:r>
    </w:p>
    <w:p>
      <w:pPr>
        <w:spacing w:after="0" w:line="98" w:lineRule="exact"/>
        <w:rPr>
          <w:rFonts w:ascii="Arial" w:cs="Arial" w:eastAsia="Arial" w:hAnsi="Arial"/>
          <w:sz w:val="16"/>
          <w:szCs w:val="16"/>
          <w:color w:val="auto"/>
        </w:rPr>
      </w:pPr>
    </w:p>
    <w:p>
      <w:pPr>
        <w:ind w:left="660" w:right="640" w:hanging="328"/>
        <w:spacing w:after="0" w:line="287" w:lineRule="auto"/>
        <w:tabs>
          <w:tab w:leader="none" w:pos="649" w:val="left"/>
        </w:tabs>
        <w:numPr>
          <w:ilvl w:val="0"/>
          <w:numId w:val="140"/>
        </w:numPr>
        <w:rPr>
          <w:rFonts w:ascii="Arial" w:cs="Arial" w:eastAsia="Arial" w:hAnsi="Arial"/>
          <w:sz w:val="16"/>
          <w:szCs w:val="16"/>
          <w:color w:val="auto"/>
        </w:rPr>
      </w:pPr>
      <w:r>
        <w:rPr>
          <w:rFonts w:ascii="Arial" w:cs="Arial" w:eastAsia="Arial" w:hAnsi="Arial"/>
          <w:sz w:val="18"/>
          <w:szCs w:val="18"/>
          <w:color w:val="auto"/>
        </w:rPr>
        <w:t>Positive results from tirzepatide’s Phase III SURMOUNT-1 study evaluating the efficacy and safety of tirzepatide compared to placebo in adults with obesity, or overweight with at least one comorbidity who do not have diabetes</w:t>
      </w:r>
    </w:p>
    <w:p>
      <w:pPr>
        <w:spacing w:after="0" w:line="98" w:lineRule="exact"/>
        <w:rPr>
          <w:rFonts w:ascii="Arial" w:cs="Arial" w:eastAsia="Arial" w:hAnsi="Arial"/>
          <w:sz w:val="16"/>
          <w:szCs w:val="16"/>
          <w:color w:val="auto"/>
        </w:rPr>
      </w:pPr>
    </w:p>
    <w:p>
      <w:pPr>
        <w:ind w:left="660" w:right="40" w:hanging="328"/>
        <w:spacing w:after="0" w:line="287" w:lineRule="auto"/>
        <w:tabs>
          <w:tab w:leader="none" w:pos="649" w:val="left"/>
        </w:tabs>
        <w:numPr>
          <w:ilvl w:val="0"/>
          <w:numId w:val="140"/>
        </w:numPr>
        <w:rPr>
          <w:rFonts w:ascii="Arial" w:cs="Arial" w:eastAsia="Arial" w:hAnsi="Arial"/>
          <w:sz w:val="16"/>
          <w:szCs w:val="16"/>
          <w:color w:val="auto"/>
        </w:rPr>
      </w:pPr>
      <w:r>
        <w:rPr>
          <w:rFonts w:ascii="Arial" w:cs="Arial" w:eastAsia="Arial" w:hAnsi="Arial"/>
          <w:sz w:val="18"/>
          <w:szCs w:val="18"/>
          <w:color w:val="auto"/>
        </w:rPr>
        <w:t>In collaboration with Incyte Corporation, U.S. approval of Olumiant (baricitinib) as a first-in-disease systemic treatment for adults with severe alopecia areata</w:t>
      </w:r>
    </w:p>
    <w:p>
      <w:pPr>
        <w:spacing w:after="0" w:line="98" w:lineRule="exact"/>
        <w:rPr>
          <w:rFonts w:ascii="Arial" w:cs="Arial" w:eastAsia="Arial" w:hAnsi="Arial"/>
          <w:sz w:val="16"/>
          <w:szCs w:val="16"/>
          <w:color w:val="auto"/>
        </w:rPr>
      </w:pPr>
    </w:p>
    <w:p>
      <w:pPr>
        <w:ind w:left="660" w:right="220" w:hanging="328"/>
        <w:spacing w:after="0" w:line="287" w:lineRule="auto"/>
        <w:tabs>
          <w:tab w:leader="none" w:pos="649" w:val="left"/>
        </w:tabs>
        <w:numPr>
          <w:ilvl w:val="0"/>
          <w:numId w:val="140"/>
        </w:numPr>
        <w:rPr>
          <w:rFonts w:ascii="Arial" w:cs="Arial" w:eastAsia="Arial" w:hAnsi="Arial"/>
          <w:sz w:val="16"/>
          <w:szCs w:val="16"/>
          <w:color w:val="auto"/>
        </w:rPr>
      </w:pPr>
      <w:r>
        <w:rPr>
          <w:rFonts w:ascii="Arial" w:cs="Arial" w:eastAsia="Arial" w:hAnsi="Arial"/>
          <w:sz w:val="18"/>
          <w:szCs w:val="18"/>
          <w:color w:val="auto"/>
        </w:rPr>
        <w:t>In collaboration with Boehringer Ingelheim, U.S. approval of a new indication for Jardiance (empagliflozin) to treat adults with heart failure regardless of left ventricular ejection fraction</w:t>
      </w:r>
    </w:p>
    <w:p>
      <w:pPr>
        <w:spacing w:after="0" w:line="98" w:lineRule="exact"/>
        <w:rPr>
          <w:rFonts w:ascii="Arial" w:cs="Arial" w:eastAsia="Arial" w:hAnsi="Arial"/>
          <w:sz w:val="16"/>
          <w:szCs w:val="16"/>
          <w:color w:val="auto"/>
        </w:rPr>
      </w:pPr>
    </w:p>
    <w:p>
      <w:pPr>
        <w:ind w:left="660" w:hanging="328"/>
        <w:spacing w:after="0" w:line="287" w:lineRule="auto"/>
        <w:tabs>
          <w:tab w:leader="none" w:pos="649" w:val="left"/>
        </w:tabs>
        <w:numPr>
          <w:ilvl w:val="0"/>
          <w:numId w:val="140"/>
        </w:numPr>
        <w:rPr>
          <w:rFonts w:ascii="Arial" w:cs="Arial" w:eastAsia="Arial" w:hAnsi="Arial"/>
          <w:sz w:val="16"/>
          <w:szCs w:val="16"/>
          <w:color w:val="auto"/>
        </w:rPr>
      </w:pPr>
      <w:r>
        <w:rPr>
          <w:rFonts w:ascii="Arial" w:cs="Arial" w:eastAsia="Arial" w:hAnsi="Arial"/>
          <w:sz w:val="18"/>
          <w:szCs w:val="18"/>
          <w:color w:val="auto"/>
        </w:rPr>
        <w:t>U.S. Emergency Use Authorization of bebtelovimab for certain non-hospitalized patients with mild-to-moderate COVID-19 at high risk of progression to severe disease</w:t>
      </w:r>
    </w:p>
    <w:p>
      <w:pPr>
        <w:spacing w:after="0" w:line="98" w:lineRule="exact"/>
        <w:rPr>
          <w:rFonts w:ascii="Arial" w:cs="Arial" w:eastAsia="Arial" w:hAnsi="Arial"/>
          <w:sz w:val="16"/>
          <w:szCs w:val="16"/>
          <w:color w:val="auto"/>
        </w:rPr>
      </w:pPr>
    </w:p>
    <w:p>
      <w:pPr>
        <w:ind w:left="660" w:right="220" w:hanging="328"/>
        <w:spacing w:after="0" w:line="287" w:lineRule="auto"/>
        <w:tabs>
          <w:tab w:leader="none" w:pos="649" w:val="left"/>
        </w:tabs>
        <w:numPr>
          <w:ilvl w:val="0"/>
          <w:numId w:val="140"/>
        </w:numPr>
        <w:rPr>
          <w:rFonts w:ascii="Arial" w:cs="Arial" w:eastAsia="Arial" w:hAnsi="Arial"/>
          <w:sz w:val="16"/>
          <w:szCs w:val="16"/>
          <w:color w:val="auto"/>
        </w:rPr>
      </w:pPr>
      <w:r>
        <w:rPr>
          <w:rFonts w:ascii="Arial" w:cs="Arial" w:eastAsia="Arial" w:hAnsi="Arial"/>
          <w:sz w:val="18"/>
          <w:szCs w:val="18"/>
          <w:color w:val="auto"/>
        </w:rPr>
        <w:t>U.S. approval of Retevmo (selpercatinib), the first and only RET inhibitor for adults with advanced or metastatic solid tumors with a RET gene fusion, regardless of type</w:t>
      </w:r>
    </w:p>
    <w:p>
      <w:pPr>
        <w:spacing w:after="0" w:line="98" w:lineRule="exact"/>
        <w:rPr>
          <w:rFonts w:ascii="Arial" w:cs="Arial" w:eastAsia="Arial" w:hAnsi="Arial"/>
          <w:sz w:val="16"/>
          <w:szCs w:val="16"/>
          <w:color w:val="auto"/>
        </w:rPr>
      </w:pPr>
    </w:p>
    <w:p>
      <w:pPr>
        <w:ind w:left="660" w:right="20" w:hanging="328"/>
        <w:spacing w:after="0" w:line="287" w:lineRule="auto"/>
        <w:tabs>
          <w:tab w:leader="none" w:pos="649" w:val="left"/>
        </w:tabs>
        <w:numPr>
          <w:ilvl w:val="0"/>
          <w:numId w:val="140"/>
        </w:numPr>
        <w:rPr>
          <w:rFonts w:ascii="Arial" w:cs="Arial" w:eastAsia="Arial" w:hAnsi="Arial"/>
          <w:sz w:val="16"/>
          <w:szCs w:val="16"/>
          <w:color w:val="auto"/>
        </w:rPr>
      </w:pPr>
      <w:r>
        <w:rPr>
          <w:rFonts w:ascii="Arial" w:cs="Arial" w:eastAsia="Arial" w:hAnsi="Arial"/>
          <w:sz w:val="18"/>
          <w:szCs w:val="18"/>
          <w:color w:val="auto"/>
        </w:rPr>
        <w:t>Positive results from two studies of lebrikizumab’s Phase III program evaluating the efficacy and safety of lebrikizumab in people with moderate-to-severe atopic dermatitis through one year of treatment</w:t>
      </w:r>
    </w:p>
    <w:p>
      <w:pPr>
        <w:sectPr>
          <w:pgSz w:w="11900" w:h="16838" w:orient="portrait"/>
          <w:cols w:equalWidth="0" w:num="1">
            <w:col w:w="11220"/>
          </w:cols>
          <w:pgMar w:left="320" w:top="980" w:right="35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157720" cy="4254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type w:val="continuous"/>
        </w:sectPr>
      </w:pPr>
    </w:p>
    <w:bookmarkStart w:id="68" w:name="page69"/>
    <w:bookmarkEnd w:id="68"/>
    <w:p>
      <w:pPr>
        <w:ind w:left="660" w:right="140" w:hanging="328"/>
        <w:spacing w:after="0" w:line="268" w:lineRule="auto"/>
        <w:tabs>
          <w:tab w:leader="none" w:pos="649" w:val="left"/>
        </w:tabs>
        <w:numPr>
          <w:ilvl w:val="0"/>
          <w:numId w:val="141"/>
        </w:numPr>
        <w:rPr>
          <w:rFonts w:ascii="Arial" w:cs="Arial" w:eastAsia="Arial" w:hAnsi="Arial"/>
          <w:sz w:val="16"/>
          <w:szCs w:val="16"/>
          <w:color w:val="auto"/>
        </w:rPr>
      </w:pPr>
      <w:r>
        <w:rPr>
          <w:rFonts w:ascii="Arial" w:cs="Arial" w:eastAsia="Arial" w:hAnsi="Arial"/>
          <w:sz w:val="18"/>
          <w:szCs w:val="18"/>
          <w:color w:val="auto"/>
        </w:rPr>
        <w:t>Updated data for Verzenio (abemaciclib) from the monarchE Phase III study evaluating the efficacy and safety of Verzenio in combination with standard endocrine therapy for the treatment of hormone receptor-positive (HR+), human epidermal growth factor receptor 2-negative (HER2-), node-positive, high risk early breast cancer.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highlights, see “</w:t>
      </w:r>
      <w:r>
        <w:rPr>
          <w:rFonts w:ascii="Arial" w:cs="Arial" w:eastAsia="Arial" w:hAnsi="Arial"/>
          <w:sz w:val="18"/>
          <w:szCs w:val="18"/>
          <w:u w:val="single" w:color="auto"/>
          <w:color w:val="0000FF"/>
        </w:rPr>
        <w:t>Proxy Statement Summary—Highlights of 2022 Performance</w:t>
      </w:r>
      <w:r>
        <w:rPr>
          <w:rFonts w:ascii="Arial" w:cs="Arial" w:eastAsia="Arial" w:hAnsi="Arial"/>
          <w:sz w:val="18"/>
          <w:szCs w:val="18"/>
          <w:color w:val="auto"/>
        </w:rPr>
        <w:t>.”</w:t>
      </w:r>
    </w:p>
    <w:p>
      <w:pPr>
        <w:spacing w:after="0" w:line="1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By the end of 2022, Lilly exceeded its two-year EPS growth target for the performance award, our three-year stock price growth target for the shareholder value award and the median total shareholder return of our peer companies for the relative value award. The discussion below details the measures used in each program, what the performance goal was to obtain target performance, how performance outcomes were assessed and what the Talent and Compensation Committee approved as the final payout multiple.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Bonus Plan</w:t>
      </w:r>
    </w:p>
    <w:p>
      <w:pPr>
        <w:spacing w:after="0" w:line="18"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The company utilized revenue, EPS, and pipeline progress to incent the achievement of 2022 company objectives. Each measure contributes to the final payout multiple on a weighted basis: revenue (25 percent), EPS (50 percent), and pipeline progress (25 percent). Each performance measure is assessed a payout multiple of 0 to 200 percent.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Science and Technology Committee’s assessment of the company’s product pipeline achievements is detailed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5760720" cy="825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96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Activity</w:t>
            </w: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Objective</w:t>
            </w: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Achievement</w:t>
            </w:r>
          </w:p>
        </w:tc>
        <w:tc>
          <w:tcPr>
            <w:tcW w:w="0" w:type="dxa"/>
            <w:vAlign w:val="bottom"/>
          </w:tcPr>
          <w:p>
            <w:pPr>
              <w:spacing w:after="0"/>
              <w:rPr>
                <w:sz w:val="1"/>
                <w:szCs w:val="1"/>
                <w:color w:val="auto"/>
              </w:rPr>
            </w:pPr>
          </w:p>
        </w:tc>
      </w:tr>
      <w:tr>
        <w:trPr>
          <w:trHeight w:val="193"/>
        </w:trPr>
        <w:tc>
          <w:tcPr>
            <w:tcW w:w="3960" w:type="dxa"/>
            <w:vAlign w:val="bottom"/>
            <w:vMerge w:val="restart"/>
          </w:tcPr>
          <w:p>
            <w:pPr>
              <w:ind w:left="20"/>
              <w:spacing w:after="0"/>
              <w:rPr>
                <w:sz w:val="20"/>
                <w:szCs w:val="20"/>
                <w:color w:val="auto"/>
              </w:rPr>
            </w:pPr>
            <w:r>
              <w:rPr>
                <w:rFonts w:ascii="Arial" w:cs="Arial" w:eastAsia="Arial" w:hAnsi="Arial"/>
                <w:sz w:val="14"/>
                <w:szCs w:val="14"/>
                <w:color w:val="auto"/>
              </w:rPr>
              <w:t>Approvals</w:t>
            </w:r>
          </w:p>
        </w:tc>
        <w:tc>
          <w:tcPr>
            <w:tcW w:w="2540" w:type="dxa"/>
            <w:vAlign w:val="bottom"/>
          </w:tcPr>
          <w:p>
            <w:pPr>
              <w:jc w:val="center"/>
              <w:spacing w:after="0"/>
              <w:rPr>
                <w:sz w:val="20"/>
                <w:szCs w:val="20"/>
                <w:color w:val="auto"/>
              </w:rPr>
            </w:pPr>
            <w:r>
              <w:rPr>
                <w:rFonts w:ascii="Arial" w:cs="Arial" w:eastAsia="Arial" w:hAnsi="Arial"/>
                <w:sz w:val="14"/>
                <w:szCs w:val="14"/>
                <w:color w:val="auto"/>
              </w:rPr>
              <w:t>1 new drug first approval</w:t>
            </w:r>
          </w:p>
        </w:tc>
        <w:tc>
          <w:tcPr>
            <w:tcW w:w="2580" w:type="dxa"/>
            <w:vAlign w:val="bottom"/>
          </w:tcPr>
          <w:p>
            <w:pPr>
              <w:jc w:val="center"/>
              <w:spacing w:after="0"/>
              <w:rPr>
                <w:sz w:val="20"/>
                <w:szCs w:val="20"/>
                <w:color w:val="auto"/>
              </w:rPr>
            </w:pPr>
            <w:r>
              <w:rPr>
                <w:rFonts w:ascii="Arial" w:cs="Arial" w:eastAsia="Arial" w:hAnsi="Arial"/>
                <w:sz w:val="14"/>
                <w:szCs w:val="14"/>
                <w:color w:val="auto"/>
              </w:rPr>
              <w:t>1 new drug first approval</w:t>
            </w:r>
          </w:p>
        </w:tc>
        <w:tc>
          <w:tcPr>
            <w:tcW w:w="0" w:type="dxa"/>
            <w:vAlign w:val="bottom"/>
          </w:tcPr>
          <w:p>
            <w:pPr>
              <w:spacing w:after="0"/>
              <w:rPr>
                <w:sz w:val="1"/>
                <w:szCs w:val="1"/>
                <w:color w:val="auto"/>
              </w:rPr>
            </w:pPr>
          </w:p>
        </w:tc>
      </w:tr>
      <w:tr>
        <w:trPr>
          <w:trHeight w:val="109"/>
        </w:trPr>
        <w:tc>
          <w:tcPr>
            <w:tcW w:w="3960" w:type="dxa"/>
            <w:vAlign w:val="bottom"/>
            <w:vMerge w:val="continue"/>
          </w:tcPr>
          <w:p>
            <w:pPr>
              <w:spacing w:after="0"/>
              <w:rPr>
                <w:sz w:val="9"/>
                <w:szCs w:val="9"/>
                <w:color w:val="auto"/>
              </w:rPr>
            </w:pPr>
          </w:p>
        </w:tc>
        <w:tc>
          <w:tcPr>
            <w:tcW w:w="2540" w:type="dxa"/>
            <w:vAlign w:val="bottom"/>
            <w:vMerge w:val="restart"/>
          </w:tcPr>
          <w:p>
            <w:pPr>
              <w:jc w:val="center"/>
              <w:spacing w:after="0"/>
              <w:rPr>
                <w:sz w:val="20"/>
                <w:szCs w:val="20"/>
                <w:color w:val="auto"/>
              </w:rPr>
            </w:pPr>
            <w:r>
              <w:rPr>
                <w:rFonts w:ascii="Arial" w:cs="Arial" w:eastAsia="Arial" w:hAnsi="Arial"/>
                <w:sz w:val="14"/>
                <w:szCs w:val="14"/>
                <w:color w:val="auto"/>
              </w:rPr>
              <w:t>&gt;18 other approvals</w:t>
            </w:r>
          </w:p>
        </w:tc>
        <w:tc>
          <w:tcPr>
            <w:tcW w:w="2580" w:type="dxa"/>
            <w:vAlign w:val="bottom"/>
            <w:vMerge w:val="restart"/>
          </w:tcPr>
          <w:p>
            <w:pPr>
              <w:jc w:val="center"/>
              <w:spacing w:after="0"/>
              <w:rPr>
                <w:sz w:val="20"/>
                <w:szCs w:val="20"/>
                <w:color w:val="auto"/>
              </w:rPr>
            </w:pPr>
            <w:r>
              <w:rPr>
                <w:rFonts w:ascii="Arial" w:cs="Arial" w:eastAsia="Arial" w:hAnsi="Arial"/>
                <w:sz w:val="14"/>
                <w:szCs w:val="14"/>
                <w:color w:val="auto"/>
              </w:rPr>
              <w:t>30 other approvals</w:t>
            </w:r>
          </w:p>
        </w:tc>
        <w:tc>
          <w:tcPr>
            <w:tcW w:w="0" w:type="dxa"/>
            <w:vAlign w:val="bottom"/>
          </w:tcPr>
          <w:p>
            <w:pPr>
              <w:spacing w:after="0"/>
              <w:rPr>
                <w:sz w:val="1"/>
                <w:szCs w:val="1"/>
                <w:color w:val="auto"/>
              </w:rPr>
            </w:pPr>
          </w:p>
        </w:tc>
      </w:tr>
      <w:tr>
        <w:trPr>
          <w:trHeight w:val="81"/>
        </w:trPr>
        <w:tc>
          <w:tcPr>
            <w:tcW w:w="3960" w:type="dxa"/>
            <w:vAlign w:val="bottom"/>
          </w:tcPr>
          <w:p>
            <w:pPr>
              <w:spacing w:after="0"/>
              <w:rPr>
                <w:sz w:val="7"/>
                <w:szCs w:val="7"/>
                <w:color w:val="auto"/>
              </w:rPr>
            </w:pPr>
          </w:p>
        </w:tc>
        <w:tc>
          <w:tcPr>
            <w:tcW w:w="2540" w:type="dxa"/>
            <w:vAlign w:val="bottom"/>
            <w:vMerge w:val="continue"/>
          </w:tcPr>
          <w:p>
            <w:pPr>
              <w:spacing w:after="0"/>
              <w:rPr>
                <w:sz w:val="7"/>
                <w:szCs w:val="7"/>
                <w:color w:val="auto"/>
              </w:rPr>
            </w:pPr>
          </w:p>
        </w:tc>
        <w:tc>
          <w:tcPr>
            <w:tcW w:w="2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3960" w:type="dxa"/>
            <w:vAlign w:val="bottom"/>
            <w:tcBorders>
              <w:bottom w:val="single" w:sz="8" w:color="C8C9CB"/>
            </w:tcBorders>
          </w:tcPr>
          <w:p>
            <w:pPr>
              <w:spacing w:after="0"/>
              <w:rPr>
                <w:sz w:val="3"/>
                <w:szCs w:val="3"/>
                <w:color w:val="auto"/>
              </w:rPr>
            </w:pPr>
          </w:p>
        </w:tc>
        <w:tc>
          <w:tcPr>
            <w:tcW w:w="2540" w:type="dxa"/>
            <w:vAlign w:val="bottom"/>
            <w:tcBorders>
              <w:bottom w:val="single" w:sz="8" w:color="C8C9CB"/>
            </w:tcBorders>
          </w:tcPr>
          <w:p>
            <w:pPr>
              <w:spacing w:after="0"/>
              <w:rPr>
                <w:sz w:val="3"/>
                <w:szCs w:val="3"/>
                <w:color w:val="auto"/>
              </w:rPr>
            </w:pPr>
          </w:p>
        </w:tc>
        <w:tc>
          <w:tcPr>
            <w:tcW w:w="2580" w:type="dxa"/>
            <w:vAlign w:val="bottom"/>
            <w:tcBorders>
              <w:bottom w:val="single" w:sz="8" w:color="C8C9CB"/>
            </w:tcBorders>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3960" w:type="dxa"/>
            <w:vAlign w:val="bottom"/>
            <w:shd w:val="clear" w:color="auto" w:fill="E6E6E6"/>
          </w:tcPr>
          <w:p>
            <w:pPr>
              <w:ind w:left="20"/>
              <w:spacing w:after="0"/>
              <w:rPr>
                <w:sz w:val="20"/>
                <w:szCs w:val="20"/>
                <w:color w:val="auto"/>
              </w:rPr>
            </w:pPr>
            <w:r>
              <w:rPr>
                <w:rFonts w:ascii="Arial" w:cs="Arial" w:eastAsia="Arial" w:hAnsi="Arial"/>
                <w:sz w:val="14"/>
                <w:szCs w:val="14"/>
                <w:color w:val="auto"/>
              </w:rPr>
              <w:t>Potential new drug Phase III starts</w:t>
            </w:r>
          </w:p>
        </w:tc>
        <w:tc>
          <w:tcPr>
            <w:tcW w:w="2540" w:type="dxa"/>
            <w:vAlign w:val="bottom"/>
            <w:shd w:val="clear" w:color="auto" w:fill="E6E6E6"/>
          </w:tcPr>
          <w:p>
            <w:pPr>
              <w:jc w:val="center"/>
              <w:spacing w:after="0"/>
              <w:rPr>
                <w:sz w:val="20"/>
                <w:szCs w:val="20"/>
                <w:color w:val="auto"/>
              </w:rPr>
            </w:pPr>
            <w:r>
              <w:rPr>
                <w:rFonts w:ascii="Arial" w:cs="Arial" w:eastAsia="Arial" w:hAnsi="Arial"/>
                <w:sz w:val="14"/>
                <w:szCs w:val="14"/>
                <w:color w:val="auto"/>
              </w:rPr>
              <w:t>3</w:t>
            </w:r>
          </w:p>
        </w:tc>
        <w:tc>
          <w:tcPr>
            <w:tcW w:w="2580" w:type="dxa"/>
            <w:vAlign w:val="bottom"/>
            <w:shd w:val="clear" w:color="auto" w:fill="E6E6E6"/>
          </w:tcPr>
          <w:p>
            <w:pPr>
              <w:jc w:val="center"/>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16"/>
        </w:trPr>
        <w:tc>
          <w:tcPr>
            <w:tcW w:w="3960" w:type="dxa"/>
            <w:vAlign w:val="bottom"/>
            <w:tcBorders>
              <w:bottom w:val="single" w:sz="8" w:color="C8C9CB"/>
            </w:tcBorders>
            <w:shd w:val="clear" w:color="auto" w:fill="E6E6E6"/>
          </w:tcPr>
          <w:p>
            <w:pPr>
              <w:spacing w:after="0"/>
              <w:rPr>
                <w:sz w:val="10"/>
                <w:szCs w:val="10"/>
                <w:color w:val="auto"/>
              </w:rPr>
            </w:pPr>
          </w:p>
        </w:tc>
        <w:tc>
          <w:tcPr>
            <w:tcW w:w="2540" w:type="dxa"/>
            <w:vAlign w:val="bottom"/>
            <w:tcBorders>
              <w:bottom w:val="single" w:sz="8" w:color="C8C9CB"/>
            </w:tcBorders>
            <w:shd w:val="clear" w:color="auto" w:fill="E6E6E6"/>
          </w:tcPr>
          <w:p>
            <w:pPr>
              <w:spacing w:after="0"/>
              <w:rPr>
                <w:sz w:val="10"/>
                <w:szCs w:val="10"/>
                <w:color w:val="auto"/>
              </w:rPr>
            </w:pPr>
          </w:p>
        </w:tc>
        <w:tc>
          <w:tcPr>
            <w:tcW w:w="2580" w:type="dxa"/>
            <w:vAlign w:val="bottom"/>
            <w:tcBorders>
              <w:bottom w:val="single" w:sz="8" w:color="C8C9CB"/>
            </w:tcBorders>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296"/>
        </w:trPr>
        <w:tc>
          <w:tcPr>
            <w:tcW w:w="3960" w:type="dxa"/>
            <w:vAlign w:val="bottom"/>
          </w:tcPr>
          <w:p>
            <w:pPr>
              <w:ind w:left="20"/>
              <w:spacing w:after="0"/>
              <w:rPr>
                <w:sz w:val="20"/>
                <w:szCs w:val="20"/>
                <w:color w:val="auto"/>
              </w:rPr>
            </w:pPr>
            <w:r>
              <w:rPr>
                <w:rFonts w:ascii="Arial" w:cs="Arial" w:eastAsia="Arial" w:hAnsi="Arial"/>
                <w:sz w:val="14"/>
                <w:szCs w:val="14"/>
                <w:color w:val="auto"/>
              </w:rPr>
              <w:t>Potential new drug Phase I starts</w:t>
            </w:r>
          </w:p>
        </w:tc>
        <w:tc>
          <w:tcPr>
            <w:tcW w:w="2540" w:type="dxa"/>
            <w:vAlign w:val="bottom"/>
          </w:tcPr>
          <w:p>
            <w:pPr>
              <w:jc w:val="center"/>
              <w:spacing w:after="0"/>
              <w:rPr>
                <w:sz w:val="20"/>
                <w:szCs w:val="20"/>
                <w:color w:val="auto"/>
              </w:rPr>
            </w:pPr>
            <w:r>
              <w:rPr>
                <w:rFonts w:ascii="Arial" w:cs="Arial" w:eastAsia="Arial" w:hAnsi="Arial"/>
                <w:sz w:val="14"/>
                <w:szCs w:val="14"/>
                <w:color w:val="auto"/>
              </w:rPr>
              <w:t>16-17</w:t>
            </w:r>
          </w:p>
        </w:tc>
        <w:tc>
          <w:tcPr>
            <w:tcW w:w="2580" w:type="dxa"/>
            <w:vAlign w:val="bottom"/>
          </w:tcPr>
          <w:p>
            <w:pPr>
              <w:jc w:val="center"/>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16"/>
        </w:trPr>
        <w:tc>
          <w:tcPr>
            <w:tcW w:w="3960" w:type="dxa"/>
            <w:vAlign w:val="bottom"/>
            <w:tcBorders>
              <w:bottom w:val="single" w:sz="8" w:color="C8C9CB"/>
            </w:tcBorders>
          </w:tcPr>
          <w:p>
            <w:pPr>
              <w:spacing w:after="0"/>
              <w:rPr>
                <w:sz w:val="10"/>
                <w:szCs w:val="10"/>
                <w:color w:val="auto"/>
              </w:rPr>
            </w:pPr>
          </w:p>
        </w:tc>
        <w:tc>
          <w:tcPr>
            <w:tcW w:w="2540" w:type="dxa"/>
            <w:vAlign w:val="bottom"/>
            <w:tcBorders>
              <w:bottom w:val="single" w:sz="8" w:color="C8C9CB"/>
            </w:tcBorders>
          </w:tcPr>
          <w:p>
            <w:pPr>
              <w:spacing w:after="0"/>
              <w:rPr>
                <w:sz w:val="10"/>
                <w:szCs w:val="10"/>
                <w:color w:val="auto"/>
              </w:rPr>
            </w:pPr>
          </w:p>
        </w:tc>
        <w:tc>
          <w:tcPr>
            <w:tcW w:w="2580" w:type="dxa"/>
            <w:vAlign w:val="bottom"/>
            <w:tcBorders>
              <w:bottom w:val="single" w:sz="8" w:color="C8C9CB"/>
            </w:tcBorders>
          </w:tcPr>
          <w:p>
            <w:pPr>
              <w:spacing w:after="0"/>
              <w:rPr>
                <w:sz w:val="10"/>
                <w:szCs w:val="10"/>
                <w:color w:val="auto"/>
              </w:rPr>
            </w:pPr>
          </w:p>
        </w:tc>
        <w:tc>
          <w:tcPr>
            <w:tcW w:w="0" w:type="dxa"/>
            <w:vAlign w:val="bottom"/>
          </w:tcPr>
          <w:p>
            <w:pPr>
              <w:spacing w:after="0"/>
              <w:rPr>
                <w:sz w:val="1"/>
                <w:szCs w:val="1"/>
                <w:color w:val="auto"/>
              </w:rPr>
            </w:pPr>
          </w:p>
        </w:tc>
      </w:tr>
      <w:tr>
        <w:trPr>
          <w:trHeight w:val="296"/>
        </w:trPr>
        <w:tc>
          <w:tcPr>
            <w:tcW w:w="3960" w:type="dxa"/>
            <w:vAlign w:val="bottom"/>
            <w:shd w:val="clear" w:color="auto" w:fill="E6E6E6"/>
          </w:tcPr>
          <w:p>
            <w:pPr>
              <w:ind w:left="20"/>
              <w:spacing w:after="0"/>
              <w:rPr>
                <w:sz w:val="20"/>
                <w:szCs w:val="20"/>
                <w:color w:val="auto"/>
              </w:rPr>
            </w:pPr>
            <w:r>
              <w:rPr>
                <w:rFonts w:ascii="Arial" w:cs="Arial" w:eastAsia="Arial" w:hAnsi="Arial"/>
                <w:sz w:val="14"/>
                <w:szCs w:val="14"/>
                <w:color w:val="auto"/>
              </w:rPr>
              <w:t>Potential new indication or line extension Phase III starts</w:t>
            </w:r>
          </w:p>
        </w:tc>
        <w:tc>
          <w:tcPr>
            <w:tcW w:w="2540" w:type="dxa"/>
            <w:vAlign w:val="bottom"/>
            <w:shd w:val="clear" w:color="auto" w:fill="E6E6E6"/>
          </w:tcPr>
          <w:p>
            <w:pPr>
              <w:jc w:val="center"/>
              <w:spacing w:after="0"/>
              <w:rPr>
                <w:sz w:val="20"/>
                <w:szCs w:val="20"/>
                <w:color w:val="auto"/>
              </w:rPr>
            </w:pPr>
            <w:r>
              <w:rPr>
                <w:rFonts w:ascii="Arial" w:cs="Arial" w:eastAsia="Arial" w:hAnsi="Arial"/>
                <w:sz w:val="14"/>
                <w:szCs w:val="14"/>
                <w:color w:val="auto"/>
              </w:rPr>
              <w:t>5</w:t>
            </w:r>
          </w:p>
        </w:tc>
        <w:tc>
          <w:tcPr>
            <w:tcW w:w="2580" w:type="dxa"/>
            <w:vAlign w:val="bottom"/>
            <w:shd w:val="clear" w:color="auto" w:fill="E6E6E6"/>
          </w:tcPr>
          <w:p>
            <w:pPr>
              <w:jc w:val="center"/>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16"/>
        </w:trPr>
        <w:tc>
          <w:tcPr>
            <w:tcW w:w="3960" w:type="dxa"/>
            <w:vAlign w:val="bottom"/>
            <w:tcBorders>
              <w:bottom w:val="single" w:sz="8" w:color="C8C9CB"/>
            </w:tcBorders>
            <w:shd w:val="clear" w:color="auto" w:fill="E6E6E6"/>
          </w:tcPr>
          <w:p>
            <w:pPr>
              <w:spacing w:after="0"/>
              <w:rPr>
                <w:sz w:val="10"/>
                <w:szCs w:val="10"/>
                <w:color w:val="auto"/>
              </w:rPr>
            </w:pPr>
          </w:p>
        </w:tc>
        <w:tc>
          <w:tcPr>
            <w:tcW w:w="5120" w:type="dxa"/>
            <w:vAlign w:val="bottom"/>
            <w:tcBorders>
              <w:bottom w:val="single" w:sz="8" w:color="C8C9CB"/>
            </w:tcBorders>
            <w:gridSpan w:val="2"/>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3960" w:type="dxa"/>
            <w:vAlign w:val="bottom"/>
            <w:vMerge w:val="restart"/>
          </w:tcPr>
          <w:p>
            <w:pPr>
              <w:ind w:left="20"/>
              <w:spacing w:after="0"/>
              <w:rPr>
                <w:sz w:val="20"/>
                <w:szCs w:val="20"/>
                <w:color w:val="auto"/>
              </w:rPr>
            </w:pPr>
            <w:r>
              <w:rPr>
                <w:rFonts w:ascii="Arial" w:cs="Arial" w:eastAsia="Arial" w:hAnsi="Arial"/>
                <w:sz w:val="14"/>
                <w:szCs w:val="14"/>
                <w:color w:val="auto"/>
              </w:rPr>
              <w:t>Plan Boldly</w:t>
            </w:r>
          </w:p>
        </w:tc>
        <w:tc>
          <w:tcPr>
            <w:tcW w:w="5120" w:type="dxa"/>
            <w:vAlign w:val="bottom"/>
            <w:gridSpan w:val="2"/>
          </w:tcPr>
          <w:p>
            <w:pPr>
              <w:jc w:val="center"/>
              <w:spacing w:after="0"/>
              <w:rPr>
                <w:sz w:val="20"/>
                <w:szCs w:val="20"/>
                <w:color w:val="auto"/>
              </w:rPr>
            </w:pPr>
            <w:r>
              <w:rPr>
                <w:rFonts w:ascii="Arial" w:cs="Arial" w:eastAsia="Arial" w:hAnsi="Arial"/>
                <w:sz w:val="14"/>
                <w:szCs w:val="14"/>
                <w:color w:val="auto"/>
              </w:rPr>
              <w:t>Meet industry benchmark for speed of Exceeded industry benchmark for speed</w:t>
            </w:r>
          </w:p>
        </w:tc>
        <w:tc>
          <w:tcPr>
            <w:tcW w:w="0" w:type="dxa"/>
            <w:vAlign w:val="bottom"/>
          </w:tcPr>
          <w:p>
            <w:pPr>
              <w:spacing w:after="0"/>
              <w:rPr>
                <w:sz w:val="1"/>
                <w:szCs w:val="1"/>
                <w:color w:val="auto"/>
              </w:rPr>
            </w:pPr>
          </w:p>
        </w:tc>
      </w:tr>
      <w:tr>
        <w:trPr>
          <w:trHeight w:val="109"/>
        </w:trPr>
        <w:tc>
          <w:tcPr>
            <w:tcW w:w="3960" w:type="dxa"/>
            <w:vAlign w:val="bottom"/>
            <w:vMerge w:val="continue"/>
          </w:tcPr>
          <w:p>
            <w:pPr>
              <w:spacing w:after="0"/>
              <w:rPr>
                <w:sz w:val="9"/>
                <w:szCs w:val="9"/>
                <w:color w:val="auto"/>
              </w:rPr>
            </w:pPr>
          </w:p>
        </w:tc>
        <w:tc>
          <w:tcPr>
            <w:tcW w:w="2540" w:type="dxa"/>
            <w:vAlign w:val="bottom"/>
            <w:vMerge w:val="restart"/>
          </w:tcPr>
          <w:p>
            <w:pPr>
              <w:jc w:val="center"/>
              <w:spacing w:after="0"/>
              <w:rPr>
                <w:sz w:val="20"/>
                <w:szCs w:val="20"/>
                <w:color w:val="auto"/>
              </w:rPr>
            </w:pPr>
            <w:r>
              <w:rPr>
                <w:rFonts w:ascii="Arial" w:cs="Arial" w:eastAsia="Arial" w:hAnsi="Arial"/>
                <w:sz w:val="14"/>
                <w:szCs w:val="14"/>
                <w:color w:val="auto"/>
              </w:rPr>
              <w:t>development</w:t>
            </w:r>
          </w:p>
        </w:tc>
        <w:tc>
          <w:tcPr>
            <w:tcW w:w="2580" w:type="dxa"/>
            <w:vAlign w:val="bottom"/>
            <w:vMerge w:val="restart"/>
          </w:tcPr>
          <w:p>
            <w:pPr>
              <w:jc w:val="center"/>
              <w:spacing w:after="0"/>
              <w:rPr>
                <w:sz w:val="20"/>
                <w:szCs w:val="20"/>
                <w:color w:val="auto"/>
              </w:rPr>
            </w:pPr>
            <w:r>
              <w:rPr>
                <w:rFonts w:ascii="Arial" w:cs="Arial" w:eastAsia="Arial" w:hAnsi="Arial"/>
                <w:sz w:val="14"/>
                <w:szCs w:val="14"/>
                <w:color w:val="auto"/>
              </w:rPr>
              <w:t>of development</w:t>
            </w:r>
          </w:p>
        </w:tc>
        <w:tc>
          <w:tcPr>
            <w:tcW w:w="0" w:type="dxa"/>
            <w:vAlign w:val="bottom"/>
          </w:tcPr>
          <w:p>
            <w:pPr>
              <w:spacing w:after="0"/>
              <w:rPr>
                <w:sz w:val="1"/>
                <w:szCs w:val="1"/>
                <w:color w:val="auto"/>
              </w:rPr>
            </w:pPr>
          </w:p>
        </w:tc>
      </w:tr>
      <w:tr>
        <w:trPr>
          <w:trHeight w:val="81"/>
        </w:trPr>
        <w:tc>
          <w:tcPr>
            <w:tcW w:w="3960" w:type="dxa"/>
            <w:vAlign w:val="bottom"/>
          </w:tcPr>
          <w:p>
            <w:pPr>
              <w:spacing w:after="0"/>
              <w:rPr>
                <w:sz w:val="7"/>
                <w:szCs w:val="7"/>
                <w:color w:val="auto"/>
              </w:rPr>
            </w:pPr>
          </w:p>
        </w:tc>
        <w:tc>
          <w:tcPr>
            <w:tcW w:w="2540" w:type="dxa"/>
            <w:vAlign w:val="bottom"/>
            <w:vMerge w:val="continue"/>
          </w:tcPr>
          <w:p>
            <w:pPr>
              <w:spacing w:after="0"/>
              <w:rPr>
                <w:sz w:val="7"/>
                <w:szCs w:val="7"/>
                <w:color w:val="auto"/>
              </w:rPr>
            </w:pPr>
          </w:p>
        </w:tc>
        <w:tc>
          <w:tcPr>
            <w:tcW w:w="2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3960" w:type="dxa"/>
            <w:vAlign w:val="bottom"/>
            <w:tcBorders>
              <w:bottom w:val="single" w:sz="8" w:color="C8C9CB"/>
            </w:tcBorders>
          </w:tcPr>
          <w:p>
            <w:pPr>
              <w:spacing w:after="0"/>
              <w:rPr>
                <w:sz w:val="3"/>
                <w:szCs w:val="3"/>
                <w:color w:val="auto"/>
              </w:rPr>
            </w:pPr>
          </w:p>
        </w:tc>
        <w:tc>
          <w:tcPr>
            <w:tcW w:w="2540" w:type="dxa"/>
            <w:vAlign w:val="bottom"/>
            <w:tcBorders>
              <w:bottom w:val="single" w:sz="8" w:color="C8C9CB"/>
            </w:tcBorders>
          </w:tcPr>
          <w:p>
            <w:pPr>
              <w:spacing w:after="0"/>
              <w:rPr>
                <w:sz w:val="3"/>
                <w:szCs w:val="3"/>
                <w:color w:val="auto"/>
              </w:rPr>
            </w:pPr>
          </w:p>
        </w:tc>
        <w:tc>
          <w:tcPr>
            <w:tcW w:w="2580" w:type="dxa"/>
            <w:vAlign w:val="bottom"/>
            <w:tcBorders>
              <w:bottom w:val="single" w:sz="8" w:color="C8C9CB"/>
            </w:tcBorders>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3960" w:type="dxa"/>
            <w:vAlign w:val="bottom"/>
            <w:shd w:val="clear" w:color="auto" w:fill="E6E6E6"/>
          </w:tcPr>
          <w:p>
            <w:pPr>
              <w:ind w:left="20"/>
              <w:spacing w:after="0"/>
              <w:rPr>
                <w:sz w:val="20"/>
                <w:szCs w:val="20"/>
                <w:color w:val="auto"/>
              </w:rPr>
            </w:pPr>
            <w:r>
              <w:rPr>
                <w:rFonts w:ascii="Arial" w:cs="Arial" w:eastAsia="Arial" w:hAnsi="Arial"/>
                <w:sz w:val="14"/>
                <w:szCs w:val="14"/>
                <w:color w:val="auto"/>
              </w:rPr>
              <w:t>Deliver to Launch</w:t>
            </w:r>
          </w:p>
        </w:tc>
        <w:tc>
          <w:tcPr>
            <w:tcW w:w="2540" w:type="dxa"/>
            <w:vAlign w:val="bottom"/>
            <w:shd w:val="clear" w:color="auto" w:fill="E6E6E6"/>
          </w:tcPr>
          <w:p>
            <w:pPr>
              <w:jc w:val="center"/>
              <w:spacing w:after="0"/>
              <w:rPr>
                <w:sz w:val="20"/>
                <w:szCs w:val="20"/>
                <w:color w:val="auto"/>
              </w:rPr>
            </w:pPr>
            <w:r>
              <w:rPr>
                <w:rFonts w:ascii="Arial" w:cs="Arial" w:eastAsia="Arial" w:hAnsi="Arial"/>
                <w:sz w:val="14"/>
                <w:szCs w:val="14"/>
                <w:color w:val="auto"/>
              </w:rPr>
              <w:t>Meet planned project timelines</w:t>
            </w:r>
          </w:p>
        </w:tc>
        <w:tc>
          <w:tcPr>
            <w:tcW w:w="2580" w:type="dxa"/>
            <w:vAlign w:val="bottom"/>
            <w:shd w:val="clear" w:color="auto" w:fill="E6E6E6"/>
          </w:tcPr>
          <w:p>
            <w:pPr>
              <w:jc w:val="center"/>
              <w:spacing w:after="0"/>
              <w:rPr>
                <w:sz w:val="20"/>
                <w:szCs w:val="20"/>
                <w:color w:val="auto"/>
              </w:rPr>
            </w:pPr>
            <w:r>
              <w:rPr>
                <w:rFonts w:ascii="Arial" w:cs="Arial" w:eastAsia="Arial" w:hAnsi="Arial"/>
                <w:sz w:val="14"/>
                <w:szCs w:val="14"/>
                <w:color w:val="auto"/>
              </w:rPr>
              <w:t>Met planned project timelines</w:t>
            </w:r>
          </w:p>
        </w:tc>
        <w:tc>
          <w:tcPr>
            <w:tcW w:w="0" w:type="dxa"/>
            <w:vAlign w:val="bottom"/>
          </w:tcPr>
          <w:p>
            <w:pPr>
              <w:spacing w:after="0"/>
              <w:rPr>
                <w:sz w:val="1"/>
                <w:szCs w:val="1"/>
                <w:color w:val="auto"/>
              </w:rPr>
            </w:pPr>
          </w:p>
        </w:tc>
      </w:tr>
      <w:tr>
        <w:trPr>
          <w:trHeight w:val="116"/>
        </w:trPr>
        <w:tc>
          <w:tcPr>
            <w:tcW w:w="3960" w:type="dxa"/>
            <w:vAlign w:val="bottom"/>
            <w:tcBorders>
              <w:bottom w:val="single" w:sz="8" w:color="C8C9CB"/>
            </w:tcBorders>
            <w:shd w:val="clear" w:color="auto" w:fill="E6E6E6"/>
          </w:tcPr>
          <w:p>
            <w:pPr>
              <w:spacing w:after="0"/>
              <w:rPr>
                <w:sz w:val="10"/>
                <w:szCs w:val="10"/>
                <w:color w:val="auto"/>
              </w:rPr>
            </w:pPr>
          </w:p>
        </w:tc>
        <w:tc>
          <w:tcPr>
            <w:tcW w:w="5120" w:type="dxa"/>
            <w:vAlign w:val="bottom"/>
            <w:tcBorders>
              <w:bottom w:val="single" w:sz="8" w:color="C8C9CB"/>
            </w:tcBorders>
            <w:gridSpan w:val="2"/>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3960" w:type="dxa"/>
            <w:vAlign w:val="bottom"/>
            <w:vMerge w:val="restart"/>
          </w:tcPr>
          <w:p>
            <w:pPr>
              <w:ind w:left="20"/>
              <w:spacing w:after="0"/>
              <w:rPr>
                <w:sz w:val="20"/>
                <w:szCs w:val="20"/>
                <w:color w:val="auto"/>
              </w:rPr>
            </w:pPr>
            <w:r>
              <w:rPr>
                <w:rFonts w:ascii="Arial" w:cs="Arial" w:eastAsia="Arial" w:hAnsi="Arial"/>
                <w:sz w:val="14"/>
                <w:szCs w:val="14"/>
                <w:color w:val="auto"/>
              </w:rPr>
              <w:t>Qualitative Assessment</w:t>
            </w:r>
          </w:p>
        </w:tc>
        <w:tc>
          <w:tcPr>
            <w:tcW w:w="5120" w:type="dxa"/>
            <w:vAlign w:val="bottom"/>
            <w:gridSpan w:val="2"/>
          </w:tcPr>
          <w:p>
            <w:pPr>
              <w:jc w:val="center"/>
              <w:spacing w:after="0"/>
              <w:rPr>
                <w:sz w:val="20"/>
                <w:szCs w:val="20"/>
                <w:color w:val="auto"/>
              </w:rPr>
            </w:pPr>
            <w:r>
              <w:rPr>
                <w:rFonts w:ascii="Arial" w:cs="Arial" w:eastAsia="Arial" w:hAnsi="Arial"/>
                <w:sz w:val="14"/>
                <w:szCs w:val="14"/>
                <w:color w:val="auto"/>
              </w:rPr>
              <w:t>Assessment of the chief scientific and medical officer’s evaluation of</w:t>
            </w:r>
          </w:p>
        </w:tc>
        <w:tc>
          <w:tcPr>
            <w:tcW w:w="0" w:type="dxa"/>
            <w:vAlign w:val="bottom"/>
          </w:tcPr>
          <w:p>
            <w:pPr>
              <w:spacing w:after="0"/>
              <w:rPr>
                <w:sz w:val="1"/>
                <w:szCs w:val="1"/>
                <w:color w:val="auto"/>
              </w:rPr>
            </w:pPr>
          </w:p>
        </w:tc>
      </w:tr>
      <w:tr>
        <w:trPr>
          <w:trHeight w:val="109"/>
        </w:trPr>
        <w:tc>
          <w:tcPr>
            <w:tcW w:w="3960" w:type="dxa"/>
            <w:vAlign w:val="bottom"/>
            <w:vMerge w:val="continue"/>
          </w:tcPr>
          <w:p>
            <w:pPr>
              <w:spacing w:after="0"/>
              <w:rPr>
                <w:sz w:val="9"/>
                <w:szCs w:val="9"/>
                <w:color w:val="auto"/>
              </w:rPr>
            </w:pPr>
          </w:p>
        </w:tc>
        <w:tc>
          <w:tcPr>
            <w:tcW w:w="5120" w:type="dxa"/>
            <w:vAlign w:val="bottom"/>
            <w:gridSpan w:val="2"/>
            <w:vMerge w:val="restart"/>
          </w:tcPr>
          <w:p>
            <w:pPr>
              <w:jc w:val="center"/>
              <w:spacing w:after="0"/>
              <w:rPr>
                <w:sz w:val="20"/>
                <w:szCs w:val="20"/>
                <w:color w:val="auto"/>
              </w:rPr>
            </w:pPr>
            <w:r>
              <w:rPr>
                <w:rFonts w:ascii="Arial" w:cs="Arial" w:eastAsia="Arial" w:hAnsi="Arial"/>
                <w:sz w:val="14"/>
                <w:szCs w:val="14"/>
                <w:color w:val="auto"/>
              </w:rPr>
              <w:t>performance against strategic objectives</w:t>
            </w:r>
          </w:p>
        </w:tc>
        <w:tc>
          <w:tcPr>
            <w:tcW w:w="0" w:type="dxa"/>
            <w:vAlign w:val="bottom"/>
          </w:tcPr>
          <w:p>
            <w:pPr>
              <w:spacing w:after="0"/>
              <w:rPr>
                <w:sz w:val="1"/>
                <w:szCs w:val="1"/>
                <w:color w:val="auto"/>
              </w:rPr>
            </w:pPr>
          </w:p>
        </w:tc>
      </w:tr>
      <w:tr>
        <w:trPr>
          <w:trHeight w:val="81"/>
        </w:trPr>
        <w:tc>
          <w:tcPr>
            <w:tcW w:w="3960" w:type="dxa"/>
            <w:vAlign w:val="bottom"/>
          </w:tcPr>
          <w:p>
            <w:pPr>
              <w:spacing w:after="0"/>
              <w:rPr>
                <w:sz w:val="7"/>
                <w:szCs w:val="7"/>
                <w:color w:val="auto"/>
              </w:rPr>
            </w:pPr>
          </w:p>
        </w:tc>
        <w:tc>
          <w:tcPr>
            <w:tcW w:w="51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3960" w:type="dxa"/>
            <w:vAlign w:val="bottom"/>
            <w:tcBorders>
              <w:bottom w:val="single" w:sz="8" w:color="DBDBDB"/>
            </w:tcBorders>
          </w:tcPr>
          <w:p>
            <w:pPr>
              <w:spacing w:after="0"/>
              <w:rPr>
                <w:sz w:val="3"/>
                <w:szCs w:val="3"/>
                <w:color w:val="auto"/>
              </w:rPr>
            </w:pPr>
          </w:p>
        </w:tc>
        <w:tc>
          <w:tcPr>
            <w:tcW w:w="5120" w:type="dxa"/>
            <w:vAlign w:val="bottom"/>
            <w:tcBorders>
              <w:bottom w:val="single" w:sz="8" w:color="C8C9CB"/>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3960" w:type="dxa"/>
            <w:vAlign w:val="bottom"/>
            <w:shd w:val="clear" w:color="auto" w:fill="DBDBDB"/>
          </w:tcPr>
          <w:p>
            <w:pPr>
              <w:ind w:left="20"/>
              <w:spacing w:after="0"/>
              <w:rPr>
                <w:sz w:val="20"/>
                <w:szCs w:val="20"/>
                <w:color w:val="auto"/>
              </w:rPr>
            </w:pPr>
            <w:r>
              <w:rPr>
                <w:rFonts w:ascii="Arial" w:cs="Arial" w:eastAsia="Arial" w:hAnsi="Arial"/>
                <w:sz w:val="14"/>
                <w:szCs w:val="14"/>
                <w:color w:val="auto"/>
              </w:rPr>
              <w:t>Game Changer Event</w:t>
            </w:r>
            <w:r>
              <w:rPr>
                <w:rFonts w:ascii="Arial" w:cs="Arial" w:eastAsia="Arial" w:hAnsi="Arial"/>
                <w:sz w:val="18"/>
                <w:szCs w:val="18"/>
                <w:color w:val="auto"/>
                <w:vertAlign w:val="superscript"/>
              </w:rPr>
              <w:t>1</w:t>
            </w:r>
          </w:p>
        </w:tc>
        <w:tc>
          <w:tcPr>
            <w:tcW w:w="5120" w:type="dxa"/>
            <w:vAlign w:val="bottom"/>
            <w:gridSpan w:val="2"/>
            <w:shd w:val="clear" w:color="auto" w:fill="DBDBDB"/>
          </w:tcPr>
          <w:p>
            <w:pPr>
              <w:jc w:val="center"/>
              <w:spacing w:after="0"/>
              <w:rPr>
                <w:sz w:val="20"/>
                <w:szCs w:val="20"/>
                <w:color w:val="auto"/>
              </w:rPr>
            </w:pPr>
            <w:r>
              <w:rPr>
                <w:rFonts w:ascii="Arial" w:cs="Arial" w:eastAsia="Arial" w:hAnsi="Arial"/>
                <w:sz w:val="14"/>
                <w:szCs w:val="14"/>
                <w:color w:val="auto"/>
              </w:rPr>
              <w:t>Assessment by the Science and Technology Committee of the Board regarding</w:t>
            </w:r>
          </w:p>
        </w:tc>
        <w:tc>
          <w:tcPr>
            <w:tcW w:w="0" w:type="dxa"/>
            <w:vAlign w:val="bottom"/>
          </w:tcPr>
          <w:p>
            <w:pPr>
              <w:spacing w:after="0"/>
              <w:rPr>
                <w:sz w:val="1"/>
                <w:szCs w:val="1"/>
                <w:color w:val="auto"/>
              </w:rPr>
            </w:pPr>
          </w:p>
        </w:tc>
      </w:tr>
      <w:tr>
        <w:trPr>
          <w:trHeight w:val="190"/>
        </w:trPr>
        <w:tc>
          <w:tcPr>
            <w:tcW w:w="3960" w:type="dxa"/>
            <w:vAlign w:val="bottom"/>
            <w:shd w:val="clear" w:color="auto" w:fill="DBDBDB"/>
          </w:tcPr>
          <w:p>
            <w:pPr>
              <w:spacing w:after="0"/>
              <w:rPr>
                <w:sz w:val="16"/>
                <w:szCs w:val="16"/>
                <w:color w:val="auto"/>
              </w:rPr>
            </w:pPr>
          </w:p>
        </w:tc>
        <w:tc>
          <w:tcPr>
            <w:tcW w:w="5120" w:type="dxa"/>
            <w:vAlign w:val="bottom"/>
            <w:gridSpan w:val="2"/>
            <w:shd w:val="clear" w:color="auto" w:fill="DBDBDB"/>
          </w:tcPr>
          <w:p>
            <w:pPr>
              <w:jc w:val="center"/>
              <w:spacing w:after="0"/>
              <w:rPr>
                <w:sz w:val="20"/>
                <w:szCs w:val="20"/>
                <w:color w:val="auto"/>
              </w:rPr>
            </w:pPr>
            <w:r>
              <w:rPr>
                <w:rFonts w:ascii="Arial" w:cs="Arial" w:eastAsia="Arial" w:hAnsi="Arial"/>
                <w:sz w:val="14"/>
                <w:szCs w:val="14"/>
                <w:color w:val="auto"/>
              </w:rPr>
              <w:t>significant scientific events</w:t>
            </w:r>
          </w:p>
        </w:tc>
        <w:tc>
          <w:tcPr>
            <w:tcW w:w="0" w:type="dxa"/>
            <w:vAlign w:val="bottom"/>
          </w:tcPr>
          <w:p>
            <w:pPr>
              <w:spacing w:after="0"/>
              <w:rPr>
                <w:sz w:val="1"/>
                <w:szCs w:val="1"/>
                <w:color w:val="auto"/>
              </w:rPr>
            </w:pPr>
          </w:p>
        </w:tc>
      </w:tr>
      <w:tr>
        <w:trPr>
          <w:trHeight w:val="66"/>
        </w:trPr>
        <w:tc>
          <w:tcPr>
            <w:tcW w:w="3960" w:type="dxa"/>
            <w:vAlign w:val="bottom"/>
            <w:tcBorders>
              <w:bottom w:val="single" w:sz="8" w:color="auto"/>
            </w:tcBorders>
            <w:shd w:val="clear" w:color="auto" w:fill="DBDBDB"/>
          </w:tcPr>
          <w:p>
            <w:pPr>
              <w:spacing w:after="0"/>
              <w:rPr>
                <w:sz w:val="5"/>
                <w:szCs w:val="5"/>
                <w:color w:val="auto"/>
              </w:rPr>
            </w:pPr>
          </w:p>
        </w:tc>
        <w:tc>
          <w:tcPr>
            <w:tcW w:w="2540" w:type="dxa"/>
            <w:vAlign w:val="bottom"/>
            <w:tcBorders>
              <w:bottom w:val="single" w:sz="8" w:color="auto"/>
            </w:tcBorders>
            <w:shd w:val="clear" w:color="auto" w:fill="DBDBDB"/>
          </w:tcPr>
          <w:p>
            <w:pPr>
              <w:spacing w:after="0"/>
              <w:rPr>
                <w:sz w:val="5"/>
                <w:szCs w:val="5"/>
                <w:color w:val="auto"/>
              </w:rPr>
            </w:pPr>
          </w:p>
        </w:tc>
        <w:tc>
          <w:tcPr>
            <w:tcW w:w="2580" w:type="dxa"/>
            <w:vAlign w:val="bottom"/>
            <w:tcBorders>
              <w:bottom w:val="single" w:sz="8" w:color="auto"/>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60" w:right="260" w:hanging="171"/>
        <w:spacing w:after="0" w:line="208" w:lineRule="auto"/>
        <w:tabs>
          <w:tab w:leader="none" w:pos="195" w:val="left"/>
        </w:tabs>
        <w:numPr>
          <w:ilvl w:val="0"/>
          <w:numId w:val="142"/>
        </w:numPr>
        <w:rPr>
          <w:rFonts w:ascii="Arial" w:cs="Arial" w:eastAsia="Arial" w:hAnsi="Arial"/>
          <w:sz w:val="23"/>
          <w:szCs w:val="23"/>
          <w:color w:val="auto"/>
          <w:vertAlign w:val="superscript"/>
        </w:rPr>
      </w:pPr>
      <w:r>
        <w:rPr>
          <w:rFonts w:ascii="Arial" w:cs="Arial" w:eastAsia="Arial" w:hAnsi="Arial"/>
          <w:sz w:val="16"/>
          <w:szCs w:val="16"/>
          <w:color w:val="auto"/>
        </w:rPr>
        <w:t>The Game Changer Event was added starting with the 2022 performance year. A Game Changer Event is a significant scientific advancement that the Science and Technology Committee of the board deems could capture significant value for patients and for the company.</w:t>
      </w:r>
    </w:p>
    <w:p>
      <w:pPr>
        <w:spacing w:after="0" w:line="22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Science and Technology Committee may also recommend that the Talent and Compensation Committee use downward discretion on the pipeline metric result if clinical development for a potential major asset is unsuccessful. The Science and Technology Committee did not recommend that the Talent and Compensation Committee exercise this discretion related to the 2022 pipeline multiple.</w:t>
      </w:r>
    </w:p>
    <w:p>
      <w:pPr>
        <w:spacing w:after="0" w:line="117"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Based on the recommendation of the Science and Technology Committee, the Talent and Compensation Committee approved a pipeline multiple of 1.68.</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The company’s performance compared to targets as well as the resulting bonus multiple is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5760720" cy="281178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576072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920"/>
        <w:spacing w:after="0" w:line="287" w:lineRule="auto"/>
        <w:rPr>
          <w:sz w:val="20"/>
          <w:szCs w:val="20"/>
          <w:color w:val="auto"/>
        </w:rPr>
      </w:pPr>
      <w:r>
        <w:rPr>
          <w:rFonts w:ascii="Arial" w:cs="Arial" w:eastAsia="Arial" w:hAnsi="Arial"/>
          <w:sz w:val="18"/>
          <w:szCs w:val="18"/>
          <w:color w:val="auto"/>
        </w:rPr>
        <w:t>For additional information on financial results, see Appendix A, “</w:t>
      </w:r>
      <w:r>
        <w:rPr>
          <w:rFonts w:ascii="Arial" w:cs="Arial" w:eastAsia="Arial" w:hAnsi="Arial"/>
          <w:sz w:val="18"/>
          <w:szCs w:val="18"/>
          <w:u w:val="single" w:color="auto"/>
          <w:color w:val="0000FF"/>
        </w:rPr>
        <w:t>Summary of Adjustments Related to the Annual Cash Bonus and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Performance Award</w:t>
      </w:r>
      <w:r>
        <w:rPr>
          <w:rFonts w:ascii="Arial" w:cs="Arial" w:eastAsia="Arial" w:hAnsi="Arial"/>
          <w:sz w:val="18"/>
          <w:szCs w:val="18"/>
          <w:color w:val="000000"/>
        </w:rPr>
        <w: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When combined, the revenue, EPS, and pipeline multiples yielded a bonus multiple of 1.20.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00" w:type="dxa"/>
            <w:vAlign w:val="bottom"/>
          </w:tcPr>
          <w:p>
            <w:pPr>
              <w:jc w:val="center"/>
              <w:spacing w:after="0"/>
              <w:rPr>
                <w:sz w:val="20"/>
                <w:szCs w:val="20"/>
                <w:color w:val="auto"/>
              </w:rPr>
            </w:pPr>
            <w:r>
              <w:rPr>
                <w:rFonts w:ascii="Arial" w:cs="Arial" w:eastAsia="Arial" w:hAnsi="Arial"/>
                <w:sz w:val="16"/>
                <w:szCs w:val="16"/>
                <w:b w:val="1"/>
                <w:bCs w:val="1"/>
                <w:color w:val="auto"/>
              </w:rPr>
              <w:t>Revenue</w:t>
            </w:r>
          </w:p>
        </w:tc>
        <w:tc>
          <w:tcPr>
            <w:tcW w:w="40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rPr>
              <w:t>EPS</w:t>
            </w:r>
          </w:p>
        </w:tc>
        <w:tc>
          <w:tcPr>
            <w:tcW w:w="40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Pipeline</w:t>
            </w:r>
          </w:p>
        </w:tc>
        <w:tc>
          <w:tcPr>
            <w:tcW w:w="4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rPr>
              <w:t>Payout</w:t>
            </w:r>
          </w:p>
        </w:tc>
      </w:tr>
      <w:tr>
        <w:trPr>
          <w:trHeight w:val="21"/>
        </w:trPr>
        <w:tc>
          <w:tcPr>
            <w:tcW w:w="2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36"/>
        </w:trPr>
        <w:tc>
          <w:tcPr>
            <w:tcW w:w="2000" w:type="dxa"/>
            <w:vAlign w:val="bottom"/>
            <w:shd w:val="clear" w:color="auto" w:fill="BFE4FF"/>
          </w:tcPr>
          <w:p>
            <w:pPr>
              <w:jc w:val="center"/>
              <w:spacing w:after="0"/>
              <w:rPr>
                <w:sz w:val="20"/>
                <w:szCs w:val="20"/>
                <w:color w:val="auto"/>
              </w:rPr>
            </w:pPr>
            <w:r>
              <w:rPr>
                <w:rFonts w:ascii="Arial" w:cs="Arial" w:eastAsia="Arial" w:hAnsi="Arial"/>
                <w:sz w:val="18"/>
                <w:szCs w:val="18"/>
                <w:b w:val="1"/>
                <w:bCs w:val="1"/>
                <w:color w:val="auto"/>
                <w:w w:val="98"/>
              </w:rPr>
              <w:t>25% x 1.33</w:t>
            </w:r>
          </w:p>
        </w:tc>
        <w:tc>
          <w:tcPr>
            <w:tcW w:w="400" w:type="dxa"/>
            <w:vAlign w:val="bottom"/>
          </w:tcPr>
          <w:p>
            <w:pPr>
              <w:spacing w:after="0"/>
              <w:rPr>
                <w:sz w:val="24"/>
                <w:szCs w:val="24"/>
                <w:color w:val="auto"/>
              </w:rPr>
            </w:pPr>
          </w:p>
        </w:tc>
        <w:tc>
          <w:tcPr>
            <w:tcW w:w="1940" w:type="dxa"/>
            <w:vAlign w:val="bottom"/>
            <w:shd w:val="clear" w:color="auto" w:fill="00A1DE"/>
          </w:tcPr>
          <w:p>
            <w:pPr>
              <w:jc w:val="center"/>
              <w:spacing w:after="0"/>
              <w:rPr>
                <w:sz w:val="20"/>
                <w:szCs w:val="20"/>
                <w:color w:val="auto"/>
              </w:rPr>
            </w:pPr>
            <w:r>
              <w:rPr>
                <w:rFonts w:ascii="Arial" w:cs="Arial" w:eastAsia="Arial" w:hAnsi="Arial"/>
                <w:sz w:val="18"/>
                <w:szCs w:val="18"/>
                <w:b w:val="1"/>
                <w:bCs w:val="1"/>
                <w:color w:val="FFFFFF"/>
                <w:w w:val="98"/>
              </w:rPr>
              <w:t>50% x 0.90</w:t>
            </w:r>
          </w:p>
        </w:tc>
        <w:tc>
          <w:tcPr>
            <w:tcW w:w="400" w:type="dxa"/>
            <w:vAlign w:val="bottom"/>
          </w:tcPr>
          <w:p>
            <w:pPr>
              <w:spacing w:after="0"/>
              <w:rPr>
                <w:sz w:val="24"/>
                <w:szCs w:val="24"/>
                <w:color w:val="auto"/>
              </w:rPr>
            </w:pPr>
          </w:p>
        </w:tc>
        <w:tc>
          <w:tcPr>
            <w:tcW w:w="1960" w:type="dxa"/>
            <w:vAlign w:val="bottom"/>
            <w:shd w:val="clear" w:color="auto" w:fill="BFE4FF"/>
          </w:tcPr>
          <w:p>
            <w:pPr>
              <w:jc w:val="center"/>
              <w:spacing w:after="0"/>
              <w:rPr>
                <w:sz w:val="20"/>
                <w:szCs w:val="20"/>
                <w:color w:val="auto"/>
              </w:rPr>
            </w:pPr>
            <w:r>
              <w:rPr>
                <w:rFonts w:ascii="Arial" w:cs="Arial" w:eastAsia="Arial" w:hAnsi="Arial"/>
                <w:sz w:val="18"/>
                <w:szCs w:val="18"/>
                <w:b w:val="1"/>
                <w:bCs w:val="1"/>
                <w:color w:val="auto"/>
              </w:rPr>
              <w:t>25% x 1.68</w:t>
            </w:r>
          </w:p>
        </w:tc>
        <w:tc>
          <w:tcPr>
            <w:tcW w:w="400" w:type="dxa"/>
            <w:vAlign w:val="bottom"/>
          </w:tcPr>
          <w:p>
            <w:pPr>
              <w:spacing w:after="0"/>
              <w:rPr>
                <w:sz w:val="24"/>
                <w:szCs w:val="24"/>
                <w:color w:val="auto"/>
              </w:rPr>
            </w:pPr>
          </w:p>
        </w:tc>
        <w:tc>
          <w:tcPr>
            <w:tcW w:w="1980" w:type="dxa"/>
            <w:vAlign w:val="bottom"/>
            <w:shd w:val="clear" w:color="auto" w:fill="EE2724"/>
          </w:tcPr>
          <w:p>
            <w:pPr>
              <w:jc w:val="center"/>
              <w:spacing w:after="0"/>
              <w:rPr>
                <w:sz w:val="20"/>
                <w:szCs w:val="20"/>
                <w:color w:val="auto"/>
              </w:rPr>
            </w:pPr>
            <w:r>
              <w:rPr>
                <w:rFonts w:ascii="Arial" w:cs="Arial" w:eastAsia="Arial" w:hAnsi="Arial"/>
                <w:sz w:val="18"/>
                <w:szCs w:val="18"/>
                <w:b w:val="1"/>
                <w:bCs w:val="1"/>
                <w:color w:val="FFFFFF"/>
                <w:w w:val="99"/>
              </w:rPr>
              <w:t>1.20 bonus multiple</w:t>
            </w:r>
          </w:p>
        </w:tc>
      </w:tr>
      <w:tr>
        <w:trPr>
          <w:trHeight w:val="96"/>
        </w:trPr>
        <w:tc>
          <w:tcPr>
            <w:tcW w:w="2000" w:type="dxa"/>
            <w:vAlign w:val="bottom"/>
            <w:shd w:val="clear" w:color="auto" w:fill="BFE4FF"/>
          </w:tcPr>
          <w:p>
            <w:pPr>
              <w:spacing w:after="0"/>
              <w:rPr>
                <w:sz w:val="8"/>
                <w:szCs w:val="8"/>
                <w:color w:val="auto"/>
              </w:rPr>
            </w:pPr>
          </w:p>
        </w:tc>
        <w:tc>
          <w:tcPr>
            <w:tcW w:w="400" w:type="dxa"/>
            <w:vAlign w:val="bottom"/>
          </w:tcPr>
          <w:p>
            <w:pPr>
              <w:spacing w:after="0"/>
              <w:rPr>
                <w:sz w:val="8"/>
                <w:szCs w:val="8"/>
                <w:color w:val="auto"/>
              </w:rPr>
            </w:pPr>
          </w:p>
        </w:tc>
        <w:tc>
          <w:tcPr>
            <w:tcW w:w="1940" w:type="dxa"/>
            <w:vAlign w:val="bottom"/>
            <w:shd w:val="clear" w:color="auto" w:fill="00A1DE"/>
          </w:tcPr>
          <w:p>
            <w:pPr>
              <w:spacing w:after="0"/>
              <w:rPr>
                <w:sz w:val="8"/>
                <w:szCs w:val="8"/>
                <w:color w:val="auto"/>
              </w:rPr>
            </w:pPr>
          </w:p>
        </w:tc>
        <w:tc>
          <w:tcPr>
            <w:tcW w:w="400" w:type="dxa"/>
            <w:vAlign w:val="bottom"/>
          </w:tcPr>
          <w:p>
            <w:pPr>
              <w:spacing w:after="0"/>
              <w:rPr>
                <w:sz w:val="8"/>
                <w:szCs w:val="8"/>
                <w:color w:val="auto"/>
              </w:rPr>
            </w:pPr>
          </w:p>
        </w:tc>
        <w:tc>
          <w:tcPr>
            <w:tcW w:w="1960" w:type="dxa"/>
            <w:vAlign w:val="bottom"/>
            <w:shd w:val="clear" w:color="auto" w:fill="BFE4FF"/>
          </w:tcPr>
          <w:p>
            <w:pPr>
              <w:spacing w:after="0"/>
              <w:rPr>
                <w:sz w:val="8"/>
                <w:szCs w:val="8"/>
                <w:color w:val="auto"/>
              </w:rPr>
            </w:pPr>
          </w:p>
        </w:tc>
        <w:tc>
          <w:tcPr>
            <w:tcW w:w="400" w:type="dxa"/>
            <w:vAlign w:val="bottom"/>
          </w:tcPr>
          <w:p>
            <w:pPr>
              <w:spacing w:after="0"/>
              <w:rPr>
                <w:sz w:val="8"/>
                <w:szCs w:val="8"/>
                <w:color w:val="auto"/>
              </w:rPr>
            </w:pPr>
          </w:p>
        </w:tc>
        <w:tc>
          <w:tcPr>
            <w:tcW w:w="1980" w:type="dxa"/>
            <w:vAlign w:val="bottom"/>
            <w:shd w:val="clear" w:color="auto" w:fill="EE2724"/>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-256540</wp:posOffset>
            </wp:positionV>
            <wp:extent cx="171450" cy="17145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-256540</wp:posOffset>
            </wp:positionV>
            <wp:extent cx="171450" cy="17145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-256540</wp:posOffset>
            </wp:positionV>
            <wp:extent cx="171450" cy="17145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Bonus Payments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2022 bonuses paid to the applicable named executive officers under the Bonus Plan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2494280" cy="825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 Bonus ($)</w:t>
            </w:r>
          </w:p>
        </w:tc>
      </w:tr>
      <w:tr>
        <w:trPr>
          <w:trHeight w:val="223"/>
        </w:trPr>
        <w:tc>
          <w:tcPr>
            <w:tcW w:w="190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204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$2,700,000</w:t>
            </w:r>
          </w:p>
        </w:tc>
      </w:tr>
      <w:tr>
        <w:trPr>
          <w:trHeight w:val="208"/>
        </w:trPr>
        <w:tc>
          <w:tcPr>
            <w:tcW w:w="1900" w:type="dxa"/>
            <w:vAlign w:val="bottom"/>
          </w:tcPr>
          <w:p>
            <w:pPr>
              <w:ind w:left="20"/>
              <w:spacing w:after="0"/>
              <w:rPr>
                <w:sz w:val="20"/>
                <w:szCs w:val="20"/>
                <w:color w:val="auto"/>
              </w:rPr>
            </w:pPr>
            <w:r>
              <w:rPr>
                <w:rFonts w:ascii="Arial" w:cs="Arial" w:eastAsia="Arial" w:hAnsi="Arial"/>
                <w:sz w:val="14"/>
                <w:szCs w:val="14"/>
                <w:color w:val="auto"/>
              </w:rPr>
              <w:t>Ms. Ashkenazi</w:t>
            </w:r>
          </w:p>
        </w:tc>
        <w:tc>
          <w:tcPr>
            <w:tcW w:w="2040" w:type="dxa"/>
            <w:vAlign w:val="bottom"/>
          </w:tcPr>
          <w:p>
            <w:pPr>
              <w:jc w:val="right"/>
              <w:spacing w:after="0"/>
              <w:rPr>
                <w:sz w:val="20"/>
                <w:szCs w:val="20"/>
                <w:color w:val="auto"/>
              </w:rPr>
            </w:pPr>
            <w:r>
              <w:rPr>
                <w:rFonts w:ascii="Arial" w:cs="Arial" w:eastAsia="Arial" w:hAnsi="Arial"/>
                <w:sz w:val="14"/>
                <w:szCs w:val="14"/>
                <w:color w:val="auto"/>
              </w:rPr>
              <w:t>$1,128,462</w:t>
            </w:r>
          </w:p>
        </w:tc>
      </w:tr>
      <w:tr>
        <w:trPr>
          <w:trHeight w:val="49"/>
        </w:trPr>
        <w:tc>
          <w:tcPr>
            <w:tcW w:w="1900" w:type="dxa"/>
            <w:vAlign w:val="bottom"/>
          </w:tcPr>
          <w:p>
            <w:pPr>
              <w:spacing w:after="0"/>
              <w:rPr>
                <w:sz w:val="4"/>
                <w:szCs w:val="4"/>
                <w:color w:val="auto"/>
              </w:rPr>
            </w:pPr>
          </w:p>
        </w:tc>
        <w:tc>
          <w:tcPr>
            <w:tcW w:w="2040" w:type="dxa"/>
            <w:vAlign w:val="bottom"/>
          </w:tcPr>
          <w:p>
            <w:pPr>
              <w:spacing w:after="0"/>
              <w:rPr>
                <w:sz w:val="4"/>
                <w:szCs w:val="4"/>
                <w:color w:val="auto"/>
              </w:rPr>
            </w:pPr>
          </w:p>
        </w:tc>
      </w:tr>
      <w:tr>
        <w:trPr>
          <w:trHeight w:val="237"/>
        </w:trPr>
        <w:tc>
          <w:tcPr>
            <w:tcW w:w="190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204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$1,442,308</w:t>
            </w:r>
          </w:p>
        </w:tc>
      </w:tr>
      <w:tr>
        <w:trPr>
          <w:trHeight w:val="208"/>
        </w:trPr>
        <w:tc>
          <w:tcPr>
            <w:tcW w:w="1900" w:type="dxa"/>
            <w:vAlign w:val="bottom"/>
          </w:tcPr>
          <w:p>
            <w:pPr>
              <w:ind w:left="20"/>
              <w:spacing w:after="0"/>
              <w:rPr>
                <w:sz w:val="20"/>
                <w:szCs w:val="20"/>
                <w:color w:val="auto"/>
              </w:rPr>
            </w:pPr>
            <w:r>
              <w:rPr>
                <w:rFonts w:ascii="Arial" w:cs="Arial" w:eastAsia="Arial" w:hAnsi="Arial"/>
                <w:sz w:val="14"/>
                <w:szCs w:val="14"/>
                <w:color w:val="auto"/>
              </w:rPr>
              <w:t>Ms. Hakim</w:t>
            </w:r>
          </w:p>
        </w:tc>
        <w:tc>
          <w:tcPr>
            <w:tcW w:w="2040" w:type="dxa"/>
            <w:vAlign w:val="bottom"/>
          </w:tcPr>
          <w:p>
            <w:pPr>
              <w:jc w:val="right"/>
              <w:spacing w:after="0"/>
              <w:rPr>
                <w:sz w:val="20"/>
                <w:szCs w:val="20"/>
                <w:color w:val="auto"/>
              </w:rPr>
            </w:pPr>
            <w:r>
              <w:rPr>
                <w:rFonts w:ascii="Arial" w:cs="Arial" w:eastAsia="Arial" w:hAnsi="Arial"/>
                <w:sz w:val="14"/>
                <w:szCs w:val="14"/>
                <w:color w:val="auto"/>
              </w:rPr>
              <w:t>$1,051,154</w:t>
            </w:r>
          </w:p>
        </w:tc>
      </w:tr>
      <w:tr>
        <w:trPr>
          <w:trHeight w:val="48"/>
        </w:trPr>
        <w:tc>
          <w:tcPr>
            <w:tcW w:w="1900" w:type="dxa"/>
            <w:vAlign w:val="bottom"/>
          </w:tcPr>
          <w:p>
            <w:pPr>
              <w:spacing w:after="0"/>
              <w:rPr>
                <w:sz w:val="4"/>
                <w:szCs w:val="4"/>
                <w:color w:val="auto"/>
              </w:rPr>
            </w:pPr>
          </w:p>
        </w:tc>
        <w:tc>
          <w:tcPr>
            <w:tcW w:w="2040" w:type="dxa"/>
            <w:vAlign w:val="bottom"/>
          </w:tcPr>
          <w:p>
            <w:pPr>
              <w:spacing w:after="0"/>
              <w:rPr>
                <w:sz w:val="4"/>
                <w:szCs w:val="4"/>
                <w:color w:val="auto"/>
              </w:rPr>
            </w:pPr>
          </w:p>
        </w:tc>
      </w:tr>
      <w:tr>
        <w:trPr>
          <w:trHeight w:val="208"/>
        </w:trPr>
        <w:tc>
          <w:tcPr>
            <w:tcW w:w="1900" w:type="dxa"/>
            <w:vAlign w:val="bottom"/>
            <w:shd w:val="clear" w:color="auto" w:fill="F2F2F2"/>
          </w:tcPr>
          <w:p>
            <w:pPr>
              <w:ind w:left="20"/>
              <w:spacing w:after="0"/>
              <w:rPr>
                <w:sz w:val="20"/>
                <w:szCs w:val="20"/>
                <w:color w:val="auto"/>
              </w:rPr>
            </w:pPr>
            <w:r>
              <w:rPr>
                <w:rFonts w:ascii="Arial" w:cs="Arial" w:eastAsia="Arial" w:hAnsi="Arial"/>
                <w:sz w:val="14"/>
                <w:szCs w:val="14"/>
                <w:color w:val="auto"/>
              </w:rPr>
              <w:t>Mr. Jonsson</w:t>
            </w:r>
          </w:p>
        </w:tc>
        <w:tc>
          <w:tcPr>
            <w:tcW w:w="20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$888,462</w:t>
            </w:r>
          </w:p>
        </w:tc>
      </w:tr>
      <w:tr>
        <w:trPr>
          <w:trHeight w:val="62"/>
        </w:trPr>
        <w:tc>
          <w:tcPr>
            <w:tcW w:w="1900" w:type="dxa"/>
            <w:vAlign w:val="bottom"/>
            <w:tcBorders>
              <w:bottom w:val="single" w:sz="8" w:color="auto"/>
            </w:tcBorders>
            <w:shd w:val="clear" w:color="auto" w:fill="F2F2F2"/>
          </w:tcPr>
          <w:p>
            <w:pPr>
              <w:spacing w:after="0"/>
              <w:rPr>
                <w:sz w:val="5"/>
                <w:szCs w:val="5"/>
                <w:color w:val="auto"/>
              </w:rPr>
            </w:pPr>
          </w:p>
        </w:tc>
        <w:tc>
          <w:tcPr>
            <w:tcW w:w="2040" w:type="dxa"/>
            <w:vAlign w:val="bottom"/>
            <w:tcBorders>
              <w:bottom w:val="single" w:sz="8" w:color="auto"/>
            </w:tcBorders>
            <w:shd w:val="clear" w:color="auto" w:fill="F2F2F2"/>
          </w:tcPr>
          <w:p>
            <w:pPr>
              <w:spacing w:after="0"/>
              <w:rPr>
                <w:sz w:val="5"/>
                <w:szCs w:val="5"/>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2021-2023 Performance Awards</w:t>
      </w:r>
    </w:p>
    <w:p>
      <w:pPr>
        <w:spacing w:after="0" w:line="1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target cumulative EPS for the 2021-2023 performance award was originally set in the first quarter of 2021, reflecting expected peer group EPS growth of 8.8 percent each year and a total cumulative target EPS of $15.40 over the two-year performance period. In May 2022, following the aforementioned change to its presentation of non-GAAP measures, the Talent and Compensation Committee updated the award to align with the new SEC guidance to exclude adjustments for acquired IPR&amp;D and development milestone charges from its non-GAAP results. The updated award retained the Talent and Compensation Committee’s decision to establish a two-year EPS growth target of 8.8 percent per year, but the growth was applied to an adjusted 2020 non-GAAP EPS of $6.89 that excluded acquired IPR&amp;D and development milestone charges. Using this methodology, the updated cumulative EPS target became $ 15.65 for the two-year performance period of 2021-2022. The company’s actual adjusted non-GAAP EPS over the performance period was $17.09 representing a growth rate of 15.2 percent and a final payout percentage of 140 percent.</w:t>
      </w:r>
    </w:p>
    <w:p>
      <w:pPr>
        <w:spacing w:after="0" w:line="200" w:lineRule="exact"/>
        <w:rPr>
          <w:sz w:val="20"/>
          <w:szCs w:val="20"/>
          <w:color w:val="auto"/>
        </w:rPr>
      </w:pPr>
    </w:p>
    <w:p>
      <w:pPr>
        <w:spacing w:after="0" w:line="329"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70" w:name="page71"/>
    <w:bookmarkEnd w:id="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5760720" cy="182626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clrChange>
                        <a:clrFrom>
                          <a:srgbClr val="FFFFFF"/>
                        </a:clrFrom>
                        <a:clrTo>
                          <a:srgbClr val="FFFFFF">
                            <a:alpha val="0"/>
                          </a:srgbClr>
                        </a:clrTo>
                      </a:clrChange>
                      <a:extLst>
                        <a:ext uri="{28A0092B-C50C-407E-A947-70E740481C1C}"/>
                      </a:extLst>
                    </a:blip>
                    <a:srcRect/>
                    <a:stretch>
                      <a:fillRect/>
                    </a:stretch>
                  </pic:blipFill>
                  <pic:spPr bwMode="auto">
                    <a:xfrm>
                      <a:off x="0" y="0"/>
                      <a:ext cx="5760720" cy="1826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For Messrs. Ricks, Jonsson, Ms. Hakim and Dr. Skovronsky, shares earned for the 2021-2022 performance period are subject to an additional 13-month service-vesting period and are shown in the table below as restricted stock units. Because she was not an executive officer when the award was granted, Ms. Ashkenazi’s 2021-2022 performance award was paid in shares of Lilly common stock and not subject to the additional service-vesting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5288915"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5288915"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46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Target Shares</w:t>
            </w:r>
          </w:p>
        </w:tc>
        <w:tc>
          <w:tcPr>
            <w:tcW w:w="20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Shares Earned</w:t>
            </w:r>
          </w:p>
        </w:tc>
        <w:tc>
          <w:tcPr>
            <w:tcW w:w="17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RSUs</w:t>
            </w:r>
          </w:p>
        </w:tc>
      </w:tr>
      <w:tr>
        <w:trPr>
          <w:trHeight w:val="209"/>
        </w:trPr>
        <w:tc>
          <w:tcPr>
            <w:tcW w:w="20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2460" w:type="dxa"/>
            <w:vAlign w:val="bottom"/>
            <w:tcBorders>
              <w:bottom w:val="single" w:sz="8" w:color="F2F2F2"/>
            </w:tcBorders>
            <w:shd w:val="clear" w:color="auto" w:fill="F2F2F2"/>
          </w:tcPr>
          <w:p>
            <w:pPr>
              <w:jc w:val="center"/>
              <w:ind w:left="548"/>
              <w:spacing w:after="0"/>
              <w:rPr>
                <w:sz w:val="20"/>
                <w:szCs w:val="20"/>
                <w:color w:val="auto"/>
              </w:rPr>
            </w:pPr>
            <w:r>
              <w:rPr>
                <w:rFonts w:ascii="Arial" w:cs="Arial" w:eastAsia="Arial" w:hAnsi="Arial"/>
                <w:sz w:val="14"/>
                <w:szCs w:val="14"/>
                <w:color w:val="auto"/>
              </w:rPr>
              <w:t>21,151</w:t>
            </w:r>
          </w:p>
        </w:tc>
        <w:tc>
          <w:tcPr>
            <w:tcW w:w="2060" w:type="dxa"/>
            <w:vAlign w:val="bottom"/>
            <w:tcBorders>
              <w:bottom w:val="single" w:sz="8" w:color="F2F2F2"/>
            </w:tcBorders>
            <w:shd w:val="clear" w:color="auto" w:fill="F2F2F2"/>
          </w:tcPr>
          <w:p>
            <w:pPr>
              <w:jc w:val="center"/>
              <w:ind w:right="28"/>
              <w:spacing w:after="0"/>
              <w:rPr>
                <w:sz w:val="20"/>
                <w:szCs w:val="20"/>
                <w:color w:val="auto"/>
              </w:rPr>
            </w:pPr>
            <w:r>
              <w:rPr>
                <w:rFonts w:ascii="Arial" w:cs="Arial" w:eastAsia="Arial" w:hAnsi="Arial"/>
                <w:sz w:val="14"/>
                <w:szCs w:val="14"/>
                <w:color w:val="auto"/>
              </w:rPr>
              <w:t>N/A</w:t>
            </w:r>
          </w:p>
        </w:tc>
        <w:tc>
          <w:tcPr>
            <w:tcW w:w="1760" w:type="dxa"/>
            <w:vAlign w:val="bottom"/>
            <w:tcBorders>
              <w:bottom w:val="single" w:sz="8" w:color="F2F2F2"/>
            </w:tcBorders>
            <w:shd w:val="clear" w:color="auto" w:fill="F2F2F2"/>
          </w:tcPr>
          <w:p>
            <w:pPr>
              <w:jc w:val="center"/>
              <w:ind w:right="68"/>
              <w:spacing w:after="0"/>
              <w:rPr>
                <w:sz w:val="20"/>
                <w:szCs w:val="20"/>
                <w:color w:val="auto"/>
              </w:rPr>
            </w:pPr>
            <w:r>
              <w:rPr>
                <w:rFonts w:ascii="Arial" w:cs="Arial" w:eastAsia="Arial" w:hAnsi="Arial"/>
                <w:sz w:val="14"/>
                <w:szCs w:val="14"/>
                <w:color w:val="auto"/>
                <w:w w:val="97"/>
              </w:rPr>
              <w:t>29,611</w:t>
            </w:r>
          </w:p>
        </w:tc>
      </w:tr>
      <w:tr>
        <w:trPr>
          <w:trHeight w:val="208"/>
        </w:trPr>
        <w:tc>
          <w:tcPr>
            <w:tcW w:w="2060" w:type="dxa"/>
            <w:vAlign w:val="bottom"/>
          </w:tcPr>
          <w:p>
            <w:pPr>
              <w:ind w:left="20"/>
              <w:spacing w:after="0"/>
              <w:rPr>
                <w:sz w:val="20"/>
                <w:szCs w:val="20"/>
                <w:color w:val="auto"/>
              </w:rPr>
            </w:pPr>
            <w:r>
              <w:rPr>
                <w:rFonts w:ascii="Arial" w:cs="Arial" w:eastAsia="Arial" w:hAnsi="Arial"/>
                <w:sz w:val="14"/>
                <w:szCs w:val="14"/>
                <w:color w:val="auto"/>
              </w:rPr>
              <w:t>Ms. Ashkenazi</w:t>
            </w:r>
          </w:p>
        </w:tc>
        <w:tc>
          <w:tcPr>
            <w:tcW w:w="2460" w:type="dxa"/>
            <w:vAlign w:val="bottom"/>
          </w:tcPr>
          <w:p>
            <w:pPr>
              <w:jc w:val="center"/>
              <w:ind w:left="548"/>
              <w:spacing w:after="0"/>
              <w:rPr>
                <w:sz w:val="20"/>
                <w:szCs w:val="20"/>
                <w:color w:val="auto"/>
              </w:rPr>
            </w:pPr>
            <w:r>
              <w:rPr>
                <w:rFonts w:ascii="Arial" w:cs="Arial" w:eastAsia="Arial" w:hAnsi="Arial"/>
                <w:sz w:val="14"/>
                <w:szCs w:val="14"/>
                <w:color w:val="auto"/>
              </w:rPr>
              <w:t>5,540</w:t>
            </w:r>
          </w:p>
        </w:tc>
        <w:tc>
          <w:tcPr>
            <w:tcW w:w="2060" w:type="dxa"/>
            <w:vAlign w:val="bottom"/>
          </w:tcPr>
          <w:p>
            <w:pPr>
              <w:jc w:val="center"/>
              <w:ind w:right="68"/>
              <w:spacing w:after="0"/>
              <w:rPr>
                <w:sz w:val="20"/>
                <w:szCs w:val="20"/>
                <w:color w:val="auto"/>
              </w:rPr>
            </w:pPr>
            <w:r>
              <w:rPr>
                <w:rFonts w:ascii="Arial" w:cs="Arial" w:eastAsia="Arial" w:hAnsi="Arial"/>
                <w:sz w:val="14"/>
                <w:szCs w:val="14"/>
                <w:color w:val="auto"/>
              </w:rPr>
              <w:t>7,756</w:t>
            </w:r>
          </w:p>
        </w:tc>
        <w:tc>
          <w:tcPr>
            <w:tcW w:w="1760" w:type="dxa"/>
            <w:vAlign w:val="bottom"/>
          </w:tcPr>
          <w:p>
            <w:pPr>
              <w:jc w:val="center"/>
              <w:ind w:right="8"/>
              <w:spacing w:after="0"/>
              <w:rPr>
                <w:sz w:val="20"/>
                <w:szCs w:val="20"/>
                <w:color w:val="auto"/>
              </w:rPr>
            </w:pPr>
            <w:r>
              <w:rPr>
                <w:rFonts w:ascii="Arial" w:cs="Arial" w:eastAsia="Arial" w:hAnsi="Arial"/>
                <w:sz w:val="14"/>
                <w:szCs w:val="14"/>
                <w:color w:val="auto"/>
              </w:rPr>
              <w:t>N/A</w:t>
            </w:r>
          </w:p>
        </w:tc>
      </w:tr>
      <w:tr>
        <w:trPr>
          <w:trHeight w:val="22"/>
        </w:trPr>
        <w:tc>
          <w:tcPr>
            <w:tcW w:w="2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0"/>
        </w:trPr>
        <w:tc>
          <w:tcPr>
            <w:tcW w:w="20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2460" w:type="dxa"/>
            <w:vAlign w:val="bottom"/>
            <w:tcBorders>
              <w:bottom w:val="single" w:sz="8" w:color="F2F2F2"/>
            </w:tcBorders>
            <w:shd w:val="clear" w:color="auto" w:fill="F2F2F2"/>
          </w:tcPr>
          <w:p>
            <w:pPr>
              <w:jc w:val="center"/>
              <w:ind w:left="548"/>
              <w:spacing w:after="0"/>
              <w:rPr>
                <w:sz w:val="20"/>
                <w:szCs w:val="20"/>
                <w:color w:val="auto"/>
              </w:rPr>
            </w:pPr>
            <w:r>
              <w:rPr>
                <w:rFonts w:ascii="Arial" w:cs="Arial" w:eastAsia="Arial" w:hAnsi="Arial"/>
                <w:sz w:val="14"/>
                <w:szCs w:val="14"/>
                <w:color w:val="auto"/>
              </w:rPr>
              <w:t>7,101</w:t>
            </w:r>
          </w:p>
        </w:tc>
        <w:tc>
          <w:tcPr>
            <w:tcW w:w="2060" w:type="dxa"/>
            <w:vAlign w:val="bottom"/>
            <w:tcBorders>
              <w:bottom w:val="single" w:sz="8" w:color="F2F2F2"/>
            </w:tcBorders>
            <w:shd w:val="clear" w:color="auto" w:fill="F2F2F2"/>
          </w:tcPr>
          <w:p>
            <w:pPr>
              <w:jc w:val="center"/>
              <w:ind w:right="28"/>
              <w:spacing w:after="0"/>
              <w:rPr>
                <w:sz w:val="20"/>
                <w:szCs w:val="20"/>
                <w:color w:val="auto"/>
              </w:rPr>
            </w:pPr>
            <w:r>
              <w:rPr>
                <w:rFonts w:ascii="Arial" w:cs="Arial" w:eastAsia="Arial" w:hAnsi="Arial"/>
                <w:sz w:val="14"/>
                <w:szCs w:val="14"/>
                <w:color w:val="auto"/>
              </w:rPr>
              <w:t>N/A</w:t>
            </w:r>
          </w:p>
        </w:tc>
        <w:tc>
          <w:tcPr>
            <w:tcW w:w="1760" w:type="dxa"/>
            <w:vAlign w:val="bottom"/>
            <w:tcBorders>
              <w:bottom w:val="single" w:sz="8" w:color="F2F2F2"/>
            </w:tcBorders>
            <w:shd w:val="clear" w:color="auto" w:fill="F2F2F2"/>
          </w:tcPr>
          <w:p>
            <w:pPr>
              <w:jc w:val="center"/>
              <w:ind w:right="48"/>
              <w:spacing w:after="0"/>
              <w:rPr>
                <w:sz w:val="20"/>
                <w:szCs w:val="20"/>
                <w:color w:val="auto"/>
              </w:rPr>
            </w:pPr>
            <w:r>
              <w:rPr>
                <w:rFonts w:ascii="Arial" w:cs="Arial" w:eastAsia="Arial" w:hAnsi="Arial"/>
                <w:sz w:val="14"/>
                <w:szCs w:val="14"/>
                <w:color w:val="auto"/>
              </w:rPr>
              <w:t>9,941</w:t>
            </w:r>
          </w:p>
        </w:tc>
      </w:tr>
      <w:tr>
        <w:trPr>
          <w:trHeight w:val="208"/>
        </w:trPr>
        <w:tc>
          <w:tcPr>
            <w:tcW w:w="2060" w:type="dxa"/>
            <w:vAlign w:val="bottom"/>
          </w:tcPr>
          <w:p>
            <w:pPr>
              <w:ind w:left="20"/>
              <w:spacing w:after="0"/>
              <w:rPr>
                <w:sz w:val="20"/>
                <w:szCs w:val="20"/>
                <w:color w:val="auto"/>
              </w:rPr>
            </w:pPr>
            <w:r>
              <w:rPr>
                <w:rFonts w:ascii="Arial" w:cs="Arial" w:eastAsia="Arial" w:hAnsi="Arial"/>
                <w:sz w:val="14"/>
                <w:szCs w:val="14"/>
                <w:color w:val="auto"/>
              </w:rPr>
              <w:t>Ms. Hakim</w:t>
            </w:r>
          </w:p>
        </w:tc>
        <w:tc>
          <w:tcPr>
            <w:tcW w:w="2460" w:type="dxa"/>
            <w:vAlign w:val="bottom"/>
          </w:tcPr>
          <w:p>
            <w:pPr>
              <w:jc w:val="center"/>
              <w:ind w:left="548"/>
              <w:spacing w:after="0"/>
              <w:rPr>
                <w:sz w:val="20"/>
                <w:szCs w:val="20"/>
                <w:color w:val="auto"/>
              </w:rPr>
            </w:pPr>
            <w:r>
              <w:rPr>
                <w:rFonts w:ascii="Arial" w:cs="Arial" w:eastAsia="Arial" w:hAnsi="Arial"/>
                <w:sz w:val="14"/>
                <w:szCs w:val="14"/>
                <w:color w:val="auto"/>
              </w:rPr>
              <w:t>3,173</w:t>
            </w:r>
          </w:p>
        </w:tc>
        <w:tc>
          <w:tcPr>
            <w:tcW w:w="2060" w:type="dxa"/>
            <w:vAlign w:val="bottom"/>
          </w:tcPr>
          <w:p>
            <w:pPr>
              <w:jc w:val="center"/>
              <w:ind w:right="28"/>
              <w:spacing w:after="0"/>
              <w:rPr>
                <w:sz w:val="20"/>
                <w:szCs w:val="20"/>
                <w:color w:val="auto"/>
              </w:rPr>
            </w:pPr>
            <w:r>
              <w:rPr>
                <w:rFonts w:ascii="Arial" w:cs="Arial" w:eastAsia="Arial" w:hAnsi="Arial"/>
                <w:sz w:val="14"/>
                <w:szCs w:val="14"/>
                <w:color w:val="auto"/>
              </w:rPr>
              <w:t>N/A</w:t>
            </w:r>
          </w:p>
        </w:tc>
        <w:tc>
          <w:tcPr>
            <w:tcW w:w="1760" w:type="dxa"/>
            <w:vAlign w:val="bottom"/>
          </w:tcPr>
          <w:p>
            <w:pPr>
              <w:jc w:val="center"/>
              <w:ind w:right="48"/>
              <w:spacing w:after="0"/>
              <w:rPr>
                <w:sz w:val="20"/>
                <w:szCs w:val="20"/>
                <w:color w:val="auto"/>
              </w:rPr>
            </w:pPr>
            <w:r>
              <w:rPr>
                <w:rFonts w:ascii="Arial" w:cs="Arial" w:eastAsia="Arial" w:hAnsi="Arial"/>
                <w:sz w:val="14"/>
                <w:szCs w:val="14"/>
                <w:color w:val="auto"/>
              </w:rPr>
              <w:t>4,442</w:t>
            </w:r>
          </w:p>
        </w:tc>
      </w:tr>
      <w:tr>
        <w:trPr>
          <w:trHeight w:val="22"/>
        </w:trPr>
        <w:tc>
          <w:tcPr>
            <w:tcW w:w="2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09"/>
        </w:trPr>
        <w:tc>
          <w:tcPr>
            <w:tcW w:w="20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Mr. Jonsson</w:t>
            </w:r>
          </w:p>
        </w:tc>
        <w:tc>
          <w:tcPr>
            <w:tcW w:w="2460" w:type="dxa"/>
            <w:vAlign w:val="bottom"/>
            <w:tcBorders>
              <w:bottom w:val="single" w:sz="8" w:color="F2F2F2"/>
            </w:tcBorders>
            <w:shd w:val="clear" w:color="auto" w:fill="F2F2F2"/>
          </w:tcPr>
          <w:p>
            <w:pPr>
              <w:jc w:val="center"/>
              <w:ind w:left="548"/>
              <w:spacing w:after="0"/>
              <w:rPr>
                <w:sz w:val="20"/>
                <w:szCs w:val="20"/>
                <w:color w:val="auto"/>
              </w:rPr>
            </w:pPr>
            <w:r>
              <w:rPr>
                <w:rFonts w:ascii="Arial" w:cs="Arial" w:eastAsia="Arial" w:hAnsi="Arial"/>
                <w:sz w:val="14"/>
                <w:szCs w:val="14"/>
                <w:color w:val="auto"/>
              </w:rPr>
              <w:t>2,946</w:t>
            </w:r>
          </w:p>
        </w:tc>
        <w:tc>
          <w:tcPr>
            <w:tcW w:w="2060" w:type="dxa"/>
            <w:vAlign w:val="bottom"/>
            <w:tcBorders>
              <w:bottom w:val="single" w:sz="8" w:color="F2F2F2"/>
            </w:tcBorders>
            <w:shd w:val="clear" w:color="auto" w:fill="F2F2F2"/>
          </w:tcPr>
          <w:p>
            <w:pPr>
              <w:jc w:val="center"/>
              <w:ind w:right="28"/>
              <w:spacing w:after="0"/>
              <w:rPr>
                <w:sz w:val="20"/>
                <w:szCs w:val="20"/>
                <w:color w:val="auto"/>
              </w:rPr>
            </w:pPr>
            <w:r>
              <w:rPr>
                <w:rFonts w:ascii="Arial" w:cs="Arial" w:eastAsia="Arial" w:hAnsi="Arial"/>
                <w:sz w:val="14"/>
                <w:szCs w:val="14"/>
                <w:color w:val="auto"/>
              </w:rPr>
              <w:t>N/A</w:t>
            </w:r>
          </w:p>
        </w:tc>
        <w:tc>
          <w:tcPr>
            <w:tcW w:w="1760" w:type="dxa"/>
            <w:vAlign w:val="bottom"/>
            <w:tcBorders>
              <w:bottom w:val="single" w:sz="8" w:color="F2F2F2"/>
            </w:tcBorders>
            <w:shd w:val="clear" w:color="auto" w:fill="F2F2F2"/>
          </w:tcPr>
          <w:p>
            <w:pPr>
              <w:jc w:val="center"/>
              <w:ind w:right="48"/>
              <w:spacing w:after="0"/>
              <w:rPr>
                <w:sz w:val="20"/>
                <w:szCs w:val="20"/>
                <w:color w:val="auto"/>
              </w:rPr>
            </w:pPr>
            <w:r>
              <w:rPr>
                <w:rFonts w:ascii="Arial" w:cs="Arial" w:eastAsia="Arial" w:hAnsi="Arial"/>
                <w:sz w:val="14"/>
                <w:szCs w:val="14"/>
                <w:color w:val="auto"/>
              </w:rPr>
              <w:t>4,124</w:t>
            </w:r>
          </w:p>
        </w:tc>
      </w:tr>
      <w:tr>
        <w:trPr>
          <w:trHeight w:val="20"/>
        </w:trPr>
        <w:tc>
          <w:tcPr>
            <w:tcW w:w="206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2020-2022 Shareholder Value Award</w:t>
      </w:r>
    </w:p>
    <w:p>
      <w:pPr>
        <w:spacing w:after="0" w:line="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target stock price range of $140.74 to $156.21 (17.5 percent to 30.1 percent total stock price growth) for the 2020-2022 shareholder value award was set in 2020 based on a beginning stock price of $119.76, which was the average closing price for Lilly stock for all trading days in November and December 2019. The ending stock price of $363.15, which was the average closing price for Lilly stock for all trading days in November and December 2022, represents annualized stock price growth of 44.7 percent over the relevant three-year period resulting in a payout percentage of 175 percent.</w:t>
      </w:r>
    </w:p>
    <w:p>
      <w:pPr>
        <w:spacing w:after="0" w:line="187" w:lineRule="exact"/>
        <w:rPr>
          <w:sz w:val="20"/>
          <w:szCs w:val="20"/>
          <w:color w:val="auto"/>
        </w:rPr>
      </w:pPr>
    </w:p>
    <w:p>
      <w:pPr>
        <w:ind w:left="2300"/>
        <w:spacing w:after="0"/>
        <w:rPr>
          <w:sz w:val="20"/>
          <w:szCs w:val="20"/>
          <w:color w:val="auto"/>
        </w:rPr>
      </w:pPr>
      <w:r>
        <w:rPr>
          <w:rFonts w:ascii="Arial" w:cs="Arial" w:eastAsia="Arial" w:hAnsi="Arial"/>
          <w:sz w:val="22"/>
          <w:szCs w:val="22"/>
          <w:b w:val="1"/>
          <w:bCs w:val="1"/>
          <w:color w:val="auto"/>
        </w:rPr>
        <w:t>2020-2022 Shareholder Value Award Payout</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gridSpan w:val="2"/>
          </w:tcPr>
          <w:p>
            <w:pPr>
              <w:jc w:val="center"/>
              <w:ind w:left="17"/>
              <w:spacing w:after="0"/>
              <w:rPr>
                <w:sz w:val="20"/>
                <w:szCs w:val="20"/>
                <w:color w:val="auto"/>
              </w:rPr>
            </w:pPr>
            <w:r>
              <w:rPr>
                <w:rFonts w:ascii="Arial" w:cs="Arial" w:eastAsia="Arial" w:hAnsi="Arial"/>
                <w:sz w:val="13"/>
                <w:szCs w:val="13"/>
                <w:color w:val="auto"/>
                <w:w w:val="96"/>
              </w:rPr>
              <w:t>Final Result:</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gridSpan w:val="2"/>
          </w:tcPr>
          <w:p>
            <w:pPr>
              <w:jc w:val="center"/>
              <w:spacing w:after="0"/>
              <w:rPr>
                <w:sz w:val="20"/>
                <w:szCs w:val="20"/>
                <w:color w:val="auto"/>
              </w:rPr>
            </w:pPr>
            <w:r>
              <w:rPr>
                <w:rFonts w:ascii="Arial" w:cs="Arial" w:eastAsia="Arial" w:hAnsi="Arial"/>
                <w:sz w:val="13"/>
                <w:szCs w:val="13"/>
                <w:color w:val="auto"/>
                <w:w w:val="96"/>
              </w:rPr>
              <w:t>Avg. Stock Price: $363.15</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gridSpan w:val="2"/>
          </w:tcPr>
          <w:p>
            <w:pPr>
              <w:jc w:val="center"/>
              <w:ind w:left="17"/>
              <w:spacing w:after="0"/>
              <w:rPr>
                <w:sz w:val="20"/>
                <w:szCs w:val="20"/>
                <w:color w:val="auto"/>
              </w:rPr>
            </w:pPr>
            <w:r>
              <w:rPr>
                <w:rFonts w:ascii="Arial" w:cs="Arial" w:eastAsia="Arial" w:hAnsi="Arial"/>
                <w:sz w:val="13"/>
                <w:szCs w:val="13"/>
                <w:color w:val="auto"/>
                <w:w w:val="97"/>
              </w:rPr>
              <w:t>Annualized Stock Price</w:t>
            </w:r>
          </w:p>
        </w:tc>
        <w:tc>
          <w:tcPr>
            <w:tcW w:w="0" w:type="dxa"/>
            <w:vAlign w:val="bottom"/>
          </w:tcPr>
          <w:p>
            <w:pPr>
              <w:spacing w:after="0"/>
              <w:rPr>
                <w:sz w:val="1"/>
                <w:szCs w:val="1"/>
                <w:color w:val="auto"/>
              </w:rPr>
            </w:pPr>
          </w:p>
        </w:tc>
      </w:tr>
      <w:tr>
        <w:trPr>
          <w:trHeight w:val="199"/>
        </w:trPr>
        <w:tc>
          <w:tcPr>
            <w:tcW w:w="1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Target</w:t>
            </w: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00" w:type="dxa"/>
            <w:vAlign w:val="bottom"/>
            <w:gridSpan w:val="2"/>
          </w:tcPr>
          <w:p>
            <w:pPr>
              <w:jc w:val="center"/>
              <w:spacing w:after="0"/>
              <w:rPr>
                <w:sz w:val="20"/>
                <w:szCs w:val="20"/>
                <w:color w:val="auto"/>
              </w:rPr>
            </w:pPr>
            <w:r>
              <w:rPr>
                <w:rFonts w:ascii="Arial" w:cs="Arial" w:eastAsia="Arial" w:hAnsi="Arial"/>
                <w:sz w:val="13"/>
                <w:szCs w:val="13"/>
                <w:color w:val="auto"/>
                <w:w w:val="97"/>
              </w:rPr>
              <w:t>Growth: 44.7%</w:t>
            </w:r>
          </w:p>
        </w:tc>
        <w:tc>
          <w:tcPr>
            <w:tcW w:w="0" w:type="dxa"/>
            <w:vAlign w:val="bottom"/>
          </w:tcPr>
          <w:p>
            <w:pPr>
              <w:spacing w:after="0"/>
              <w:rPr>
                <w:sz w:val="1"/>
                <w:szCs w:val="1"/>
                <w:color w:val="auto"/>
              </w:rPr>
            </w:pPr>
          </w:p>
        </w:tc>
      </w:tr>
      <w:tr>
        <w:trPr>
          <w:trHeight w:val="116"/>
        </w:trPr>
        <w:tc>
          <w:tcPr>
            <w:tcW w:w="1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 of Target</w:t>
            </w:r>
          </w:p>
        </w:tc>
        <w:tc>
          <w:tcPr>
            <w:tcW w:w="74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1320" w:type="dxa"/>
            <w:vAlign w:val="bottom"/>
            <w:tcBorders>
              <w:bottom w:val="single" w:sz="8" w:color="auto"/>
              <w:right w:val="single" w:sz="8" w:color="auto"/>
            </w:tcBorders>
            <w:vMerge w:val="continue"/>
          </w:tcPr>
          <w:p>
            <w:pPr>
              <w:spacing w:after="0"/>
              <w:rPr>
                <w:sz w:val="22"/>
                <w:szCs w:val="22"/>
                <w:color w:val="auto"/>
              </w:rPr>
            </w:pPr>
          </w:p>
        </w:tc>
        <w:tc>
          <w:tcPr>
            <w:tcW w:w="740" w:type="dxa"/>
            <w:vAlign w:val="bottom"/>
            <w:tcBorders>
              <w:bottom w:val="single" w:sz="8" w:color="auto"/>
              <w:right w:val="single" w:sz="8" w:color="auto"/>
            </w:tcBorders>
            <w:shd w:val="clear" w:color="auto" w:fill="BFE4FF"/>
          </w:tcPr>
          <w:p>
            <w:pPr>
              <w:jc w:val="center"/>
              <w:spacing w:after="0"/>
              <w:rPr>
                <w:sz w:val="20"/>
                <w:szCs w:val="20"/>
                <w:color w:val="auto"/>
              </w:rPr>
            </w:pPr>
            <w:r>
              <w:rPr>
                <w:rFonts w:ascii="Arial" w:cs="Arial" w:eastAsia="Arial" w:hAnsi="Arial"/>
                <w:sz w:val="13"/>
                <w:szCs w:val="13"/>
                <w:b w:val="1"/>
                <w:bCs w:val="1"/>
                <w:color w:val="auto"/>
                <w:w w:val="95"/>
              </w:rPr>
              <w:t>0%</w:t>
            </w:r>
          </w:p>
        </w:tc>
        <w:tc>
          <w:tcPr>
            <w:tcW w:w="1120" w:type="dxa"/>
            <w:vAlign w:val="bottom"/>
            <w:tcBorders>
              <w:bottom w:val="single" w:sz="8" w:color="auto"/>
              <w:right w:val="single" w:sz="8" w:color="auto"/>
            </w:tcBorders>
            <w:shd w:val="clear" w:color="auto" w:fill="BFE4FF"/>
          </w:tcPr>
          <w:p>
            <w:pPr>
              <w:jc w:val="right"/>
              <w:ind w:right="397"/>
              <w:spacing w:after="0"/>
              <w:rPr>
                <w:sz w:val="20"/>
                <w:szCs w:val="20"/>
                <w:color w:val="auto"/>
              </w:rPr>
            </w:pPr>
            <w:r>
              <w:rPr>
                <w:rFonts w:ascii="Arial" w:cs="Arial" w:eastAsia="Arial" w:hAnsi="Arial"/>
                <w:sz w:val="13"/>
                <w:szCs w:val="13"/>
                <w:b w:val="1"/>
                <w:bCs w:val="1"/>
                <w:color w:val="auto"/>
              </w:rPr>
              <w:t>50%</w:t>
            </w:r>
          </w:p>
        </w:tc>
        <w:tc>
          <w:tcPr>
            <w:tcW w:w="1080" w:type="dxa"/>
            <w:vAlign w:val="bottom"/>
            <w:tcBorders>
              <w:bottom w:val="single" w:sz="8" w:color="auto"/>
              <w:right w:val="single" w:sz="8" w:color="auto"/>
            </w:tcBorders>
            <w:gridSpan w:val="2"/>
            <w:shd w:val="clear" w:color="auto" w:fill="BFE4FF"/>
          </w:tcPr>
          <w:p>
            <w:pPr>
              <w:jc w:val="right"/>
              <w:ind w:right="377"/>
              <w:spacing w:after="0"/>
              <w:rPr>
                <w:sz w:val="20"/>
                <w:szCs w:val="20"/>
                <w:color w:val="auto"/>
              </w:rPr>
            </w:pPr>
            <w:r>
              <w:rPr>
                <w:rFonts w:ascii="Arial" w:cs="Arial" w:eastAsia="Arial" w:hAnsi="Arial"/>
                <w:sz w:val="13"/>
                <w:szCs w:val="13"/>
                <w:b w:val="1"/>
                <w:bCs w:val="1"/>
                <w:color w:val="auto"/>
              </w:rPr>
              <w:t>75%</w:t>
            </w:r>
          </w:p>
        </w:tc>
        <w:tc>
          <w:tcPr>
            <w:tcW w:w="1080" w:type="dxa"/>
            <w:vAlign w:val="bottom"/>
            <w:tcBorders>
              <w:bottom w:val="single" w:sz="8" w:color="auto"/>
              <w:right w:val="single" w:sz="8" w:color="auto"/>
            </w:tcBorders>
            <w:gridSpan w:val="2"/>
            <w:shd w:val="clear" w:color="auto" w:fill="BFE4FF"/>
          </w:tcPr>
          <w:p>
            <w:pPr>
              <w:jc w:val="right"/>
              <w:ind w:right="337"/>
              <w:spacing w:after="0"/>
              <w:rPr>
                <w:sz w:val="20"/>
                <w:szCs w:val="20"/>
                <w:color w:val="auto"/>
              </w:rPr>
            </w:pPr>
            <w:r>
              <w:rPr>
                <w:rFonts w:ascii="Arial" w:cs="Arial" w:eastAsia="Arial" w:hAnsi="Arial"/>
                <w:sz w:val="13"/>
                <w:szCs w:val="13"/>
                <w:b w:val="1"/>
                <w:bCs w:val="1"/>
                <w:color w:val="auto"/>
              </w:rPr>
              <w:t>100%</w:t>
            </w:r>
          </w:p>
        </w:tc>
        <w:tc>
          <w:tcPr>
            <w:tcW w:w="1080" w:type="dxa"/>
            <w:vAlign w:val="bottom"/>
            <w:tcBorders>
              <w:bottom w:val="single" w:sz="8" w:color="auto"/>
              <w:right w:val="single" w:sz="8" w:color="auto"/>
            </w:tcBorders>
            <w:shd w:val="clear" w:color="auto" w:fill="BFE4FF"/>
          </w:tcPr>
          <w:p>
            <w:pPr>
              <w:jc w:val="center"/>
              <w:spacing w:after="0"/>
              <w:rPr>
                <w:sz w:val="20"/>
                <w:szCs w:val="20"/>
                <w:color w:val="auto"/>
              </w:rPr>
            </w:pPr>
            <w:r>
              <w:rPr>
                <w:rFonts w:ascii="Arial" w:cs="Arial" w:eastAsia="Arial" w:hAnsi="Arial"/>
                <w:sz w:val="13"/>
                <w:szCs w:val="13"/>
                <w:b w:val="1"/>
                <w:bCs w:val="1"/>
                <w:color w:val="auto"/>
                <w:w w:val="96"/>
              </w:rPr>
              <w:t>125%</w:t>
            </w:r>
          </w:p>
        </w:tc>
        <w:tc>
          <w:tcPr>
            <w:tcW w:w="1080" w:type="dxa"/>
            <w:vAlign w:val="bottom"/>
            <w:tcBorders>
              <w:bottom w:val="single" w:sz="8" w:color="auto"/>
              <w:right w:val="single" w:sz="8" w:color="auto"/>
            </w:tcBorders>
            <w:shd w:val="clear" w:color="auto" w:fill="BFE4FF"/>
          </w:tcPr>
          <w:p>
            <w:pPr>
              <w:jc w:val="center"/>
              <w:spacing w:after="0"/>
              <w:rPr>
                <w:sz w:val="20"/>
                <w:szCs w:val="20"/>
                <w:color w:val="auto"/>
              </w:rPr>
            </w:pPr>
            <w:r>
              <w:rPr>
                <w:rFonts w:ascii="Arial" w:cs="Arial" w:eastAsia="Arial" w:hAnsi="Arial"/>
                <w:sz w:val="13"/>
                <w:szCs w:val="13"/>
                <w:b w:val="1"/>
                <w:bCs w:val="1"/>
                <w:color w:val="auto"/>
                <w:w w:val="96"/>
              </w:rPr>
              <w:t>150%</w:t>
            </w:r>
          </w:p>
        </w:tc>
        <w:tc>
          <w:tcPr>
            <w:tcW w:w="1160" w:type="dxa"/>
            <w:vAlign w:val="bottom"/>
            <w:tcBorders>
              <w:bottom w:val="single" w:sz="8" w:color="auto"/>
              <w:right w:val="single" w:sz="8" w:color="auto"/>
            </w:tcBorders>
            <w:shd w:val="clear" w:color="auto" w:fill="BFE4FF"/>
          </w:tcPr>
          <w:p>
            <w:pPr>
              <w:jc w:val="center"/>
              <w:ind w:right="177"/>
              <w:spacing w:after="0"/>
              <w:rPr>
                <w:sz w:val="20"/>
                <w:szCs w:val="20"/>
                <w:color w:val="auto"/>
              </w:rPr>
            </w:pPr>
            <w:r>
              <w:rPr>
                <w:rFonts w:ascii="Arial" w:cs="Arial" w:eastAsia="Arial" w:hAnsi="Arial"/>
                <w:sz w:val="13"/>
                <w:szCs w:val="13"/>
                <w:b w:val="1"/>
                <w:bCs w:val="1"/>
                <w:color w:val="auto"/>
                <w:w w:val="96"/>
              </w:rPr>
              <w:t>175%</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Stock Price</w:t>
            </w:r>
          </w:p>
        </w:tc>
        <w:tc>
          <w:tcPr>
            <w:tcW w:w="740" w:type="dxa"/>
            <w:vAlign w:val="bottom"/>
            <w:tcBorders>
              <w:bottom w:val="single" w:sz="8" w:color="auto"/>
              <w:right w:val="single" w:sz="8" w:color="auto"/>
            </w:tcBorders>
            <w:shd w:val="clear" w:color="auto" w:fill="BFE4FF"/>
          </w:tcPr>
          <w:p>
            <w:pPr>
              <w:jc w:val="center"/>
              <w:spacing w:after="0"/>
              <w:rPr>
                <w:sz w:val="20"/>
                <w:szCs w:val="20"/>
                <w:color w:val="auto"/>
              </w:rPr>
            </w:pPr>
            <w:r>
              <w:rPr>
                <w:rFonts w:ascii="Arial" w:cs="Arial" w:eastAsia="Arial" w:hAnsi="Arial"/>
                <w:sz w:val="13"/>
                <w:szCs w:val="13"/>
                <w:b w:val="1"/>
                <w:bCs w:val="1"/>
                <w:color w:val="auto"/>
                <w:w w:val="98"/>
              </w:rPr>
              <w:t>&lt;$109.78</w:t>
            </w:r>
          </w:p>
        </w:tc>
        <w:tc>
          <w:tcPr>
            <w:tcW w:w="1120" w:type="dxa"/>
            <w:vAlign w:val="bottom"/>
            <w:tcBorders>
              <w:bottom w:val="single" w:sz="8" w:color="auto"/>
              <w:right w:val="single" w:sz="8" w:color="auto"/>
            </w:tcBorders>
            <w:shd w:val="clear" w:color="auto" w:fill="BFE4FF"/>
          </w:tcPr>
          <w:p>
            <w:pPr>
              <w:jc w:val="right"/>
              <w:ind w:right="17"/>
              <w:spacing w:after="0"/>
              <w:rPr>
                <w:sz w:val="20"/>
                <w:szCs w:val="20"/>
                <w:color w:val="auto"/>
              </w:rPr>
            </w:pPr>
            <w:r>
              <w:rPr>
                <w:rFonts w:ascii="Arial" w:cs="Arial" w:eastAsia="Arial" w:hAnsi="Arial"/>
                <w:sz w:val="13"/>
                <w:szCs w:val="13"/>
                <w:b w:val="1"/>
                <w:bCs w:val="1"/>
                <w:color w:val="auto"/>
              </w:rPr>
              <w:t>$109.78- $125.25</w:t>
            </w:r>
          </w:p>
        </w:tc>
        <w:tc>
          <w:tcPr>
            <w:tcW w:w="4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b w:val="1"/>
                <w:bCs w:val="1"/>
                <w:color w:val="auto"/>
                <w:w w:val="93"/>
              </w:rPr>
              <w:t>$125.26</w:t>
            </w:r>
          </w:p>
        </w:tc>
        <w:tc>
          <w:tcPr>
            <w:tcW w:w="600" w:type="dxa"/>
            <w:vAlign w:val="bottom"/>
            <w:tcBorders>
              <w:bottom w:val="single" w:sz="8" w:color="auto"/>
              <w:right w:val="single" w:sz="8" w:color="auto"/>
            </w:tcBorders>
            <w:shd w:val="clear" w:color="auto" w:fill="BFE4FF"/>
          </w:tcPr>
          <w:p>
            <w:pPr>
              <w:ind w:left="20"/>
              <w:spacing w:after="0"/>
              <w:rPr>
                <w:sz w:val="20"/>
                <w:szCs w:val="20"/>
                <w:color w:val="auto"/>
              </w:rPr>
            </w:pPr>
            <w:r>
              <w:rPr>
                <w:rFonts w:ascii="Arial" w:cs="Arial" w:eastAsia="Arial" w:hAnsi="Arial"/>
                <w:sz w:val="13"/>
                <w:szCs w:val="13"/>
                <w:b w:val="1"/>
                <w:bCs w:val="1"/>
                <w:color w:val="auto"/>
                <w:w w:val="98"/>
              </w:rPr>
              <w:t>- $140.73</w:t>
            </w:r>
          </w:p>
        </w:tc>
        <w:tc>
          <w:tcPr>
            <w:tcW w:w="4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b w:val="1"/>
                <w:bCs w:val="1"/>
                <w:color w:val="auto"/>
                <w:w w:val="93"/>
              </w:rPr>
              <w:t>$140.74</w:t>
            </w:r>
          </w:p>
        </w:tc>
        <w:tc>
          <w:tcPr>
            <w:tcW w:w="600" w:type="dxa"/>
            <w:vAlign w:val="bottom"/>
            <w:tcBorders>
              <w:bottom w:val="single" w:sz="8" w:color="auto"/>
              <w:right w:val="single" w:sz="8" w:color="auto"/>
            </w:tcBorders>
            <w:shd w:val="clear" w:color="auto" w:fill="BFE4FF"/>
          </w:tcPr>
          <w:p>
            <w:pPr>
              <w:ind w:left="20"/>
              <w:spacing w:after="0"/>
              <w:rPr>
                <w:sz w:val="20"/>
                <w:szCs w:val="20"/>
                <w:color w:val="auto"/>
              </w:rPr>
            </w:pPr>
            <w:r>
              <w:rPr>
                <w:rFonts w:ascii="Arial" w:cs="Arial" w:eastAsia="Arial" w:hAnsi="Arial"/>
                <w:sz w:val="13"/>
                <w:szCs w:val="13"/>
                <w:b w:val="1"/>
                <w:bCs w:val="1"/>
                <w:color w:val="auto"/>
                <w:w w:val="98"/>
              </w:rPr>
              <w:t>- $156.21</w:t>
            </w:r>
          </w:p>
        </w:tc>
        <w:tc>
          <w:tcPr>
            <w:tcW w:w="1080" w:type="dxa"/>
            <w:vAlign w:val="bottom"/>
            <w:tcBorders>
              <w:bottom w:val="single" w:sz="8" w:color="auto"/>
              <w:right w:val="single" w:sz="8" w:color="auto"/>
            </w:tcBorders>
            <w:shd w:val="clear" w:color="auto" w:fill="BFE4FF"/>
          </w:tcPr>
          <w:p>
            <w:pPr>
              <w:jc w:val="center"/>
              <w:spacing w:after="0"/>
              <w:rPr>
                <w:sz w:val="20"/>
                <w:szCs w:val="20"/>
                <w:color w:val="auto"/>
              </w:rPr>
            </w:pPr>
            <w:r>
              <w:rPr>
                <w:rFonts w:ascii="Arial" w:cs="Arial" w:eastAsia="Arial" w:hAnsi="Arial"/>
                <w:sz w:val="13"/>
                <w:szCs w:val="13"/>
                <w:b w:val="1"/>
                <w:bCs w:val="1"/>
                <w:color w:val="auto"/>
                <w:w w:val="98"/>
              </w:rPr>
              <w:t>$156.22 - $171.69</w:t>
            </w:r>
          </w:p>
        </w:tc>
        <w:tc>
          <w:tcPr>
            <w:tcW w:w="1080" w:type="dxa"/>
            <w:vAlign w:val="bottom"/>
            <w:tcBorders>
              <w:bottom w:val="single" w:sz="8" w:color="auto"/>
              <w:right w:val="single" w:sz="8" w:color="auto"/>
            </w:tcBorders>
            <w:shd w:val="clear" w:color="auto" w:fill="BFE4FF"/>
          </w:tcPr>
          <w:p>
            <w:pPr>
              <w:jc w:val="center"/>
              <w:spacing w:after="0"/>
              <w:rPr>
                <w:sz w:val="20"/>
                <w:szCs w:val="20"/>
                <w:color w:val="auto"/>
              </w:rPr>
            </w:pPr>
            <w:r>
              <w:rPr>
                <w:rFonts w:ascii="Arial" w:cs="Arial" w:eastAsia="Arial" w:hAnsi="Arial"/>
                <w:sz w:val="13"/>
                <w:szCs w:val="13"/>
                <w:b w:val="1"/>
                <w:bCs w:val="1"/>
                <w:color w:val="auto"/>
                <w:w w:val="96"/>
              </w:rPr>
              <w:t>$171.70 - $187.17</w:t>
            </w:r>
          </w:p>
        </w:tc>
        <w:tc>
          <w:tcPr>
            <w:tcW w:w="1160" w:type="dxa"/>
            <w:vAlign w:val="bottom"/>
            <w:tcBorders>
              <w:bottom w:val="single" w:sz="8" w:color="auto"/>
              <w:right w:val="single" w:sz="8" w:color="auto"/>
            </w:tcBorders>
            <w:shd w:val="clear" w:color="auto" w:fill="BFE4FF"/>
          </w:tcPr>
          <w:p>
            <w:pPr>
              <w:jc w:val="center"/>
              <w:ind w:right="197"/>
              <w:spacing w:after="0"/>
              <w:rPr>
                <w:sz w:val="20"/>
                <w:szCs w:val="20"/>
                <w:color w:val="auto"/>
              </w:rPr>
            </w:pPr>
            <w:r>
              <w:rPr>
                <w:rFonts w:ascii="Arial" w:cs="Arial" w:eastAsia="Arial" w:hAnsi="Arial"/>
                <w:sz w:val="13"/>
                <w:szCs w:val="13"/>
                <w:b w:val="1"/>
                <w:bCs w:val="1"/>
                <w:color w:val="auto"/>
                <w:w w:val="98"/>
              </w:rPr>
              <w:t>&gt;$187.17</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Compound Annual</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6"/>
              </w:rPr>
              <w:t>&lt;-2.9%</w:t>
            </w:r>
          </w:p>
        </w:tc>
        <w:tc>
          <w:tcPr>
            <w:tcW w:w="1120" w:type="dxa"/>
            <w:vAlign w:val="bottom"/>
            <w:tcBorders>
              <w:right w:val="single" w:sz="8" w:color="auto"/>
            </w:tcBorders>
            <w:vMerge w:val="restart"/>
          </w:tcPr>
          <w:p>
            <w:pPr>
              <w:jc w:val="right"/>
              <w:ind w:right="177"/>
              <w:spacing w:after="0"/>
              <w:rPr>
                <w:sz w:val="20"/>
                <w:szCs w:val="20"/>
                <w:color w:val="auto"/>
              </w:rPr>
            </w:pPr>
            <w:r>
              <w:rPr>
                <w:rFonts w:ascii="Arial" w:cs="Arial" w:eastAsia="Arial" w:hAnsi="Arial"/>
                <w:sz w:val="13"/>
                <w:szCs w:val="13"/>
                <w:color w:val="auto"/>
              </w:rPr>
              <w:t>-2.9%-1.5%</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1.5%</w:t>
            </w:r>
          </w:p>
        </w:tc>
        <w:tc>
          <w:tcPr>
            <w:tcW w:w="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- 5.5%</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5.5%</w:t>
            </w:r>
          </w:p>
        </w:tc>
        <w:tc>
          <w:tcPr>
            <w:tcW w:w="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- 9.3%</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9.3% - 12.8%</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6"/>
              </w:rPr>
              <w:t>12.8% - 16.0%</w:t>
            </w:r>
          </w:p>
        </w:tc>
        <w:tc>
          <w:tcPr>
            <w:tcW w:w="1160" w:type="dxa"/>
            <w:vAlign w:val="bottom"/>
            <w:tcBorders>
              <w:right w:val="single" w:sz="8" w:color="auto"/>
            </w:tcBorders>
            <w:vMerge w:val="restart"/>
          </w:tcPr>
          <w:p>
            <w:pPr>
              <w:jc w:val="center"/>
              <w:ind w:right="197"/>
              <w:spacing w:after="0"/>
              <w:rPr>
                <w:sz w:val="20"/>
                <w:szCs w:val="20"/>
                <w:color w:val="auto"/>
              </w:rPr>
            </w:pPr>
            <w:r>
              <w:rPr>
                <w:rFonts w:ascii="Arial" w:cs="Arial" w:eastAsia="Arial" w:hAnsi="Arial"/>
                <w:sz w:val="13"/>
                <w:szCs w:val="13"/>
                <w:color w:val="auto"/>
                <w:w w:val="94"/>
              </w:rPr>
              <w:t>&gt;16.0%</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1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Stock Price Growth</w:t>
            </w:r>
          </w:p>
        </w:tc>
        <w:tc>
          <w:tcPr>
            <w:tcW w:w="74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600" w:type="dxa"/>
            <w:vAlign w:val="bottom"/>
            <w:tcBorders>
              <w:right w:val="single" w:sz="8" w:color="auto"/>
            </w:tcBorders>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600" w:type="dxa"/>
            <w:vAlign w:val="bottom"/>
            <w:tcBorders>
              <w:right w:val="single" w:sz="8" w:color="auto"/>
            </w:tcBorders>
            <w:vMerge w:val="continue"/>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1160" w:type="dxa"/>
            <w:vAlign w:val="bottom"/>
            <w:tcBorders>
              <w:right w:val="single" w:sz="8" w:color="auto"/>
            </w:tcBorders>
            <w:vMerge w:val="continue"/>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320" w:type="dxa"/>
            <w:vAlign w:val="bottom"/>
            <w:tcBorders>
              <w:right w:val="single" w:sz="8" w:color="auto"/>
            </w:tcBorders>
            <w:vMerge w:val="continue"/>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116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1320" w:type="dxa"/>
            <w:vAlign w:val="bottom"/>
            <w:tcBorders>
              <w:right w:val="single" w:sz="8" w:color="auto"/>
            </w:tcBorders>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1120" w:type="dxa"/>
            <w:vAlign w:val="bottom"/>
            <w:tcBorders>
              <w:right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Borders>
              <w:right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Borders>
              <w:right w:val="single" w:sz="8" w:color="auto"/>
            </w:tcBorders>
          </w:tcPr>
          <w:p>
            <w:pPr>
              <w:spacing w:after="0"/>
              <w:rPr>
                <w:sz w:val="3"/>
                <w:szCs w:val="3"/>
                <w:color w:val="auto"/>
              </w:rPr>
            </w:pPr>
          </w:p>
        </w:tc>
        <w:tc>
          <w:tcPr>
            <w:tcW w:w="1080" w:type="dxa"/>
            <w:vAlign w:val="bottom"/>
            <w:tcBorders>
              <w:right w:val="single" w:sz="8" w:color="auto"/>
            </w:tcBorders>
          </w:tcPr>
          <w:p>
            <w:pPr>
              <w:spacing w:after="0"/>
              <w:rPr>
                <w:sz w:val="3"/>
                <w:szCs w:val="3"/>
                <w:color w:val="auto"/>
              </w:rPr>
            </w:pPr>
          </w:p>
        </w:tc>
        <w:tc>
          <w:tcPr>
            <w:tcW w:w="1080" w:type="dxa"/>
            <w:vAlign w:val="bottom"/>
            <w:tcBorders>
              <w:right w:val="single" w:sz="8" w:color="auto"/>
            </w:tcBorders>
          </w:tcPr>
          <w:p>
            <w:pPr>
              <w:spacing w:after="0"/>
              <w:rPr>
                <w:sz w:val="3"/>
                <w:szCs w:val="3"/>
                <w:color w:val="auto"/>
              </w:rPr>
            </w:pPr>
          </w:p>
        </w:tc>
        <w:tc>
          <w:tcPr>
            <w:tcW w:w="1160" w:type="dxa"/>
            <w:vAlign w:val="bottom"/>
            <w:tcBorders>
              <w:right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5324475</wp:posOffset>
            </wp:positionH>
            <wp:positionV relativeFrom="paragraph">
              <wp:posOffset>-697865</wp:posOffset>
            </wp:positionV>
            <wp:extent cx="34290" cy="71120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34290" cy="711200"/>
                    </a:xfrm>
                    <a:prstGeom prst="rect">
                      <a:avLst/>
                    </a:prstGeom>
                    <a:noFill/>
                  </pic:spPr>
                </pic:pic>
              </a:graphicData>
            </a:graphic>
          </wp:anchor>
        </w:drawing>
      </w:r>
    </w:p>
    <w:p>
      <w:pPr>
        <w:spacing w:after="0" w:line="204"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The number of shares paid to each named executive officers for the 2020-2022 shareholder value award performance period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4046220" cy="825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4046220" cy="8255"/>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40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Target Shares</w:t>
            </w:r>
          </w:p>
        </w:tc>
        <w:tc>
          <w:tcPr>
            <w:tcW w:w="19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Shares Paid Out</w:t>
            </w:r>
          </w:p>
        </w:tc>
      </w:tr>
      <w:tr>
        <w:trPr>
          <w:trHeight w:val="210"/>
        </w:trPr>
        <w:tc>
          <w:tcPr>
            <w:tcW w:w="20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2400" w:type="dxa"/>
            <w:vAlign w:val="bottom"/>
            <w:tcBorders>
              <w:bottom w:val="single" w:sz="8" w:color="F2F2F2"/>
            </w:tcBorders>
            <w:shd w:val="clear" w:color="auto" w:fill="F2F2F2"/>
          </w:tcPr>
          <w:p>
            <w:pPr>
              <w:jc w:val="center"/>
              <w:ind w:left="568"/>
              <w:spacing w:after="0"/>
              <w:rPr>
                <w:sz w:val="20"/>
                <w:szCs w:val="20"/>
                <w:color w:val="auto"/>
              </w:rPr>
            </w:pPr>
            <w:r>
              <w:rPr>
                <w:rFonts w:ascii="Arial" w:cs="Arial" w:eastAsia="Arial" w:hAnsi="Arial"/>
                <w:sz w:val="14"/>
                <w:szCs w:val="14"/>
                <w:color w:val="auto"/>
              </w:rPr>
              <w:t>33,750</w:t>
            </w:r>
          </w:p>
        </w:tc>
        <w:tc>
          <w:tcPr>
            <w:tcW w:w="19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59,063</w:t>
            </w:r>
          </w:p>
        </w:tc>
      </w:tr>
      <w:tr>
        <w:trPr>
          <w:trHeight w:val="229"/>
        </w:trPr>
        <w:tc>
          <w:tcPr>
            <w:tcW w:w="2060" w:type="dxa"/>
            <w:vAlign w:val="bottom"/>
          </w:tcPr>
          <w:p>
            <w:pPr>
              <w:ind w:left="20"/>
              <w:spacing w:after="0"/>
              <w:rPr>
                <w:sz w:val="20"/>
                <w:szCs w:val="20"/>
                <w:color w:val="auto"/>
              </w:rPr>
            </w:pPr>
            <w:r>
              <w:rPr>
                <w:rFonts w:ascii="Arial" w:cs="Arial" w:eastAsia="Arial" w:hAnsi="Arial"/>
                <w:sz w:val="14"/>
                <w:szCs w:val="14"/>
                <w:color w:val="auto"/>
              </w:rPr>
              <w:t>Ms. Ashkenazi</w:t>
            </w:r>
            <w:r>
              <w:rPr>
                <w:rFonts w:ascii="Arial" w:cs="Arial" w:eastAsia="Arial" w:hAnsi="Arial"/>
                <w:sz w:val="18"/>
                <w:szCs w:val="18"/>
                <w:color w:val="auto"/>
                <w:vertAlign w:val="superscript"/>
              </w:rPr>
              <w:t>1</w:t>
            </w:r>
          </w:p>
        </w:tc>
        <w:tc>
          <w:tcPr>
            <w:tcW w:w="2400" w:type="dxa"/>
            <w:vAlign w:val="bottom"/>
          </w:tcPr>
          <w:p>
            <w:pPr>
              <w:jc w:val="center"/>
              <w:ind w:left="568"/>
              <w:spacing w:after="0"/>
              <w:rPr>
                <w:sz w:val="20"/>
                <w:szCs w:val="20"/>
                <w:color w:val="auto"/>
              </w:rPr>
            </w:pPr>
            <w:r>
              <w:rPr>
                <w:rFonts w:ascii="Arial" w:cs="Arial" w:eastAsia="Arial" w:hAnsi="Arial"/>
                <w:sz w:val="14"/>
                <w:szCs w:val="14"/>
                <w:color w:val="auto"/>
              </w:rPr>
              <w:t>1,317</w:t>
            </w:r>
          </w:p>
        </w:tc>
        <w:tc>
          <w:tcPr>
            <w:tcW w:w="1920" w:type="dxa"/>
            <w:vAlign w:val="bottom"/>
          </w:tcPr>
          <w:p>
            <w:pPr>
              <w:jc w:val="center"/>
              <w:spacing w:after="0"/>
              <w:rPr>
                <w:sz w:val="20"/>
                <w:szCs w:val="20"/>
                <w:color w:val="auto"/>
              </w:rPr>
            </w:pPr>
            <w:r>
              <w:rPr>
                <w:rFonts w:ascii="Arial" w:cs="Arial" w:eastAsia="Arial" w:hAnsi="Arial"/>
                <w:sz w:val="14"/>
                <w:szCs w:val="14"/>
                <w:color w:val="auto"/>
              </w:rPr>
              <w:t>2,305</w:t>
            </w:r>
          </w:p>
        </w:tc>
      </w:tr>
      <w:tr>
        <w:trPr>
          <w:trHeight w:val="210"/>
        </w:trPr>
        <w:tc>
          <w:tcPr>
            <w:tcW w:w="20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2400" w:type="dxa"/>
            <w:vAlign w:val="bottom"/>
            <w:tcBorders>
              <w:bottom w:val="single" w:sz="8" w:color="F2F2F2"/>
            </w:tcBorders>
            <w:shd w:val="clear" w:color="auto" w:fill="F2F2F2"/>
          </w:tcPr>
          <w:p>
            <w:pPr>
              <w:jc w:val="center"/>
              <w:ind w:left="588"/>
              <w:spacing w:after="0"/>
              <w:rPr>
                <w:sz w:val="20"/>
                <w:szCs w:val="20"/>
                <w:color w:val="auto"/>
              </w:rPr>
            </w:pPr>
            <w:r>
              <w:rPr>
                <w:rFonts w:ascii="Arial" w:cs="Arial" w:eastAsia="Arial" w:hAnsi="Arial"/>
                <w:sz w:val="14"/>
                <w:szCs w:val="14"/>
                <w:color w:val="auto"/>
                <w:w w:val="97"/>
              </w:rPr>
              <w:t>11,070</w:t>
            </w:r>
          </w:p>
        </w:tc>
        <w:tc>
          <w:tcPr>
            <w:tcW w:w="19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19,373</w:t>
            </w:r>
          </w:p>
        </w:tc>
      </w:tr>
      <w:tr>
        <w:trPr>
          <w:trHeight w:val="208"/>
        </w:trPr>
        <w:tc>
          <w:tcPr>
            <w:tcW w:w="2060" w:type="dxa"/>
            <w:vAlign w:val="bottom"/>
          </w:tcPr>
          <w:p>
            <w:pPr>
              <w:ind w:left="20"/>
              <w:spacing w:after="0"/>
              <w:rPr>
                <w:sz w:val="20"/>
                <w:szCs w:val="20"/>
                <w:color w:val="auto"/>
              </w:rPr>
            </w:pPr>
            <w:r>
              <w:rPr>
                <w:rFonts w:ascii="Arial" w:cs="Arial" w:eastAsia="Arial" w:hAnsi="Arial"/>
                <w:sz w:val="14"/>
                <w:szCs w:val="14"/>
                <w:color w:val="auto"/>
              </w:rPr>
              <w:t>Ms. Hakim</w:t>
            </w:r>
          </w:p>
        </w:tc>
        <w:tc>
          <w:tcPr>
            <w:tcW w:w="2400" w:type="dxa"/>
            <w:vAlign w:val="bottom"/>
          </w:tcPr>
          <w:p>
            <w:pPr>
              <w:jc w:val="center"/>
              <w:ind w:left="568"/>
              <w:spacing w:after="0"/>
              <w:rPr>
                <w:sz w:val="20"/>
                <w:szCs w:val="20"/>
                <w:color w:val="auto"/>
              </w:rPr>
            </w:pPr>
            <w:r>
              <w:rPr>
                <w:rFonts w:ascii="Arial" w:cs="Arial" w:eastAsia="Arial" w:hAnsi="Arial"/>
                <w:sz w:val="14"/>
                <w:szCs w:val="14"/>
                <w:color w:val="auto"/>
              </w:rPr>
              <w:t>5,400</w:t>
            </w:r>
          </w:p>
        </w:tc>
        <w:tc>
          <w:tcPr>
            <w:tcW w:w="1920" w:type="dxa"/>
            <w:vAlign w:val="bottom"/>
          </w:tcPr>
          <w:p>
            <w:pPr>
              <w:jc w:val="center"/>
              <w:spacing w:after="0"/>
              <w:rPr>
                <w:sz w:val="20"/>
                <w:szCs w:val="20"/>
                <w:color w:val="auto"/>
              </w:rPr>
            </w:pPr>
            <w:r>
              <w:rPr>
                <w:rFonts w:ascii="Arial" w:cs="Arial" w:eastAsia="Arial" w:hAnsi="Arial"/>
                <w:sz w:val="14"/>
                <w:szCs w:val="14"/>
                <w:color w:val="auto"/>
              </w:rPr>
              <w:t>9,450</w:t>
            </w:r>
          </w:p>
        </w:tc>
      </w:tr>
      <w:tr>
        <w:trPr>
          <w:trHeight w:val="21"/>
        </w:trPr>
        <w:tc>
          <w:tcPr>
            <w:tcW w:w="20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10"/>
        </w:trPr>
        <w:tc>
          <w:tcPr>
            <w:tcW w:w="20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Mr. Jonsson</w:t>
            </w:r>
          </w:p>
        </w:tc>
        <w:tc>
          <w:tcPr>
            <w:tcW w:w="2400" w:type="dxa"/>
            <w:vAlign w:val="bottom"/>
            <w:tcBorders>
              <w:bottom w:val="single" w:sz="8" w:color="F2F2F2"/>
            </w:tcBorders>
            <w:shd w:val="clear" w:color="auto" w:fill="F2F2F2"/>
          </w:tcPr>
          <w:p>
            <w:pPr>
              <w:jc w:val="center"/>
              <w:ind w:left="568"/>
              <w:spacing w:after="0"/>
              <w:rPr>
                <w:sz w:val="20"/>
                <w:szCs w:val="20"/>
                <w:color w:val="auto"/>
              </w:rPr>
            </w:pPr>
            <w:r>
              <w:rPr>
                <w:rFonts w:ascii="Arial" w:cs="Arial" w:eastAsia="Arial" w:hAnsi="Arial"/>
                <w:sz w:val="14"/>
                <w:szCs w:val="14"/>
                <w:color w:val="auto"/>
              </w:rPr>
              <w:t>4,725</w:t>
            </w:r>
          </w:p>
        </w:tc>
        <w:tc>
          <w:tcPr>
            <w:tcW w:w="19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8,269</w:t>
            </w:r>
          </w:p>
        </w:tc>
      </w:tr>
      <w:tr>
        <w:trPr>
          <w:trHeight w:val="20"/>
        </w:trPr>
        <w:tc>
          <w:tcPr>
            <w:tcW w:w="2060" w:type="dxa"/>
            <w:vAlign w:val="bottom"/>
            <w:shd w:val="clear" w:color="auto" w:fill="000000"/>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r>
    </w:tbl>
    <w:p>
      <w:pPr>
        <w:spacing w:after="0" w:line="165" w:lineRule="exact"/>
        <w:rPr>
          <w:sz w:val="20"/>
          <w:szCs w:val="20"/>
          <w:color w:val="auto"/>
        </w:rPr>
      </w:pPr>
    </w:p>
    <w:p>
      <w:pPr>
        <w:ind w:left="80" w:hanging="72"/>
        <w:spacing w:after="0"/>
        <w:tabs>
          <w:tab w:leader="none" w:pos="80" w:val="left"/>
        </w:tabs>
        <w:numPr>
          <w:ilvl w:val="0"/>
          <w:numId w:val="143"/>
        </w:numPr>
        <w:rPr>
          <w:rFonts w:ascii="Arial" w:cs="Arial" w:eastAsia="Arial" w:hAnsi="Arial"/>
          <w:sz w:val="19"/>
          <w:szCs w:val="19"/>
          <w:color w:val="auto"/>
          <w:vertAlign w:val="superscript"/>
        </w:rPr>
      </w:pPr>
      <w:r>
        <w:rPr>
          <w:rFonts w:ascii="Arial" w:cs="Arial" w:eastAsia="Arial" w:hAnsi="Arial"/>
          <w:sz w:val="14"/>
          <w:szCs w:val="14"/>
          <w:color w:val="auto"/>
        </w:rPr>
        <w:t>Ms. Ashkenazi’s 2020-2022 shareholder value award was granted prior to becoming an executive officer.</w:t>
      </w:r>
    </w:p>
    <w:p>
      <w:pPr>
        <w:sectPr>
          <w:pgSz w:w="11900" w:h="16838" w:orient="portrait"/>
          <w:cols w:equalWidth="0" w:num="1">
            <w:col w:w="11100"/>
          </w:cols>
          <w:pgMar w:left="320" w:top="1440" w:right="479" w:bottom="1440" w:gutter="0" w:footer="0" w:header="0"/>
        </w:sectPr>
      </w:pPr>
    </w:p>
    <w:p>
      <w:pPr>
        <w:spacing w:after="0" w:line="372"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157720" cy="4254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22"/>
          <w:szCs w:val="22"/>
          <w:b w:val="1"/>
          <w:bCs w:val="1"/>
          <w:color w:val="auto"/>
        </w:rPr>
        <w:t>2020-2022 Relative Value Award</w:t>
      </w:r>
    </w:p>
    <w:p>
      <w:pPr>
        <w:spacing w:after="0" w:line="1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relative value award is based on the three-year Lilly TSR performance compared to our peer group. To determine relative performance, the calculation compares the average closing price of each company’s stock for all trading days in November and December 2019 to the average closing price of each company’s stock for all trading days in November and December 2022, assuming reinvestment of dividends, to obtain the TSR for each company. The median TSR for the peer companies is then subtracted from Lilly’s TSR to determine what payout has been earned.</w:t>
      </w:r>
    </w:p>
    <w:p>
      <w:pPr>
        <w:spacing w:after="0" w:line="12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Lilly’s average closing price adjusted for dividend reinvestment for November and December 2019 was $113.96, and Lilly’s average closing price adjusted for dividend reinvestment for November and December 2022 was $362.94. Therefore, Lilly’s TSR over the performance period was 218.5 percent. The median TSR for the peer companies was 37.4 percent thereby making Lilly’s peer outperformance 181.1 percentage points (218.5 percent minus 37.4 percent). This level of outperformance yields a 175 percent payout as depicted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5760720" cy="251142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5760720"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paid to each named executive officer for the 2020-2022 relative value award performance period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404622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4046220" cy="889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40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Target Shares</w:t>
            </w:r>
          </w:p>
        </w:tc>
        <w:tc>
          <w:tcPr>
            <w:tcW w:w="19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Shares Paid Out</w:t>
            </w:r>
          </w:p>
        </w:tc>
      </w:tr>
      <w:tr>
        <w:trPr>
          <w:trHeight w:val="210"/>
        </w:trPr>
        <w:tc>
          <w:tcPr>
            <w:tcW w:w="20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2400" w:type="dxa"/>
            <w:vAlign w:val="bottom"/>
            <w:tcBorders>
              <w:bottom w:val="single" w:sz="8" w:color="F2F2F2"/>
            </w:tcBorders>
            <w:shd w:val="clear" w:color="auto" w:fill="F2F2F2"/>
          </w:tcPr>
          <w:p>
            <w:pPr>
              <w:jc w:val="center"/>
              <w:ind w:left="568"/>
              <w:spacing w:after="0"/>
              <w:rPr>
                <w:sz w:val="20"/>
                <w:szCs w:val="20"/>
                <w:color w:val="auto"/>
              </w:rPr>
            </w:pPr>
            <w:r>
              <w:rPr>
                <w:rFonts w:ascii="Arial" w:cs="Arial" w:eastAsia="Arial" w:hAnsi="Arial"/>
                <w:sz w:val="14"/>
                <w:szCs w:val="14"/>
                <w:color w:val="auto"/>
              </w:rPr>
              <w:t>24,319</w:t>
            </w:r>
          </w:p>
        </w:tc>
        <w:tc>
          <w:tcPr>
            <w:tcW w:w="19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42,558</w:t>
            </w:r>
          </w:p>
        </w:tc>
      </w:tr>
      <w:tr>
        <w:trPr>
          <w:trHeight w:val="230"/>
        </w:trPr>
        <w:tc>
          <w:tcPr>
            <w:tcW w:w="2060" w:type="dxa"/>
            <w:vAlign w:val="bottom"/>
          </w:tcPr>
          <w:p>
            <w:pPr>
              <w:ind w:left="20"/>
              <w:spacing w:after="0"/>
              <w:rPr>
                <w:sz w:val="20"/>
                <w:szCs w:val="20"/>
                <w:color w:val="auto"/>
              </w:rPr>
            </w:pPr>
            <w:r>
              <w:rPr>
                <w:rFonts w:ascii="Arial" w:cs="Arial" w:eastAsia="Arial" w:hAnsi="Arial"/>
                <w:sz w:val="14"/>
                <w:szCs w:val="14"/>
                <w:color w:val="auto"/>
              </w:rPr>
              <w:t>Ms. Ashkenazi</w:t>
            </w:r>
            <w:r>
              <w:rPr>
                <w:rFonts w:ascii="Arial" w:cs="Arial" w:eastAsia="Arial" w:hAnsi="Arial"/>
                <w:sz w:val="18"/>
                <w:szCs w:val="18"/>
                <w:color w:val="auto"/>
                <w:vertAlign w:val="superscript"/>
              </w:rPr>
              <w:t>1</w:t>
            </w:r>
          </w:p>
        </w:tc>
        <w:tc>
          <w:tcPr>
            <w:tcW w:w="2400" w:type="dxa"/>
            <w:vAlign w:val="bottom"/>
          </w:tcPr>
          <w:p>
            <w:pPr>
              <w:jc w:val="center"/>
              <w:ind w:left="568"/>
              <w:spacing w:after="0"/>
              <w:rPr>
                <w:sz w:val="20"/>
                <w:szCs w:val="20"/>
                <w:color w:val="auto"/>
              </w:rPr>
            </w:pPr>
            <w:r>
              <w:rPr>
                <w:rFonts w:ascii="Arial" w:cs="Arial" w:eastAsia="Arial" w:hAnsi="Arial"/>
                <w:sz w:val="14"/>
                <w:szCs w:val="14"/>
                <w:color w:val="auto"/>
              </w:rPr>
              <w:t>1,042</w:t>
            </w:r>
          </w:p>
        </w:tc>
        <w:tc>
          <w:tcPr>
            <w:tcW w:w="1920" w:type="dxa"/>
            <w:vAlign w:val="bottom"/>
          </w:tcPr>
          <w:p>
            <w:pPr>
              <w:jc w:val="center"/>
              <w:spacing w:after="0"/>
              <w:rPr>
                <w:sz w:val="20"/>
                <w:szCs w:val="20"/>
                <w:color w:val="auto"/>
              </w:rPr>
            </w:pPr>
            <w:r>
              <w:rPr>
                <w:rFonts w:ascii="Arial" w:cs="Arial" w:eastAsia="Arial" w:hAnsi="Arial"/>
                <w:sz w:val="14"/>
                <w:szCs w:val="14"/>
                <w:color w:val="auto"/>
              </w:rPr>
              <w:t>1,824</w:t>
            </w:r>
          </w:p>
        </w:tc>
      </w:tr>
      <w:tr>
        <w:trPr>
          <w:trHeight w:val="210"/>
        </w:trPr>
        <w:tc>
          <w:tcPr>
            <w:tcW w:w="20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2400" w:type="dxa"/>
            <w:vAlign w:val="bottom"/>
            <w:tcBorders>
              <w:bottom w:val="single" w:sz="8" w:color="F2F2F2"/>
            </w:tcBorders>
            <w:shd w:val="clear" w:color="auto" w:fill="F2F2F2"/>
          </w:tcPr>
          <w:p>
            <w:pPr>
              <w:jc w:val="center"/>
              <w:ind w:left="568"/>
              <w:spacing w:after="0"/>
              <w:rPr>
                <w:sz w:val="20"/>
                <w:szCs w:val="20"/>
                <w:color w:val="auto"/>
              </w:rPr>
            </w:pPr>
            <w:r>
              <w:rPr>
                <w:rFonts w:ascii="Arial" w:cs="Arial" w:eastAsia="Arial" w:hAnsi="Arial"/>
                <w:sz w:val="14"/>
                <w:szCs w:val="14"/>
                <w:color w:val="auto"/>
              </w:rPr>
              <w:t>7,977</w:t>
            </w:r>
          </w:p>
        </w:tc>
        <w:tc>
          <w:tcPr>
            <w:tcW w:w="19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13,960</w:t>
            </w:r>
          </w:p>
        </w:tc>
      </w:tr>
      <w:tr>
        <w:trPr>
          <w:trHeight w:val="208"/>
        </w:trPr>
        <w:tc>
          <w:tcPr>
            <w:tcW w:w="2060" w:type="dxa"/>
            <w:vAlign w:val="bottom"/>
          </w:tcPr>
          <w:p>
            <w:pPr>
              <w:ind w:left="20"/>
              <w:spacing w:after="0"/>
              <w:rPr>
                <w:sz w:val="20"/>
                <w:szCs w:val="20"/>
                <w:color w:val="auto"/>
              </w:rPr>
            </w:pPr>
            <w:r>
              <w:rPr>
                <w:rFonts w:ascii="Arial" w:cs="Arial" w:eastAsia="Arial" w:hAnsi="Arial"/>
                <w:sz w:val="14"/>
                <w:szCs w:val="14"/>
                <w:color w:val="auto"/>
              </w:rPr>
              <w:t>Ms. Hakim</w:t>
            </w:r>
          </w:p>
        </w:tc>
        <w:tc>
          <w:tcPr>
            <w:tcW w:w="2400" w:type="dxa"/>
            <w:vAlign w:val="bottom"/>
          </w:tcPr>
          <w:p>
            <w:pPr>
              <w:jc w:val="center"/>
              <w:ind w:left="568"/>
              <w:spacing w:after="0"/>
              <w:rPr>
                <w:sz w:val="20"/>
                <w:szCs w:val="20"/>
                <w:color w:val="auto"/>
              </w:rPr>
            </w:pPr>
            <w:r>
              <w:rPr>
                <w:rFonts w:ascii="Arial" w:cs="Arial" w:eastAsia="Arial" w:hAnsi="Arial"/>
                <w:sz w:val="14"/>
                <w:szCs w:val="14"/>
                <w:color w:val="auto"/>
              </w:rPr>
              <w:t>3,891</w:t>
            </w:r>
          </w:p>
        </w:tc>
        <w:tc>
          <w:tcPr>
            <w:tcW w:w="1920" w:type="dxa"/>
            <w:vAlign w:val="bottom"/>
          </w:tcPr>
          <w:p>
            <w:pPr>
              <w:jc w:val="center"/>
              <w:spacing w:after="0"/>
              <w:rPr>
                <w:sz w:val="20"/>
                <w:szCs w:val="20"/>
                <w:color w:val="auto"/>
              </w:rPr>
            </w:pPr>
            <w:r>
              <w:rPr>
                <w:rFonts w:ascii="Arial" w:cs="Arial" w:eastAsia="Arial" w:hAnsi="Arial"/>
                <w:sz w:val="14"/>
                <w:szCs w:val="14"/>
                <w:color w:val="auto"/>
              </w:rPr>
              <w:t>6,809</w:t>
            </w:r>
          </w:p>
        </w:tc>
      </w:tr>
      <w:tr>
        <w:trPr>
          <w:trHeight w:val="22"/>
        </w:trPr>
        <w:tc>
          <w:tcPr>
            <w:tcW w:w="20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10"/>
        </w:trPr>
        <w:tc>
          <w:tcPr>
            <w:tcW w:w="20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Mr. Jonsson</w:t>
            </w:r>
          </w:p>
        </w:tc>
        <w:tc>
          <w:tcPr>
            <w:tcW w:w="2400" w:type="dxa"/>
            <w:vAlign w:val="bottom"/>
            <w:tcBorders>
              <w:bottom w:val="single" w:sz="8" w:color="F2F2F2"/>
            </w:tcBorders>
            <w:shd w:val="clear" w:color="auto" w:fill="F2F2F2"/>
          </w:tcPr>
          <w:p>
            <w:pPr>
              <w:jc w:val="center"/>
              <w:ind w:left="568"/>
              <w:spacing w:after="0"/>
              <w:rPr>
                <w:sz w:val="20"/>
                <w:szCs w:val="20"/>
                <w:color w:val="auto"/>
              </w:rPr>
            </w:pPr>
            <w:r>
              <w:rPr>
                <w:rFonts w:ascii="Arial" w:cs="Arial" w:eastAsia="Arial" w:hAnsi="Arial"/>
                <w:sz w:val="14"/>
                <w:szCs w:val="14"/>
                <w:color w:val="auto"/>
              </w:rPr>
              <w:t>3,405</w:t>
            </w:r>
          </w:p>
        </w:tc>
        <w:tc>
          <w:tcPr>
            <w:tcW w:w="19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5,959</w:t>
            </w:r>
          </w:p>
        </w:tc>
      </w:tr>
      <w:tr>
        <w:trPr>
          <w:trHeight w:val="20"/>
        </w:trPr>
        <w:tc>
          <w:tcPr>
            <w:tcW w:w="2060" w:type="dxa"/>
            <w:vAlign w:val="bottom"/>
            <w:shd w:val="clear" w:color="auto" w:fill="000000"/>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r>
    </w:tbl>
    <w:p>
      <w:pPr>
        <w:spacing w:after="0" w:line="165" w:lineRule="exact"/>
        <w:rPr>
          <w:sz w:val="20"/>
          <w:szCs w:val="20"/>
          <w:color w:val="auto"/>
        </w:rPr>
      </w:pPr>
    </w:p>
    <w:p>
      <w:pPr>
        <w:ind w:left="80" w:hanging="72"/>
        <w:spacing w:after="0"/>
        <w:tabs>
          <w:tab w:leader="none" w:pos="80" w:val="left"/>
        </w:tabs>
        <w:numPr>
          <w:ilvl w:val="0"/>
          <w:numId w:val="144"/>
        </w:numPr>
        <w:rPr>
          <w:rFonts w:ascii="Arial" w:cs="Arial" w:eastAsia="Arial" w:hAnsi="Arial"/>
          <w:sz w:val="19"/>
          <w:szCs w:val="19"/>
          <w:color w:val="auto"/>
          <w:vertAlign w:val="superscript"/>
        </w:rPr>
      </w:pPr>
      <w:r>
        <w:rPr>
          <w:rFonts w:ascii="Arial" w:cs="Arial" w:eastAsia="Arial" w:hAnsi="Arial"/>
          <w:sz w:val="14"/>
          <w:szCs w:val="14"/>
          <w:color w:val="auto"/>
        </w:rPr>
        <w:t>Ms. Ashkenazi’s 2020-2022 relative value award was granted prior to becoming an executive officer.</w:t>
      </w:r>
    </w:p>
    <w:p>
      <w:pPr>
        <w:spacing w:after="0" w:line="375"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Other Compensation Practices and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 Benefits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company offers core employee benefits coverage to:</w:t>
      </w:r>
    </w:p>
    <w:p>
      <w:pPr>
        <w:spacing w:after="0" w:line="45" w:lineRule="exact"/>
        <w:rPr>
          <w:sz w:val="20"/>
          <w:szCs w:val="20"/>
          <w:color w:val="auto"/>
        </w:rPr>
      </w:pPr>
    </w:p>
    <w:p>
      <w:pPr>
        <w:ind w:left="560" w:hanging="309"/>
        <w:spacing w:after="0"/>
        <w:tabs>
          <w:tab w:leader="none" w:pos="560" w:val="left"/>
        </w:tabs>
        <w:numPr>
          <w:ilvl w:val="0"/>
          <w:numId w:val="145"/>
        </w:numPr>
        <w:rPr>
          <w:rFonts w:ascii="Arial" w:cs="Arial" w:eastAsia="Arial" w:hAnsi="Arial"/>
          <w:sz w:val="16"/>
          <w:szCs w:val="16"/>
          <w:color w:val="auto"/>
        </w:rPr>
      </w:pPr>
      <w:r>
        <w:rPr>
          <w:rFonts w:ascii="Arial" w:cs="Arial" w:eastAsia="Arial" w:hAnsi="Arial"/>
          <w:sz w:val="18"/>
          <w:szCs w:val="18"/>
          <w:color w:val="auto"/>
        </w:rPr>
        <w:t>provide our workforce with a reasonable level of financial support in the event of illness or injury,</w:t>
      </w:r>
    </w:p>
    <w:p>
      <w:pPr>
        <w:spacing w:after="0" w:line="63" w:lineRule="exact"/>
        <w:rPr>
          <w:rFonts w:ascii="Arial" w:cs="Arial" w:eastAsia="Arial" w:hAnsi="Arial"/>
          <w:sz w:val="16"/>
          <w:szCs w:val="16"/>
          <w:color w:val="auto"/>
        </w:rPr>
      </w:pPr>
    </w:p>
    <w:p>
      <w:pPr>
        <w:ind w:left="560" w:hanging="309"/>
        <w:spacing w:after="0"/>
        <w:tabs>
          <w:tab w:leader="none" w:pos="560" w:val="left"/>
        </w:tabs>
        <w:numPr>
          <w:ilvl w:val="0"/>
          <w:numId w:val="145"/>
        </w:numPr>
        <w:rPr>
          <w:rFonts w:ascii="Arial" w:cs="Arial" w:eastAsia="Arial" w:hAnsi="Arial"/>
          <w:sz w:val="16"/>
          <w:szCs w:val="16"/>
          <w:color w:val="auto"/>
        </w:rPr>
      </w:pPr>
      <w:r>
        <w:rPr>
          <w:rFonts w:ascii="Arial" w:cs="Arial" w:eastAsia="Arial" w:hAnsi="Arial"/>
          <w:sz w:val="18"/>
          <w:szCs w:val="18"/>
          <w:color w:val="auto"/>
        </w:rPr>
        <w:t>provide post-retirement income, and</w:t>
      </w:r>
    </w:p>
    <w:p>
      <w:pPr>
        <w:spacing w:after="0" w:line="63" w:lineRule="exact"/>
        <w:rPr>
          <w:rFonts w:ascii="Arial" w:cs="Arial" w:eastAsia="Arial" w:hAnsi="Arial"/>
          <w:sz w:val="16"/>
          <w:szCs w:val="16"/>
          <w:color w:val="auto"/>
        </w:rPr>
      </w:pPr>
    </w:p>
    <w:p>
      <w:pPr>
        <w:ind w:left="560" w:hanging="309"/>
        <w:spacing w:after="0"/>
        <w:tabs>
          <w:tab w:leader="none" w:pos="560" w:val="left"/>
        </w:tabs>
        <w:numPr>
          <w:ilvl w:val="0"/>
          <w:numId w:val="145"/>
        </w:numPr>
        <w:rPr>
          <w:rFonts w:ascii="Arial" w:cs="Arial" w:eastAsia="Arial" w:hAnsi="Arial"/>
          <w:sz w:val="16"/>
          <w:szCs w:val="16"/>
          <w:color w:val="auto"/>
        </w:rPr>
      </w:pPr>
      <w:r>
        <w:rPr>
          <w:rFonts w:ascii="Arial" w:cs="Arial" w:eastAsia="Arial" w:hAnsi="Arial"/>
          <w:sz w:val="18"/>
          <w:szCs w:val="18"/>
          <w:color w:val="auto"/>
        </w:rPr>
        <w:t>enhance productivity and job satisfaction through benefit programs that focus on overall well-being.</w:t>
      </w:r>
    </w:p>
    <w:p>
      <w:pPr>
        <w:spacing w:after="0" w:line="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benefit programs available to executive officers are offered to all eligible U.S. employees and include benefits such as medical and dental coverage, disability insurance, and life insurance. In addition, the 401(k) Plan and The Lilly Retirement Plan (the Retirement Plan) are intended to provide U.S. employees a reasonable level of retirement income reflecting employees’ careers with the company. To the extent that any employee’s calculated retirement benefit exceeds Internal Revenue Service (IRS) limits for amounts that can be paid through a qualified plan, the company also offers a nonqualified pension plan and a nonqualified savings plan. These plans provide</w:t>
      </w:r>
    </w:p>
    <w:p>
      <w:pPr>
        <w:sectPr>
          <w:pgSz w:w="11900" w:h="16838" w:orient="portrait"/>
          <w:cols w:equalWidth="0" w:num="1">
            <w:col w:w="11220"/>
          </w:cols>
          <w:pgMar w:left="320" w:top="989" w:right="35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color w:val="auto"/>
        </w:rPr>
        <w:t>only the difference between the calculated benefits and the applicable IRS limits, and the formula is the same for all participating employees.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cost of employee benefits is partially borne by the employee, including each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Perquisites</w:t>
      </w:r>
    </w:p>
    <w:p>
      <w:pPr>
        <w:spacing w:after="0" w:line="18" w:lineRule="exact"/>
        <w:rPr>
          <w:sz w:val="20"/>
          <w:szCs w:val="20"/>
          <w:color w:val="auto"/>
        </w:rPr>
      </w:pPr>
    </w:p>
    <w:p>
      <w:pPr>
        <w:ind w:right="580"/>
        <w:spacing w:after="0" w:line="255" w:lineRule="auto"/>
        <w:rPr>
          <w:sz w:val="20"/>
          <w:szCs w:val="20"/>
          <w:color w:val="auto"/>
        </w:rPr>
      </w:pPr>
      <w:r>
        <w:rPr>
          <w:rFonts w:ascii="Arial" w:cs="Arial" w:eastAsia="Arial" w:hAnsi="Arial"/>
          <w:sz w:val="18"/>
          <w:szCs w:val="18"/>
          <w:color w:val="auto"/>
        </w:rPr>
        <w:t>The company provides limited perquisites to executive officers. Mr. Ricks was granted personal use of the corporate aircraft up to a maximum incremental cost established by the Talent and Compensation Committee as a means to (i) increase his time available for company business and (ii) protect his health and safety. The incremental cost of personal use of the corporate aircraft is included as a perquisite in the Summary Compensation Table under the heading “</w:t>
      </w:r>
      <w:r>
        <w:rPr>
          <w:rFonts w:ascii="Arial" w:cs="Arial" w:eastAsia="Arial" w:hAnsi="Arial"/>
          <w:sz w:val="18"/>
          <w:szCs w:val="18"/>
          <w:u w:val="single" w:color="auto"/>
          <w:color w:val="0000FF"/>
        </w:rPr>
        <w:t>All Other Compensation.</w:t>
      </w:r>
      <w:r>
        <w:rPr>
          <w:rFonts w:ascii="Arial" w:cs="Arial" w:eastAsia="Arial" w:hAnsi="Arial"/>
          <w:sz w:val="18"/>
          <w:szCs w:val="18"/>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Lilly Deferred Compensation Plan</w:t>
      </w:r>
    </w:p>
    <w:p>
      <w:pPr>
        <w:spacing w:after="0" w:line="1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Members of senior management may defer receipt of part or all of their cash compensation under The Lilly Deferred Compensation Plan (Deferred Compensation Plan), which allows executives to save for retirement in a tax-effective way at minimal cost to the company. Under this unfunded plan, amounts deferred by the executive are credited at an interest rate of 120 percent of the applicable federal long-term rate, as described in more detail following the “</w:t>
      </w:r>
      <w:r>
        <w:rPr>
          <w:rFonts w:ascii="Arial" w:cs="Arial" w:eastAsia="Arial" w:hAnsi="Arial"/>
          <w:sz w:val="18"/>
          <w:szCs w:val="18"/>
          <w:u w:val="single" w:color="auto"/>
          <w:color w:val="0000FF"/>
        </w:rPr>
        <w:t>Nonqualified Deferred Compensation in 2022</w:t>
      </w:r>
      <w:r>
        <w:rPr>
          <w:rFonts w:ascii="Arial" w:cs="Arial" w:eastAsia="Arial" w:hAnsi="Arial"/>
          <w:sz w:val="18"/>
          <w:szCs w:val="18"/>
          <w:color w:val="auto"/>
        </w:rPr>
        <w:t>” table.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Severance Benefits</w:t>
      </w:r>
    </w:p>
    <w:p>
      <w:pPr>
        <w:spacing w:after="0" w:line="31" w:lineRule="exact"/>
        <w:rPr>
          <w:sz w:val="20"/>
          <w:szCs w:val="20"/>
          <w:color w:val="auto"/>
        </w:rPr>
      </w:pPr>
    </w:p>
    <w:p>
      <w:pPr>
        <w:ind w:right="620"/>
        <w:spacing w:after="0" w:line="258" w:lineRule="auto"/>
        <w:rPr>
          <w:sz w:val="20"/>
          <w:szCs w:val="20"/>
          <w:color w:val="auto"/>
        </w:rPr>
      </w:pPr>
      <w:r>
        <w:rPr>
          <w:rFonts w:ascii="Arial" w:cs="Arial" w:eastAsia="Arial" w:hAnsi="Arial"/>
          <w:sz w:val="18"/>
          <w:szCs w:val="18"/>
          <w:color w:val="auto"/>
        </w:rPr>
        <w:t>Except in the case of certain terminations following a change in control of the company, the company is generally not obligated to pay severance to executive officers upon termination of their employment; any such payments are at the discretion of the Talent and Compensation Committee.</w:t>
      </w:r>
    </w:p>
    <w:p>
      <w:pPr>
        <w:spacing w:after="0" w:line="12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has adopted change-in-control severance pay plans for nearly all employees, including executive officers. The plans are intended to preserve employee morale and productivity and encourage retention in the face of the disruptive impact of an actual or rumored change in control. In addition, the plans are intended to align executive and shareholder interests by enabling executives to evaluate corporate transactions that may be in the best interests of the shareholders and other constituents of the company without undue concern over whether the transactions may jeopardize the executives’ own employment.</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 of Our Change-in-Control Severance Plans</w:t>
      </w:r>
    </w:p>
    <w:p>
      <w:pPr>
        <w:spacing w:after="0" w:line="18" w:lineRule="exact"/>
        <w:rPr>
          <w:sz w:val="20"/>
          <w:szCs w:val="20"/>
          <w:color w:val="auto"/>
        </w:rPr>
      </w:pPr>
    </w:p>
    <w:p>
      <w:pPr>
        <w:ind w:left="640" w:hanging="308"/>
        <w:spacing w:after="0"/>
        <w:tabs>
          <w:tab w:leader="none" w:pos="640" w:val="left"/>
        </w:tabs>
        <w:numPr>
          <w:ilvl w:val="0"/>
          <w:numId w:val="146"/>
        </w:numPr>
        <w:rPr>
          <w:rFonts w:ascii="Arial" w:cs="Arial" w:eastAsia="Arial" w:hAnsi="Arial"/>
          <w:sz w:val="16"/>
          <w:szCs w:val="16"/>
          <w:color w:val="auto"/>
        </w:rPr>
      </w:pPr>
      <w:r>
        <w:rPr>
          <w:rFonts w:ascii="Arial" w:cs="Arial" w:eastAsia="Arial" w:hAnsi="Arial"/>
          <w:sz w:val="18"/>
          <w:szCs w:val="18"/>
          <w:color w:val="auto"/>
        </w:rPr>
        <w:t>all regular employees are covered</w:t>
      </w:r>
    </w:p>
    <w:p>
      <w:pPr>
        <w:spacing w:after="0" w:line="45" w:lineRule="exact"/>
        <w:rPr>
          <w:rFonts w:ascii="Arial" w:cs="Arial" w:eastAsia="Arial" w:hAnsi="Arial"/>
          <w:sz w:val="16"/>
          <w:szCs w:val="16"/>
          <w:color w:val="auto"/>
        </w:rPr>
      </w:pPr>
    </w:p>
    <w:p>
      <w:pPr>
        <w:ind w:left="640" w:hanging="308"/>
        <w:spacing w:after="0"/>
        <w:tabs>
          <w:tab w:leader="none" w:pos="640" w:val="left"/>
        </w:tabs>
        <w:numPr>
          <w:ilvl w:val="0"/>
          <w:numId w:val="146"/>
        </w:numPr>
        <w:rPr>
          <w:rFonts w:ascii="Arial" w:cs="Arial" w:eastAsia="Arial" w:hAnsi="Arial"/>
          <w:sz w:val="16"/>
          <w:szCs w:val="16"/>
          <w:color w:val="auto"/>
        </w:rPr>
      </w:pPr>
      <w:r>
        <w:rPr>
          <w:rFonts w:ascii="Arial" w:cs="Arial" w:eastAsia="Arial" w:hAnsi="Arial"/>
          <w:sz w:val="18"/>
          <w:szCs w:val="18"/>
          <w:color w:val="auto"/>
        </w:rPr>
        <w:t>double trigger required</w:t>
      </w:r>
    </w:p>
    <w:p>
      <w:pPr>
        <w:spacing w:after="0" w:line="63" w:lineRule="exact"/>
        <w:rPr>
          <w:rFonts w:ascii="Arial" w:cs="Arial" w:eastAsia="Arial" w:hAnsi="Arial"/>
          <w:sz w:val="16"/>
          <w:szCs w:val="16"/>
          <w:color w:val="auto"/>
        </w:rPr>
      </w:pPr>
    </w:p>
    <w:p>
      <w:pPr>
        <w:ind w:left="640" w:hanging="308"/>
        <w:spacing w:after="0"/>
        <w:tabs>
          <w:tab w:leader="none" w:pos="640" w:val="left"/>
        </w:tabs>
        <w:numPr>
          <w:ilvl w:val="0"/>
          <w:numId w:val="146"/>
        </w:numPr>
        <w:rPr>
          <w:rFonts w:ascii="Arial" w:cs="Arial" w:eastAsia="Arial" w:hAnsi="Arial"/>
          <w:sz w:val="16"/>
          <w:szCs w:val="16"/>
          <w:color w:val="auto"/>
        </w:rPr>
      </w:pPr>
      <w:r>
        <w:rPr>
          <w:rFonts w:ascii="Arial" w:cs="Arial" w:eastAsia="Arial" w:hAnsi="Arial"/>
          <w:sz w:val="18"/>
          <w:szCs w:val="18"/>
          <w:color w:val="auto"/>
        </w:rPr>
        <w:t>no tax gross-ups</w:t>
      </w:r>
    </w:p>
    <w:p>
      <w:pPr>
        <w:spacing w:after="0" w:line="63" w:lineRule="exact"/>
        <w:rPr>
          <w:rFonts w:ascii="Arial" w:cs="Arial" w:eastAsia="Arial" w:hAnsi="Arial"/>
          <w:sz w:val="16"/>
          <w:szCs w:val="16"/>
          <w:color w:val="auto"/>
        </w:rPr>
      </w:pPr>
    </w:p>
    <w:p>
      <w:pPr>
        <w:ind w:left="640" w:hanging="308"/>
        <w:spacing w:after="0"/>
        <w:tabs>
          <w:tab w:leader="none" w:pos="640" w:val="left"/>
        </w:tabs>
        <w:numPr>
          <w:ilvl w:val="0"/>
          <w:numId w:val="146"/>
        </w:numPr>
        <w:rPr>
          <w:rFonts w:ascii="Arial" w:cs="Arial" w:eastAsia="Arial" w:hAnsi="Arial"/>
          <w:sz w:val="16"/>
          <w:szCs w:val="16"/>
          <w:color w:val="auto"/>
        </w:rPr>
      </w:pPr>
      <w:r>
        <w:rPr>
          <w:rFonts w:ascii="Arial" w:cs="Arial" w:eastAsia="Arial" w:hAnsi="Arial"/>
          <w:sz w:val="18"/>
          <w:szCs w:val="18"/>
          <w:color w:val="auto"/>
        </w:rPr>
        <w:t>up to two-year pay protection</w:t>
      </w:r>
    </w:p>
    <w:p>
      <w:pPr>
        <w:spacing w:after="0" w:line="63" w:lineRule="exact"/>
        <w:rPr>
          <w:rFonts w:ascii="Arial" w:cs="Arial" w:eastAsia="Arial" w:hAnsi="Arial"/>
          <w:sz w:val="16"/>
          <w:szCs w:val="16"/>
          <w:color w:val="auto"/>
        </w:rPr>
      </w:pPr>
    </w:p>
    <w:p>
      <w:pPr>
        <w:ind w:left="640" w:hanging="308"/>
        <w:spacing w:after="0"/>
        <w:tabs>
          <w:tab w:leader="none" w:pos="640" w:val="left"/>
        </w:tabs>
        <w:numPr>
          <w:ilvl w:val="0"/>
          <w:numId w:val="146"/>
        </w:numPr>
        <w:rPr>
          <w:rFonts w:ascii="Arial" w:cs="Arial" w:eastAsia="Arial" w:hAnsi="Arial"/>
          <w:sz w:val="16"/>
          <w:szCs w:val="16"/>
          <w:color w:val="auto"/>
        </w:rPr>
      </w:pPr>
      <w:r>
        <w:rPr>
          <w:rFonts w:ascii="Arial" w:cs="Arial" w:eastAsia="Arial" w:hAnsi="Arial"/>
          <w:sz w:val="18"/>
          <w:szCs w:val="18"/>
          <w:color w:val="auto"/>
        </w:rPr>
        <w:t>18-month benefit continuation</w:t>
      </w:r>
    </w:p>
    <w:p>
      <w:pPr>
        <w:spacing w:after="0" w:line="6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Although benefit levels may differ depending on the employee’s job level and seniority, the basic elements of the plans are comparable for all eligible employees:</w:t>
      </w:r>
    </w:p>
    <w:p>
      <w:pPr>
        <w:spacing w:after="0" w:line="175" w:lineRule="exact"/>
        <w:rPr>
          <w:sz w:val="20"/>
          <w:szCs w:val="20"/>
          <w:color w:val="auto"/>
        </w:rPr>
      </w:pPr>
    </w:p>
    <w:p>
      <w:pPr>
        <w:ind w:left="340" w:hanging="170"/>
        <w:spacing w:after="0" w:line="269" w:lineRule="auto"/>
        <w:tabs>
          <w:tab w:leader="none" w:pos="329" w:val="left"/>
        </w:tabs>
        <w:numPr>
          <w:ilvl w:val="0"/>
          <w:numId w:val="147"/>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Double trigger: </w:t>
      </w:r>
      <w:r>
        <w:rPr>
          <w:rFonts w:ascii="Arial" w:cs="Arial" w:eastAsia="Arial" w:hAnsi="Arial"/>
          <w:sz w:val="17"/>
          <w:szCs w:val="17"/>
          <w:color w:val="000000"/>
        </w:rPr>
        <w:t>Unlike “single trigger” plans that pay out immediately upon a change in control, our plans require a “double trigger”—</w:t>
      </w:r>
      <w:r>
        <w:rPr>
          <w:rFonts w:ascii="Arial" w:cs="Arial" w:eastAsia="Arial" w:hAnsi="Arial"/>
          <w:sz w:val="20"/>
          <w:szCs w:val="20"/>
          <w:b w:val="1"/>
          <w:bCs w:val="1"/>
          <w:color w:val="D52B1E"/>
        </w:rPr>
        <w:t xml:space="preserve"> </w:t>
      </w:r>
      <w:r>
        <w:rPr>
          <w:rFonts w:ascii="Arial" w:cs="Arial" w:eastAsia="Arial" w:hAnsi="Arial"/>
          <w:sz w:val="17"/>
          <w:szCs w:val="17"/>
          <w:color w:val="000000"/>
        </w:rPr>
        <w:t>a change in control followed by an involuntary loss of employment within two years. This is consistent with the plans’ intent to provide employees with financial protection upon loss of employment. With respect to unvested equity, performance to the date of the change in control will be used to determine the number of shares earned under an award, but vesting does not accelerate immediately upon a change in control. Rather, the performance-adjusted awards will convert to time-based restricted stock units that continue to vest with the new company. Shares will pay out upon the earlier of the completion of the original award period; upon a covered termination; or if the successor entity does not assume, substitute, or otherwise replace the awards.</w:t>
      </w:r>
    </w:p>
    <w:p>
      <w:pPr>
        <w:spacing w:after="0" w:line="169" w:lineRule="exact"/>
        <w:rPr>
          <w:rFonts w:ascii="Arial" w:cs="Arial" w:eastAsia="Arial" w:hAnsi="Arial"/>
          <w:sz w:val="16"/>
          <w:szCs w:val="16"/>
          <w:b w:val="1"/>
          <w:bCs w:val="1"/>
          <w:color w:val="D52B1E"/>
        </w:rPr>
      </w:pPr>
    </w:p>
    <w:p>
      <w:pPr>
        <w:ind w:left="340" w:hanging="170"/>
        <w:spacing w:after="0" w:line="279" w:lineRule="auto"/>
        <w:tabs>
          <w:tab w:leader="none" w:pos="329" w:val="left"/>
        </w:tabs>
        <w:numPr>
          <w:ilvl w:val="0"/>
          <w:numId w:val="147"/>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Covered terminations: </w:t>
      </w:r>
      <w:r>
        <w:rPr>
          <w:rFonts w:ascii="Arial" w:cs="Arial" w:eastAsia="Arial" w:hAnsi="Arial"/>
          <w:sz w:val="17"/>
          <w:szCs w:val="17"/>
          <w:color w:val="000000"/>
        </w:rPr>
        <w:t>Employees are eligible for payments if, within two years of the change in control, their employment is</w:t>
      </w:r>
      <w:r>
        <w:rPr>
          <w:rFonts w:ascii="Arial" w:cs="Arial" w:eastAsia="Arial" w:hAnsi="Arial"/>
          <w:sz w:val="20"/>
          <w:szCs w:val="20"/>
          <w:b w:val="1"/>
          <w:bCs w:val="1"/>
          <w:color w:val="D52B1E"/>
        </w:rPr>
        <w:t xml:space="preserve"> </w:t>
      </w:r>
      <w:r>
        <w:rPr>
          <w:rFonts w:ascii="Arial" w:cs="Arial" w:eastAsia="Arial" w:hAnsi="Arial"/>
          <w:sz w:val="17"/>
          <w:szCs w:val="17"/>
          <w:color w:val="000000"/>
        </w:rPr>
        <w:t>terminated (i) without cause by the company or (ii) for good reason by the employee, each as defined in the plans. See “</w:t>
      </w:r>
      <w:r>
        <w:rPr>
          <w:rFonts w:ascii="Arial" w:cs="Arial" w:eastAsia="Arial" w:hAnsi="Arial"/>
          <w:sz w:val="17"/>
          <w:szCs w:val="17"/>
          <w:u w:val="single" w:color="auto"/>
          <w:color w:val="0000FF"/>
        </w:rPr>
        <w:t>Compensation—</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Executive Compensation—Payments upon Termination or Change in Control</w:t>
      </w:r>
      <w:r>
        <w:rPr>
          <w:rFonts w:ascii="Arial" w:cs="Arial" w:eastAsia="Arial" w:hAnsi="Arial"/>
          <w:sz w:val="17"/>
          <w:szCs w:val="17"/>
          <w:color w:val="000000"/>
        </w:rPr>
        <w:t>” for a more detailed discussion, including a discussion of</w:t>
      </w:r>
      <w:r>
        <w:rPr>
          <w:rFonts w:ascii="Arial" w:cs="Arial" w:eastAsia="Arial" w:hAnsi="Arial"/>
          <w:sz w:val="17"/>
          <w:szCs w:val="17"/>
          <w:color w:val="0000FF"/>
        </w:rPr>
        <w:t xml:space="preserve"> </w:t>
      </w:r>
      <w:r>
        <w:rPr>
          <w:rFonts w:ascii="Arial" w:cs="Arial" w:eastAsia="Arial" w:hAnsi="Arial"/>
          <w:sz w:val="17"/>
          <w:szCs w:val="17"/>
          <w:color w:val="000000"/>
        </w:rPr>
        <w:t>what constitutes a change in control.</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3" w:name="page74"/>
    <w:bookmarkEnd w:id="73"/>
    <w:p>
      <w:pPr>
        <w:ind w:left="320" w:hanging="150"/>
        <w:spacing w:after="0"/>
        <w:tabs>
          <w:tab w:leader="none" w:pos="320" w:val="left"/>
        </w:tabs>
        <w:numPr>
          <w:ilvl w:val="0"/>
          <w:numId w:val="148"/>
        </w:numPr>
        <w:rPr>
          <w:rFonts w:ascii="Arial" w:cs="Arial" w:eastAsia="Arial" w:hAnsi="Arial"/>
          <w:sz w:val="16"/>
          <w:szCs w:val="16"/>
          <w:b w:val="1"/>
          <w:bCs w:val="1"/>
          <w:color w:val="D52B1E"/>
        </w:rPr>
      </w:pPr>
      <w:r>
        <w:rPr>
          <w:rFonts w:ascii="Arial" w:cs="Arial" w:eastAsia="Arial" w:hAnsi="Arial"/>
          <w:sz w:val="20"/>
          <w:szCs w:val="20"/>
          <w:b w:val="1"/>
          <w:bCs w:val="1"/>
          <w:color w:val="D52B1E"/>
        </w:rPr>
        <w:t>Employees who suffer a covered termination receive up to two years of pay and 18 months of benefits protection:</w:t>
      </w:r>
    </w:p>
    <w:p>
      <w:pPr>
        <w:spacing w:after="0" w:line="35" w:lineRule="exact"/>
        <w:rPr>
          <w:rFonts w:ascii="Arial" w:cs="Arial" w:eastAsia="Arial" w:hAnsi="Arial"/>
          <w:sz w:val="16"/>
          <w:szCs w:val="16"/>
          <w:b w:val="1"/>
          <w:bCs w:val="1"/>
          <w:color w:val="D52B1E"/>
        </w:rPr>
      </w:pPr>
    </w:p>
    <w:p>
      <w:pPr>
        <w:ind w:left="340"/>
        <w:spacing w:after="0"/>
        <w:rPr>
          <w:rFonts w:ascii="Arial" w:cs="Arial" w:eastAsia="Arial" w:hAnsi="Arial"/>
          <w:sz w:val="16"/>
          <w:szCs w:val="16"/>
          <w:b w:val="1"/>
          <w:bCs w:val="1"/>
          <w:color w:val="D52B1E"/>
        </w:rPr>
      </w:pPr>
      <w:r>
        <w:rPr>
          <w:rFonts w:ascii="Arial" w:cs="Arial" w:eastAsia="Arial" w:hAnsi="Arial"/>
          <w:sz w:val="18"/>
          <w:szCs w:val="18"/>
          <w:color w:val="auto"/>
        </w:rPr>
        <w:t>These provisions ensure employees a reasonable period of protection of their income and core employee benefits.</w:t>
      </w:r>
    </w:p>
    <w:p>
      <w:pPr>
        <w:spacing w:after="0" w:line="45" w:lineRule="exact"/>
        <w:rPr>
          <w:rFonts w:ascii="Arial" w:cs="Arial" w:eastAsia="Arial" w:hAnsi="Arial"/>
          <w:sz w:val="16"/>
          <w:szCs w:val="16"/>
          <w:b w:val="1"/>
          <w:bCs w:val="1"/>
          <w:color w:val="D52B1E"/>
        </w:rPr>
      </w:pPr>
    </w:p>
    <w:p>
      <w:pPr>
        <w:ind w:left="500" w:right="220" w:hanging="168"/>
        <w:spacing w:after="0" w:line="287" w:lineRule="auto"/>
        <w:tabs>
          <w:tab w:leader="none" w:pos="489" w:val="left"/>
        </w:tabs>
        <w:numPr>
          <w:ilvl w:val="1"/>
          <w:numId w:val="148"/>
        </w:numPr>
        <w:rPr>
          <w:rFonts w:ascii="Arial" w:cs="Arial" w:eastAsia="Arial" w:hAnsi="Arial"/>
          <w:sz w:val="16"/>
          <w:szCs w:val="16"/>
          <w:color w:val="auto"/>
        </w:rPr>
      </w:pPr>
      <w:r>
        <w:rPr>
          <w:rFonts w:ascii="Arial" w:cs="Arial" w:eastAsia="Arial" w:hAnsi="Arial"/>
          <w:sz w:val="18"/>
          <w:szCs w:val="18"/>
          <w:color w:val="auto"/>
        </w:rPr>
        <w:t>Severance payment. Eligible terminated employees would receive a severance payment ranging from six months’ to two years’ base salary. Executives are all eligible for two years’ base salary plus two times the then-current year’s target bonus.</w:t>
      </w:r>
    </w:p>
    <w:p>
      <w:pPr>
        <w:spacing w:after="0" w:line="98" w:lineRule="exact"/>
        <w:rPr>
          <w:rFonts w:ascii="Arial" w:cs="Arial" w:eastAsia="Arial" w:hAnsi="Arial"/>
          <w:sz w:val="16"/>
          <w:szCs w:val="16"/>
          <w:color w:val="auto"/>
        </w:rPr>
      </w:pPr>
    </w:p>
    <w:p>
      <w:pPr>
        <w:ind w:left="500" w:right="480" w:hanging="168"/>
        <w:spacing w:after="0" w:line="262" w:lineRule="auto"/>
        <w:tabs>
          <w:tab w:leader="none" w:pos="489" w:val="left"/>
        </w:tabs>
        <w:numPr>
          <w:ilvl w:val="1"/>
          <w:numId w:val="148"/>
        </w:numPr>
        <w:rPr>
          <w:rFonts w:ascii="Arial" w:cs="Arial" w:eastAsia="Arial" w:hAnsi="Arial"/>
          <w:sz w:val="16"/>
          <w:szCs w:val="16"/>
          <w:color w:val="auto"/>
        </w:rPr>
      </w:pPr>
      <w:r>
        <w:rPr>
          <w:rFonts w:ascii="Arial" w:cs="Arial" w:eastAsia="Arial" w:hAnsi="Arial"/>
          <w:sz w:val="18"/>
          <w:szCs w:val="18"/>
          <w:color w:val="auto"/>
        </w:rPr>
        <w:t>Benefit continuation. Basic employee benefits such as health, dental, life insurance and long-term disability would continue for 18 months following termination of employment, unless the individual becomes eligible for coverage with a new employer. All employees would receive an additional two years of both age and years-of-service credit for purposes of determining eligibility for retiree medical and dental benefits.</w:t>
      </w:r>
    </w:p>
    <w:p>
      <w:pPr>
        <w:spacing w:after="0" w:line="225" w:lineRule="exact"/>
        <w:rPr>
          <w:rFonts w:ascii="Arial" w:cs="Arial" w:eastAsia="Arial" w:hAnsi="Arial"/>
          <w:sz w:val="16"/>
          <w:szCs w:val="16"/>
          <w:color w:val="auto"/>
        </w:rPr>
      </w:pPr>
    </w:p>
    <w:p>
      <w:pPr>
        <w:ind w:left="320" w:hanging="150"/>
        <w:spacing w:after="0"/>
        <w:tabs>
          <w:tab w:leader="none" w:pos="320" w:val="left"/>
        </w:tabs>
        <w:numPr>
          <w:ilvl w:val="0"/>
          <w:numId w:val="148"/>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Accelerated vesting of equity awards: </w:t>
      </w:r>
      <w:r>
        <w:rPr>
          <w:rFonts w:ascii="Arial" w:cs="Arial" w:eastAsia="Arial" w:hAnsi="Arial"/>
          <w:sz w:val="17"/>
          <w:szCs w:val="17"/>
          <w:color w:val="000000"/>
        </w:rPr>
        <w:t>Any unvested equity awards would vest at the time of a covered termination.</w:t>
      </w:r>
    </w:p>
    <w:p>
      <w:pPr>
        <w:spacing w:after="0" w:line="256" w:lineRule="exact"/>
        <w:rPr>
          <w:rFonts w:ascii="Arial" w:cs="Arial" w:eastAsia="Arial" w:hAnsi="Arial"/>
          <w:sz w:val="16"/>
          <w:szCs w:val="16"/>
          <w:b w:val="1"/>
          <w:bCs w:val="1"/>
          <w:color w:val="D52B1E"/>
        </w:rPr>
      </w:pPr>
    </w:p>
    <w:p>
      <w:pPr>
        <w:ind w:left="340" w:right="40" w:hanging="170"/>
        <w:spacing w:after="0" w:line="276" w:lineRule="auto"/>
        <w:tabs>
          <w:tab w:leader="none" w:pos="329" w:val="left"/>
        </w:tabs>
        <w:numPr>
          <w:ilvl w:val="0"/>
          <w:numId w:val="148"/>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Excise tax: </w:t>
      </w:r>
      <w:r>
        <w:rPr>
          <w:rFonts w:ascii="Arial" w:cs="Arial" w:eastAsia="Arial" w:hAnsi="Arial"/>
          <w:sz w:val="17"/>
          <w:szCs w:val="17"/>
          <w:color w:val="000000"/>
        </w:rPr>
        <w:t>In some circumstances, the payments or other benefits received by the employee in connection with a change in control</w:t>
      </w:r>
      <w:r>
        <w:rPr>
          <w:rFonts w:ascii="Arial" w:cs="Arial" w:eastAsia="Arial" w:hAnsi="Arial"/>
          <w:sz w:val="20"/>
          <w:szCs w:val="20"/>
          <w:b w:val="1"/>
          <w:bCs w:val="1"/>
          <w:color w:val="D52B1E"/>
        </w:rPr>
        <w:t xml:space="preserve"> </w:t>
      </w:r>
      <w:r>
        <w:rPr>
          <w:rFonts w:ascii="Arial" w:cs="Arial" w:eastAsia="Arial" w:hAnsi="Arial"/>
          <w:sz w:val="17"/>
          <w:szCs w:val="17"/>
          <w:color w:val="000000"/>
        </w:rPr>
        <w:t>could exceed limits established under Section 280G of the Internal Revenue Code. The employee would then be subject to an excise tax on top of normal federal income tax. The company does not reimburse employees for these taxes. However, the amount of any change-in-control-related benefit will be reduced to the 280G limit if the effect would be to deliver a greater after-tax benefit than the employee would receive with an unreduced benefit.</w:t>
      </w:r>
    </w:p>
    <w:p>
      <w:pPr>
        <w:spacing w:after="0" w:line="104"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Share Ownership and Retention Guidelines</w:t>
      </w:r>
    </w:p>
    <w:p>
      <w:pPr>
        <w:spacing w:after="0" w:line="6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Share ownership and retention guidelines help create direct alignment of interests between senior management and shareholders over the longer term. Lilly has established a formal share ownership policy under which the CEO and other senior executives are required to acquire and hold Lilly shares in an amount representing a multiple of base salary. The share ownership requirement for the CEO is 12 times his annual base salary and the share ownership requirement for the other named executive officers is 6 times their annual base salary.</w:t>
      </w:r>
    </w:p>
    <w:p>
      <w:pPr>
        <w:spacing w:after="0" w:line="12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Until ownership of the required number of shares is reached, an executive officer must hold 50 percent of all shares, net of tax, from all equity payouts. Executive officers are also required to hold all shares received from equity program payouts, net of taxes, for at least one year, even once share ownership requirements have been met. For performance awards granted to executive officers, this holding requirement is met by the 13-month service-vesting period after the end of the performance period.</w:t>
      </w:r>
    </w:p>
    <w:p>
      <w:pPr>
        <w:spacing w:after="0" w:line="122"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All of the named executive officers are compliant with the share ownership guidelines. The following graphic shows each respective named executive officer’s guideline and each named executive officer’s holdings as of December 31, 2022.</w:t>
      </w:r>
    </w:p>
    <w:p>
      <w:pPr>
        <w:spacing w:after="0" w:line="157" w:lineRule="exact"/>
        <w:rPr>
          <w:sz w:val="20"/>
          <w:szCs w:val="20"/>
          <w:color w:val="auto"/>
        </w:rPr>
      </w:pPr>
    </w:p>
    <w:tbl>
      <w:tblPr>
        <w:tblLayout w:type="fixed"/>
        <w:tblInd w:w="200" w:type="dxa"/>
        <w:tblCellMar>
          <w:top w:w="0" w:type="dxa"/>
          <w:left w:w="0" w:type="dxa"/>
          <w:bottom w:w="0" w:type="dxa"/>
          <w:right w:w="0" w:type="dxa"/>
        </w:tblCellMar>
      </w:tblPr>
      <w:tr>
        <w:trPr>
          <w:trHeight w:val="297"/>
        </w:trPr>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980" w:type="dxa"/>
            <w:vAlign w:val="bottom"/>
            <w:gridSpan w:val="4"/>
          </w:tcPr>
          <w:p>
            <w:pPr>
              <w:jc w:val="center"/>
              <w:ind w:right="1948"/>
              <w:spacing w:after="0"/>
              <w:rPr>
                <w:sz w:val="20"/>
                <w:szCs w:val="20"/>
                <w:color w:val="auto"/>
              </w:rPr>
            </w:pPr>
            <w:r>
              <w:rPr>
                <w:rFonts w:ascii="Arial" w:cs="Arial" w:eastAsia="Arial" w:hAnsi="Arial"/>
                <w:sz w:val="22"/>
                <w:szCs w:val="22"/>
                <w:b w:val="1"/>
                <w:bCs w:val="1"/>
                <w:color w:val="auto"/>
                <w:w w:val="98"/>
              </w:rPr>
              <w:t>Share Ownership and Retention Guidelines</w:t>
            </w:r>
          </w:p>
        </w:tc>
        <w:tc>
          <w:tcPr>
            <w:tcW w:w="0" w:type="dxa"/>
            <w:vAlign w:val="bottom"/>
          </w:tcPr>
          <w:p>
            <w:pPr>
              <w:spacing w:after="0"/>
              <w:rPr>
                <w:sz w:val="1"/>
                <w:szCs w:val="1"/>
                <w:color w:val="auto"/>
              </w:rPr>
            </w:pPr>
          </w:p>
        </w:tc>
      </w:tr>
      <w:tr>
        <w:trPr>
          <w:trHeight w:val="236"/>
        </w:trPr>
        <w:tc>
          <w:tcPr>
            <w:tcW w:w="1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320" w:type="dxa"/>
            <w:vAlign w:val="bottom"/>
            <w:gridSpan w:val="3"/>
          </w:tcPr>
          <w:p>
            <w:pPr>
              <w:ind w:left="20"/>
              <w:spacing w:after="0"/>
              <w:rPr>
                <w:sz w:val="20"/>
                <w:szCs w:val="20"/>
                <w:color w:val="auto"/>
              </w:rPr>
            </w:pPr>
            <w:r>
              <w:rPr>
                <w:rFonts w:ascii="Arial" w:cs="Arial" w:eastAsia="Arial" w:hAnsi="Arial"/>
                <w:sz w:val="13"/>
                <w:szCs w:val="13"/>
                <w:b w:val="1"/>
                <w:bCs w:val="1"/>
                <w:color w:val="00A1DE"/>
              </w:rPr>
              <w:t>12x Base Salary Ownership Requirement</w:t>
            </w:r>
          </w:p>
        </w:tc>
        <w:tc>
          <w:tcPr>
            <w:tcW w:w="0" w:type="dxa"/>
            <w:vAlign w:val="bottom"/>
          </w:tcPr>
          <w:p>
            <w:pPr>
              <w:spacing w:after="0"/>
              <w:rPr>
                <w:sz w:val="1"/>
                <w:szCs w:val="1"/>
                <w:color w:val="auto"/>
              </w:rPr>
            </w:pPr>
          </w:p>
        </w:tc>
      </w:tr>
      <w:tr>
        <w:trPr>
          <w:trHeight w:val="89"/>
        </w:trPr>
        <w:tc>
          <w:tcPr>
            <w:tcW w:w="15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Mr. Ricks</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60" w:type="dxa"/>
            <w:vAlign w:val="bottom"/>
          </w:tcPr>
          <w:p>
            <w:pPr>
              <w:spacing w:after="0"/>
              <w:rPr>
                <w:sz w:val="7"/>
                <w:szCs w:val="7"/>
                <w:color w:val="auto"/>
              </w:rPr>
            </w:pPr>
          </w:p>
        </w:tc>
        <w:tc>
          <w:tcPr>
            <w:tcW w:w="4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540" w:type="dxa"/>
            <w:vAlign w:val="bottom"/>
            <w:vMerge w:val="continue"/>
          </w:tcPr>
          <w:p>
            <w:pPr>
              <w:spacing w:after="0"/>
              <w:rPr>
                <w:sz w:val="23"/>
                <w:szCs w:val="23"/>
                <w:color w:val="auto"/>
              </w:rPr>
            </w:pPr>
          </w:p>
        </w:tc>
        <w:tc>
          <w:tcPr>
            <w:tcW w:w="300" w:type="dxa"/>
            <w:vAlign w:val="bottom"/>
            <w:shd w:val="clear" w:color="auto" w:fill="D0E7F7"/>
          </w:tcPr>
          <w:p>
            <w:pPr>
              <w:spacing w:after="0"/>
              <w:rPr>
                <w:sz w:val="23"/>
                <w:szCs w:val="23"/>
                <w:color w:val="auto"/>
              </w:rPr>
            </w:pPr>
          </w:p>
        </w:tc>
        <w:tc>
          <w:tcPr>
            <w:tcW w:w="660" w:type="dxa"/>
            <w:vAlign w:val="bottom"/>
            <w:shd w:val="clear" w:color="auto" w:fill="D0E7F7"/>
          </w:tcPr>
          <w:p>
            <w:pPr>
              <w:spacing w:after="0"/>
              <w:rPr>
                <w:sz w:val="23"/>
                <w:szCs w:val="23"/>
                <w:color w:val="auto"/>
              </w:rPr>
            </w:pPr>
          </w:p>
        </w:tc>
        <w:tc>
          <w:tcPr>
            <w:tcW w:w="300" w:type="dxa"/>
            <w:vAlign w:val="bottom"/>
            <w:shd w:val="clear" w:color="auto" w:fill="D0E7F7"/>
          </w:tcPr>
          <w:p>
            <w:pPr>
              <w:spacing w:after="0"/>
              <w:rPr>
                <w:sz w:val="23"/>
                <w:szCs w:val="23"/>
                <w:color w:val="auto"/>
              </w:rPr>
            </w:pPr>
          </w:p>
        </w:tc>
        <w:tc>
          <w:tcPr>
            <w:tcW w:w="1660" w:type="dxa"/>
            <w:vAlign w:val="bottom"/>
            <w:shd w:val="clear" w:color="auto" w:fill="D0E7F7"/>
          </w:tcPr>
          <w:p>
            <w:pPr>
              <w:spacing w:after="0"/>
              <w:rPr>
                <w:sz w:val="23"/>
                <w:szCs w:val="23"/>
                <w:color w:val="auto"/>
              </w:rPr>
            </w:pPr>
          </w:p>
        </w:tc>
        <w:tc>
          <w:tcPr>
            <w:tcW w:w="4360" w:type="dxa"/>
            <w:vAlign w:val="bottom"/>
            <w:shd w:val="clear" w:color="auto" w:fill="D0E7F7"/>
          </w:tcPr>
          <w:p>
            <w:pPr>
              <w:ind w:left="4020"/>
              <w:spacing w:after="0"/>
              <w:rPr>
                <w:sz w:val="20"/>
                <w:szCs w:val="20"/>
                <w:color w:val="auto"/>
              </w:rPr>
            </w:pPr>
            <w:r>
              <w:rPr>
                <w:rFonts w:ascii="Arial" w:cs="Arial" w:eastAsia="Arial" w:hAnsi="Arial"/>
                <w:sz w:val="14"/>
                <w:szCs w:val="14"/>
                <w:b w:val="1"/>
                <w:bCs w:val="1"/>
                <w:color w:val="auto"/>
              </w:rPr>
              <w:t>123x</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300" w:type="dxa"/>
            <w:vAlign w:val="bottom"/>
            <w:tcBorders>
              <w:bottom w:val="single" w:sz="8" w:color="B6B6B6"/>
            </w:tcBorders>
          </w:tcPr>
          <w:p>
            <w:pPr>
              <w:spacing w:after="0"/>
              <w:rPr>
                <w:sz w:val="12"/>
                <w:szCs w:val="12"/>
                <w:color w:val="auto"/>
              </w:rPr>
            </w:pPr>
          </w:p>
        </w:tc>
        <w:tc>
          <w:tcPr>
            <w:tcW w:w="6980" w:type="dxa"/>
            <w:vAlign w:val="bottom"/>
            <w:tcBorders>
              <w:bottom w:val="single" w:sz="8" w:color="B6B6B6"/>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1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980" w:type="dxa"/>
            <w:vAlign w:val="bottom"/>
            <w:gridSpan w:val="4"/>
          </w:tcPr>
          <w:p>
            <w:pPr>
              <w:ind w:left="180"/>
              <w:spacing w:after="0"/>
              <w:rPr>
                <w:sz w:val="20"/>
                <w:szCs w:val="20"/>
                <w:color w:val="auto"/>
              </w:rPr>
            </w:pPr>
            <w:r>
              <w:rPr>
                <w:rFonts w:ascii="Arial" w:cs="Arial" w:eastAsia="Arial" w:hAnsi="Arial"/>
                <w:sz w:val="13"/>
                <w:szCs w:val="13"/>
                <w:b w:val="1"/>
                <w:bCs w:val="1"/>
                <w:color w:val="00A1DE"/>
              </w:rPr>
              <w:t>6x Base Salary Ownership Requirement</w:t>
            </w:r>
          </w:p>
        </w:tc>
        <w:tc>
          <w:tcPr>
            <w:tcW w:w="0" w:type="dxa"/>
            <w:vAlign w:val="bottom"/>
          </w:tcPr>
          <w:p>
            <w:pPr>
              <w:spacing w:after="0"/>
              <w:rPr>
                <w:sz w:val="1"/>
                <w:szCs w:val="1"/>
                <w:color w:val="auto"/>
              </w:rPr>
            </w:pPr>
          </w:p>
        </w:tc>
      </w:tr>
      <w:tr>
        <w:trPr>
          <w:trHeight w:val="103"/>
        </w:trPr>
        <w:tc>
          <w:tcPr>
            <w:tcW w:w="15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Ms. Ashkenazi</w:t>
            </w:r>
          </w:p>
        </w:tc>
        <w:tc>
          <w:tcPr>
            <w:tcW w:w="300" w:type="dxa"/>
            <w:vAlign w:val="bottom"/>
          </w:tcPr>
          <w:p>
            <w:pPr>
              <w:spacing w:after="0"/>
              <w:rPr>
                <w:sz w:val="8"/>
                <w:szCs w:val="8"/>
                <w:color w:val="auto"/>
              </w:rPr>
            </w:pPr>
          </w:p>
        </w:tc>
        <w:tc>
          <w:tcPr>
            <w:tcW w:w="960" w:type="dxa"/>
            <w:vAlign w:val="bottom"/>
            <w:gridSpan w:val="2"/>
          </w:tcPr>
          <w:p>
            <w:pPr>
              <w:spacing w:after="0"/>
              <w:rPr>
                <w:sz w:val="8"/>
                <w:szCs w:val="8"/>
                <w:color w:val="auto"/>
              </w:rPr>
            </w:pPr>
          </w:p>
        </w:tc>
        <w:tc>
          <w:tcPr>
            <w:tcW w:w="1660" w:type="dxa"/>
            <w:vAlign w:val="bottom"/>
          </w:tcPr>
          <w:p>
            <w:pPr>
              <w:spacing w:after="0"/>
              <w:rPr>
                <w:sz w:val="8"/>
                <w:szCs w:val="8"/>
                <w:color w:val="auto"/>
              </w:rPr>
            </w:pPr>
          </w:p>
        </w:tc>
        <w:tc>
          <w:tcPr>
            <w:tcW w:w="4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540" w:type="dxa"/>
            <w:vAlign w:val="bottom"/>
            <w:vMerge w:val="continue"/>
          </w:tcPr>
          <w:p>
            <w:pPr>
              <w:spacing w:after="0"/>
              <w:rPr>
                <w:sz w:val="23"/>
                <w:szCs w:val="23"/>
                <w:color w:val="auto"/>
              </w:rPr>
            </w:pPr>
          </w:p>
        </w:tc>
        <w:tc>
          <w:tcPr>
            <w:tcW w:w="300" w:type="dxa"/>
            <w:vAlign w:val="bottom"/>
            <w:shd w:val="clear" w:color="auto" w:fill="D0E7F7"/>
          </w:tcPr>
          <w:p>
            <w:pPr>
              <w:spacing w:after="0"/>
              <w:rPr>
                <w:sz w:val="23"/>
                <w:szCs w:val="23"/>
                <w:color w:val="auto"/>
              </w:rPr>
            </w:pPr>
          </w:p>
        </w:tc>
        <w:tc>
          <w:tcPr>
            <w:tcW w:w="660" w:type="dxa"/>
            <w:vAlign w:val="bottom"/>
            <w:shd w:val="clear" w:color="auto" w:fill="D0E7F7"/>
          </w:tcPr>
          <w:p>
            <w:pPr>
              <w:ind w:left="400"/>
              <w:spacing w:after="0"/>
              <w:rPr>
                <w:sz w:val="20"/>
                <w:szCs w:val="20"/>
                <w:color w:val="auto"/>
              </w:rPr>
            </w:pPr>
            <w:r>
              <w:rPr>
                <w:rFonts w:ascii="Arial" w:cs="Arial" w:eastAsia="Arial" w:hAnsi="Arial"/>
                <w:sz w:val="14"/>
                <w:szCs w:val="14"/>
                <w:b w:val="1"/>
                <w:bCs w:val="1"/>
                <w:color w:val="auto"/>
              </w:rPr>
              <w:t>12x</w:t>
            </w:r>
          </w:p>
        </w:tc>
        <w:tc>
          <w:tcPr>
            <w:tcW w:w="3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4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15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8"/>
              </w:rPr>
              <w:t>Dr. Skovronsky</w:t>
            </w: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1540" w:type="dxa"/>
            <w:vAlign w:val="bottom"/>
            <w:vMerge w:val="continue"/>
          </w:tcPr>
          <w:p>
            <w:pPr>
              <w:spacing w:after="0"/>
              <w:rPr>
                <w:sz w:val="23"/>
                <w:szCs w:val="23"/>
                <w:color w:val="auto"/>
              </w:rPr>
            </w:pPr>
          </w:p>
        </w:tc>
        <w:tc>
          <w:tcPr>
            <w:tcW w:w="300" w:type="dxa"/>
            <w:vAlign w:val="bottom"/>
            <w:shd w:val="clear" w:color="auto" w:fill="D0E7F7"/>
          </w:tcPr>
          <w:p>
            <w:pPr>
              <w:spacing w:after="0"/>
              <w:rPr>
                <w:sz w:val="23"/>
                <w:szCs w:val="23"/>
                <w:color w:val="auto"/>
              </w:rPr>
            </w:pPr>
          </w:p>
        </w:tc>
        <w:tc>
          <w:tcPr>
            <w:tcW w:w="660" w:type="dxa"/>
            <w:vAlign w:val="bottom"/>
            <w:shd w:val="clear" w:color="auto" w:fill="D0E7F7"/>
          </w:tcPr>
          <w:p>
            <w:pPr>
              <w:spacing w:after="0"/>
              <w:rPr>
                <w:sz w:val="23"/>
                <w:szCs w:val="23"/>
                <w:color w:val="auto"/>
              </w:rPr>
            </w:pPr>
          </w:p>
        </w:tc>
        <w:tc>
          <w:tcPr>
            <w:tcW w:w="300" w:type="dxa"/>
            <w:vAlign w:val="bottom"/>
            <w:shd w:val="clear" w:color="auto" w:fill="D0E7F7"/>
          </w:tcPr>
          <w:p>
            <w:pPr>
              <w:spacing w:after="0"/>
              <w:rPr>
                <w:sz w:val="23"/>
                <w:szCs w:val="23"/>
                <w:color w:val="auto"/>
              </w:rPr>
            </w:pPr>
          </w:p>
        </w:tc>
        <w:tc>
          <w:tcPr>
            <w:tcW w:w="1660" w:type="dxa"/>
            <w:vAlign w:val="bottom"/>
            <w:shd w:val="clear" w:color="auto" w:fill="D0E7F7"/>
          </w:tcPr>
          <w:p>
            <w:pPr>
              <w:jc w:val="center"/>
              <w:ind w:left="1308"/>
              <w:spacing w:after="0"/>
              <w:rPr>
                <w:sz w:val="20"/>
                <w:szCs w:val="20"/>
                <w:color w:val="auto"/>
              </w:rPr>
            </w:pPr>
            <w:r>
              <w:rPr>
                <w:rFonts w:ascii="Arial" w:cs="Arial" w:eastAsia="Arial" w:hAnsi="Arial"/>
                <w:sz w:val="14"/>
                <w:szCs w:val="14"/>
                <w:b w:val="1"/>
                <w:bCs w:val="1"/>
                <w:color w:val="auto"/>
              </w:rPr>
              <w:t>43x</w:t>
            </w:r>
          </w:p>
        </w:tc>
        <w:tc>
          <w:tcPr>
            <w:tcW w:w="4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15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Ms. Hakim*</w:t>
            </w:r>
          </w:p>
        </w:tc>
        <w:tc>
          <w:tcPr>
            <w:tcW w:w="1260" w:type="dxa"/>
            <w:vAlign w:val="bottom"/>
            <w:gridSpan w:val="3"/>
          </w:tcPr>
          <w:p>
            <w:pPr>
              <w:spacing w:after="0"/>
              <w:rPr>
                <w:sz w:val="12"/>
                <w:szCs w:val="12"/>
                <w:color w:val="auto"/>
              </w:rPr>
            </w:pPr>
          </w:p>
        </w:tc>
        <w:tc>
          <w:tcPr>
            <w:tcW w:w="60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1540" w:type="dxa"/>
            <w:vAlign w:val="bottom"/>
            <w:vMerge w:val="continue"/>
          </w:tcPr>
          <w:p>
            <w:pPr>
              <w:spacing w:after="0"/>
              <w:rPr>
                <w:sz w:val="23"/>
                <w:szCs w:val="23"/>
                <w:color w:val="auto"/>
              </w:rPr>
            </w:pPr>
          </w:p>
        </w:tc>
        <w:tc>
          <w:tcPr>
            <w:tcW w:w="300" w:type="dxa"/>
            <w:vAlign w:val="bottom"/>
            <w:shd w:val="clear" w:color="auto" w:fill="D0E7F7"/>
          </w:tcPr>
          <w:p>
            <w:pPr>
              <w:ind w:left="120"/>
              <w:spacing w:after="0"/>
              <w:rPr>
                <w:sz w:val="20"/>
                <w:szCs w:val="20"/>
                <w:color w:val="auto"/>
              </w:rPr>
            </w:pPr>
            <w:r>
              <w:rPr>
                <w:rFonts w:ascii="Arial" w:cs="Arial" w:eastAsia="Arial" w:hAnsi="Arial"/>
                <w:sz w:val="14"/>
                <w:szCs w:val="14"/>
                <w:b w:val="1"/>
                <w:bCs w:val="1"/>
                <w:color w:val="auto"/>
              </w:rPr>
              <w:t>4x</w:t>
            </w:r>
          </w:p>
        </w:tc>
        <w:tc>
          <w:tcPr>
            <w:tcW w:w="960" w:type="dxa"/>
            <w:vAlign w:val="bottom"/>
            <w:gridSpan w:val="2"/>
          </w:tcPr>
          <w:p>
            <w:pPr>
              <w:spacing w:after="0"/>
              <w:rPr>
                <w:sz w:val="23"/>
                <w:szCs w:val="23"/>
                <w:color w:val="auto"/>
              </w:rPr>
            </w:pPr>
          </w:p>
        </w:tc>
        <w:tc>
          <w:tcPr>
            <w:tcW w:w="60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15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Mr. Jonsson</w:t>
            </w: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32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1540" w:type="dxa"/>
            <w:vAlign w:val="bottom"/>
            <w:vMerge w:val="continue"/>
          </w:tcPr>
          <w:p>
            <w:pPr>
              <w:spacing w:after="0"/>
              <w:rPr>
                <w:sz w:val="23"/>
                <w:szCs w:val="23"/>
                <w:color w:val="auto"/>
              </w:rPr>
            </w:pPr>
          </w:p>
        </w:tc>
        <w:tc>
          <w:tcPr>
            <w:tcW w:w="300" w:type="dxa"/>
            <w:vAlign w:val="bottom"/>
            <w:shd w:val="clear" w:color="auto" w:fill="D0E7F7"/>
          </w:tcPr>
          <w:p>
            <w:pPr>
              <w:spacing w:after="0"/>
              <w:rPr>
                <w:sz w:val="23"/>
                <w:szCs w:val="23"/>
                <w:color w:val="auto"/>
              </w:rPr>
            </w:pPr>
          </w:p>
        </w:tc>
        <w:tc>
          <w:tcPr>
            <w:tcW w:w="660" w:type="dxa"/>
            <w:vAlign w:val="bottom"/>
            <w:shd w:val="clear" w:color="auto" w:fill="D0E7F7"/>
          </w:tcPr>
          <w:p>
            <w:pPr>
              <w:spacing w:after="0"/>
              <w:rPr>
                <w:sz w:val="23"/>
                <w:szCs w:val="23"/>
                <w:color w:val="auto"/>
              </w:rPr>
            </w:pPr>
          </w:p>
        </w:tc>
        <w:tc>
          <w:tcPr>
            <w:tcW w:w="300" w:type="dxa"/>
            <w:vAlign w:val="bottom"/>
            <w:shd w:val="clear" w:color="auto" w:fill="D0E7F7"/>
          </w:tcPr>
          <w:p>
            <w:pPr>
              <w:ind w:left="40"/>
              <w:spacing w:after="0"/>
              <w:rPr>
                <w:sz w:val="20"/>
                <w:szCs w:val="20"/>
                <w:color w:val="auto"/>
              </w:rPr>
            </w:pPr>
            <w:r>
              <w:rPr>
                <w:rFonts w:ascii="Arial" w:cs="Arial" w:eastAsia="Arial" w:hAnsi="Arial"/>
                <w:sz w:val="14"/>
                <w:szCs w:val="14"/>
                <w:b w:val="1"/>
                <w:bCs w:val="1"/>
                <w:color w:val="auto"/>
              </w:rPr>
              <w:t>16x</w:t>
            </w:r>
          </w:p>
        </w:tc>
        <w:tc>
          <w:tcPr>
            <w:tcW w:w="60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1389380</wp:posOffset>
            </wp:positionH>
            <wp:positionV relativeFrom="paragraph">
              <wp:posOffset>-1117600</wp:posOffset>
            </wp:positionV>
            <wp:extent cx="34290" cy="122555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34290" cy="1225550"/>
                    </a:xfrm>
                    <a:prstGeom prst="rect">
                      <a:avLst/>
                    </a:prstGeom>
                    <a:noFill/>
                  </pic:spPr>
                </pic:pic>
              </a:graphicData>
            </a:graphic>
          </wp:anchor>
        </w:drawing>
        <w:drawing>
          <wp:anchor simplePos="0" relativeHeight="251657728" behindDoc="1" locked="0" layoutInCell="0" allowOverlap="1">
            <wp:simplePos x="0" y="0"/>
            <wp:positionH relativeFrom="column">
              <wp:posOffset>1697990</wp:posOffset>
            </wp:positionH>
            <wp:positionV relativeFrom="paragraph">
              <wp:posOffset>-1614805</wp:posOffset>
            </wp:positionV>
            <wp:extent cx="33655" cy="33401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33655" cy="334010"/>
                    </a:xfrm>
                    <a:prstGeom prst="rect">
                      <a:avLst/>
                    </a:prstGeom>
                    <a:noFill/>
                  </pic:spPr>
                </pic:pic>
              </a:graphicData>
            </a:graphic>
          </wp:anchor>
        </w:drawing>
      </w:r>
    </w:p>
    <w:p>
      <w:pPr>
        <w:spacing w:after="0" w:line="146" w:lineRule="exact"/>
        <w:rPr>
          <w:sz w:val="20"/>
          <w:szCs w:val="20"/>
          <w:color w:val="auto"/>
        </w:rPr>
      </w:pPr>
    </w:p>
    <w:p>
      <w:pPr>
        <w:ind w:left="20" w:right="2360"/>
        <w:spacing w:after="0" w:line="305" w:lineRule="auto"/>
        <w:rPr>
          <w:sz w:val="20"/>
          <w:szCs w:val="20"/>
          <w:color w:val="auto"/>
        </w:rPr>
      </w:pPr>
      <w:r>
        <w:rPr>
          <w:rFonts w:ascii="Arial" w:cs="Arial" w:eastAsia="Arial" w:hAnsi="Arial"/>
          <w:sz w:val="14"/>
          <w:szCs w:val="14"/>
          <w:color w:val="auto"/>
        </w:rPr>
        <w:t>*Ms. Hakim joined Lilly in February 2020 and has held at least 50 percent of her net share payouts in compliance with share ownership and retention guidelines.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4" w:name="page75"/>
    <w:bookmarkEnd w:id="74"/>
    <w:p>
      <w:pPr>
        <w:spacing w:after="0"/>
        <w:rPr>
          <w:sz w:val="20"/>
          <w:szCs w:val="20"/>
          <w:color w:val="auto"/>
        </w:rPr>
      </w:pPr>
      <w:r>
        <w:rPr>
          <w:rFonts w:ascii="Arial" w:cs="Arial" w:eastAsia="Arial" w:hAnsi="Arial"/>
          <w:sz w:val="25"/>
          <w:szCs w:val="25"/>
          <w:b w:val="1"/>
          <w:bCs w:val="1"/>
          <w:color w:val="00A1DE"/>
        </w:rPr>
        <w:t>Prohibition on Hedging and Pledging Shares</w:t>
      </w:r>
    </w:p>
    <w:p>
      <w:pPr>
        <w:spacing w:after="0" w:line="6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Non-employee directors and employees, including executive officers, are not permitted to hedge their economic exposures to company stock through short sales or derivative transactions. Non-employee directors and employees, including executive officers, are prohibited from pledging any company stock (i.e., using company stock as collateral for a loan or trading shares on margin).</w:t>
      </w:r>
    </w:p>
    <w:p>
      <w:pPr>
        <w:spacing w:after="0" w:line="111"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Executive Compensation Recovery Policy</w:t>
      </w:r>
    </w:p>
    <w:p>
      <w:pPr>
        <w:spacing w:after="0" w:line="8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Pursuant to the provisions of our incentive award agreements and our robust executive compensation recovery policy (the Executive Compensation Recovery Policy), Lilly may seek recoupment of incentive compensation (cash or equity) and/or non-qualified benefits previously granted or paid to executives in the event of: (a) certain financial restatements resulting from misconduct or (b) other misconduct resulting in material violations of law or company policy that causes significant harm to the company. Furthermore, all outstanding incentive awards are subject to forfeiture upon termination of employment.</w:t>
      </w:r>
    </w:p>
    <w:p>
      <w:pPr>
        <w:spacing w:after="0" w:line="1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Specifically, the company may recover all or a portion of any incentive compensation paid to an executive officer during the prior three years and the company could also recover non-qualified retirement benefits accrued beginning January 1, 2022, in the case of materially inaccurate financial statements or material errors in the performance calculation. Compensation recovery may occur whether financial statement inaccuracies or errors result in a restatement and whether or not the executive officer has engaged in wrongful conduct. Subsequent changes in status, including retirement or termination of employment, do not affect the company’s rights to recover compensation under the policy.</w:t>
      </w:r>
    </w:p>
    <w:p>
      <w:pPr>
        <w:spacing w:after="0" w:line="128"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The Executive Compensation Recovery Policy is administered by the Talent and Compensation Committee. The company will disclose decisions to take action pursuant to the Executive Compensation Recovery Policy in its proxy materials when required by, and in compliance with, SEC rules and regulations and other applicable laws. In addition, when legally permissible to do so, the company will disclose a decision to act under this policy when the facts and circumstances of the matter that triggered application of the policy have been publicly disclosed in the company’s filings with the SEC and where disclosure can be made without prejudicing the company and its shareholders.</w:t>
      </w:r>
    </w:p>
    <w:p>
      <w:pPr>
        <w:spacing w:after="0" w:line="96"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company will further comply with any recoupment requirements imposed by applicable laws, rules or regulations, including in connection with the final rule issued by the SEC implementing the provisions of the Dodd-Frank Wall Street Reform and Consumer Protection Act relating to recoupment of incentive-based compensation. We will monitor the listing standards adopted by the NYSE and amend our Executive Compensation Recovery Policy during the required timeframe in compliance with those standards.</w:t>
      </w: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5" w:right="379" w:bottom="1440" w:gutter="0" w:footer="0" w:header="0"/>
        </w:sectPr>
      </w:pPr>
    </w:p>
    <w:bookmarkStart w:id="75" w:name="page76"/>
    <w:bookmarkEnd w:id="75"/>
    <w:p>
      <w:pPr>
        <w:spacing w:after="0"/>
        <w:rPr>
          <w:sz w:val="20"/>
          <w:szCs w:val="20"/>
          <w:color w:val="auto"/>
        </w:rPr>
      </w:pPr>
      <w:r>
        <w:rPr>
          <w:rFonts w:ascii="Arial" w:cs="Arial" w:eastAsia="Arial" w:hAnsi="Arial"/>
          <w:sz w:val="32"/>
          <w:szCs w:val="32"/>
          <w:b w:val="1"/>
          <w:bCs w:val="1"/>
          <w:color w:val="D52B1E"/>
        </w:rPr>
        <w:t>Executive Compensation</w:t>
      </w:r>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5760720" cy="825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Non-Equity</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Change in</w:t>
            </w: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w:t>
            </w: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9"/>
              </w:rPr>
              <w:t>Stock</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Incentive Plan</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Pension</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10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40" w:type="dxa"/>
            <w:vAlign w:val="bottom"/>
            <w:vMerge w:val="restart"/>
          </w:tcPr>
          <w:p>
            <w:pPr>
              <w:jc w:val="right"/>
              <w:ind w:right="230"/>
              <w:spacing w:after="0"/>
              <w:rPr>
                <w:sz w:val="20"/>
                <w:szCs w:val="20"/>
                <w:color w:val="auto"/>
              </w:rPr>
            </w:pPr>
            <w:r>
              <w:rPr>
                <w:rFonts w:ascii="Arial" w:cs="Arial" w:eastAsia="Arial" w:hAnsi="Arial"/>
                <w:sz w:val="14"/>
                <w:szCs w:val="14"/>
                <w:b w:val="1"/>
                <w:bCs w:val="1"/>
                <w:color w:val="auto"/>
              </w:rPr>
              <w:t>Salary</w:t>
            </w:r>
          </w:p>
        </w:tc>
        <w:tc>
          <w:tcPr>
            <w:tcW w:w="840" w:type="dxa"/>
            <w:vAlign w:val="bottom"/>
            <w:vMerge w:val="restart"/>
          </w:tcPr>
          <w:p>
            <w:pPr>
              <w:jc w:val="right"/>
              <w:ind w:right="150"/>
              <w:spacing w:after="0"/>
              <w:rPr>
                <w:sz w:val="20"/>
                <w:szCs w:val="20"/>
                <w:color w:val="auto"/>
              </w:rPr>
            </w:pPr>
            <w:r>
              <w:rPr>
                <w:rFonts w:ascii="Arial" w:cs="Arial" w:eastAsia="Arial" w:hAnsi="Arial"/>
                <w:sz w:val="14"/>
                <w:szCs w:val="14"/>
                <w:b w:val="1"/>
                <w:bCs w:val="1"/>
                <w:color w:val="auto"/>
              </w:rPr>
              <w:t>Bonus</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Awards</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Compensation</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Value</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Compensation</w:t>
            </w: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Principal</w:t>
            </w:r>
          </w:p>
        </w:tc>
        <w:tc>
          <w:tcPr>
            <w:tcW w:w="4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54"/>
        </w:trPr>
        <w:tc>
          <w:tcPr>
            <w:tcW w:w="106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1100" w:type="dxa"/>
            <w:vAlign w:val="bottom"/>
            <w:vMerge w:val="restart"/>
          </w:tcPr>
          <w:p>
            <w:pPr>
              <w:jc w:val="center"/>
              <w:ind w:right="349"/>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1</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2</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 xml:space="preserve">($) </w:t>
            </w:r>
            <w:r>
              <w:rPr>
                <w:rFonts w:ascii="Arial" w:cs="Arial" w:eastAsia="Arial" w:hAnsi="Arial"/>
                <w:sz w:val="9"/>
                <w:szCs w:val="9"/>
                <w:b w:val="1"/>
                <w:bCs w:val="1"/>
                <w:color w:val="auto"/>
                <w:w w:val="99"/>
              </w:rPr>
              <w:t>3</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 xml:space="preserve">($) </w:t>
            </w:r>
            <w:r>
              <w:rPr>
                <w:rFonts w:ascii="Arial" w:cs="Arial" w:eastAsia="Arial" w:hAnsi="Arial"/>
                <w:sz w:val="9"/>
                <w:szCs w:val="9"/>
                <w:b w:val="1"/>
                <w:bCs w:val="1"/>
                <w:color w:val="auto"/>
                <w:w w:val="99"/>
              </w:rPr>
              <w:t>4</w:t>
            </w: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Position</w:t>
            </w:r>
          </w:p>
        </w:tc>
        <w:tc>
          <w:tcPr>
            <w:tcW w:w="4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40" w:type="dxa"/>
            <w:vAlign w:val="bottom"/>
            <w:vMerge w:val="restart"/>
          </w:tcPr>
          <w:p>
            <w:pPr>
              <w:jc w:val="right"/>
              <w:ind w:right="350"/>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tcPr>
          <w:p>
            <w:pPr>
              <w:jc w:val="right"/>
              <w:ind w:right="270"/>
              <w:spacing w:after="0"/>
              <w:rPr>
                <w:sz w:val="20"/>
                <w:szCs w:val="20"/>
                <w:color w:val="auto"/>
              </w:rPr>
            </w:pPr>
            <w:r>
              <w:rPr>
                <w:rFonts w:ascii="Arial" w:cs="Arial" w:eastAsia="Arial" w:hAnsi="Arial"/>
                <w:sz w:val="14"/>
                <w:szCs w:val="14"/>
                <w:b w:val="1"/>
                <w:bCs w:val="1"/>
                <w:color w:val="auto"/>
              </w:rPr>
              <w:t>($)</w:t>
            </w:r>
          </w:p>
        </w:tc>
        <w:tc>
          <w:tcPr>
            <w:tcW w:w="110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63"/>
        </w:trPr>
        <w:tc>
          <w:tcPr>
            <w:tcW w:w="1060" w:type="dxa"/>
            <w:vAlign w:val="bottom"/>
            <w:tcBorders>
              <w:bottom w:val="single" w:sz="8" w:color="auto"/>
            </w:tcBorders>
            <w:vMerge w:val="continue"/>
          </w:tcPr>
          <w:p>
            <w:pPr>
              <w:spacing w:after="0"/>
              <w:rPr>
                <w:sz w:val="5"/>
                <w:szCs w:val="5"/>
                <w:color w:val="auto"/>
              </w:rPr>
            </w:pPr>
          </w:p>
        </w:tc>
        <w:tc>
          <w:tcPr>
            <w:tcW w:w="420" w:type="dxa"/>
            <w:vAlign w:val="bottom"/>
            <w:tcBorders>
              <w:bottom w:val="single" w:sz="8" w:color="auto"/>
            </w:tcBorders>
            <w:vMerge w:val="continue"/>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1060" w:type="dxa"/>
            <w:vAlign w:val="bottom"/>
            <w:shd w:val="clear" w:color="auto" w:fill="F2F2F2"/>
          </w:tcPr>
          <w:p>
            <w:pPr>
              <w:ind w:left="20"/>
              <w:spacing w:after="0"/>
              <w:rPr>
                <w:sz w:val="20"/>
                <w:szCs w:val="20"/>
                <w:color w:val="auto"/>
              </w:rPr>
            </w:pPr>
            <w:r>
              <w:rPr>
                <w:rFonts w:ascii="Arial" w:cs="Arial" w:eastAsia="Arial" w:hAnsi="Arial"/>
                <w:sz w:val="14"/>
                <w:szCs w:val="14"/>
                <w:color w:val="auto"/>
              </w:rPr>
              <w:t>David A. Ricks</w:t>
            </w:r>
          </w:p>
        </w:tc>
        <w:tc>
          <w:tcPr>
            <w:tcW w:w="42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2022</w:t>
            </w:r>
          </w:p>
        </w:tc>
        <w:tc>
          <w:tcPr>
            <w:tcW w:w="940" w:type="dxa"/>
            <w:vAlign w:val="bottom"/>
            <w:shd w:val="clear" w:color="auto" w:fill="F2F2F2"/>
          </w:tcPr>
          <w:p>
            <w:pPr>
              <w:jc w:val="right"/>
              <w:ind w:right="110"/>
              <w:spacing w:after="0"/>
              <w:rPr>
                <w:sz w:val="20"/>
                <w:szCs w:val="20"/>
                <w:color w:val="auto"/>
              </w:rPr>
            </w:pPr>
            <w:r>
              <w:rPr>
                <w:rFonts w:ascii="Arial" w:cs="Arial" w:eastAsia="Arial" w:hAnsi="Arial"/>
                <w:sz w:val="14"/>
                <w:szCs w:val="14"/>
                <w:color w:val="auto"/>
              </w:rPr>
              <w:t>$1,500,000</w:t>
            </w:r>
          </w:p>
        </w:tc>
        <w:tc>
          <w:tcPr>
            <w:tcW w:w="840" w:type="dxa"/>
            <w:vAlign w:val="bottom"/>
            <w:shd w:val="clear" w:color="auto" w:fill="F2F2F2"/>
          </w:tcPr>
          <w:p>
            <w:pPr>
              <w:jc w:val="right"/>
              <w:ind w:right="70"/>
              <w:spacing w:after="0"/>
              <w:rPr>
                <w:sz w:val="20"/>
                <w:szCs w:val="20"/>
                <w:color w:val="auto"/>
              </w:rPr>
            </w:pPr>
            <w:r>
              <w:rPr>
                <w:rFonts w:ascii="Arial" w:cs="Arial" w:eastAsia="Arial" w:hAnsi="Arial"/>
                <w:sz w:val="14"/>
                <w:szCs w:val="14"/>
                <w:color w:val="auto"/>
              </w:rPr>
              <w:t>$0</w:t>
            </w:r>
          </w:p>
        </w:tc>
        <w:tc>
          <w:tcPr>
            <w:tcW w:w="1100" w:type="dxa"/>
            <w:vAlign w:val="bottom"/>
            <w:shd w:val="clear" w:color="auto" w:fill="F2F2F2"/>
          </w:tcPr>
          <w:p>
            <w:pPr>
              <w:jc w:val="right"/>
              <w:ind w:right="109"/>
              <w:spacing w:after="0"/>
              <w:rPr>
                <w:sz w:val="20"/>
                <w:szCs w:val="20"/>
                <w:color w:val="auto"/>
              </w:rPr>
            </w:pPr>
            <w:r>
              <w:rPr>
                <w:rFonts w:ascii="Arial" w:cs="Arial" w:eastAsia="Arial" w:hAnsi="Arial"/>
                <w:sz w:val="14"/>
                <w:szCs w:val="14"/>
                <w:color w:val="auto"/>
              </w:rPr>
              <w:t>$ 16,981,250</w:t>
            </w:r>
          </w:p>
        </w:tc>
        <w:tc>
          <w:tcPr>
            <w:tcW w:w="1320" w:type="dxa"/>
            <w:vAlign w:val="bottom"/>
            <w:shd w:val="clear" w:color="auto" w:fill="F2F2F2"/>
          </w:tcPr>
          <w:p>
            <w:pPr>
              <w:jc w:val="right"/>
              <w:ind w:right="109"/>
              <w:spacing w:after="0"/>
              <w:rPr>
                <w:sz w:val="20"/>
                <w:szCs w:val="20"/>
                <w:color w:val="auto"/>
              </w:rPr>
            </w:pPr>
            <w:r>
              <w:rPr>
                <w:rFonts w:ascii="Arial" w:cs="Arial" w:eastAsia="Arial" w:hAnsi="Arial"/>
                <w:sz w:val="14"/>
                <w:szCs w:val="14"/>
                <w:color w:val="auto"/>
              </w:rPr>
              <w:t>$2,700,000</w:t>
            </w:r>
          </w:p>
        </w:tc>
        <w:tc>
          <w:tcPr>
            <w:tcW w:w="960" w:type="dxa"/>
            <w:vAlign w:val="bottom"/>
            <w:shd w:val="clear" w:color="auto" w:fill="F2F2F2"/>
          </w:tcPr>
          <w:p>
            <w:pPr>
              <w:jc w:val="right"/>
              <w:ind w:right="29"/>
              <w:spacing w:after="0"/>
              <w:rPr>
                <w:sz w:val="20"/>
                <w:szCs w:val="20"/>
                <w:color w:val="auto"/>
              </w:rPr>
            </w:pPr>
            <w:r>
              <w:rPr>
                <w:rFonts w:ascii="Arial" w:cs="Arial" w:eastAsia="Arial" w:hAnsi="Arial"/>
                <w:sz w:val="14"/>
                <w:szCs w:val="14"/>
                <w:color w:val="auto"/>
              </w:rPr>
              <w:t>$0</w:t>
            </w:r>
          </w:p>
        </w:tc>
        <w:tc>
          <w:tcPr>
            <w:tcW w:w="1240" w:type="dxa"/>
            <w:vAlign w:val="bottom"/>
            <w:shd w:val="clear" w:color="auto" w:fill="F2F2F2"/>
          </w:tcPr>
          <w:p>
            <w:pPr>
              <w:jc w:val="right"/>
              <w:ind w:right="49"/>
              <w:spacing w:after="0"/>
              <w:rPr>
                <w:sz w:val="20"/>
                <w:szCs w:val="20"/>
                <w:color w:val="auto"/>
              </w:rPr>
            </w:pPr>
            <w:r>
              <w:rPr>
                <w:rFonts w:ascii="Arial" w:cs="Arial" w:eastAsia="Arial" w:hAnsi="Arial"/>
                <w:sz w:val="14"/>
                <w:szCs w:val="14"/>
                <w:color w:val="auto"/>
              </w:rPr>
              <w:t>$216,885</w:t>
            </w:r>
          </w:p>
        </w:tc>
        <w:tc>
          <w:tcPr>
            <w:tcW w:w="1200" w:type="dxa"/>
            <w:vAlign w:val="bottom"/>
            <w:shd w:val="clear" w:color="auto" w:fill="F2F2F2"/>
          </w:tcPr>
          <w:p>
            <w:pPr>
              <w:jc w:val="right"/>
              <w:ind w:right="9"/>
              <w:spacing w:after="0"/>
              <w:rPr>
                <w:sz w:val="20"/>
                <w:szCs w:val="20"/>
                <w:color w:val="auto"/>
              </w:rPr>
            </w:pPr>
            <w:r>
              <w:rPr>
                <w:rFonts w:ascii="Arial" w:cs="Arial" w:eastAsia="Arial" w:hAnsi="Arial"/>
                <w:sz w:val="14"/>
                <w:szCs w:val="14"/>
                <w:color w:val="auto"/>
              </w:rPr>
              <w:t>$21,398,135</w:t>
            </w:r>
          </w:p>
        </w:tc>
        <w:tc>
          <w:tcPr>
            <w:tcW w:w="0" w:type="dxa"/>
            <w:vAlign w:val="bottom"/>
          </w:tcPr>
          <w:p>
            <w:pPr>
              <w:spacing w:after="0"/>
              <w:rPr>
                <w:sz w:val="1"/>
                <w:szCs w:val="1"/>
                <w:color w:val="auto"/>
              </w:rPr>
            </w:pPr>
          </w:p>
        </w:tc>
      </w:tr>
      <w:tr>
        <w:trPr>
          <w:trHeight w:val="228"/>
        </w:trPr>
        <w:tc>
          <w:tcPr>
            <w:tcW w:w="1060" w:type="dxa"/>
            <w:vAlign w:val="bottom"/>
            <w:shd w:val="clear" w:color="auto" w:fill="F2F2F2"/>
          </w:tcPr>
          <w:p>
            <w:pPr>
              <w:ind w:left="20"/>
              <w:spacing w:after="0"/>
              <w:rPr>
                <w:sz w:val="20"/>
                <w:szCs w:val="20"/>
                <w:color w:val="auto"/>
              </w:rPr>
            </w:pPr>
            <w:r>
              <w:rPr>
                <w:rFonts w:ascii="Arial" w:cs="Arial" w:eastAsia="Arial" w:hAnsi="Arial"/>
                <w:sz w:val="14"/>
                <w:szCs w:val="14"/>
                <w:color w:val="auto"/>
              </w:rPr>
              <w:t>Chair,</w:t>
            </w:r>
          </w:p>
        </w:tc>
        <w:tc>
          <w:tcPr>
            <w:tcW w:w="42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2021</w:t>
            </w:r>
          </w:p>
        </w:tc>
        <w:tc>
          <w:tcPr>
            <w:tcW w:w="940" w:type="dxa"/>
            <w:vAlign w:val="bottom"/>
            <w:shd w:val="clear" w:color="auto" w:fill="F2F2F2"/>
          </w:tcPr>
          <w:p>
            <w:pPr>
              <w:jc w:val="right"/>
              <w:ind w:right="110"/>
              <w:spacing w:after="0"/>
              <w:rPr>
                <w:sz w:val="20"/>
                <w:szCs w:val="20"/>
                <w:color w:val="auto"/>
              </w:rPr>
            </w:pPr>
            <w:r>
              <w:rPr>
                <w:rFonts w:ascii="Arial" w:cs="Arial" w:eastAsia="Arial" w:hAnsi="Arial"/>
                <w:sz w:val="14"/>
                <w:szCs w:val="14"/>
                <w:color w:val="auto"/>
              </w:rPr>
              <w:t>$1,500,000</w:t>
            </w:r>
          </w:p>
        </w:tc>
        <w:tc>
          <w:tcPr>
            <w:tcW w:w="840" w:type="dxa"/>
            <w:vAlign w:val="bottom"/>
            <w:shd w:val="clear" w:color="auto" w:fill="F2F2F2"/>
          </w:tcPr>
          <w:p>
            <w:pPr>
              <w:jc w:val="right"/>
              <w:ind w:right="70"/>
              <w:spacing w:after="0"/>
              <w:rPr>
                <w:sz w:val="20"/>
                <w:szCs w:val="20"/>
                <w:color w:val="auto"/>
              </w:rPr>
            </w:pPr>
            <w:r>
              <w:rPr>
                <w:rFonts w:ascii="Arial" w:cs="Arial" w:eastAsia="Arial" w:hAnsi="Arial"/>
                <w:sz w:val="14"/>
                <w:szCs w:val="14"/>
                <w:color w:val="auto"/>
              </w:rPr>
              <w:t>$0</w:t>
            </w:r>
          </w:p>
        </w:tc>
        <w:tc>
          <w:tcPr>
            <w:tcW w:w="1100" w:type="dxa"/>
            <w:vAlign w:val="bottom"/>
            <w:shd w:val="clear" w:color="auto" w:fill="F2F2F2"/>
          </w:tcPr>
          <w:p>
            <w:pPr>
              <w:jc w:val="right"/>
              <w:ind w:right="109"/>
              <w:spacing w:after="0"/>
              <w:rPr>
                <w:sz w:val="20"/>
                <w:szCs w:val="20"/>
                <w:color w:val="auto"/>
              </w:rPr>
            </w:pPr>
            <w:r>
              <w:rPr>
                <w:rFonts w:ascii="Arial" w:cs="Arial" w:eastAsia="Arial" w:hAnsi="Arial"/>
                <w:sz w:val="14"/>
                <w:szCs w:val="14"/>
                <w:color w:val="auto"/>
              </w:rPr>
              <w:t>$ 14,966,000</w:t>
            </w:r>
          </w:p>
        </w:tc>
        <w:tc>
          <w:tcPr>
            <w:tcW w:w="1320" w:type="dxa"/>
            <w:vAlign w:val="bottom"/>
            <w:shd w:val="clear" w:color="auto" w:fill="F2F2F2"/>
          </w:tcPr>
          <w:p>
            <w:pPr>
              <w:jc w:val="right"/>
              <w:ind w:right="109"/>
              <w:spacing w:after="0"/>
              <w:rPr>
                <w:sz w:val="20"/>
                <w:szCs w:val="20"/>
                <w:color w:val="auto"/>
              </w:rPr>
            </w:pPr>
            <w:r>
              <w:rPr>
                <w:rFonts w:ascii="Arial" w:cs="Arial" w:eastAsia="Arial" w:hAnsi="Arial"/>
                <w:sz w:val="14"/>
                <w:szCs w:val="14"/>
                <w:color w:val="auto"/>
              </w:rPr>
              <w:t>$2,475,000</w:t>
            </w:r>
          </w:p>
        </w:tc>
        <w:tc>
          <w:tcPr>
            <w:tcW w:w="960" w:type="dxa"/>
            <w:vAlign w:val="bottom"/>
            <w:shd w:val="clear" w:color="auto" w:fill="F2F2F2"/>
          </w:tcPr>
          <w:p>
            <w:pPr>
              <w:jc w:val="right"/>
              <w:ind w:right="29"/>
              <w:spacing w:after="0"/>
              <w:rPr>
                <w:sz w:val="20"/>
                <w:szCs w:val="20"/>
                <w:color w:val="auto"/>
              </w:rPr>
            </w:pPr>
            <w:r>
              <w:rPr>
                <w:rFonts w:ascii="Arial" w:cs="Arial" w:eastAsia="Arial" w:hAnsi="Arial"/>
                <w:sz w:val="14"/>
                <w:szCs w:val="14"/>
                <w:color w:val="auto"/>
              </w:rPr>
              <w:t>$2,442,235</w:t>
            </w:r>
          </w:p>
        </w:tc>
        <w:tc>
          <w:tcPr>
            <w:tcW w:w="1240" w:type="dxa"/>
            <w:vAlign w:val="bottom"/>
            <w:shd w:val="clear" w:color="auto" w:fill="F2F2F2"/>
          </w:tcPr>
          <w:p>
            <w:pPr>
              <w:jc w:val="right"/>
              <w:ind w:right="49"/>
              <w:spacing w:after="0"/>
              <w:rPr>
                <w:sz w:val="20"/>
                <w:szCs w:val="20"/>
                <w:color w:val="auto"/>
              </w:rPr>
            </w:pPr>
            <w:r>
              <w:rPr>
                <w:rFonts w:ascii="Arial" w:cs="Arial" w:eastAsia="Arial" w:hAnsi="Arial"/>
                <w:sz w:val="14"/>
                <w:szCs w:val="14"/>
                <w:color w:val="auto"/>
              </w:rPr>
              <w:t>$126,750</w:t>
            </w:r>
          </w:p>
        </w:tc>
        <w:tc>
          <w:tcPr>
            <w:tcW w:w="1200" w:type="dxa"/>
            <w:vAlign w:val="bottom"/>
            <w:shd w:val="clear" w:color="auto" w:fill="F2F2F2"/>
          </w:tcPr>
          <w:p>
            <w:pPr>
              <w:jc w:val="right"/>
              <w:ind w:right="9"/>
              <w:spacing w:after="0"/>
              <w:rPr>
                <w:sz w:val="20"/>
                <w:szCs w:val="20"/>
                <w:color w:val="auto"/>
              </w:rPr>
            </w:pPr>
            <w:r>
              <w:rPr>
                <w:rFonts w:ascii="Arial" w:cs="Arial" w:eastAsia="Arial" w:hAnsi="Arial"/>
                <w:sz w:val="14"/>
                <w:szCs w:val="14"/>
                <w:color w:val="auto"/>
              </w:rPr>
              <w:t>$21,509,985</w:t>
            </w:r>
          </w:p>
        </w:tc>
        <w:tc>
          <w:tcPr>
            <w:tcW w:w="0" w:type="dxa"/>
            <w:vAlign w:val="bottom"/>
          </w:tcPr>
          <w:p>
            <w:pPr>
              <w:spacing w:after="0"/>
              <w:rPr>
                <w:sz w:val="1"/>
                <w:szCs w:val="1"/>
                <w:color w:val="auto"/>
              </w:rPr>
            </w:pPr>
          </w:p>
        </w:tc>
      </w:tr>
      <w:tr>
        <w:trPr>
          <w:trHeight w:val="171"/>
        </w:trPr>
        <w:tc>
          <w:tcPr>
            <w:tcW w:w="1060" w:type="dxa"/>
            <w:vAlign w:val="bottom"/>
            <w:shd w:val="clear" w:color="auto" w:fill="F2F2F2"/>
          </w:tcPr>
          <w:p>
            <w:pPr>
              <w:ind w:left="20"/>
              <w:spacing w:after="0"/>
              <w:rPr>
                <w:sz w:val="20"/>
                <w:szCs w:val="20"/>
                <w:color w:val="auto"/>
              </w:rPr>
            </w:pPr>
            <w:r>
              <w:rPr>
                <w:rFonts w:ascii="Arial" w:cs="Arial" w:eastAsia="Arial" w:hAnsi="Arial"/>
                <w:sz w:val="14"/>
                <w:szCs w:val="14"/>
                <w:color w:val="auto"/>
              </w:rPr>
              <w:t>President, and</w:t>
            </w:r>
          </w:p>
        </w:tc>
        <w:tc>
          <w:tcPr>
            <w:tcW w:w="420" w:type="dxa"/>
            <w:vAlign w:val="bottom"/>
            <w:shd w:val="clear" w:color="auto" w:fill="F2F2F2"/>
          </w:tcPr>
          <w:p>
            <w:pPr>
              <w:spacing w:after="0"/>
              <w:rPr>
                <w:sz w:val="14"/>
                <w:szCs w:val="14"/>
                <w:color w:val="auto"/>
              </w:rPr>
            </w:pPr>
          </w:p>
        </w:tc>
        <w:tc>
          <w:tcPr>
            <w:tcW w:w="940" w:type="dxa"/>
            <w:vAlign w:val="bottom"/>
            <w:shd w:val="clear" w:color="auto" w:fill="F2F2F2"/>
          </w:tcPr>
          <w:p>
            <w:pPr>
              <w:spacing w:after="0"/>
              <w:rPr>
                <w:sz w:val="14"/>
                <w:szCs w:val="14"/>
                <w:color w:val="auto"/>
              </w:rPr>
            </w:pPr>
          </w:p>
        </w:tc>
        <w:tc>
          <w:tcPr>
            <w:tcW w:w="840" w:type="dxa"/>
            <w:vAlign w:val="bottom"/>
            <w:shd w:val="clear" w:color="auto" w:fill="F2F2F2"/>
          </w:tcPr>
          <w:p>
            <w:pPr>
              <w:spacing w:after="0"/>
              <w:rPr>
                <w:sz w:val="14"/>
                <w:szCs w:val="14"/>
                <w:color w:val="auto"/>
              </w:rPr>
            </w:pPr>
          </w:p>
        </w:tc>
        <w:tc>
          <w:tcPr>
            <w:tcW w:w="1100" w:type="dxa"/>
            <w:vAlign w:val="bottom"/>
            <w:shd w:val="clear" w:color="auto" w:fill="F2F2F2"/>
          </w:tcPr>
          <w:p>
            <w:pPr>
              <w:spacing w:after="0"/>
              <w:rPr>
                <w:sz w:val="14"/>
                <w:szCs w:val="14"/>
                <w:color w:val="auto"/>
              </w:rPr>
            </w:pPr>
          </w:p>
        </w:tc>
        <w:tc>
          <w:tcPr>
            <w:tcW w:w="1320" w:type="dxa"/>
            <w:vAlign w:val="bottom"/>
            <w:shd w:val="clear" w:color="auto" w:fill="F2F2F2"/>
          </w:tcPr>
          <w:p>
            <w:pPr>
              <w:spacing w:after="0"/>
              <w:rPr>
                <w:sz w:val="14"/>
                <w:szCs w:val="14"/>
                <w:color w:val="auto"/>
              </w:rPr>
            </w:pPr>
          </w:p>
        </w:tc>
        <w:tc>
          <w:tcPr>
            <w:tcW w:w="960" w:type="dxa"/>
            <w:vAlign w:val="bottom"/>
            <w:shd w:val="clear" w:color="auto" w:fill="F2F2F2"/>
          </w:tcPr>
          <w:p>
            <w:pPr>
              <w:spacing w:after="0"/>
              <w:rPr>
                <w:sz w:val="14"/>
                <w:szCs w:val="14"/>
                <w:color w:val="auto"/>
              </w:rPr>
            </w:pPr>
          </w:p>
        </w:tc>
        <w:tc>
          <w:tcPr>
            <w:tcW w:w="1240" w:type="dxa"/>
            <w:vAlign w:val="bottom"/>
            <w:shd w:val="clear" w:color="auto" w:fill="F2F2F2"/>
          </w:tcPr>
          <w:p>
            <w:pPr>
              <w:spacing w:after="0"/>
              <w:rPr>
                <w:sz w:val="14"/>
                <w:szCs w:val="14"/>
                <w:color w:val="auto"/>
              </w:rPr>
            </w:pPr>
          </w:p>
        </w:tc>
        <w:tc>
          <w:tcPr>
            <w:tcW w:w="120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60" w:type="dxa"/>
            <w:vAlign w:val="bottom"/>
            <w:shd w:val="clear" w:color="auto" w:fill="F2F2F2"/>
          </w:tcPr>
          <w:p>
            <w:pPr>
              <w:ind w:left="20"/>
              <w:spacing w:after="0"/>
              <w:rPr>
                <w:sz w:val="20"/>
                <w:szCs w:val="20"/>
                <w:color w:val="auto"/>
              </w:rPr>
            </w:pPr>
            <w:r>
              <w:rPr>
                <w:rFonts w:ascii="Arial" w:cs="Arial" w:eastAsia="Arial" w:hAnsi="Arial"/>
                <w:sz w:val="14"/>
                <w:szCs w:val="14"/>
                <w:color w:val="auto"/>
              </w:rPr>
              <w:t>Chief Executive</w:t>
            </w:r>
          </w:p>
        </w:tc>
        <w:tc>
          <w:tcPr>
            <w:tcW w:w="42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2020</w:t>
            </w:r>
          </w:p>
        </w:tc>
        <w:tc>
          <w:tcPr>
            <w:tcW w:w="940" w:type="dxa"/>
            <w:vAlign w:val="bottom"/>
            <w:shd w:val="clear" w:color="auto" w:fill="F2F2F2"/>
          </w:tcPr>
          <w:p>
            <w:pPr>
              <w:jc w:val="right"/>
              <w:ind w:right="110"/>
              <w:spacing w:after="0"/>
              <w:rPr>
                <w:sz w:val="20"/>
                <w:szCs w:val="20"/>
                <w:color w:val="auto"/>
              </w:rPr>
            </w:pPr>
            <w:r>
              <w:rPr>
                <w:rFonts w:ascii="Arial" w:cs="Arial" w:eastAsia="Arial" w:hAnsi="Arial"/>
                <w:sz w:val="14"/>
                <w:szCs w:val="14"/>
                <w:color w:val="auto"/>
              </w:rPr>
              <w:t>$1,483,333</w:t>
            </w:r>
          </w:p>
        </w:tc>
        <w:tc>
          <w:tcPr>
            <w:tcW w:w="840" w:type="dxa"/>
            <w:vAlign w:val="bottom"/>
            <w:shd w:val="clear" w:color="auto" w:fill="F2F2F2"/>
          </w:tcPr>
          <w:p>
            <w:pPr>
              <w:jc w:val="right"/>
              <w:ind w:right="70"/>
              <w:spacing w:after="0"/>
              <w:rPr>
                <w:sz w:val="20"/>
                <w:szCs w:val="20"/>
                <w:color w:val="auto"/>
              </w:rPr>
            </w:pPr>
            <w:r>
              <w:rPr>
                <w:rFonts w:ascii="Arial" w:cs="Arial" w:eastAsia="Arial" w:hAnsi="Arial"/>
                <w:sz w:val="14"/>
                <w:szCs w:val="14"/>
                <w:color w:val="auto"/>
              </w:rPr>
              <w:t>$0</w:t>
            </w:r>
          </w:p>
        </w:tc>
        <w:tc>
          <w:tcPr>
            <w:tcW w:w="1100" w:type="dxa"/>
            <w:vAlign w:val="bottom"/>
            <w:shd w:val="clear" w:color="auto" w:fill="F2F2F2"/>
          </w:tcPr>
          <w:p>
            <w:pPr>
              <w:jc w:val="right"/>
              <w:ind w:right="109"/>
              <w:spacing w:after="0"/>
              <w:rPr>
                <w:sz w:val="20"/>
                <w:szCs w:val="20"/>
                <w:color w:val="auto"/>
              </w:rPr>
            </w:pPr>
            <w:r>
              <w:rPr>
                <w:rFonts w:ascii="Arial" w:cs="Arial" w:eastAsia="Arial" w:hAnsi="Arial"/>
                <w:sz w:val="14"/>
                <w:szCs w:val="14"/>
                <w:color w:val="auto"/>
              </w:rPr>
              <w:t>$13,587,500</w:t>
            </w:r>
          </w:p>
        </w:tc>
        <w:tc>
          <w:tcPr>
            <w:tcW w:w="1320" w:type="dxa"/>
            <w:vAlign w:val="bottom"/>
            <w:shd w:val="clear" w:color="auto" w:fill="F2F2F2"/>
          </w:tcPr>
          <w:p>
            <w:pPr>
              <w:jc w:val="right"/>
              <w:ind w:right="109"/>
              <w:spacing w:after="0"/>
              <w:rPr>
                <w:sz w:val="20"/>
                <w:szCs w:val="20"/>
                <w:color w:val="auto"/>
              </w:rPr>
            </w:pPr>
            <w:r>
              <w:rPr>
                <w:rFonts w:ascii="Arial" w:cs="Arial" w:eastAsia="Arial" w:hAnsi="Arial"/>
                <w:sz w:val="14"/>
                <w:szCs w:val="14"/>
                <w:color w:val="auto"/>
              </w:rPr>
              <w:t>$2,625,500</w:t>
            </w:r>
          </w:p>
        </w:tc>
        <w:tc>
          <w:tcPr>
            <w:tcW w:w="960" w:type="dxa"/>
            <w:vAlign w:val="bottom"/>
            <w:shd w:val="clear" w:color="auto" w:fill="F2F2F2"/>
          </w:tcPr>
          <w:p>
            <w:pPr>
              <w:jc w:val="right"/>
              <w:ind w:right="29"/>
              <w:spacing w:after="0"/>
              <w:rPr>
                <w:sz w:val="20"/>
                <w:szCs w:val="20"/>
                <w:color w:val="auto"/>
              </w:rPr>
            </w:pPr>
            <w:r>
              <w:rPr>
                <w:rFonts w:ascii="Arial" w:cs="Arial" w:eastAsia="Arial" w:hAnsi="Arial"/>
                <w:sz w:val="14"/>
                <w:szCs w:val="14"/>
                <w:color w:val="auto"/>
              </w:rPr>
              <w:t>$5,883,924</w:t>
            </w:r>
          </w:p>
        </w:tc>
        <w:tc>
          <w:tcPr>
            <w:tcW w:w="1240" w:type="dxa"/>
            <w:vAlign w:val="bottom"/>
            <w:shd w:val="clear" w:color="auto" w:fill="F2F2F2"/>
          </w:tcPr>
          <w:p>
            <w:pPr>
              <w:jc w:val="right"/>
              <w:ind w:right="49"/>
              <w:spacing w:after="0"/>
              <w:rPr>
                <w:sz w:val="20"/>
                <w:szCs w:val="20"/>
                <w:color w:val="auto"/>
              </w:rPr>
            </w:pPr>
            <w:r>
              <w:rPr>
                <w:rFonts w:ascii="Arial" w:cs="Arial" w:eastAsia="Arial" w:hAnsi="Arial"/>
                <w:sz w:val="14"/>
                <w:szCs w:val="14"/>
                <w:color w:val="auto"/>
              </w:rPr>
              <w:t>$128,372</w:t>
            </w:r>
          </w:p>
        </w:tc>
        <w:tc>
          <w:tcPr>
            <w:tcW w:w="1200" w:type="dxa"/>
            <w:vAlign w:val="bottom"/>
            <w:shd w:val="clear" w:color="auto" w:fill="F2F2F2"/>
          </w:tcPr>
          <w:p>
            <w:pPr>
              <w:jc w:val="right"/>
              <w:ind w:right="9"/>
              <w:spacing w:after="0"/>
              <w:rPr>
                <w:sz w:val="20"/>
                <w:szCs w:val="20"/>
                <w:color w:val="auto"/>
              </w:rPr>
            </w:pPr>
            <w:r>
              <w:rPr>
                <w:rFonts w:ascii="Arial" w:cs="Arial" w:eastAsia="Arial" w:hAnsi="Arial"/>
                <w:sz w:val="14"/>
                <w:szCs w:val="14"/>
                <w:color w:val="auto"/>
              </w:rPr>
              <w:t>$23,708,629</w:t>
            </w:r>
          </w:p>
        </w:tc>
        <w:tc>
          <w:tcPr>
            <w:tcW w:w="0" w:type="dxa"/>
            <w:vAlign w:val="bottom"/>
          </w:tcPr>
          <w:p>
            <w:pPr>
              <w:spacing w:after="0"/>
              <w:rPr>
                <w:sz w:val="1"/>
                <w:szCs w:val="1"/>
                <w:color w:val="auto"/>
              </w:rPr>
            </w:pPr>
          </w:p>
        </w:tc>
      </w:tr>
      <w:tr>
        <w:trPr>
          <w:trHeight w:val="192"/>
        </w:trPr>
        <w:tc>
          <w:tcPr>
            <w:tcW w:w="10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Officer</w:t>
            </w:r>
          </w:p>
        </w:tc>
        <w:tc>
          <w:tcPr>
            <w:tcW w:w="420" w:type="dxa"/>
            <w:vAlign w:val="bottom"/>
            <w:tcBorders>
              <w:bottom w:val="single" w:sz="8" w:color="F2F2F2"/>
            </w:tcBorders>
            <w:shd w:val="clear" w:color="auto" w:fill="F2F2F2"/>
          </w:tcPr>
          <w:p>
            <w:pPr>
              <w:spacing w:after="0"/>
              <w:rPr>
                <w:sz w:val="16"/>
                <w:szCs w:val="16"/>
                <w:color w:val="auto"/>
              </w:rPr>
            </w:pPr>
          </w:p>
        </w:tc>
        <w:tc>
          <w:tcPr>
            <w:tcW w:w="940" w:type="dxa"/>
            <w:vAlign w:val="bottom"/>
            <w:tcBorders>
              <w:bottom w:val="single" w:sz="8" w:color="F2F2F2"/>
            </w:tcBorders>
            <w:shd w:val="clear" w:color="auto" w:fill="F2F2F2"/>
          </w:tcPr>
          <w:p>
            <w:pPr>
              <w:spacing w:after="0"/>
              <w:rPr>
                <w:sz w:val="16"/>
                <w:szCs w:val="16"/>
                <w:color w:val="auto"/>
              </w:rPr>
            </w:pPr>
          </w:p>
        </w:tc>
        <w:tc>
          <w:tcPr>
            <w:tcW w:w="840" w:type="dxa"/>
            <w:vAlign w:val="bottom"/>
            <w:tcBorders>
              <w:bottom w:val="single" w:sz="8" w:color="F2F2F2"/>
            </w:tcBorders>
            <w:shd w:val="clear" w:color="auto" w:fill="F2F2F2"/>
          </w:tcPr>
          <w:p>
            <w:pPr>
              <w:spacing w:after="0"/>
              <w:rPr>
                <w:sz w:val="16"/>
                <w:szCs w:val="16"/>
                <w:color w:val="auto"/>
              </w:rPr>
            </w:pPr>
          </w:p>
        </w:tc>
        <w:tc>
          <w:tcPr>
            <w:tcW w:w="1100" w:type="dxa"/>
            <w:vAlign w:val="bottom"/>
            <w:tcBorders>
              <w:bottom w:val="single" w:sz="8" w:color="F2F2F2"/>
            </w:tcBorders>
            <w:shd w:val="clear" w:color="auto" w:fill="F2F2F2"/>
          </w:tcPr>
          <w:p>
            <w:pPr>
              <w:spacing w:after="0"/>
              <w:rPr>
                <w:sz w:val="16"/>
                <w:szCs w:val="16"/>
                <w:color w:val="auto"/>
              </w:rPr>
            </w:pPr>
          </w:p>
        </w:tc>
        <w:tc>
          <w:tcPr>
            <w:tcW w:w="1320" w:type="dxa"/>
            <w:vAlign w:val="bottom"/>
            <w:tcBorders>
              <w:bottom w:val="single" w:sz="8" w:color="F2F2F2"/>
            </w:tcBorders>
            <w:shd w:val="clear" w:color="auto" w:fill="F2F2F2"/>
          </w:tcPr>
          <w:p>
            <w:pPr>
              <w:spacing w:after="0"/>
              <w:rPr>
                <w:sz w:val="16"/>
                <w:szCs w:val="16"/>
                <w:color w:val="auto"/>
              </w:rPr>
            </w:pPr>
          </w:p>
        </w:tc>
        <w:tc>
          <w:tcPr>
            <w:tcW w:w="960" w:type="dxa"/>
            <w:vAlign w:val="bottom"/>
            <w:tcBorders>
              <w:bottom w:val="single" w:sz="8" w:color="F2F2F2"/>
            </w:tcBorders>
            <w:shd w:val="clear" w:color="auto" w:fill="F2F2F2"/>
          </w:tcPr>
          <w:p>
            <w:pPr>
              <w:spacing w:after="0"/>
              <w:rPr>
                <w:sz w:val="16"/>
                <w:szCs w:val="16"/>
                <w:color w:val="auto"/>
              </w:rPr>
            </w:pPr>
          </w:p>
        </w:tc>
        <w:tc>
          <w:tcPr>
            <w:tcW w:w="1240" w:type="dxa"/>
            <w:vAlign w:val="bottom"/>
            <w:tcBorders>
              <w:bottom w:val="single" w:sz="8" w:color="F2F2F2"/>
            </w:tcBorders>
            <w:shd w:val="clear" w:color="auto" w:fill="F2F2F2"/>
          </w:tcPr>
          <w:p>
            <w:pPr>
              <w:spacing w:after="0"/>
              <w:rPr>
                <w:sz w:val="16"/>
                <w:szCs w:val="16"/>
                <w:color w:val="auto"/>
              </w:rPr>
            </w:pPr>
          </w:p>
        </w:tc>
        <w:tc>
          <w:tcPr>
            <w:tcW w:w="1200" w:type="dxa"/>
            <w:vAlign w:val="bottom"/>
            <w:tcBorders>
              <w:bottom w:val="single" w:sz="8" w:color="F2F2F2"/>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60" w:type="dxa"/>
            <w:vAlign w:val="bottom"/>
          </w:tcPr>
          <w:p>
            <w:pPr>
              <w:ind w:left="20"/>
              <w:spacing w:after="0"/>
              <w:rPr>
                <w:sz w:val="20"/>
                <w:szCs w:val="20"/>
                <w:color w:val="auto"/>
              </w:rPr>
            </w:pPr>
            <w:r>
              <w:rPr>
                <w:rFonts w:ascii="Arial" w:cs="Arial" w:eastAsia="Arial" w:hAnsi="Arial"/>
                <w:sz w:val="14"/>
                <w:szCs w:val="14"/>
                <w:color w:val="auto"/>
              </w:rPr>
              <w:t>Anat</w:t>
            </w:r>
          </w:p>
        </w:tc>
        <w:tc>
          <w:tcPr>
            <w:tcW w:w="420" w:type="dxa"/>
            <w:vAlign w:val="bottom"/>
          </w:tcPr>
          <w:p>
            <w:pPr>
              <w:ind w:left="60"/>
              <w:spacing w:after="0"/>
              <w:rPr>
                <w:sz w:val="20"/>
                <w:szCs w:val="20"/>
                <w:color w:val="auto"/>
              </w:rPr>
            </w:pPr>
            <w:r>
              <w:rPr>
                <w:rFonts w:ascii="Arial" w:cs="Arial" w:eastAsia="Arial" w:hAnsi="Arial"/>
                <w:sz w:val="14"/>
                <w:szCs w:val="14"/>
                <w:color w:val="auto"/>
              </w:rPr>
              <w:t>2022</w:t>
            </w:r>
          </w:p>
        </w:tc>
        <w:tc>
          <w:tcPr>
            <w:tcW w:w="940" w:type="dxa"/>
            <w:vAlign w:val="bottom"/>
          </w:tcPr>
          <w:p>
            <w:pPr>
              <w:jc w:val="right"/>
              <w:ind w:right="110"/>
              <w:spacing w:after="0"/>
              <w:rPr>
                <w:sz w:val="20"/>
                <w:szCs w:val="20"/>
                <w:color w:val="auto"/>
              </w:rPr>
            </w:pPr>
            <w:r>
              <w:rPr>
                <w:rFonts w:ascii="Arial" w:cs="Arial" w:eastAsia="Arial" w:hAnsi="Arial"/>
                <w:sz w:val="14"/>
                <w:szCs w:val="14"/>
                <w:color w:val="auto"/>
              </w:rPr>
              <w:t>$940,385</w:t>
            </w:r>
          </w:p>
        </w:tc>
        <w:tc>
          <w:tcPr>
            <w:tcW w:w="840" w:type="dxa"/>
            <w:vAlign w:val="bottom"/>
          </w:tcPr>
          <w:p>
            <w:pPr>
              <w:jc w:val="right"/>
              <w:ind w:right="70"/>
              <w:spacing w:after="0"/>
              <w:rPr>
                <w:sz w:val="20"/>
                <w:szCs w:val="20"/>
                <w:color w:val="auto"/>
              </w:rPr>
            </w:pPr>
            <w:r>
              <w:rPr>
                <w:rFonts w:ascii="Arial" w:cs="Arial" w:eastAsia="Arial" w:hAnsi="Arial"/>
                <w:sz w:val="14"/>
                <w:szCs w:val="14"/>
                <w:color w:val="auto"/>
              </w:rPr>
              <w:t>$0</w:t>
            </w:r>
          </w:p>
        </w:tc>
        <w:tc>
          <w:tcPr>
            <w:tcW w:w="1100" w:type="dxa"/>
            <w:vAlign w:val="bottom"/>
          </w:tcPr>
          <w:p>
            <w:pPr>
              <w:jc w:val="center"/>
              <w:spacing w:after="0"/>
              <w:rPr>
                <w:sz w:val="20"/>
                <w:szCs w:val="20"/>
                <w:color w:val="auto"/>
              </w:rPr>
            </w:pPr>
            <w:r>
              <w:rPr>
                <w:rFonts w:ascii="Arial" w:cs="Arial" w:eastAsia="Arial" w:hAnsi="Arial"/>
                <w:sz w:val="14"/>
                <w:szCs w:val="14"/>
                <w:color w:val="auto"/>
              </w:rPr>
              <w:t>$3,135,000</w:t>
            </w:r>
          </w:p>
        </w:tc>
        <w:tc>
          <w:tcPr>
            <w:tcW w:w="1320" w:type="dxa"/>
            <w:vAlign w:val="bottom"/>
          </w:tcPr>
          <w:p>
            <w:pPr>
              <w:jc w:val="right"/>
              <w:ind w:right="109"/>
              <w:spacing w:after="0"/>
              <w:rPr>
                <w:sz w:val="20"/>
                <w:szCs w:val="20"/>
                <w:color w:val="auto"/>
              </w:rPr>
            </w:pPr>
            <w:r>
              <w:rPr>
                <w:rFonts w:ascii="Arial" w:cs="Arial" w:eastAsia="Arial" w:hAnsi="Arial"/>
                <w:sz w:val="14"/>
                <w:szCs w:val="14"/>
                <w:color w:val="auto"/>
              </w:rPr>
              <w:t>$1,128,462</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$0</w:t>
            </w:r>
          </w:p>
        </w:tc>
        <w:tc>
          <w:tcPr>
            <w:tcW w:w="1240" w:type="dxa"/>
            <w:vAlign w:val="bottom"/>
          </w:tcPr>
          <w:p>
            <w:pPr>
              <w:jc w:val="right"/>
              <w:ind w:right="49"/>
              <w:spacing w:after="0"/>
              <w:rPr>
                <w:sz w:val="20"/>
                <w:szCs w:val="20"/>
                <w:color w:val="auto"/>
              </w:rPr>
            </w:pPr>
            <w:r>
              <w:rPr>
                <w:rFonts w:ascii="Arial" w:cs="Arial" w:eastAsia="Arial" w:hAnsi="Arial"/>
                <w:sz w:val="14"/>
                <w:szCs w:val="14"/>
                <w:color w:val="auto"/>
              </w:rPr>
              <w:t>$56,423</w:t>
            </w: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$5,260,270</w:t>
            </w:r>
          </w:p>
        </w:tc>
        <w:tc>
          <w:tcPr>
            <w:tcW w:w="0" w:type="dxa"/>
            <w:vAlign w:val="bottom"/>
          </w:tcPr>
          <w:p>
            <w:pPr>
              <w:spacing w:after="0"/>
              <w:rPr>
                <w:sz w:val="1"/>
                <w:szCs w:val="1"/>
                <w:color w:val="auto"/>
              </w:rPr>
            </w:pPr>
          </w:p>
        </w:tc>
      </w:tr>
      <w:tr>
        <w:trPr>
          <w:trHeight w:val="232"/>
        </w:trPr>
        <w:tc>
          <w:tcPr>
            <w:tcW w:w="1060" w:type="dxa"/>
            <w:vAlign w:val="bottom"/>
          </w:tcPr>
          <w:p>
            <w:pPr>
              <w:ind w:left="20"/>
              <w:spacing w:after="0"/>
              <w:rPr>
                <w:sz w:val="20"/>
                <w:szCs w:val="20"/>
                <w:color w:val="auto"/>
              </w:rPr>
            </w:pPr>
            <w:r>
              <w:rPr>
                <w:rFonts w:ascii="Arial" w:cs="Arial" w:eastAsia="Arial" w:hAnsi="Arial"/>
                <w:sz w:val="14"/>
                <w:szCs w:val="14"/>
                <w:color w:val="auto"/>
              </w:rPr>
              <w:t>Ashkenazi</w:t>
            </w:r>
            <w:r>
              <w:rPr>
                <w:rFonts w:ascii="Arial" w:cs="Arial" w:eastAsia="Arial" w:hAnsi="Arial"/>
                <w:sz w:val="18"/>
                <w:szCs w:val="18"/>
                <w:color w:val="auto"/>
                <w:vertAlign w:val="superscript"/>
              </w:rPr>
              <w:t>5</w:t>
            </w: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060" w:type="dxa"/>
            <w:vAlign w:val="bottom"/>
          </w:tcPr>
          <w:p>
            <w:pPr>
              <w:ind w:left="20"/>
              <w:spacing w:after="0"/>
              <w:rPr>
                <w:sz w:val="20"/>
                <w:szCs w:val="20"/>
                <w:color w:val="auto"/>
              </w:rPr>
            </w:pPr>
            <w:r>
              <w:rPr>
                <w:rFonts w:ascii="Arial" w:cs="Arial" w:eastAsia="Arial" w:hAnsi="Arial"/>
                <w:sz w:val="14"/>
                <w:szCs w:val="14"/>
                <w:color w:val="auto"/>
              </w:rPr>
              <w:t>Executive Vice</w:t>
            </w:r>
          </w:p>
        </w:tc>
        <w:tc>
          <w:tcPr>
            <w:tcW w:w="420" w:type="dxa"/>
            <w:vAlign w:val="bottom"/>
          </w:tcPr>
          <w:p>
            <w:pPr>
              <w:ind w:left="60"/>
              <w:spacing w:after="0"/>
              <w:rPr>
                <w:sz w:val="20"/>
                <w:szCs w:val="20"/>
                <w:color w:val="auto"/>
              </w:rPr>
            </w:pPr>
            <w:r>
              <w:rPr>
                <w:rFonts w:ascii="Arial" w:cs="Arial" w:eastAsia="Arial" w:hAnsi="Arial"/>
                <w:sz w:val="14"/>
                <w:szCs w:val="14"/>
                <w:color w:val="auto"/>
              </w:rPr>
              <w:t>2021</w:t>
            </w:r>
          </w:p>
        </w:tc>
        <w:tc>
          <w:tcPr>
            <w:tcW w:w="940" w:type="dxa"/>
            <w:vAlign w:val="bottom"/>
          </w:tcPr>
          <w:p>
            <w:pPr>
              <w:jc w:val="right"/>
              <w:ind w:right="110"/>
              <w:spacing w:after="0"/>
              <w:rPr>
                <w:sz w:val="20"/>
                <w:szCs w:val="20"/>
                <w:color w:val="auto"/>
              </w:rPr>
            </w:pPr>
            <w:r>
              <w:rPr>
                <w:rFonts w:ascii="Arial" w:cs="Arial" w:eastAsia="Arial" w:hAnsi="Arial"/>
                <w:sz w:val="14"/>
                <w:szCs w:val="14"/>
                <w:color w:val="auto"/>
              </w:rPr>
              <w:t>$850,432</w:t>
            </w:r>
          </w:p>
        </w:tc>
        <w:tc>
          <w:tcPr>
            <w:tcW w:w="840" w:type="dxa"/>
            <w:vAlign w:val="bottom"/>
          </w:tcPr>
          <w:p>
            <w:pPr>
              <w:jc w:val="right"/>
              <w:ind w:right="70"/>
              <w:spacing w:after="0"/>
              <w:rPr>
                <w:sz w:val="20"/>
                <w:szCs w:val="20"/>
                <w:color w:val="auto"/>
              </w:rPr>
            </w:pPr>
            <w:r>
              <w:rPr>
                <w:rFonts w:ascii="Arial" w:cs="Arial" w:eastAsia="Arial" w:hAnsi="Arial"/>
                <w:sz w:val="14"/>
                <w:szCs w:val="14"/>
                <w:color w:val="auto"/>
              </w:rPr>
              <w:t>$0</w:t>
            </w:r>
          </w:p>
        </w:tc>
        <w:tc>
          <w:tcPr>
            <w:tcW w:w="1100" w:type="dxa"/>
            <w:vAlign w:val="bottom"/>
          </w:tcPr>
          <w:p>
            <w:pPr>
              <w:jc w:val="center"/>
              <w:spacing w:after="0"/>
              <w:rPr>
                <w:sz w:val="20"/>
                <w:szCs w:val="20"/>
                <w:color w:val="auto"/>
              </w:rPr>
            </w:pPr>
            <w:r>
              <w:rPr>
                <w:rFonts w:ascii="Arial" w:cs="Arial" w:eastAsia="Arial" w:hAnsi="Arial"/>
                <w:sz w:val="14"/>
                <w:szCs w:val="14"/>
                <w:color w:val="auto"/>
              </w:rPr>
              <w:t>$2,453,000</w:t>
            </w:r>
          </w:p>
        </w:tc>
        <w:tc>
          <w:tcPr>
            <w:tcW w:w="1320" w:type="dxa"/>
            <w:vAlign w:val="bottom"/>
          </w:tcPr>
          <w:p>
            <w:pPr>
              <w:jc w:val="right"/>
              <w:ind w:right="109"/>
              <w:spacing w:after="0"/>
              <w:rPr>
                <w:sz w:val="20"/>
                <w:szCs w:val="20"/>
                <w:color w:val="auto"/>
              </w:rPr>
            </w:pPr>
            <w:r>
              <w:rPr>
                <w:rFonts w:ascii="Arial" w:cs="Arial" w:eastAsia="Arial" w:hAnsi="Arial"/>
                <w:sz w:val="14"/>
                <w:szCs w:val="14"/>
                <w:color w:val="auto"/>
              </w:rPr>
              <w:t>$906,894</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$395,335</w:t>
            </w:r>
          </w:p>
        </w:tc>
        <w:tc>
          <w:tcPr>
            <w:tcW w:w="1240" w:type="dxa"/>
            <w:vAlign w:val="bottom"/>
          </w:tcPr>
          <w:p>
            <w:pPr>
              <w:jc w:val="right"/>
              <w:ind w:right="49"/>
              <w:spacing w:after="0"/>
              <w:rPr>
                <w:sz w:val="20"/>
                <w:szCs w:val="20"/>
                <w:color w:val="auto"/>
              </w:rPr>
            </w:pPr>
            <w:r>
              <w:rPr>
                <w:rFonts w:ascii="Arial" w:cs="Arial" w:eastAsia="Arial" w:hAnsi="Arial"/>
                <w:sz w:val="14"/>
                <w:szCs w:val="14"/>
                <w:color w:val="auto"/>
              </w:rPr>
              <w:t>$51,026</w:t>
            </w: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$4,656,687</w:t>
            </w:r>
          </w:p>
        </w:tc>
        <w:tc>
          <w:tcPr>
            <w:tcW w:w="0" w:type="dxa"/>
            <w:vAlign w:val="bottom"/>
          </w:tcPr>
          <w:p>
            <w:pPr>
              <w:spacing w:after="0"/>
              <w:rPr>
                <w:sz w:val="1"/>
                <w:szCs w:val="1"/>
                <w:color w:val="auto"/>
              </w:rPr>
            </w:pPr>
          </w:p>
        </w:tc>
      </w:tr>
      <w:tr>
        <w:trPr>
          <w:trHeight w:val="162"/>
        </w:trPr>
        <w:tc>
          <w:tcPr>
            <w:tcW w:w="1060" w:type="dxa"/>
            <w:vAlign w:val="bottom"/>
          </w:tcPr>
          <w:p>
            <w:pPr>
              <w:ind w:left="20"/>
              <w:spacing w:after="0"/>
              <w:rPr>
                <w:sz w:val="20"/>
                <w:szCs w:val="20"/>
                <w:color w:val="auto"/>
              </w:rPr>
            </w:pPr>
            <w:r>
              <w:rPr>
                <w:rFonts w:ascii="Arial" w:cs="Arial" w:eastAsia="Arial" w:hAnsi="Arial"/>
                <w:sz w:val="14"/>
                <w:szCs w:val="14"/>
                <w:color w:val="auto"/>
              </w:rPr>
              <w:t>President and</w:t>
            </w: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060" w:type="dxa"/>
            <w:vAlign w:val="bottom"/>
          </w:tcPr>
          <w:p>
            <w:pPr>
              <w:ind w:left="20"/>
              <w:spacing w:after="0"/>
              <w:rPr>
                <w:sz w:val="20"/>
                <w:szCs w:val="20"/>
                <w:color w:val="auto"/>
              </w:rPr>
            </w:pPr>
            <w:r>
              <w:rPr>
                <w:rFonts w:ascii="Arial" w:cs="Arial" w:eastAsia="Arial" w:hAnsi="Arial"/>
                <w:sz w:val="14"/>
                <w:szCs w:val="14"/>
                <w:color w:val="auto"/>
              </w:rPr>
              <w:t>Chief Financial</w:t>
            </w:r>
          </w:p>
        </w:tc>
        <w:tc>
          <w:tcPr>
            <w:tcW w:w="420" w:type="dxa"/>
            <w:vAlign w:val="bottom"/>
          </w:tcPr>
          <w:p>
            <w:pPr>
              <w:ind w:left="60"/>
              <w:spacing w:after="0"/>
              <w:rPr>
                <w:sz w:val="20"/>
                <w:szCs w:val="20"/>
                <w:color w:val="auto"/>
              </w:rPr>
            </w:pPr>
            <w:r>
              <w:rPr>
                <w:rFonts w:ascii="Arial" w:cs="Arial" w:eastAsia="Arial" w:hAnsi="Arial"/>
                <w:sz w:val="14"/>
                <w:szCs w:val="14"/>
                <w:color w:val="auto"/>
              </w:rPr>
              <w:t>2020</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N/A</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N/A</w:t>
            </w:r>
          </w:p>
        </w:tc>
        <w:tc>
          <w:tcPr>
            <w:tcW w:w="1100" w:type="dxa"/>
            <w:vAlign w:val="bottom"/>
          </w:tcPr>
          <w:p>
            <w:pPr>
              <w:ind w:left="740"/>
              <w:spacing w:after="0"/>
              <w:rPr>
                <w:sz w:val="20"/>
                <w:szCs w:val="20"/>
                <w:color w:val="auto"/>
              </w:rPr>
            </w:pPr>
            <w:r>
              <w:rPr>
                <w:rFonts w:ascii="Arial" w:cs="Arial" w:eastAsia="Arial" w:hAnsi="Arial"/>
                <w:sz w:val="14"/>
                <w:szCs w:val="14"/>
                <w:color w:val="auto"/>
              </w:rPr>
              <w:t>N/A</w:t>
            </w:r>
          </w:p>
        </w:tc>
        <w:tc>
          <w:tcPr>
            <w:tcW w:w="1320" w:type="dxa"/>
            <w:vAlign w:val="bottom"/>
          </w:tcPr>
          <w:p>
            <w:pPr>
              <w:jc w:val="right"/>
              <w:ind w:right="49"/>
              <w:spacing w:after="0"/>
              <w:rPr>
                <w:sz w:val="20"/>
                <w:szCs w:val="20"/>
                <w:color w:val="auto"/>
              </w:rPr>
            </w:pPr>
            <w:r>
              <w:rPr>
                <w:rFonts w:ascii="Arial" w:cs="Arial" w:eastAsia="Arial" w:hAnsi="Arial"/>
                <w:sz w:val="14"/>
                <w:szCs w:val="14"/>
                <w:color w:val="auto"/>
              </w:rPr>
              <w:t>N/A</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N/A</w:t>
            </w:r>
          </w:p>
        </w:tc>
        <w:tc>
          <w:tcPr>
            <w:tcW w:w="1240" w:type="dxa"/>
            <w:vAlign w:val="bottom"/>
          </w:tcPr>
          <w:p>
            <w:pPr>
              <w:jc w:val="right"/>
              <w:ind w:right="49"/>
              <w:spacing w:after="0"/>
              <w:rPr>
                <w:sz w:val="20"/>
                <w:szCs w:val="20"/>
                <w:color w:val="auto"/>
              </w:rPr>
            </w:pPr>
            <w:r>
              <w:rPr>
                <w:rFonts w:ascii="Arial" w:cs="Arial" w:eastAsia="Arial" w:hAnsi="Arial"/>
                <w:sz w:val="14"/>
                <w:szCs w:val="14"/>
                <w:color w:val="auto"/>
              </w:rPr>
              <w:t>N/A</w:t>
            </w:r>
          </w:p>
        </w:tc>
        <w:tc>
          <w:tcPr>
            <w:tcW w:w="120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6"/>
        </w:trPr>
        <w:tc>
          <w:tcPr>
            <w:tcW w:w="1060" w:type="dxa"/>
            <w:vAlign w:val="bottom"/>
          </w:tcPr>
          <w:p>
            <w:pPr>
              <w:ind w:left="20"/>
              <w:spacing w:after="0"/>
              <w:rPr>
                <w:sz w:val="20"/>
                <w:szCs w:val="20"/>
                <w:color w:val="auto"/>
              </w:rPr>
            </w:pPr>
            <w:r>
              <w:rPr>
                <w:rFonts w:ascii="Arial" w:cs="Arial" w:eastAsia="Arial" w:hAnsi="Arial"/>
                <w:sz w:val="14"/>
                <w:szCs w:val="14"/>
                <w:color w:val="auto"/>
              </w:rPr>
              <w:t>Officer</w:t>
            </w: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060" w:type="dxa"/>
            <w:vAlign w:val="bottom"/>
            <w:shd w:val="clear" w:color="auto" w:fill="F2F2F2"/>
          </w:tcPr>
          <w:p>
            <w:pPr>
              <w:ind w:left="20"/>
              <w:spacing w:after="0"/>
              <w:rPr>
                <w:sz w:val="20"/>
                <w:szCs w:val="20"/>
                <w:color w:val="auto"/>
              </w:rPr>
            </w:pPr>
            <w:r>
              <w:rPr>
                <w:rFonts w:ascii="Arial" w:cs="Arial" w:eastAsia="Arial" w:hAnsi="Arial"/>
                <w:sz w:val="14"/>
                <w:szCs w:val="14"/>
                <w:color w:val="auto"/>
              </w:rPr>
              <w:t>Daniel M.</w:t>
            </w:r>
          </w:p>
        </w:tc>
        <w:tc>
          <w:tcPr>
            <w:tcW w:w="42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2022</w:t>
            </w:r>
          </w:p>
        </w:tc>
        <w:tc>
          <w:tcPr>
            <w:tcW w:w="940" w:type="dxa"/>
            <w:vAlign w:val="bottom"/>
            <w:shd w:val="clear" w:color="auto" w:fill="F2F2F2"/>
          </w:tcPr>
          <w:p>
            <w:pPr>
              <w:jc w:val="right"/>
              <w:ind w:right="130"/>
              <w:spacing w:after="0"/>
              <w:rPr>
                <w:sz w:val="20"/>
                <w:szCs w:val="20"/>
                <w:color w:val="auto"/>
              </w:rPr>
            </w:pPr>
            <w:r>
              <w:rPr>
                <w:rFonts w:ascii="Arial" w:cs="Arial" w:eastAsia="Arial" w:hAnsi="Arial"/>
                <w:sz w:val="14"/>
                <w:szCs w:val="14"/>
                <w:color w:val="auto"/>
              </w:rPr>
              <w:t>$1,201,923</w:t>
            </w:r>
          </w:p>
        </w:tc>
        <w:tc>
          <w:tcPr>
            <w:tcW w:w="840" w:type="dxa"/>
            <w:vAlign w:val="bottom"/>
            <w:shd w:val="clear" w:color="auto" w:fill="F2F2F2"/>
          </w:tcPr>
          <w:p>
            <w:pPr>
              <w:jc w:val="right"/>
              <w:ind w:right="70"/>
              <w:spacing w:after="0"/>
              <w:rPr>
                <w:sz w:val="20"/>
                <w:szCs w:val="20"/>
                <w:color w:val="auto"/>
              </w:rPr>
            </w:pPr>
            <w:r>
              <w:rPr>
                <w:rFonts w:ascii="Arial" w:cs="Arial" w:eastAsia="Arial" w:hAnsi="Arial"/>
                <w:sz w:val="14"/>
                <w:szCs w:val="14"/>
                <w:color w:val="auto"/>
              </w:rPr>
              <w:t>$0</w:t>
            </w:r>
          </w:p>
        </w:tc>
        <w:tc>
          <w:tcPr>
            <w:tcW w:w="11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$5,747,500</w:t>
            </w:r>
          </w:p>
        </w:tc>
        <w:tc>
          <w:tcPr>
            <w:tcW w:w="1320" w:type="dxa"/>
            <w:vAlign w:val="bottom"/>
            <w:shd w:val="clear" w:color="auto" w:fill="F2F2F2"/>
          </w:tcPr>
          <w:p>
            <w:pPr>
              <w:jc w:val="right"/>
              <w:ind w:right="109"/>
              <w:spacing w:after="0"/>
              <w:rPr>
                <w:sz w:val="20"/>
                <w:szCs w:val="20"/>
                <w:color w:val="auto"/>
              </w:rPr>
            </w:pPr>
            <w:r>
              <w:rPr>
                <w:rFonts w:ascii="Arial" w:cs="Arial" w:eastAsia="Arial" w:hAnsi="Arial"/>
                <w:sz w:val="14"/>
                <w:szCs w:val="14"/>
                <w:color w:val="auto"/>
              </w:rPr>
              <w:t>$1,442,308</w:t>
            </w:r>
          </w:p>
        </w:tc>
        <w:tc>
          <w:tcPr>
            <w:tcW w:w="960" w:type="dxa"/>
            <w:vAlign w:val="bottom"/>
            <w:shd w:val="clear" w:color="auto" w:fill="F2F2F2"/>
          </w:tcPr>
          <w:p>
            <w:pPr>
              <w:jc w:val="right"/>
              <w:ind w:right="89"/>
              <w:spacing w:after="0"/>
              <w:rPr>
                <w:sz w:val="20"/>
                <w:szCs w:val="20"/>
                <w:color w:val="auto"/>
              </w:rPr>
            </w:pPr>
            <w:r>
              <w:rPr>
                <w:rFonts w:ascii="Arial" w:cs="Arial" w:eastAsia="Arial" w:hAnsi="Arial"/>
                <w:sz w:val="14"/>
                <w:szCs w:val="14"/>
                <w:color w:val="auto"/>
              </w:rPr>
              <w:t>$0</w:t>
            </w:r>
          </w:p>
        </w:tc>
        <w:tc>
          <w:tcPr>
            <w:tcW w:w="1240" w:type="dxa"/>
            <w:vAlign w:val="bottom"/>
            <w:shd w:val="clear" w:color="auto" w:fill="F2F2F2"/>
          </w:tcPr>
          <w:p>
            <w:pPr>
              <w:jc w:val="right"/>
              <w:ind w:right="49"/>
              <w:spacing w:after="0"/>
              <w:rPr>
                <w:sz w:val="20"/>
                <w:szCs w:val="20"/>
                <w:color w:val="auto"/>
              </w:rPr>
            </w:pPr>
            <w:r>
              <w:rPr>
                <w:rFonts w:ascii="Arial" w:cs="Arial" w:eastAsia="Arial" w:hAnsi="Arial"/>
                <w:sz w:val="14"/>
                <w:szCs w:val="14"/>
                <w:color w:val="auto"/>
              </w:rPr>
              <w:t>$72,115</w:t>
            </w:r>
          </w:p>
        </w:tc>
        <w:tc>
          <w:tcPr>
            <w:tcW w:w="1200" w:type="dxa"/>
            <w:vAlign w:val="bottom"/>
            <w:shd w:val="clear" w:color="auto" w:fill="F2F2F2"/>
          </w:tcPr>
          <w:p>
            <w:pPr>
              <w:jc w:val="right"/>
              <w:ind w:right="9"/>
              <w:spacing w:after="0"/>
              <w:rPr>
                <w:sz w:val="20"/>
                <w:szCs w:val="20"/>
                <w:color w:val="auto"/>
              </w:rPr>
            </w:pPr>
            <w:r>
              <w:rPr>
                <w:rFonts w:ascii="Arial" w:cs="Arial" w:eastAsia="Arial" w:hAnsi="Arial"/>
                <w:sz w:val="14"/>
                <w:szCs w:val="14"/>
                <w:color w:val="auto"/>
              </w:rPr>
              <w:t>$8,463,846</w:t>
            </w:r>
          </w:p>
        </w:tc>
        <w:tc>
          <w:tcPr>
            <w:tcW w:w="0" w:type="dxa"/>
            <w:vAlign w:val="bottom"/>
          </w:tcPr>
          <w:p>
            <w:pPr>
              <w:spacing w:after="0"/>
              <w:rPr>
                <w:sz w:val="1"/>
                <w:szCs w:val="1"/>
                <w:color w:val="auto"/>
              </w:rPr>
            </w:pPr>
          </w:p>
        </w:tc>
      </w:tr>
      <w:tr>
        <w:trPr>
          <w:trHeight w:val="162"/>
        </w:trPr>
        <w:tc>
          <w:tcPr>
            <w:tcW w:w="1060" w:type="dxa"/>
            <w:vAlign w:val="bottom"/>
            <w:shd w:val="clear" w:color="auto" w:fill="F2F2F2"/>
          </w:tcPr>
          <w:p>
            <w:pPr>
              <w:ind w:left="20"/>
              <w:spacing w:after="0"/>
              <w:rPr>
                <w:sz w:val="20"/>
                <w:szCs w:val="20"/>
                <w:color w:val="auto"/>
              </w:rPr>
            </w:pPr>
            <w:r>
              <w:rPr>
                <w:rFonts w:ascii="Arial" w:cs="Arial" w:eastAsia="Arial" w:hAnsi="Arial"/>
                <w:sz w:val="14"/>
                <w:szCs w:val="14"/>
                <w:color w:val="auto"/>
              </w:rPr>
              <w:t>Skovronsky,</w:t>
            </w:r>
          </w:p>
        </w:tc>
        <w:tc>
          <w:tcPr>
            <w:tcW w:w="420" w:type="dxa"/>
            <w:vAlign w:val="bottom"/>
            <w:shd w:val="clear" w:color="auto" w:fill="F2F2F2"/>
          </w:tcPr>
          <w:p>
            <w:pPr>
              <w:spacing w:after="0"/>
              <w:rPr>
                <w:sz w:val="14"/>
                <w:szCs w:val="14"/>
                <w:color w:val="auto"/>
              </w:rPr>
            </w:pPr>
          </w:p>
        </w:tc>
        <w:tc>
          <w:tcPr>
            <w:tcW w:w="940" w:type="dxa"/>
            <w:vAlign w:val="bottom"/>
            <w:shd w:val="clear" w:color="auto" w:fill="F2F2F2"/>
          </w:tcPr>
          <w:p>
            <w:pPr>
              <w:spacing w:after="0"/>
              <w:rPr>
                <w:sz w:val="14"/>
                <w:szCs w:val="14"/>
                <w:color w:val="auto"/>
              </w:rPr>
            </w:pPr>
          </w:p>
        </w:tc>
        <w:tc>
          <w:tcPr>
            <w:tcW w:w="840" w:type="dxa"/>
            <w:vAlign w:val="bottom"/>
            <w:shd w:val="clear" w:color="auto" w:fill="F2F2F2"/>
          </w:tcPr>
          <w:p>
            <w:pPr>
              <w:spacing w:after="0"/>
              <w:rPr>
                <w:sz w:val="14"/>
                <w:szCs w:val="14"/>
                <w:color w:val="auto"/>
              </w:rPr>
            </w:pPr>
          </w:p>
        </w:tc>
        <w:tc>
          <w:tcPr>
            <w:tcW w:w="1100" w:type="dxa"/>
            <w:vAlign w:val="bottom"/>
            <w:shd w:val="clear" w:color="auto" w:fill="F2F2F2"/>
          </w:tcPr>
          <w:p>
            <w:pPr>
              <w:spacing w:after="0"/>
              <w:rPr>
                <w:sz w:val="14"/>
                <w:szCs w:val="14"/>
                <w:color w:val="auto"/>
              </w:rPr>
            </w:pPr>
          </w:p>
        </w:tc>
        <w:tc>
          <w:tcPr>
            <w:tcW w:w="1320" w:type="dxa"/>
            <w:vAlign w:val="bottom"/>
            <w:shd w:val="clear" w:color="auto" w:fill="F2F2F2"/>
          </w:tcPr>
          <w:p>
            <w:pPr>
              <w:spacing w:after="0"/>
              <w:rPr>
                <w:sz w:val="14"/>
                <w:szCs w:val="14"/>
                <w:color w:val="auto"/>
              </w:rPr>
            </w:pPr>
          </w:p>
        </w:tc>
        <w:tc>
          <w:tcPr>
            <w:tcW w:w="960" w:type="dxa"/>
            <w:vAlign w:val="bottom"/>
            <w:shd w:val="clear" w:color="auto" w:fill="F2F2F2"/>
          </w:tcPr>
          <w:p>
            <w:pPr>
              <w:spacing w:after="0"/>
              <w:rPr>
                <w:sz w:val="14"/>
                <w:szCs w:val="14"/>
                <w:color w:val="auto"/>
              </w:rPr>
            </w:pPr>
          </w:p>
        </w:tc>
        <w:tc>
          <w:tcPr>
            <w:tcW w:w="1240" w:type="dxa"/>
            <w:vAlign w:val="bottom"/>
            <w:shd w:val="clear" w:color="auto" w:fill="F2F2F2"/>
          </w:tcPr>
          <w:p>
            <w:pPr>
              <w:spacing w:after="0"/>
              <w:rPr>
                <w:sz w:val="14"/>
                <w:szCs w:val="14"/>
                <w:color w:val="auto"/>
              </w:rPr>
            </w:pPr>
          </w:p>
        </w:tc>
        <w:tc>
          <w:tcPr>
            <w:tcW w:w="120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60" w:type="dxa"/>
            <w:vAlign w:val="bottom"/>
            <w:shd w:val="clear" w:color="auto" w:fill="F2F2F2"/>
          </w:tcPr>
          <w:p>
            <w:pPr>
              <w:ind w:left="20"/>
              <w:spacing w:after="0"/>
              <w:rPr>
                <w:sz w:val="20"/>
                <w:szCs w:val="20"/>
                <w:color w:val="auto"/>
              </w:rPr>
            </w:pPr>
            <w:r>
              <w:rPr>
                <w:rFonts w:ascii="Arial" w:cs="Arial" w:eastAsia="Arial" w:hAnsi="Arial"/>
                <w:sz w:val="14"/>
                <w:szCs w:val="14"/>
                <w:color w:val="auto"/>
              </w:rPr>
              <w:t>M.D., Ph.D.</w:t>
            </w:r>
          </w:p>
        </w:tc>
        <w:tc>
          <w:tcPr>
            <w:tcW w:w="420" w:type="dxa"/>
            <w:vAlign w:val="bottom"/>
            <w:shd w:val="clear" w:color="auto" w:fill="F2F2F2"/>
          </w:tcPr>
          <w:p>
            <w:pPr>
              <w:spacing w:after="0"/>
              <w:rPr>
                <w:sz w:val="16"/>
                <w:szCs w:val="16"/>
                <w:color w:val="auto"/>
              </w:rPr>
            </w:pPr>
          </w:p>
        </w:tc>
        <w:tc>
          <w:tcPr>
            <w:tcW w:w="940" w:type="dxa"/>
            <w:vAlign w:val="bottom"/>
            <w:shd w:val="clear" w:color="auto" w:fill="F2F2F2"/>
          </w:tcPr>
          <w:p>
            <w:pPr>
              <w:spacing w:after="0"/>
              <w:rPr>
                <w:sz w:val="16"/>
                <w:szCs w:val="16"/>
                <w:color w:val="auto"/>
              </w:rPr>
            </w:pPr>
          </w:p>
        </w:tc>
        <w:tc>
          <w:tcPr>
            <w:tcW w:w="840" w:type="dxa"/>
            <w:vAlign w:val="bottom"/>
            <w:shd w:val="clear" w:color="auto" w:fill="F2F2F2"/>
          </w:tcPr>
          <w:p>
            <w:pPr>
              <w:spacing w:after="0"/>
              <w:rPr>
                <w:sz w:val="16"/>
                <w:szCs w:val="16"/>
                <w:color w:val="auto"/>
              </w:rPr>
            </w:pPr>
          </w:p>
        </w:tc>
        <w:tc>
          <w:tcPr>
            <w:tcW w:w="1100" w:type="dxa"/>
            <w:vAlign w:val="bottom"/>
            <w:shd w:val="clear" w:color="auto" w:fill="F2F2F2"/>
          </w:tcPr>
          <w:p>
            <w:pPr>
              <w:spacing w:after="0"/>
              <w:rPr>
                <w:sz w:val="16"/>
                <w:szCs w:val="16"/>
                <w:color w:val="auto"/>
              </w:rPr>
            </w:pPr>
          </w:p>
        </w:tc>
        <w:tc>
          <w:tcPr>
            <w:tcW w:w="1320" w:type="dxa"/>
            <w:vAlign w:val="bottom"/>
            <w:shd w:val="clear" w:color="auto" w:fill="F2F2F2"/>
          </w:tcPr>
          <w:p>
            <w:pPr>
              <w:spacing w:after="0"/>
              <w:rPr>
                <w:sz w:val="16"/>
                <w:szCs w:val="16"/>
                <w:color w:val="auto"/>
              </w:rPr>
            </w:pPr>
          </w:p>
        </w:tc>
        <w:tc>
          <w:tcPr>
            <w:tcW w:w="960" w:type="dxa"/>
            <w:vAlign w:val="bottom"/>
            <w:shd w:val="clear" w:color="auto" w:fill="F2F2F2"/>
          </w:tcPr>
          <w:p>
            <w:pPr>
              <w:spacing w:after="0"/>
              <w:rPr>
                <w:sz w:val="16"/>
                <w:szCs w:val="16"/>
                <w:color w:val="auto"/>
              </w:rPr>
            </w:pPr>
          </w:p>
        </w:tc>
        <w:tc>
          <w:tcPr>
            <w:tcW w:w="124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060" w:type="dxa"/>
            <w:vAlign w:val="bottom"/>
            <w:shd w:val="clear" w:color="auto" w:fill="F2F2F2"/>
          </w:tcPr>
          <w:p>
            <w:pPr>
              <w:ind w:left="20"/>
              <w:spacing w:after="0"/>
              <w:rPr>
                <w:sz w:val="20"/>
                <w:szCs w:val="20"/>
                <w:color w:val="auto"/>
              </w:rPr>
            </w:pPr>
            <w:r>
              <w:rPr>
                <w:rFonts w:ascii="Arial" w:cs="Arial" w:eastAsia="Arial" w:hAnsi="Arial"/>
                <w:sz w:val="14"/>
                <w:szCs w:val="14"/>
                <w:color w:val="auto"/>
              </w:rPr>
              <w:t>Executive Vice</w:t>
            </w:r>
          </w:p>
        </w:tc>
        <w:tc>
          <w:tcPr>
            <w:tcW w:w="42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2021</w:t>
            </w:r>
          </w:p>
        </w:tc>
        <w:tc>
          <w:tcPr>
            <w:tcW w:w="940" w:type="dxa"/>
            <w:vAlign w:val="bottom"/>
            <w:shd w:val="clear" w:color="auto" w:fill="F2F2F2"/>
          </w:tcPr>
          <w:p>
            <w:pPr>
              <w:jc w:val="right"/>
              <w:ind w:right="130"/>
              <w:spacing w:after="0"/>
              <w:rPr>
                <w:sz w:val="20"/>
                <w:szCs w:val="20"/>
                <w:color w:val="auto"/>
              </w:rPr>
            </w:pPr>
            <w:r>
              <w:rPr>
                <w:rFonts w:ascii="Arial" w:cs="Arial" w:eastAsia="Arial" w:hAnsi="Arial"/>
                <w:sz w:val="14"/>
                <w:szCs w:val="14"/>
                <w:color w:val="auto"/>
              </w:rPr>
              <w:t>$1,000,000</w:t>
            </w:r>
          </w:p>
        </w:tc>
        <w:tc>
          <w:tcPr>
            <w:tcW w:w="840" w:type="dxa"/>
            <w:vAlign w:val="bottom"/>
            <w:shd w:val="clear" w:color="auto" w:fill="F2F2F2"/>
          </w:tcPr>
          <w:p>
            <w:pPr>
              <w:jc w:val="right"/>
              <w:ind w:right="70"/>
              <w:spacing w:after="0"/>
              <w:rPr>
                <w:sz w:val="20"/>
                <w:szCs w:val="20"/>
                <w:color w:val="auto"/>
              </w:rPr>
            </w:pPr>
            <w:r>
              <w:rPr>
                <w:rFonts w:ascii="Arial" w:cs="Arial" w:eastAsia="Arial" w:hAnsi="Arial"/>
                <w:sz w:val="14"/>
                <w:szCs w:val="14"/>
                <w:color w:val="auto"/>
              </w:rPr>
              <w:t>$0</w:t>
            </w:r>
          </w:p>
        </w:tc>
        <w:tc>
          <w:tcPr>
            <w:tcW w:w="11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$5,024,300</w:t>
            </w:r>
          </w:p>
        </w:tc>
        <w:tc>
          <w:tcPr>
            <w:tcW w:w="1320" w:type="dxa"/>
            <w:vAlign w:val="bottom"/>
            <w:shd w:val="clear" w:color="auto" w:fill="F2F2F2"/>
          </w:tcPr>
          <w:p>
            <w:pPr>
              <w:jc w:val="right"/>
              <w:ind w:right="109"/>
              <w:spacing w:after="0"/>
              <w:rPr>
                <w:sz w:val="20"/>
                <w:szCs w:val="20"/>
                <w:color w:val="auto"/>
              </w:rPr>
            </w:pPr>
            <w:r>
              <w:rPr>
                <w:rFonts w:ascii="Arial" w:cs="Arial" w:eastAsia="Arial" w:hAnsi="Arial"/>
                <w:sz w:val="14"/>
                <w:szCs w:val="14"/>
                <w:color w:val="auto"/>
              </w:rPr>
              <w:t>$1,100,000</w:t>
            </w:r>
          </w:p>
        </w:tc>
        <w:tc>
          <w:tcPr>
            <w:tcW w:w="960" w:type="dxa"/>
            <w:vAlign w:val="bottom"/>
            <w:shd w:val="clear" w:color="auto" w:fill="F2F2F2"/>
          </w:tcPr>
          <w:p>
            <w:pPr>
              <w:jc w:val="right"/>
              <w:ind w:right="89"/>
              <w:spacing w:after="0"/>
              <w:rPr>
                <w:sz w:val="20"/>
                <w:szCs w:val="20"/>
                <w:color w:val="auto"/>
              </w:rPr>
            </w:pPr>
            <w:r>
              <w:rPr>
                <w:rFonts w:ascii="Arial" w:cs="Arial" w:eastAsia="Arial" w:hAnsi="Arial"/>
                <w:sz w:val="14"/>
                <w:szCs w:val="14"/>
                <w:color w:val="auto"/>
              </w:rPr>
              <w:t>$342,792</w:t>
            </w:r>
          </w:p>
        </w:tc>
        <w:tc>
          <w:tcPr>
            <w:tcW w:w="1240" w:type="dxa"/>
            <w:vAlign w:val="bottom"/>
            <w:shd w:val="clear" w:color="auto" w:fill="F2F2F2"/>
          </w:tcPr>
          <w:p>
            <w:pPr>
              <w:jc w:val="right"/>
              <w:ind w:right="49"/>
              <w:spacing w:after="0"/>
              <w:rPr>
                <w:sz w:val="20"/>
                <w:szCs w:val="20"/>
                <w:color w:val="auto"/>
              </w:rPr>
            </w:pPr>
            <w:r>
              <w:rPr>
                <w:rFonts w:ascii="Arial" w:cs="Arial" w:eastAsia="Arial" w:hAnsi="Arial"/>
                <w:sz w:val="14"/>
                <w:szCs w:val="14"/>
                <w:color w:val="auto"/>
              </w:rPr>
              <w:t>$60,000</w:t>
            </w:r>
          </w:p>
        </w:tc>
        <w:tc>
          <w:tcPr>
            <w:tcW w:w="1200" w:type="dxa"/>
            <w:vAlign w:val="bottom"/>
            <w:shd w:val="clear" w:color="auto" w:fill="F2F2F2"/>
          </w:tcPr>
          <w:p>
            <w:pPr>
              <w:jc w:val="right"/>
              <w:ind w:right="9"/>
              <w:spacing w:after="0"/>
              <w:rPr>
                <w:sz w:val="20"/>
                <w:szCs w:val="20"/>
                <w:color w:val="auto"/>
              </w:rPr>
            </w:pPr>
            <w:r>
              <w:rPr>
                <w:rFonts w:ascii="Arial" w:cs="Arial" w:eastAsia="Arial" w:hAnsi="Arial"/>
                <w:sz w:val="14"/>
                <w:szCs w:val="14"/>
                <w:color w:val="auto"/>
              </w:rPr>
              <w:t>$7,527,092</w:t>
            </w:r>
          </w:p>
        </w:tc>
        <w:tc>
          <w:tcPr>
            <w:tcW w:w="0" w:type="dxa"/>
            <w:vAlign w:val="bottom"/>
          </w:tcPr>
          <w:p>
            <w:pPr>
              <w:spacing w:after="0"/>
              <w:rPr>
                <w:sz w:val="1"/>
                <w:szCs w:val="1"/>
                <w:color w:val="auto"/>
              </w:rPr>
            </w:pPr>
          </w:p>
        </w:tc>
      </w:tr>
      <w:tr>
        <w:trPr>
          <w:trHeight w:val="162"/>
        </w:trPr>
        <w:tc>
          <w:tcPr>
            <w:tcW w:w="1060" w:type="dxa"/>
            <w:vAlign w:val="bottom"/>
            <w:shd w:val="clear" w:color="auto" w:fill="F2F2F2"/>
          </w:tcPr>
          <w:p>
            <w:pPr>
              <w:ind w:left="20"/>
              <w:spacing w:after="0"/>
              <w:rPr>
                <w:sz w:val="20"/>
                <w:szCs w:val="20"/>
                <w:color w:val="auto"/>
              </w:rPr>
            </w:pPr>
            <w:r>
              <w:rPr>
                <w:rFonts w:ascii="Arial" w:cs="Arial" w:eastAsia="Arial" w:hAnsi="Arial"/>
                <w:sz w:val="14"/>
                <w:szCs w:val="14"/>
                <w:color w:val="auto"/>
              </w:rPr>
              <w:t>President,</w:t>
            </w:r>
          </w:p>
        </w:tc>
        <w:tc>
          <w:tcPr>
            <w:tcW w:w="420" w:type="dxa"/>
            <w:vAlign w:val="bottom"/>
            <w:shd w:val="clear" w:color="auto" w:fill="F2F2F2"/>
          </w:tcPr>
          <w:p>
            <w:pPr>
              <w:spacing w:after="0"/>
              <w:rPr>
                <w:sz w:val="14"/>
                <w:szCs w:val="14"/>
                <w:color w:val="auto"/>
              </w:rPr>
            </w:pPr>
          </w:p>
        </w:tc>
        <w:tc>
          <w:tcPr>
            <w:tcW w:w="940" w:type="dxa"/>
            <w:vAlign w:val="bottom"/>
            <w:shd w:val="clear" w:color="auto" w:fill="F2F2F2"/>
          </w:tcPr>
          <w:p>
            <w:pPr>
              <w:spacing w:after="0"/>
              <w:rPr>
                <w:sz w:val="14"/>
                <w:szCs w:val="14"/>
                <w:color w:val="auto"/>
              </w:rPr>
            </w:pPr>
          </w:p>
        </w:tc>
        <w:tc>
          <w:tcPr>
            <w:tcW w:w="840" w:type="dxa"/>
            <w:vAlign w:val="bottom"/>
            <w:shd w:val="clear" w:color="auto" w:fill="F2F2F2"/>
          </w:tcPr>
          <w:p>
            <w:pPr>
              <w:spacing w:after="0"/>
              <w:rPr>
                <w:sz w:val="14"/>
                <w:szCs w:val="14"/>
                <w:color w:val="auto"/>
              </w:rPr>
            </w:pPr>
          </w:p>
        </w:tc>
        <w:tc>
          <w:tcPr>
            <w:tcW w:w="1100" w:type="dxa"/>
            <w:vAlign w:val="bottom"/>
            <w:shd w:val="clear" w:color="auto" w:fill="F2F2F2"/>
          </w:tcPr>
          <w:p>
            <w:pPr>
              <w:spacing w:after="0"/>
              <w:rPr>
                <w:sz w:val="14"/>
                <w:szCs w:val="14"/>
                <w:color w:val="auto"/>
              </w:rPr>
            </w:pPr>
          </w:p>
        </w:tc>
        <w:tc>
          <w:tcPr>
            <w:tcW w:w="1320" w:type="dxa"/>
            <w:vAlign w:val="bottom"/>
            <w:shd w:val="clear" w:color="auto" w:fill="F2F2F2"/>
          </w:tcPr>
          <w:p>
            <w:pPr>
              <w:spacing w:after="0"/>
              <w:rPr>
                <w:sz w:val="14"/>
                <w:szCs w:val="14"/>
                <w:color w:val="auto"/>
              </w:rPr>
            </w:pPr>
          </w:p>
        </w:tc>
        <w:tc>
          <w:tcPr>
            <w:tcW w:w="960" w:type="dxa"/>
            <w:vAlign w:val="bottom"/>
            <w:shd w:val="clear" w:color="auto" w:fill="F2F2F2"/>
          </w:tcPr>
          <w:p>
            <w:pPr>
              <w:spacing w:after="0"/>
              <w:rPr>
                <w:sz w:val="14"/>
                <w:szCs w:val="14"/>
                <w:color w:val="auto"/>
              </w:rPr>
            </w:pPr>
          </w:p>
        </w:tc>
        <w:tc>
          <w:tcPr>
            <w:tcW w:w="1240" w:type="dxa"/>
            <w:vAlign w:val="bottom"/>
            <w:shd w:val="clear" w:color="auto" w:fill="F2F2F2"/>
          </w:tcPr>
          <w:p>
            <w:pPr>
              <w:spacing w:after="0"/>
              <w:rPr>
                <w:sz w:val="14"/>
                <w:szCs w:val="14"/>
                <w:color w:val="auto"/>
              </w:rPr>
            </w:pPr>
          </w:p>
        </w:tc>
        <w:tc>
          <w:tcPr>
            <w:tcW w:w="120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60" w:type="dxa"/>
            <w:vAlign w:val="bottom"/>
            <w:shd w:val="clear" w:color="auto" w:fill="F2F2F2"/>
          </w:tcPr>
          <w:p>
            <w:pPr>
              <w:ind w:left="20"/>
              <w:spacing w:after="0"/>
              <w:rPr>
                <w:sz w:val="20"/>
                <w:szCs w:val="20"/>
                <w:color w:val="auto"/>
              </w:rPr>
            </w:pPr>
            <w:r>
              <w:rPr>
                <w:rFonts w:ascii="Arial" w:cs="Arial" w:eastAsia="Arial" w:hAnsi="Arial"/>
                <w:sz w:val="14"/>
                <w:szCs w:val="14"/>
                <w:color w:val="auto"/>
              </w:rPr>
              <w:t>Chief Scientific</w:t>
            </w:r>
          </w:p>
        </w:tc>
        <w:tc>
          <w:tcPr>
            <w:tcW w:w="420" w:type="dxa"/>
            <w:vAlign w:val="bottom"/>
            <w:shd w:val="clear" w:color="auto" w:fill="F2F2F2"/>
          </w:tcPr>
          <w:p>
            <w:pPr>
              <w:spacing w:after="0"/>
              <w:rPr>
                <w:sz w:val="15"/>
                <w:szCs w:val="15"/>
                <w:color w:val="auto"/>
              </w:rPr>
            </w:pPr>
          </w:p>
        </w:tc>
        <w:tc>
          <w:tcPr>
            <w:tcW w:w="940" w:type="dxa"/>
            <w:vAlign w:val="bottom"/>
            <w:shd w:val="clear" w:color="auto" w:fill="F2F2F2"/>
          </w:tcPr>
          <w:p>
            <w:pPr>
              <w:spacing w:after="0"/>
              <w:rPr>
                <w:sz w:val="15"/>
                <w:szCs w:val="15"/>
                <w:color w:val="auto"/>
              </w:rPr>
            </w:pPr>
          </w:p>
        </w:tc>
        <w:tc>
          <w:tcPr>
            <w:tcW w:w="840" w:type="dxa"/>
            <w:vAlign w:val="bottom"/>
            <w:shd w:val="clear" w:color="auto" w:fill="F2F2F2"/>
          </w:tcPr>
          <w:p>
            <w:pPr>
              <w:spacing w:after="0"/>
              <w:rPr>
                <w:sz w:val="15"/>
                <w:szCs w:val="15"/>
                <w:color w:val="auto"/>
              </w:rPr>
            </w:pPr>
          </w:p>
        </w:tc>
        <w:tc>
          <w:tcPr>
            <w:tcW w:w="1100" w:type="dxa"/>
            <w:vAlign w:val="bottom"/>
            <w:shd w:val="clear" w:color="auto" w:fill="F2F2F2"/>
          </w:tcPr>
          <w:p>
            <w:pPr>
              <w:spacing w:after="0"/>
              <w:rPr>
                <w:sz w:val="15"/>
                <w:szCs w:val="15"/>
                <w:color w:val="auto"/>
              </w:rPr>
            </w:pPr>
          </w:p>
        </w:tc>
        <w:tc>
          <w:tcPr>
            <w:tcW w:w="1320" w:type="dxa"/>
            <w:vAlign w:val="bottom"/>
            <w:shd w:val="clear" w:color="auto" w:fill="F2F2F2"/>
          </w:tcPr>
          <w:p>
            <w:pPr>
              <w:spacing w:after="0"/>
              <w:rPr>
                <w:sz w:val="15"/>
                <w:szCs w:val="15"/>
                <w:color w:val="auto"/>
              </w:rPr>
            </w:pPr>
          </w:p>
        </w:tc>
        <w:tc>
          <w:tcPr>
            <w:tcW w:w="960" w:type="dxa"/>
            <w:vAlign w:val="bottom"/>
            <w:shd w:val="clear" w:color="auto" w:fill="F2F2F2"/>
          </w:tcPr>
          <w:p>
            <w:pPr>
              <w:spacing w:after="0"/>
              <w:rPr>
                <w:sz w:val="15"/>
                <w:szCs w:val="15"/>
                <w:color w:val="auto"/>
              </w:rPr>
            </w:pPr>
          </w:p>
        </w:tc>
        <w:tc>
          <w:tcPr>
            <w:tcW w:w="1240" w:type="dxa"/>
            <w:vAlign w:val="bottom"/>
            <w:shd w:val="clear" w:color="auto" w:fill="F2F2F2"/>
          </w:tcPr>
          <w:p>
            <w:pPr>
              <w:spacing w:after="0"/>
              <w:rPr>
                <w:sz w:val="15"/>
                <w:szCs w:val="15"/>
                <w:color w:val="auto"/>
              </w:rPr>
            </w:pPr>
          </w:p>
        </w:tc>
        <w:tc>
          <w:tcPr>
            <w:tcW w:w="120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60" w:type="dxa"/>
            <w:vAlign w:val="bottom"/>
            <w:shd w:val="clear" w:color="auto" w:fill="F2F2F2"/>
          </w:tcPr>
          <w:p>
            <w:pPr>
              <w:ind w:left="20"/>
              <w:spacing w:after="0"/>
              <w:rPr>
                <w:sz w:val="20"/>
                <w:szCs w:val="20"/>
                <w:color w:val="auto"/>
              </w:rPr>
            </w:pPr>
            <w:r>
              <w:rPr>
                <w:rFonts w:ascii="Arial" w:cs="Arial" w:eastAsia="Arial" w:hAnsi="Arial"/>
                <w:sz w:val="14"/>
                <w:szCs w:val="14"/>
                <w:color w:val="auto"/>
              </w:rPr>
              <w:t>and Medical</w:t>
            </w:r>
          </w:p>
        </w:tc>
        <w:tc>
          <w:tcPr>
            <w:tcW w:w="420" w:type="dxa"/>
            <w:vAlign w:val="bottom"/>
            <w:vMerge w:val="restart"/>
            <w:shd w:val="clear" w:color="auto" w:fill="F2F2F2"/>
          </w:tcPr>
          <w:p>
            <w:pPr>
              <w:ind w:left="60"/>
              <w:spacing w:after="0"/>
              <w:rPr>
                <w:sz w:val="20"/>
                <w:szCs w:val="20"/>
                <w:color w:val="auto"/>
              </w:rPr>
            </w:pPr>
            <w:r>
              <w:rPr>
                <w:rFonts w:ascii="Arial" w:cs="Arial" w:eastAsia="Arial" w:hAnsi="Arial"/>
                <w:sz w:val="14"/>
                <w:szCs w:val="14"/>
                <w:color w:val="auto"/>
              </w:rPr>
              <w:t>2020</w:t>
            </w:r>
          </w:p>
        </w:tc>
        <w:tc>
          <w:tcPr>
            <w:tcW w:w="940" w:type="dxa"/>
            <w:vAlign w:val="bottom"/>
            <w:vMerge w:val="restart"/>
            <w:shd w:val="clear" w:color="auto" w:fill="F2F2F2"/>
          </w:tcPr>
          <w:p>
            <w:pPr>
              <w:jc w:val="right"/>
              <w:ind w:right="170"/>
              <w:spacing w:after="0"/>
              <w:rPr>
                <w:sz w:val="20"/>
                <w:szCs w:val="20"/>
                <w:color w:val="auto"/>
              </w:rPr>
            </w:pPr>
            <w:r>
              <w:rPr>
                <w:rFonts w:ascii="Arial" w:cs="Arial" w:eastAsia="Arial" w:hAnsi="Arial"/>
                <w:sz w:val="14"/>
                <w:szCs w:val="14"/>
                <w:color w:val="auto"/>
              </w:rPr>
              <w:t>$983,333</w:t>
            </w:r>
          </w:p>
        </w:tc>
        <w:tc>
          <w:tcPr>
            <w:tcW w:w="840" w:type="dxa"/>
            <w:vAlign w:val="bottom"/>
            <w:vMerge w:val="restart"/>
            <w:shd w:val="clear" w:color="auto" w:fill="F2F2F2"/>
          </w:tcPr>
          <w:p>
            <w:pPr>
              <w:jc w:val="right"/>
              <w:ind w:right="70"/>
              <w:spacing w:after="0"/>
              <w:rPr>
                <w:sz w:val="20"/>
                <w:szCs w:val="20"/>
                <w:color w:val="auto"/>
              </w:rPr>
            </w:pPr>
            <w:r>
              <w:rPr>
                <w:rFonts w:ascii="Arial" w:cs="Arial" w:eastAsia="Arial" w:hAnsi="Arial"/>
                <w:sz w:val="14"/>
                <w:szCs w:val="14"/>
                <w:color w:val="auto"/>
              </w:rPr>
              <w:t>$0</w:t>
            </w:r>
          </w:p>
        </w:tc>
        <w:tc>
          <w:tcPr>
            <w:tcW w:w="110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$4,456,700</w:t>
            </w:r>
          </w:p>
        </w:tc>
        <w:tc>
          <w:tcPr>
            <w:tcW w:w="1320" w:type="dxa"/>
            <w:vAlign w:val="bottom"/>
            <w:vMerge w:val="restart"/>
            <w:shd w:val="clear" w:color="auto" w:fill="F2F2F2"/>
          </w:tcPr>
          <w:p>
            <w:pPr>
              <w:jc w:val="right"/>
              <w:ind w:right="109"/>
              <w:spacing w:after="0"/>
              <w:rPr>
                <w:sz w:val="20"/>
                <w:szCs w:val="20"/>
                <w:color w:val="auto"/>
              </w:rPr>
            </w:pPr>
            <w:r>
              <w:rPr>
                <w:rFonts w:ascii="Arial" w:cs="Arial" w:eastAsia="Arial" w:hAnsi="Arial"/>
                <w:sz w:val="14"/>
                <w:szCs w:val="14"/>
                <w:color w:val="auto"/>
              </w:rPr>
              <w:t>$1,102,317</w:t>
            </w:r>
          </w:p>
        </w:tc>
        <w:tc>
          <w:tcPr>
            <w:tcW w:w="960" w:type="dxa"/>
            <w:vAlign w:val="bottom"/>
            <w:vMerge w:val="restart"/>
            <w:shd w:val="clear" w:color="auto" w:fill="F2F2F2"/>
          </w:tcPr>
          <w:p>
            <w:pPr>
              <w:jc w:val="right"/>
              <w:ind w:right="89"/>
              <w:spacing w:after="0"/>
              <w:rPr>
                <w:sz w:val="20"/>
                <w:szCs w:val="20"/>
                <w:color w:val="auto"/>
              </w:rPr>
            </w:pPr>
            <w:r>
              <w:rPr>
                <w:rFonts w:ascii="Arial" w:cs="Arial" w:eastAsia="Arial" w:hAnsi="Arial"/>
                <w:sz w:val="14"/>
                <w:szCs w:val="14"/>
                <w:color w:val="auto"/>
              </w:rPr>
              <w:t>$751,223</w:t>
            </w:r>
          </w:p>
        </w:tc>
        <w:tc>
          <w:tcPr>
            <w:tcW w:w="1240" w:type="dxa"/>
            <w:vAlign w:val="bottom"/>
            <w:vMerge w:val="restart"/>
            <w:shd w:val="clear" w:color="auto" w:fill="F2F2F2"/>
          </w:tcPr>
          <w:p>
            <w:pPr>
              <w:jc w:val="right"/>
              <w:ind w:right="49"/>
              <w:spacing w:after="0"/>
              <w:rPr>
                <w:sz w:val="20"/>
                <w:szCs w:val="20"/>
                <w:color w:val="auto"/>
              </w:rPr>
            </w:pPr>
            <w:r>
              <w:rPr>
                <w:rFonts w:ascii="Arial" w:cs="Arial" w:eastAsia="Arial" w:hAnsi="Arial"/>
                <w:sz w:val="14"/>
                <w:szCs w:val="14"/>
                <w:color w:val="auto"/>
              </w:rPr>
              <w:t>$58,539</w:t>
            </w:r>
          </w:p>
        </w:tc>
        <w:tc>
          <w:tcPr>
            <w:tcW w:w="1200" w:type="dxa"/>
            <w:vAlign w:val="bottom"/>
            <w:vMerge w:val="restart"/>
            <w:shd w:val="clear" w:color="auto" w:fill="F2F2F2"/>
          </w:tcPr>
          <w:p>
            <w:pPr>
              <w:jc w:val="right"/>
              <w:ind w:right="9"/>
              <w:spacing w:after="0"/>
              <w:rPr>
                <w:sz w:val="20"/>
                <w:szCs w:val="20"/>
                <w:color w:val="auto"/>
              </w:rPr>
            </w:pPr>
            <w:r>
              <w:rPr>
                <w:rFonts w:ascii="Arial" w:cs="Arial" w:eastAsia="Arial" w:hAnsi="Arial"/>
                <w:sz w:val="14"/>
                <w:szCs w:val="14"/>
                <w:color w:val="auto"/>
              </w:rPr>
              <w:t>$7,352,112</w:t>
            </w:r>
          </w:p>
        </w:tc>
        <w:tc>
          <w:tcPr>
            <w:tcW w:w="0" w:type="dxa"/>
            <w:vAlign w:val="bottom"/>
          </w:tcPr>
          <w:p>
            <w:pPr>
              <w:spacing w:after="0"/>
              <w:rPr>
                <w:sz w:val="1"/>
                <w:szCs w:val="1"/>
                <w:color w:val="auto"/>
              </w:rPr>
            </w:pPr>
          </w:p>
        </w:tc>
      </w:tr>
      <w:tr>
        <w:trPr>
          <w:trHeight w:val="109"/>
        </w:trPr>
        <w:tc>
          <w:tcPr>
            <w:tcW w:w="106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Officer and</w:t>
            </w:r>
          </w:p>
        </w:tc>
        <w:tc>
          <w:tcPr>
            <w:tcW w:w="420" w:type="dxa"/>
            <w:vAlign w:val="bottom"/>
            <w:vMerge w:val="continue"/>
            <w:shd w:val="clear" w:color="auto" w:fill="F2F2F2"/>
          </w:tcPr>
          <w:p>
            <w:pPr>
              <w:spacing w:after="0"/>
              <w:rPr>
                <w:sz w:val="9"/>
                <w:szCs w:val="9"/>
                <w:color w:val="auto"/>
              </w:rPr>
            </w:pPr>
          </w:p>
        </w:tc>
        <w:tc>
          <w:tcPr>
            <w:tcW w:w="940" w:type="dxa"/>
            <w:vAlign w:val="bottom"/>
            <w:vMerge w:val="continue"/>
            <w:shd w:val="clear" w:color="auto" w:fill="F2F2F2"/>
          </w:tcPr>
          <w:p>
            <w:pPr>
              <w:spacing w:after="0"/>
              <w:rPr>
                <w:sz w:val="9"/>
                <w:szCs w:val="9"/>
                <w:color w:val="auto"/>
              </w:rPr>
            </w:pPr>
          </w:p>
        </w:tc>
        <w:tc>
          <w:tcPr>
            <w:tcW w:w="840" w:type="dxa"/>
            <w:vAlign w:val="bottom"/>
            <w:vMerge w:val="continue"/>
            <w:shd w:val="clear" w:color="auto" w:fill="F2F2F2"/>
          </w:tcPr>
          <w:p>
            <w:pPr>
              <w:spacing w:after="0"/>
              <w:rPr>
                <w:sz w:val="9"/>
                <w:szCs w:val="9"/>
                <w:color w:val="auto"/>
              </w:rPr>
            </w:pPr>
          </w:p>
        </w:tc>
        <w:tc>
          <w:tcPr>
            <w:tcW w:w="1100" w:type="dxa"/>
            <w:vAlign w:val="bottom"/>
            <w:vMerge w:val="continue"/>
            <w:shd w:val="clear" w:color="auto" w:fill="F2F2F2"/>
          </w:tcPr>
          <w:p>
            <w:pPr>
              <w:spacing w:after="0"/>
              <w:rPr>
                <w:sz w:val="9"/>
                <w:szCs w:val="9"/>
                <w:color w:val="auto"/>
              </w:rPr>
            </w:pPr>
          </w:p>
        </w:tc>
        <w:tc>
          <w:tcPr>
            <w:tcW w:w="1320" w:type="dxa"/>
            <w:vAlign w:val="bottom"/>
            <w:vMerge w:val="continue"/>
            <w:shd w:val="clear" w:color="auto" w:fill="F2F2F2"/>
          </w:tcPr>
          <w:p>
            <w:pPr>
              <w:spacing w:after="0"/>
              <w:rPr>
                <w:sz w:val="9"/>
                <w:szCs w:val="9"/>
                <w:color w:val="auto"/>
              </w:rPr>
            </w:pPr>
          </w:p>
        </w:tc>
        <w:tc>
          <w:tcPr>
            <w:tcW w:w="960" w:type="dxa"/>
            <w:vAlign w:val="bottom"/>
            <w:vMerge w:val="continue"/>
            <w:shd w:val="clear" w:color="auto" w:fill="F2F2F2"/>
          </w:tcPr>
          <w:p>
            <w:pPr>
              <w:spacing w:after="0"/>
              <w:rPr>
                <w:sz w:val="9"/>
                <w:szCs w:val="9"/>
                <w:color w:val="auto"/>
              </w:rPr>
            </w:pPr>
          </w:p>
        </w:tc>
        <w:tc>
          <w:tcPr>
            <w:tcW w:w="1240" w:type="dxa"/>
            <w:vAlign w:val="bottom"/>
            <w:vMerge w:val="continue"/>
            <w:shd w:val="clear" w:color="auto" w:fill="F2F2F2"/>
          </w:tcPr>
          <w:p>
            <w:pPr>
              <w:spacing w:after="0"/>
              <w:rPr>
                <w:sz w:val="9"/>
                <w:szCs w:val="9"/>
                <w:color w:val="auto"/>
              </w:rPr>
            </w:pPr>
          </w:p>
        </w:tc>
        <w:tc>
          <w:tcPr>
            <w:tcW w:w="1200" w:type="dxa"/>
            <w:vAlign w:val="bottom"/>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060" w:type="dxa"/>
            <w:vAlign w:val="bottom"/>
            <w:vMerge w:val="continue"/>
            <w:shd w:val="clear" w:color="auto" w:fill="F2F2F2"/>
          </w:tcPr>
          <w:p>
            <w:pPr>
              <w:spacing w:after="0"/>
              <w:rPr>
                <w:sz w:val="5"/>
                <w:szCs w:val="5"/>
                <w:color w:val="auto"/>
              </w:rPr>
            </w:pPr>
          </w:p>
        </w:tc>
        <w:tc>
          <w:tcPr>
            <w:tcW w:w="420" w:type="dxa"/>
            <w:vAlign w:val="bottom"/>
            <w:shd w:val="clear" w:color="auto" w:fill="F2F2F2"/>
          </w:tcPr>
          <w:p>
            <w:pPr>
              <w:spacing w:after="0"/>
              <w:rPr>
                <w:sz w:val="5"/>
                <w:szCs w:val="5"/>
                <w:color w:val="auto"/>
              </w:rPr>
            </w:pPr>
          </w:p>
        </w:tc>
        <w:tc>
          <w:tcPr>
            <w:tcW w:w="940" w:type="dxa"/>
            <w:vAlign w:val="bottom"/>
            <w:shd w:val="clear" w:color="auto" w:fill="F2F2F2"/>
          </w:tcPr>
          <w:p>
            <w:pPr>
              <w:spacing w:after="0"/>
              <w:rPr>
                <w:sz w:val="5"/>
                <w:szCs w:val="5"/>
                <w:color w:val="auto"/>
              </w:rPr>
            </w:pPr>
          </w:p>
        </w:tc>
        <w:tc>
          <w:tcPr>
            <w:tcW w:w="840" w:type="dxa"/>
            <w:vAlign w:val="bottom"/>
            <w:shd w:val="clear" w:color="auto" w:fill="F2F2F2"/>
          </w:tcPr>
          <w:p>
            <w:pPr>
              <w:spacing w:after="0"/>
              <w:rPr>
                <w:sz w:val="5"/>
                <w:szCs w:val="5"/>
                <w:color w:val="auto"/>
              </w:rPr>
            </w:pPr>
          </w:p>
        </w:tc>
        <w:tc>
          <w:tcPr>
            <w:tcW w:w="1100" w:type="dxa"/>
            <w:vAlign w:val="bottom"/>
            <w:shd w:val="clear" w:color="auto" w:fill="F2F2F2"/>
          </w:tcPr>
          <w:p>
            <w:pPr>
              <w:spacing w:after="0"/>
              <w:rPr>
                <w:sz w:val="5"/>
                <w:szCs w:val="5"/>
                <w:color w:val="auto"/>
              </w:rPr>
            </w:pPr>
          </w:p>
        </w:tc>
        <w:tc>
          <w:tcPr>
            <w:tcW w:w="1320" w:type="dxa"/>
            <w:vAlign w:val="bottom"/>
            <w:shd w:val="clear" w:color="auto" w:fill="F2F2F2"/>
          </w:tcPr>
          <w:p>
            <w:pPr>
              <w:spacing w:after="0"/>
              <w:rPr>
                <w:sz w:val="5"/>
                <w:szCs w:val="5"/>
                <w:color w:val="auto"/>
              </w:rPr>
            </w:pPr>
          </w:p>
        </w:tc>
        <w:tc>
          <w:tcPr>
            <w:tcW w:w="960" w:type="dxa"/>
            <w:vAlign w:val="bottom"/>
            <w:shd w:val="clear" w:color="auto" w:fill="F2F2F2"/>
          </w:tcPr>
          <w:p>
            <w:pPr>
              <w:spacing w:after="0"/>
              <w:rPr>
                <w:sz w:val="5"/>
                <w:szCs w:val="5"/>
                <w:color w:val="auto"/>
              </w:rPr>
            </w:pPr>
          </w:p>
        </w:tc>
        <w:tc>
          <w:tcPr>
            <w:tcW w:w="1240" w:type="dxa"/>
            <w:vAlign w:val="bottom"/>
            <w:shd w:val="clear" w:color="auto" w:fill="F2F2F2"/>
          </w:tcPr>
          <w:p>
            <w:pPr>
              <w:spacing w:after="0"/>
              <w:rPr>
                <w:sz w:val="5"/>
                <w:szCs w:val="5"/>
                <w:color w:val="auto"/>
              </w:rPr>
            </w:pPr>
          </w:p>
        </w:tc>
        <w:tc>
          <w:tcPr>
            <w:tcW w:w="120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060" w:type="dxa"/>
            <w:vAlign w:val="bottom"/>
            <w:shd w:val="clear" w:color="auto" w:fill="F2F2F2"/>
          </w:tcPr>
          <w:p>
            <w:pPr>
              <w:ind w:left="20"/>
              <w:spacing w:after="0"/>
              <w:rPr>
                <w:sz w:val="20"/>
                <w:szCs w:val="20"/>
                <w:color w:val="auto"/>
              </w:rPr>
            </w:pPr>
            <w:r>
              <w:rPr>
                <w:rFonts w:ascii="Arial" w:cs="Arial" w:eastAsia="Arial" w:hAnsi="Arial"/>
                <w:sz w:val="14"/>
                <w:szCs w:val="14"/>
                <w:color w:val="auto"/>
              </w:rPr>
              <w:t>President, Lilly</w:t>
            </w:r>
          </w:p>
        </w:tc>
        <w:tc>
          <w:tcPr>
            <w:tcW w:w="420" w:type="dxa"/>
            <w:vAlign w:val="bottom"/>
            <w:shd w:val="clear" w:color="auto" w:fill="F2F2F2"/>
          </w:tcPr>
          <w:p>
            <w:pPr>
              <w:spacing w:after="0"/>
              <w:rPr>
                <w:sz w:val="15"/>
                <w:szCs w:val="15"/>
                <w:color w:val="auto"/>
              </w:rPr>
            </w:pPr>
          </w:p>
        </w:tc>
        <w:tc>
          <w:tcPr>
            <w:tcW w:w="940" w:type="dxa"/>
            <w:vAlign w:val="bottom"/>
            <w:shd w:val="clear" w:color="auto" w:fill="F2F2F2"/>
          </w:tcPr>
          <w:p>
            <w:pPr>
              <w:spacing w:after="0"/>
              <w:rPr>
                <w:sz w:val="15"/>
                <w:szCs w:val="15"/>
                <w:color w:val="auto"/>
              </w:rPr>
            </w:pPr>
          </w:p>
        </w:tc>
        <w:tc>
          <w:tcPr>
            <w:tcW w:w="840" w:type="dxa"/>
            <w:vAlign w:val="bottom"/>
            <w:shd w:val="clear" w:color="auto" w:fill="F2F2F2"/>
          </w:tcPr>
          <w:p>
            <w:pPr>
              <w:spacing w:after="0"/>
              <w:rPr>
                <w:sz w:val="15"/>
                <w:szCs w:val="15"/>
                <w:color w:val="auto"/>
              </w:rPr>
            </w:pPr>
          </w:p>
        </w:tc>
        <w:tc>
          <w:tcPr>
            <w:tcW w:w="1100" w:type="dxa"/>
            <w:vAlign w:val="bottom"/>
            <w:shd w:val="clear" w:color="auto" w:fill="F2F2F2"/>
          </w:tcPr>
          <w:p>
            <w:pPr>
              <w:spacing w:after="0"/>
              <w:rPr>
                <w:sz w:val="15"/>
                <w:szCs w:val="15"/>
                <w:color w:val="auto"/>
              </w:rPr>
            </w:pPr>
          </w:p>
        </w:tc>
        <w:tc>
          <w:tcPr>
            <w:tcW w:w="1320" w:type="dxa"/>
            <w:vAlign w:val="bottom"/>
            <w:shd w:val="clear" w:color="auto" w:fill="F2F2F2"/>
          </w:tcPr>
          <w:p>
            <w:pPr>
              <w:spacing w:after="0"/>
              <w:rPr>
                <w:sz w:val="15"/>
                <w:szCs w:val="15"/>
                <w:color w:val="auto"/>
              </w:rPr>
            </w:pPr>
          </w:p>
        </w:tc>
        <w:tc>
          <w:tcPr>
            <w:tcW w:w="960" w:type="dxa"/>
            <w:vAlign w:val="bottom"/>
            <w:shd w:val="clear" w:color="auto" w:fill="F2F2F2"/>
          </w:tcPr>
          <w:p>
            <w:pPr>
              <w:spacing w:after="0"/>
              <w:rPr>
                <w:sz w:val="15"/>
                <w:szCs w:val="15"/>
                <w:color w:val="auto"/>
              </w:rPr>
            </w:pPr>
          </w:p>
        </w:tc>
        <w:tc>
          <w:tcPr>
            <w:tcW w:w="1240" w:type="dxa"/>
            <w:vAlign w:val="bottom"/>
            <w:shd w:val="clear" w:color="auto" w:fill="F2F2F2"/>
          </w:tcPr>
          <w:p>
            <w:pPr>
              <w:spacing w:after="0"/>
              <w:rPr>
                <w:sz w:val="15"/>
                <w:szCs w:val="15"/>
                <w:color w:val="auto"/>
              </w:rPr>
            </w:pPr>
          </w:p>
        </w:tc>
        <w:tc>
          <w:tcPr>
            <w:tcW w:w="120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60" w:type="dxa"/>
            <w:vAlign w:val="bottom"/>
            <w:shd w:val="clear" w:color="auto" w:fill="F2F2F2"/>
          </w:tcPr>
          <w:p>
            <w:pPr>
              <w:ind w:left="20"/>
              <w:spacing w:after="0"/>
              <w:rPr>
                <w:sz w:val="20"/>
                <w:szCs w:val="20"/>
                <w:color w:val="auto"/>
              </w:rPr>
            </w:pPr>
            <w:r>
              <w:rPr>
                <w:rFonts w:ascii="Arial" w:cs="Arial" w:eastAsia="Arial" w:hAnsi="Arial"/>
                <w:sz w:val="14"/>
                <w:szCs w:val="14"/>
                <w:color w:val="auto"/>
              </w:rPr>
              <w:t>Research</w:t>
            </w:r>
          </w:p>
        </w:tc>
        <w:tc>
          <w:tcPr>
            <w:tcW w:w="420" w:type="dxa"/>
            <w:vAlign w:val="bottom"/>
            <w:shd w:val="clear" w:color="auto" w:fill="F2F2F2"/>
          </w:tcPr>
          <w:p>
            <w:pPr>
              <w:spacing w:after="0"/>
              <w:rPr>
                <w:sz w:val="14"/>
                <w:szCs w:val="14"/>
                <w:color w:val="auto"/>
              </w:rPr>
            </w:pPr>
          </w:p>
        </w:tc>
        <w:tc>
          <w:tcPr>
            <w:tcW w:w="940" w:type="dxa"/>
            <w:vAlign w:val="bottom"/>
            <w:shd w:val="clear" w:color="auto" w:fill="F2F2F2"/>
          </w:tcPr>
          <w:p>
            <w:pPr>
              <w:spacing w:after="0"/>
              <w:rPr>
                <w:sz w:val="14"/>
                <w:szCs w:val="14"/>
                <w:color w:val="auto"/>
              </w:rPr>
            </w:pPr>
          </w:p>
        </w:tc>
        <w:tc>
          <w:tcPr>
            <w:tcW w:w="840" w:type="dxa"/>
            <w:vAlign w:val="bottom"/>
            <w:shd w:val="clear" w:color="auto" w:fill="F2F2F2"/>
          </w:tcPr>
          <w:p>
            <w:pPr>
              <w:spacing w:after="0"/>
              <w:rPr>
                <w:sz w:val="14"/>
                <w:szCs w:val="14"/>
                <w:color w:val="auto"/>
              </w:rPr>
            </w:pPr>
          </w:p>
        </w:tc>
        <w:tc>
          <w:tcPr>
            <w:tcW w:w="1100" w:type="dxa"/>
            <w:vAlign w:val="bottom"/>
            <w:shd w:val="clear" w:color="auto" w:fill="F2F2F2"/>
          </w:tcPr>
          <w:p>
            <w:pPr>
              <w:spacing w:after="0"/>
              <w:rPr>
                <w:sz w:val="14"/>
                <w:szCs w:val="14"/>
                <w:color w:val="auto"/>
              </w:rPr>
            </w:pPr>
          </w:p>
        </w:tc>
        <w:tc>
          <w:tcPr>
            <w:tcW w:w="1320" w:type="dxa"/>
            <w:vAlign w:val="bottom"/>
            <w:shd w:val="clear" w:color="auto" w:fill="F2F2F2"/>
          </w:tcPr>
          <w:p>
            <w:pPr>
              <w:spacing w:after="0"/>
              <w:rPr>
                <w:sz w:val="14"/>
                <w:szCs w:val="14"/>
                <w:color w:val="auto"/>
              </w:rPr>
            </w:pPr>
          </w:p>
        </w:tc>
        <w:tc>
          <w:tcPr>
            <w:tcW w:w="960" w:type="dxa"/>
            <w:vAlign w:val="bottom"/>
            <w:shd w:val="clear" w:color="auto" w:fill="F2F2F2"/>
          </w:tcPr>
          <w:p>
            <w:pPr>
              <w:spacing w:after="0"/>
              <w:rPr>
                <w:sz w:val="14"/>
                <w:szCs w:val="14"/>
                <w:color w:val="auto"/>
              </w:rPr>
            </w:pPr>
          </w:p>
        </w:tc>
        <w:tc>
          <w:tcPr>
            <w:tcW w:w="1240" w:type="dxa"/>
            <w:vAlign w:val="bottom"/>
            <w:shd w:val="clear" w:color="auto" w:fill="F2F2F2"/>
          </w:tcPr>
          <w:p>
            <w:pPr>
              <w:spacing w:after="0"/>
              <w:rPr>
                <w:sz w:val="14"/>
                <w:szCs w:val="14"/>
                <w:color w:val="auto"/>
              </w:rPr>
            </w:pPr>
          </w:p>
        </w:tc>
        <w:tc>
          <w:tcPr>
            <w:tcW w:w="120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0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Laboratories</w:t>
            </w:r>
          </w:p>
        </w:tc>
        <w:tc>
          <w:tcPr>
            <w:tcW w:w="420" w:type="dxa"/>
            <w:vAlign w:val="bottom"/>
            <w:tcBorders>
              <w:bottom w:val="single" w:sz="8" w:color="F2F2F2"/>
            </w:tcBorders>
            <w:shd w:val="clear" w:color="auto" w:fill="F2F2F2"/>
          </w:tcPr>
          <w:p>
            <w:pPr>
              <w:spacing w:after="0"/>
              <w:rPr>
                <w:sz w:val="16"/>
                <w:szCs w:val="16"/>
                <w:color w:val="auto"/>
              </w:rPr>
            </w:pPr>
          </w:p>
        </w:tc>
        <w:tc>
          <w:tcPr>
            <w:tcW w:w="940" w:type="dxa"/>
            <w:vAlign w:val="bottom"/>
            <w:tcBorders>
              <w:bottom w:val="single" w:sz="8" w:color="F2F2F2"/>
            </w:tcBorders>
            <w:shd w:val="clear" w:color="auto" w:fill="F2F2F2"/>
          </w:tcPr>
          <w:p>
            <w:pPr>
              <w:spacing w:after="0"/>
              <w:rPr>
                <w:sz w:val="16"/>
                <w:szCs w:val="16"/>
                <w:color w:val="auto"/>
              </w:rPr>
            </w:pPr>
          </w:p>
        </w:tc>
        <w:tc>
          <w:tcPr>
            <w:tcW w:w="840" w:type="dxa"/>
            <w:vAlign w:val="bottom"/>
            <w:tcBorders>
              <w:bottom w:val="single" w:sz="8" w:color="F2F2F2"/>
            </w:tcBorders>
            <w:shd w:val="clear" w:color="auto" w:fill="F2F2F2"/>
          </w:tcPr>
          <w:p>
            <w:pPr>
              <w:spacing w:after="0"/>
              <w:rPr>
                <w:sz w:val="16"/>
                <w:szCs w:val="16"/>
                <w:color w:val="auto"/>
              </w:rPr>
            </w:pPr>
          </w:p>
        </w:tc>
        <w:tc>
          <w:tcPr>
            <w:tcW w:w="1100" w:type="dxa"/>
            <w:vAlign w:val="bottom"/>
            <w:tcBorders>
              <w:bottom w:val="single" w:sz="8" w:color="F2F2F2"/>
            </w:tcBorders>
            <w:shd w:val="clear" w:color="auto" w:fill="F2F2F2"/>
          </w:tcPr>
          <w:p>
            <w:pPr>
              <w:spacing w:after="0"/>
              <w:rPr>
                <w:sz w:val="16"/>
                <w:szCs w:val="16"/>
                <w:color w:val="auto"/>
              </w:rPr>
            </w:pPr>
          </w:p>
        </w:tc>
        <w:tc>
          <w:tcPr>
            <w:tcW w:w="1320" w:type="dxa"/>
            <w:vAlign w:val="bottom"/>
            <w:tcBorders>
              <w:bottom w:val="single" w:sz="8" w:color="F2F2F2"/>
            </w:tcBorders>
            <w:shd w:val="clear" w:color="auto" w:fill="F2F2F2"/>
          </w:tcPr>
          <w:p>
            <w:pPr>
              <w:spacing w:after="0"/>
              <w:rPr>
                <w:sz w:val="16"/>
                <w:szCs w:val="16"/>
                <w:color w:val="auto"/>
              </w:rPr>
            </w:pPr>
          </w:p>
        </w:tc>
        <w:tc>
          <w:tcPr>
            <w:tcW w:w="960" w:type="dxa"/>
            <w:vAlign w:val="bottom"/>
            <w:tcBorders>
              <w:bottom w:val="single" w:sz="8" w:color="F2F2F2"/>
            </w:tcBorders>
            <w:shd w:val="clear" w:color="auto" w:fill="F2F2F2"/>
          </w:tcPr>
          <w:p>
            <w:pPr>
              <w:spacing w:after="0"/>
              <w:rPr>
                <w:sz w:val="16"/>
                <w:szCs w:val="16"/>
                <w:color w:val="auto"/>
              </w:rPr>
            </w:pPr>
          </w:p>
        </w:tc>
        <w:tc>
          <w:tcPr>
            <w:tcW w:w="1240" w:type="dxa"/>
            <w:vAlign w:val="bottom"/>
            <w:tcBorders>
              <w:bottom w:val="single" w:sz="8" w:color="F2F2F2"/>
            </w:tcBorders>
            <w:shd w:val="clear" w:color="auto" w:fill="F2F2F2"/>
          </w:tcPr>
          <w:p>
            <w:pPr>
              <w:spacing w:after="0"/>
              <w:rPr>
                <w:sz w:val="16"/>
                <w:szCs w:val="16"/>
                <w:color w:val="auto"/>
              </w:rPr>
            </w:pPr>
          </w:p>
        </w:tc>
        <w:tc>
          <w:tcPr>
            <w:tcW w:w="1200" w:type="dxa"/>
            <w:vAlign w:val="bottom"/>
            <w:tcBorders>
              <w:bottom w:val="single" w:sz="8" w:color="F2F2F2"/>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060" w:type="dxa"/>
            <w:vAlign w:val="bottom"/>
          </w:tcPr>
          <w:p>
            <w:pPr>
              <w:ind w:left="20"/>
              <w:spacing w:after="0"/>
              <w:rPr>
                <w:sz w:val="20"/>
                <w:szCs w:val="20"/>
                <w:color w:val="auto"/>
              </w:rPr>
            </w:pPr>
            <w:r>
              <w:rPr>
                <w:rFonts w:ascii="Arial" w:cs="Arial" w:eastAsia="Arial" w:hAnsi="Arial"/>
                <w:sz w:val="14"/>
                <w:szCs w:val="14"/>
                <w:color w:val="auto"/>
              </w:rPr>
              <w:t>Anat Hakim</w:t>
            </w:r>
          </w:p>
        </w:tc>
        <w:tc>
          <w:tcPr>
            <w:tcW w:w="420" w:type="dxa"/>
            <w:vAlign w:val="bottom"/>
          </w:tcPr>
          <w:p>
            <w:pPr>
              <w:ind w:left="60"/>
              <w:spacing w:after="0"/>
              <w:rPr>
                <w:sz w:val="20"/>
                <w:szCs w:val="20"/>
                <w:color w:val="auto"/>
              </w:rPr>
            </w:pPr>
            <w:r>
              <w:rPr>
                <w:rFonts w:ascii="Arial" w:cs="Arial" w:eastAsia="Arial" w:hAnsi="Arial"/>
                <w:sz w:val="14"/>
                <w:szCs w:val="14"/>
                <w:color w:val="auto"/>
              </w:rPr>
              <w:t>2022</w:t>
            </w:r>
          </w:p>
        </w:tc>
        <w:tc>
          <w:tcPr>
            <w:tcW w:w="940" w:type="dxa"/>
            <w:vAlign w:val="bottom"/>
          </w:tcPr>
          <w:p>
            <w:pPr>
              <w:jc w:val="right"/>
              <w:ind w:right="170"/>
              <w:spacing w:after="0"/>
              <w:rPr>
                <w:sz w:val="20"/>
                <w:szCs w:val="20"/>
                <w:color w:val="auto"/>
              </w:rPr>
            </w:pPr>
            <w:r>
              <w:rPr>
                <w:rFonts w:ascii="Arial" w:cs="Arial" w:eastAsia="Arial" w:hAnsi="Arial"/>
                <w:sz w:val="14"/>
                <w:szCs w:val="14"/>
                <w:color w:val="auto"/>
              </w:rPr>
              <w:t>$875,962</w:t>
            </w:r>
          </w:p>
        </w:tc>
        <w:tc>
          <w:tcPr>
            <w:tcW w:w="840" w:type="dxa"/>
            <w:vAlign w:val="bottom"/>
          </w:tcPr>
          <w:p>
            <w:pPr>
              <w:jc w:val="right"/>
              <w:ind w:right="70"/>
              <w:spacing w:after="0"/>
              <w:rPr>
                <w:sz w:val="20"/>
                <w:szCs w:val="20"/>
                <w:color w:val="auto"/>
              </w:rPr>
            </w:pPr>
            <w:r>
              <w:rPr>
                <w:rFonts w:ascii="Arial" w:cs="Arial" w:eastAsia="Arial" w:hAnsi="Arial"/>
                <w:sz w:val="14"/>
                <w:szCs w:val="14"/>
                <w:color w:val="auto"/>
              </w:rPr>
              <w:t>$0</w:t>
            </w:r>
          </w:p>
        </w:tc>
        <w:tc>
          <w:tcPr>
            <w:tcW w:w="1100" w:type="dxa"/>
            <w:vAlign w:val="bottom"/>
          </w:tcPr>
          <w:p>
            <w:pPr>
              <w:jc w:val="center"/>
              <w:spacing w:after="0"/>
              <w:rPr>
                <w:sz w:val="20"/>
                <w:szCs w:val="20"/>
                <w:color w:val="auto"/>
              </w:rPr>
            </w:pPr>
            <w:r>
              <w:rPr>
                <w:rFonts w:ascii="Arial" w:cs="Arial" w:eastAsia="Arial" w:hAnsi="Arial"/>
                <w:sz w:val="14"/>
                <w:szCs w:val="14"/>
                <w:color w:val="auto"/>
              </w:rPr>
              <w:t>$3,135,000</w:t>
            </w:r>
          </w:p>
        </w:tc>
        <w:tc>
          <w:tcPr>
            <w:tcW w:w="1320" w:type="dxa"/>
            <w:vAlign w:val="bottom"/>
          </w:tcPr>
          <w:p>
            <w:pPr>
              <w:jc w:val="right"/>
              <w:ind w:right="109"/>
              <w:spacing w:after="0"/>
              <w:rPr>
                <w:sz w:val="20"/>
                <w:szCs w:val="20"/>
                <w:color w:val="auto"/>
              </w:rPr>
            </w:pPr>
            <w:r>
              <w:rPr>
                <w:rFonts w:ascii="Arial" w:cs="Arial" w:eastAsia="Arial" w:hAnsi="Arial"/>
                <w:sz w:val="14"/>
                <w:szCs w:val="14"/>
                <w:color w:val="auto"/>
              </w:rPr>
              <w:t>$1,051,154</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$317,189</w:t>
            </w:r>
          </w:p>
        </w:tc>
        <w:tc>
          <w:tcPr>
            <w:tcW w:w="1240" w:type="dxa"/>
            <w:vAlign w:val="bottom"/>
          </w:tcPr>
          <w:p>
            <w:pPr>
              <w:jc w:val="right"/>
              <w:ind w:right="49"/>
              <w:spacing w:after="0"/>
              <w:rPr>
                <w:sz w:val="20"/>
                <w:szCs w:val="20"/>
                <w:color w:val="auto"/>
              </w:rPr>
            </w:pPr>
            <w:r>
              <w:rPr>
                <w:rFonts w:ascii="Arial" w:cs="Arial" w:eastAsia="Arial" w:hAnsi="Arial"/>
                <w:sz w:val="14"/>
                <w:szCs w:val="14"/>
                <w:color w:val="auto"/>
              </w:rPr>
              <w:t>$52,558</w:t>
            </w: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$5,431,863</w:t>
            </w:r>
          </w:p>
        </w:tc>
        <w:tc>
          <w:tcPr>
            <w:tcW w:w="0" w:type="dxa"/>
            <w:vAlign w:val="bottom"/>
          </w:tcPr>
          <w:p>
            <w:pPr>
              <w:spacing w:after="0"/>
              <w:rPr>
                <w:sz w:val="1"/>
                <w:szCs w:val="1"/>
                <w:color w:val="auto"/>
              </w:rPr>
            </w:pPr>
          </w:p>
        </w:tc>
      </w:tr>
      <w:tr>
        <w:trPr>
          <w:trHeight w:val="296"/>
        </w:trPr>
        <w:tc>
          <w:tcPr>
            <w:tcW w:w="1060" w:type="dxa"/>
            <w:vAlign w:val="bottom"/>
          </w:tcPr>
          <w:p>
            <w:pPr>
              <w:ind w:left="20"/>
              <w:spacing w:after="0"/>
              <w:rPr>
                <w:sz w:val="20"/>
                <w:szCs w:val="20"/>
                <w:color w:val="auto"/>
              </w:rPr>
            </w:pPr>
            <w:r>
              <w:rPr>
                <w:rFonts w:ascii="Arial" w:cs="Arial" w:eastAsia="Arial" w:hAnsi="Arial"/>
                <w:sz w:val="14"/>
                <w:szCs w:val="14"/>
                <w:color w:val="auto"/>
              </w:rPr>
              <w:t>Executive Vice</w:t>
            </w:r>
          </w:p>
        </w:tc>
        <w:tc>
          <w:tcPr>
            <w:tcW w:w="420" w:type="dxa"/>
            <w:vAlign w:val="bottom"/>
          </w:tcPr>
          <w:p>
            <w:pPr>
              <w:ind w:left="60"/>
              <w:spacing w:after="0"/>
              <w:rPr>
                <w:sz w:val="20"/>
                <w:szCs w:val="20"/>
                <w:color w:val="auto"/>
              </w:rPr>
            </w:pPr>
            <w:r>
              <w:rPr>
                <w:rFonts w:ascii="Arial" w:cs="Arial" w:eastAsia="Arial" w:hAnsi="Arial"/>
                <w:sz w:val="14"/>
                <w:szCs w:val="14"/>
                <w:color w:val="auto"/>
              </w:rPr>
              <w:t>2021</w:t>
            </w:r>
          </w:p>
        </w:tc>
        <w:tc>
          <w:tcPr>
            <w:tcW w:w="940" w:type="dxa"/>
            <w:vAlign w:val="bottom"/>
          </w:tcPr>
          <w:p>
            <w:pPr>
              <w:jc w:val="right"/>
              <w:ind w:right="170"/>
              <w:spacing w:after="0"/>
              <w:rPr>
                <w:sz w:val="20"/>
                <w:szCs w:val="20"/>
                <w:color w:val="auto"/>
              </w:rPr>
            </w:pPr>
            <w:r>
              <w:rPr>
                <w:rFonts w:ascii="Arial" w:cs="Arial" w:eastAsia="Arial" w:hAnsi="Arial"/>
                <w:sz w:val="14"/>
                <w:szCs w:val="14"/>
                <w:color w:val="auto"/>
              </w:rPr>
              <w:t>$775,000</w:t>
            </w:r>
          </w:p>
        </w:tc>
        <w:tc>
          <w:tcPr>
            <w:tcW w:w="840" w:type="dxa"/>
            <w:vAlign w:val="bottom"/>
          </w:tcPr>
          <w:p>
            <w:pPr>
              <w:jc w:val="right"/>
              <w:ind w:right="70"/>
              <w:spacing w:after="0"/>
              <w:rPr>
                <w:sz w:val="20"/>
                <w:szCs w:val="20"/>
                <w:color w:val="auto"/>
              </w:rPr>
            </w:pPr>
            <w:r>
              <w:rPr>
                <w:rFonts w:ascii="Arial" w:cs="Arial" w:eastAsia="Arial" w:hAnsi="Arial"/>
                <w:sz w:val="14"/>
                <w:szCs w:val="14"/>
                <w:color w:val="auto"/>
              </w:rPr>
              <w:t>$0</w:t>
            </w:r>
          </w:p>
        </w:tc>
        <w:tc>
          <w:tcPr>
            <w:tcW w:w="1100" w:type="dxa"/>
            <w:vAlign w:val="bottom"/>
          </w:tcPr>
          <w:p>
            <w:pPr>
              <w:jc w:val="center"/>
              <w:spacing w:after="0"/>
              <w:rPr>
                <w:sz w:val="20"/>
                <w:szCs w:val="20"/>
                <w:color w:val="auto"/>
              </w:rPr>
            </w:pPr>
            <w:r>
              <w:rPr>
                <w:rFonts w:ascii="Arial" w:cs="Arial" w:eastAsia="Arial" w:hAnsi="Arial"/>
                <w:sz w:val="14"/>
                <w:szCs w:val="14"/>
                <w:color w:val="auto"/>
              </w:rPr>
              <w:t>$2,244,900</w:t>
            </w:r>
          </w:p>
        </w:tc>
        <w:tc>
          <w:tcPr>
            <w:tcW w:w="1320" w:type="dxa"/>
            <w:vAlign w:val="bottom"/>
          </w:tcPr>
          <w:p>
            <w:pPr>
              <w:jc w:val="right"/>
              <w:ind w:right="109"/>
              <w:spacing w:after="0"/>
              <w:rPr>
                <w:sz w:val="20"/>
                <w:szCs w:val="20"/>
                <w:color w:val="auto"/>
              </w:rPr>
            </w:pPr>
            <w:r>
              <w:rPr>
                <w:rFonts w:ascii="Arial" w:cs="Arial" w:eastAsia="Arial" w:hAnsi="Arial"/>
                <w:sz w:val="14"/>
                <w:szCs w:val="14"/>
                <w:color w:val="auto"/>
              </w:rPr>
              <w:t>$852,500</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$98,953</w:t>
            </w:r>
          </w:p>
        </w:tc>
        <w:tc>
          <w:tcPr>
            <w:tcW w:w="1240" w:type="dxa"/>
            <w:vAlign w:val="bottom"/>
          </w:tcPr>
          <w:p>
            <w:pPr>
              <w:jc w:val="right"/>
              <w:ind w:right="49"/>
              <w:spacing w:after="0"/>
              <w:rPr>
                <w:sz w:val="20"/>
                <w:szCs w:val="20"/>
                <w:color w:val="auto"/>
              </w:rPr>
            </w:pPr>
            <w:r>
              <w:rPr>
                <w:rFonts w:ascii="Arial" w:cs="Arial" w:eastAsia="Arial" w:hAnsi="Arial"/>
                <w:sz w:val="14"/>
                <w:szCs w:val="14"/>
                <w:color w:val="auto"/>
              </w:rPr>
              <w:t>$46,500</w:t>
            </w: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$4,017,853</w:t>
            </w:r>
          </w:p>
        </w:tc>
        <w:tc>
          <w:tcPr>
            <w:tcW w:w="0" w:type="dxa"/>
            <w:vAlign w:val="bottom"/>
          </w:tcPr>
          <w:p>
            <w:pPr>
              <w:spacing w:after="0"/>
              <w:rPr>
                <w:sz w:val="1"/>
                <w:szCs w:val="1"/>
                <w:color w:val="auto"/>
              </w:rPr>
            </w:pPr>
          </w:p>
        </w:tc>
      </w:tr>
      <w:tr>
        <w:trPr>
          <w:trHeight w:val="162"/>
        </w:trPr>
        <w:tc>
          <w:tcPr>
            <w:tcW w:w="1060" w:type="dxa"/>
            <w:vAlign w:val="bottom"/>
          </w:tcPr>
          <w:p>
            <w:pPr>
              <w:ind w:left="20"/>
              <w:spacing w:after="0"/>
              <w:rPr>
                <w:sz w:val="20"/>
                <w:szCs w:val="20"/>
                <w:color w:val="auto"/>
              </w:rPr>
            </w:pPr>
            <w:r>
              <w:rPr>
                <w:rFonts w:ascii="Arial" w:cs="Arial" w:eastAsia="Arial" w:hAnsi="Arial"/>
                <w:sz w:val="14"/>
                <w:szCs w:val="14"/>
                <w:color w:val="auto"/>
              </w:rPr>
              <w:t>President,</w:t>
            </w: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60" w:type="dxa"/>
            <w:vAlign w:val="bottom"/>
          </w:tcPr>
          <w:p>
            <w:pPr>
              <w:ind w:left="20"/>
              <w:spacing w:after="0"/>
              <w:rPr>
                <w:sz w:val="20"/>
                <w:szCs w:val="20"/>
                <w:color w:val="auto"/>
              </w:rPr>
            </w:pPr>
            <w:r>
              <w:rPr>
                <w:rFonts w:ascii="Arial" w:cs="Arial" w:eastAsia="Arial" w:hAnsi="Arial"/>
                <w:sz w:val="14"/>
                <w:szCs w:val="14"/>
                <w:color w:val="auto"/>
              </w:rPr>
              <w:t>General</w:t>
            </w:r>
          </w:p>
        </w:tc>
        <w:tc>
          <w:tcPr>
            <w:tcW w:w="420" w:type="dxa"/>
            <w:vAlign w:val="bottom"/>
            <w:vMerge w:val="restart"/>
          </w:tcPr>
          <w:p>
            <w:pPr>
              <w:ind w:left="60"/>
              <w:spacing w:after="0"/>
              <w:rPr>
                <w:sz w:val="20"/>
                <w:szCs w:val="20"/>
                <w:color w:val="auto"/>
              </w:rPr>
            </w:pPr>
            <w:r>
              <w:rPr>
                <w:rFonts w:ascii="Arial" w:cs="Arial" w:eastAsia="Arial" w:hAnsi="Arial"/>
                <w:sz w:val="14"/>
                <w:szCs w:val="14"/>
                <w:color w:val="auto"/>
              </w:rPr>
              <w:t>2020</w:t>
            </w:r>
          </w:p>
        </w:tc>
        <w:tc>
          <w:tcPr>
            <w:tcW w:w="940" w:type="dxa"/>
            <w:vAlign w:val="bottom"/>
            <w:vMerge w:val="restart"/>
          </w:tcPr>
          <w:p>
            <w:pPr>
              <w:jc w:val="right"/>
              <w:ind w:right="170"/>
              <w:spacing w:after="0"/>
              <w:rPr>
                <w:sz w:val="20"/>
                <w:szCs w:val="20"/>
                <w:color w:val="auto"/>
              </w:rPr>
            </w:pPr>
            <w:r>
              <w:rPr>
                <w:rFonts w:ascii="Arial" w:cs="Arial" w:eastAsia="Arial" w:hAnsi="Arial"/>
                <w:sz w:val="14"/>
                <w:szCs w:val="14"/>
                <w:color w:val="auto"/>
              </w:rPr>
              <w:t>$710,417</w:t>
            </w:r>
          </w:p>
        </w:tc>
        <w:tc>
          <w:tcPr>
            <w:tcW w:w="840" w:type="dxa"/>
            <w:vAlign w:val="bottom"/>
            <w:vMerge w:val="restart"/>
          </w:tcPr>
          <w:p>
            <w:pPr>
              <w:jc w:val="right"/>
              <w:ind w:right="70"/>
              <w:spacing w:after="0"/>
              <w:rPr>
                <w:sz w:val="20"/>
                <w:szCs w:val="20"/>
                <w:color w:val="auto"/>
              </w:rPr>
            </w:pPr>
            <w:r>
              <w:rPr>
                <w:rFonts w:ascii="Arial" w:cs="Arial" w:eastAsia="Arial" w:hAnsi="Arial"/>
                <w:sz w:val="14"/>
                <w:szCs w:val="14"/>
                <w:color w:val="auto"/>
              </w:rPr>
              <w:t>$150,000</w:t>
            </w: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rPr>
              <w:t>$4,174,043</w:t>
            </w:r>
          </w:p>
        </w:tc>
        <w:tc>
          <w:tcPr>
            <w:tcW w:w="1320" w:type="dxa"/>
            <w:vAlign w:val="bottom"/>
            <w:vMerge w:val="restart"/>
          </w:tcPr>
          <w:p>
            <w:pPr>
              <w:jc w:val="right"/>
              <w:ind w:right="109"/>
              <w:spacing w:after="0"/>
              <w:rPr>
                <w:sz w:val="20"/>
                <w:szCs w:val="20"/>
                <w:color w:val="auto"/>
              </w:rPr>
            </w:pPr>
            <w:r>
              <w:rPr>
                <w:rFonts w:ascii="Arial" w:cs="Arial" w:eastAsia="Arial" w:hAnsi="Arial"/>
                <w:sz w:val="14"/>
                <w:szCs w:val="14"/>
                <w:color w:val="auto"/>
              </w:rPr>
              <w:t>$670,633</w:t>
            </w:r>
          </w:p>
        </w:tc>
        <w:tc>
          <w:tcPr>
            <w:tcW w:w="960" w:type="dxa"/>
            <w:vAlign w:val="bottom"/>
            <w:vMerge w:val="restart"/>
          </w:tcPr>
          <w:p>
            <w:pPr>
              <w:jc w:val="right"/>
              <w:ind w:right="89"/>
              <w:spacing w:after="0"/>
              <w:rPr>
                <w:sz w:val="20"/>
                <w:szCs w:val="20"/>
                <w:color w:val="auto"/>
              </w:rPr>
            </w:pPr>
            <w:r>
              <w:rPr>
                <w:rFonts w:ascii="Arial" w:cs="Arial" w:eastAsia="Arial" w:hAnsi="Arial"/>
                <w:sz w:val="14"/>
                <w:szCs w:val="14"/>
                <w:color w:val="auto"/>
              </w:rPr>
              <w:t>$87,848</w:t>
            </w:r>
          </w:p>
        </w:tc>
        <w:tc>
          <w:tcPr>
            <w:tcW w:w="1240" w:type="dxa"/>
            <w:vAlign w:val="bottom"/>
            <w:vMerge w:val="restart"/>
          </w:tcPr>
          <w:p>
            <w:pPr>
              <w:jc w:val="right"/>
              <w:ind w:right="49"/>
              <w:spacing w:after="0"/>
              <w:rPr>
                <w:sz w:val="20"/>
                <w:szCs w:val="20"/>
                <w:color w:val="auto"/>
              </w:rPr>
            </w:pPr>
            <w:r>
              <w:rPr>
                <w:rFonts w:ascii="Arial" w:cs="Arial" w:eastAsia="Arial" w:hAnsi="Arial"/>
                <w:sz w:val="14"/>
                <w:szCs w:val="14"/>
                <w:color w:val="auto"/>
              </w:rPr>
              <w:t>$124,958</w:t>
            </w:r>
          </w:p>
        </w:tc>
        <w:tc>
          <w:tcPr>
            <w:tcW w:w="1200" w:type="dxa"/>
            <w:vAlign w:val="bottom"/>
            <w:vMerge w:val="restart"/>
          </w:tcPr>
          <w:p>
            <w:pPr>
              <w:jc w:val="right"/>
              <w:ind w:right="9"/>
              <w:spacing w:after="0"/>
              <w:rPr>
                <w:sz w:val="20"/>
                <w:szCs w:val="20"/>
                <w:color w:val="auto"/>
              </w:rPr>
            </w:pPr>
            <w:r>
              <w:rPr>
                <w:rFonts w:ascii="Arial" w:cs="Arial" w:eastAsia="Arial" w:hAnsi="Arial"/>
                <w:sz w:val="14"/>
                <w:szCs w:val="14"/>
                <w:color w:val="auto"/>
              </w:rPr>
              <w:t>$5,917,899</w:t>
            </w:r>
          </w:p>
        </w:tc>
        <w:tc>
          <w:tcPr>
            <w:tcW w:w="0" w:type="dxa"/>
            <w:vAlign w:val="bottom"/>
          </w:tcPr>
          <w:p>
            <w:pPr>
              <w:spacing w:after="0"/>
              <w:rPr>
                <w:sz w:val="1"/>
                <w:szCs w:val="1"/>
                <w:color w:val="auto"/>
              </w:rPr>
            </w:pPr>
          </w:p>
        </w:tc>
      </w:tr>
      <w:tr>
        <w:trPr>
          <w:trHeight w:val="136"/>
        </w:trPr>
        <w:tc>
          <w:tcPr>
            <w:tcW w:w="1060" w:type="dxa"/>
            <w:vAlign w:val="bottom"/>
            <w:vMerge w:val="restart"/>
          </w:tcPr>
          <w:p>
            <w:pPr>
              <w:ind w:left="20"/>
              <w:spacing w:after="0"/>
              <w:rPr>
                <w:sz w:val="20"/>
                <w:szCs w:val="20"/>
                <w:color w:val="auto"/>
              </w:rPr>
            </w:pPr>
            <w:r>
              <w:rPr>
                <w:rFonts w:ascii="Arial" w:cs="Arial" w:eastAsia="Arial" w:hAnsi="Arial"/>
                <w:sz w:val="14"/>
                <w:szCs w:val="14"/>
                <w:color w:val="auto"/>
              </w:rPr>
              <w:t>Counsel and</w:t>
            </w:r>
          </w:p>
        </w:tc>
        <w:tc>
          <w:tcPr>
            <w:tcW w:w="4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106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1060" w:type="dxa"/>
            <w:vAlign w:val="bottom"/>
          </w:tcPr>
          <w:p>
            <w:pPr>
              <w:ind w:left="20"/>
              <w:spacing w:after="0"/>
              <w:rPr>
                <w:sz w:val="20"/>
                <w:szCs w:val="20"/>
                <w:color w:val="auto"/>
              </w:rPr>
            </w:pPr>
            <w:r>
              <w:rPr>
                <w:rFonts w:ascii="Arial" w:cs="Arial" w:eastAsia="Arial" w:hAnsi="Arial"/>
                <w:sz w:val="14"/>
                <w:szCs w:val="14"/>
                <w:color w:val="auto"/>
              </w:rPr>
              <w:t>Secretary</w:t>
            </w: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060" w:type="dxa"/>
            <w:vAlign w:val="bottom"/>
            <w:shd w:val="clear" w:color="auto" w:fill="F2F2F2"/>
          </w:tcPr>
          <w:p>
            <w:pPr>
              <w:ind w:left="20"/>
              <w:spacing w:after="0"/>
              <w:rPr>
                <w:sz w:val="20"/>
                <w:szCs w:val="20"/>
                <w:color w:val="auto"/>
              </w:rPr>
            </w:pPr>
            <w:r>
              <w:rPr>
                <w:rFonts w:ascii="Arial" w:cs="Arial" w:eastAsia="Arial" w:hAnsi="Arial"/>
                <w:sz w:val="14"/>
                <w:szCs w:val="14"/>
                <w:color w:val="auto"/>
              </w:rPr>
              <w:t>Patrik Jonsson</w:t>
            </w:r>
            <w:r>
              <w:rPr>
                <w:rFonts w:ascii="Arial" w:cs="Arial" w:eastAsia="Arial" w:hAnsi="Arial"/>
                <w:sz w:val="18"/>
                <w:szCs w:val="18"/>
                <w:color w:val="auto"/>
                <w:vertAlign w:val="superscript"/>
              </w:rPr>
              <w:t>5</w:t>
            </w:r>
          </w:p>
        </w:tc>
        <w:tc>
          <w:tcPr>
            <w:tcW w:w="42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2022</w:t>
            </w:r>
          </w:p>
        </w:tc>
        <w:tc>
          <w:tcPr>
            <w:tcW w:w="940" w:type="dxa"/>
            <w:vAlign w:val="bottom"/>
            <w:shd w:val="clear" w:color="auto" w:fill="F2F2F2"/>
          </w:tcPr>
          <w:p>
            <w:pPr>
              <w:jc w:val="right"/>
              <w:ind w:right="170"/>
              <w:spacing w:after="0"/>
              <w:rPr>
                <w:sz w:val="20"/>
                <w:szCs w:val="20"/>
                <w:color w:val="auto"/>
              </w:rPr>
            </w:pPr>
            <w:r>
              <w:rPr>
                <w:rFonts w:ascii="Arial" w:cs="Arial" w:eastAsia="Arial" w:hAnsi="Arial"/>
                <w:sz w:val="14"/>
                <w:szCs w:val="14"/>
                <w:color w:val="auto"/>
              </w:rPr>
              <w:t>$740,385</w:t>
            </w:r>
          </w:p>
        </w:tc>
        <w:tc>
          <w:tcPr>
            <w:tcW w:w="840" w:type="dxa"/>
            <w:vAlign w:val="bottom"/>
            <w:shd w:val="clear" w:color="auto" w:fill="F2F2F2"/>
          </w:tcPr>
          <w:p>
            <w:pPr>
              <w:jc w:val="right"/>
              <w:ind w:right="70"/>
              <w:spacing w:after="0"/>
              <w:rPr>
                <w:sz w:val="20"/>
                <w:szCs w:val="20"/>
                <w:color w:val="auto"/>
              </w:rPr>
            </w:pPr>
            <w:r>
              <w:rPr>
                <w:rFonts w:ascii="Arial" w:cs="Arial" w:eastAsia="Arial" w:hAnsi="Arial"/>
                <w:sz w:val="14"/>
                <w:szCs w:val="14"/>
                <w:color w:val="auto"/>
              </w:rPr>
              <w:t>$0</w:t>
            </w:r>
          </w:p>
        </w:tc>
        <w:tc>
          <w:tcPr>
            <w:tcW w:w="11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$2,194,500</w:t>
            </w:r>
          </w:p>
        </w:tc>
        <w:tc>
          <w:tcPr>
            <w:tcW w:w="1320" w:type="dxa"/>
            <w:vAlign w:val="bottom"/>
            <w:shd w:val="clear" w:color="auto" w:fill="F2F2F2"/>
          </w:tcPr>
          <w:p>
            <w:pPr>
              <w:jc w:val="right"/>
              <w:ind w:right="109"/>
              <w:spacing w:after="0"/>
              <w:rPr>
                <w:sz w:val="20"/>
                <w:szCs w:val="20"/>
                <w:color w:val="auto"/>
              </w:rPr>
            </w:pPr>
            <w:r>
              <w:rPr>
                <w:rFonts w:ascii="Arial" w:cs="Arial" w:eastAsia="Arial" w:hAnsi="Arial"/>
                <w:sz w:val="14"/>
                <w:szCs w:val="14"/>
                <w:color w:val="auto"/>
              </w:rPr>
              <w:t>$888,462</w:t>
            </w:r>
          </w:p>
        </w:tc>
        <w:tc>
          <w:tcPr>
            <w:tcW w:w="960" w:type="dxa"/>
            <w:vAlign w:val="bottom"/>
            <w:shd w:val="clear" w:color="auto" w:fill="F2F2F2"/>
          </w:tcPr>
          <w:p>
            <w:pPr>
              <w:jc w:val="right"/>
              <w:ind w:right="89"/>
              <w:spacing w:after="0"/>
              <w:rPr>
                <w:sz w:val="20"/>
                <w:szCs w:val="20"/>
                <w:color w:val="auto"/>
              </w:rPr>
            </w:pPr>
            <w:r>
              <w:rPr>
                <w:rFonts w:ascii="Arial" w:cs="Arial" w:eastAsia="Arial" w:hAnsi="Arial"/>
                <w:sz w:val="14"/>
                <w:szCs w:val="14"/>
                <w:color w:val="auto"/>
              </w:rPr>
              <w:t>$55,495</w:t>
            </w:r>
          </w:p>
        </w:tc>
        <w:tc>
          <w:tcPr>
            <w:tcW w:w="1240" w:type="dxa"/>
            <w:vAlign w:val="bottom"/>
            <w:shd w:val="clear" w:color="auto" w:fill="F2F2F2"/>
          </w:tcPr>
          <w:p>
            <w:pPr>
              <w:jc w:val="right"/>
              <w:ind w:right="49"/>
              <w:spacing w:after="0"/>
              <w:rPr>
                <w:sz w:val="20"/>
                <w:szCs w:val="20"/>
                <w:color w:val="auto"/>
              </w:rPr>
            </w:pPr>
            <w:r>
              <w:rPr>
                <w:rFonts w:ascii="Arial" w:cs="Arial" w:eastAsia="Arial" w:hAnsi="Arial"/>
                <w:sz w:val="14"/>
                <w:szCs w:val="14"/>
                <w:color w:val="auto"/>
              </w:rPr>
              <w:t>$44,423</w:t>
            </w:r>
          </w:p>
        </w:tc>
        <w:tc>
          <w:tcPr>
            <w:tcW w:w="1200" w:type="dxa"/>
            <w:vAlign w:val="bottom"/>
            <w:shd w:val="clear" w:color="auto" w:fill="F2F2F2"/>
          </w:tcPr>
          <w:p>
            <w:pPr>
              <w:jc w:val="right"/>
              <w:ind w:right="9"/>
              <w:spacing w:after="0"/>
              <w:rPr>
                <w:sz w:val="20"/>
                <w:szCs w:val="20"/>
                <w:color w:val="auto"/>
              </w:rPr>
            </w:pPr>
            <w:r>
              <w:rPr>
                <w:rFonts w:ascii="Arial" w:cs="Arial" w:eastAsia="Arial" w:hAnsi="Arial"/>
                <w:sz w:val="14"/>
                <w:szCs w:val="14"/>
                <w:color w:val="auto"/>
              </w:rPr>
              <w:t>$3,923,265</w:t>
            </w:r>
          </w:p>
        </w:tc>
        <w:tc>
          <w:tcPr>
            <w:tcW w:w="0" w:type="dxa"/>
            <w:vAlign w:val="bottom"/>
          </w:tcPr>
          <w:p>
            <w:pPr>
              <w:spacing w:after="0"/>
              <w:rPr>
                <w:sz w:val="1"/>
                <w:szCs w:val="1"/>
                <w:color w:val="auto"/>
              </w:rPr>
            </w:pPr>
          </w:p>
        </w:tc>
      </w:tr>
      <w:tr>
        <w:trPr>
          <w:trHeight w:val="99"/>
        </w:trPr>
        <w:tc>
          <w:tcPr>
            <w:tcW w:w="1060" w:type="dxa"/>
            <w:vAlign w:val="bottom"/>
            <w:shd w:val="clear" w:color="auto" w:fill="F2F2F2"/>
          </w:tcPr>
          <w:p>
            <w:pPr>
              <w:spacing w:after="0"/>
              <w:rPr>
                <w:sz w:val="8"/>
                <w:szCs w:val="8"/>
                <w:color w:val="auto"/>
              </w:rPr>
            </w:pPr>
          </w:p>
        </w:tc>
        <w:tc>
          <w:tcPr>
            <w:tcW w:w="420" w:type="dxa"/>
            <w:vAlign w:val="bottom"/>
            <w:shd w:val="clear" w:color="auto" w:fill="F2F2F2"/>
          </w:tcPr>
          <w:p>
            <w:pPr>
              <w:spacing w:after="0"/>
              <w:rPr>
                <w:sz w:val="8"/>
                <w:szCs w:val="8"/>
                <w:color w:val="auto"/>
              </w:rPr>
            </w:pPr>
          </w:p>
        </w:tc>
        <w:tc>
          <w:tcPr>
            <w:tcW w:w="940" w:type="dxa"/>
            <w:vAlign w:val="bottom"/>
            <w:shd w:val="clear" w:color="auto" w:fill="F2F2F2"/>
          </w:tcPr>
          <w:p>
            <w:pPr>
              <w:spacing w:after="0"/>
              <w:rPr>
                <w:sz w:val="8"/>
                <w:szCs w:val="8"/>
                <w:color w:val="auto"/>
              </w:rPr>
            </w:pPr>
          </w:p>
        </w:tc>
        <w:tc>
          <w:tcPr>
            <w:tcW w:w="840" w:type="dxa"/>
            <w:vAlign w:val="bottom"/>
            <w:shd w:val="clear" w:color="auto" w:fill="F2F2F2"/>
          </w:tcPr>
          <w:p>
            <w:pPr>
              <w:spacing w:after="0"/>
              <w:rPr>
                <w:sz w:val="8"/>
                <w:szCs w:val="8"/>
                <w:color w:val="auto"/>
              </w:rPr>
            </w:pPr>
          </w:p>
        </w:tc>
        <w:tc>
          <w:tcPr>
            <w:tcW w:w="1100" w:type="dxa"/>
            <w:vAlign w:val="bottom"/>
            <w:shd w:val="clear" w:color="auto" w:fill="F2F2F2"/>
          </w:tcPr>
          <w:p>
            <w:pPr>
              <w:spacing w:after="0"/>
              <w:rPr>
                <w:sz w:val="8"/>
                <w:szCs w:val="8"/>
                <w:color w:val="auto"/>
              </w:rPr>
            </w:pPr>
          </w:p>
        </w:tc>
        <w:tc>
          <w:tcPr>
            <w:tcW w:w="1320" w:type="dxa"/>
            <w:vAlign w:val="bottom"/>
            <w:shd w:val="clear" w:color="auto" w:fill="F2F2F2"/>
          </w:tcPr>
          <w:p>
            <w:pPr>
              <w:spacing w:after="0"/>
              <w:rPr>
                <w:sz w:val="8"/>
                <w:szCs w:val="8"/>
                <w:color w:val="auto"/>
              </w:rPr>
            </w:pPr>
          </w:p>
        </w:tc>
        <w:tc>
          <w:tcPr>
            <w:tcW w:w="960" w:type="dxa"/>
            <w:vAlign w:val="bottom"/>
            <w:shd w:val="clear" w:color="auto" w:fill="F2F2F2"/>
          </w:tcPr>
          <w:p>
            <w:pPr>
              <w:spacing w:after="0"/>
              <w:rPr>
                <w:sz w:val="8"/>
                <w:szCs w:val="8"/>
                <w:color w:val="auto"/>
              </w:rPr>
            </w:pPr>
          </w:p>
        </w:tc>
        <w:tc>
          <w:tcPr>
            <w:tcW w:w="1240" w:type="dxa"/>
            <w:vAlign w:val="bottom"/>
            <w:shd w:val="clear" w:color="auto" w:fill="F2F2F2"/>
          </w:tcPr>
          <w:p>
            <w:pPr>
              <w:spacing w:after="0"/>
              <w:rPr>
                <w:sz w:val="8"/>
                <w:szCs w:val="8"/>
                <w:color w:val="auto"/>
              </w:rPr>
            </w:pPr>
          </w:p>
        </w:tc>
        <w:tc>
          <w:tcPr>
            <w:tcW w:w="120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060" w:type="dxa"/>
            <w:vAlign w:val="bottom"/>
          </w:tcPr>
          <w:p>
            <w:pPr>
              <w:ind w:left="20"/>
              <w:spacing w:after="0"/>
              <w:rPr>
                <w:sz w:val="20"/>
                <w:szCs w:val="20"/>
                <w:color w:val="auto"/>
              </w:rPr>
            </w:pPr>
            <w:r>
              <w:rPr>
                <w:rFonts w:ascii="Arial" w:cs="Arial" w:eastAsia="Arial" w:hAnsi="Arial"/>
                <w:sz w:val="14"/>
                <w:szCs w:val="14"/>
                <w:color w:val="auto"/>
              </w:rPr>
              <w:t>Executive Vice</w:t>
            </w:r>
          </w:p>
        </w:tc>
        <w:tc>
          <w:tcPr>
            <w:tcW w:w="42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2021</w:t>
            </w:r>
          </w:p>
        </w:tc>
        <w:tc>
          <w:tcPr>
            <w:tcW w:w="940" w:type="dxa"/>
            <w:vAlign w:val="bottom"/>
            <w:shd w:val="clear" w:color="auto" w:fill="F2F2F2"/>
          </w:tcPr>
          <w:p>
            <w:pPr>
              <w:jc w:val="right"/>
              <w:ind w:right="190"/>
              <w:spacing w:after="0"/>
              <w:rPr>
                <w:sz w:val="20"/>
                <w:szCs w:val="20"/>
                <w:color w:val="auto"/>
              </w:rPr>
            </w:pPr>
            <w:r>
              <w:rPr>
                <w:rFonts w:ascii="Arial" w:cs="Arial" w:eastAsia="Arial" w:hAnsi="Arial"/>
                <w:sz w:val="14"/>
                <w:szCs w:val="14"/>
                <w:color w:val="auto"/>
              </w:rPr>
              <w:t>N/A</w:t>
            </w:r>
          </w:p>
        </w:tc>
        <w:tc>
          <w:tcPr>
            <w:tcW w:w="840" w:type="dxa"/>
            <w:vAlign w:val="bottom"/>
            <w:shd w:val="clear" w:color="auto" w:fill="F2F2F2"/>
          </w:tcPr>
          <w:p>
            <w:pPr>
              <w:jc w:val="right"/>
              <w:ind w:right="70"/>
              <w:spacing w:after="0"/>
              <w:rPr>
                <w:sz w:val="20"/>
                <w:szCs w:val="20"/>
                <w:color w:val="auto"/>
              </w:rPr>
            </w:pPr>
            <w:r>
              <w:rPr>
                <w:rFonts w:ascii="Arial" w:cs="Arial" w:eastAsia="Arial" w:hAnsi="Arial"/>
                <w:sz w:val="14"/>
                <w:szCs w:val="14"/>
                <w:color w:val="auto"/>
              </w:rPr>
              <w:t>N/A</w:t>
            </w:r>
          </w:p>
        </w:tc>
        <w:tc>
          <w:tcPr>
            <w:tcW w:w="1100" w:type="dxa"/>
            <w:vAlign w:val="bottom"/>
            <w:shd w:val="clear" w:color="auto" w:fill="F2F2F2"/>
          </w:tcPr>
          <w:p>
            <w:pPr>
              <w:ind w:left="740"/>
              <w:spacing w:after="0"/>
              <w:rPr>
                <w:sz w:val="20"/>
                <w:szCs w:val="20"/>
                <w:color w:val="auto"/>
              </w:rPr>
            </w:pPr>
            <w:r>
              <w:rPr>
                <w:rFonts w:ascii="Arial" w:cs="Arial" w:eastAsia="Arial" w:hAnsi="Arial"/>
                <w:sz w:val="14"/>
                <w:szCs w:val="14"/>
                <w:color w:val="auto"/>
              </w:rPr>
              <w:t>N/A</w:t>
            </w:r>
          </w:p>
        </w:tc>
        <w:tc>
          <w:tcPr>
            <w:tcW w:w="1320" w:type="dxa"/>
            <w:vAlign w:val="bottom"/>
            <w:shd w:val="clear" w:color="auto" w:fill="F2F2F2"/>
          </w:tcPr>
          <w:p>
            <w:pPr>
              <w:jc w:val="right"/>
              <w:ind w:right="129"/>
              <w:spacing w:after="0"/>
              <w:rPr>
                <w:sz w:val="20"/>
                <w:szCs w:val="20"/>
                <w:color w:val="auto"/>
              </w:rPr>
            </w:pPr>
            <w:r>
              <w:rPr>
                <w:rFonts w:ascii="Arial" w:cs="Arial" w:eastAsia="Arial" w:hAnsi="Arial"/>
                <w:sz w:val="14"/>
                <w:szCs w:val="14"/>
                <w:color w:val="auto"/>
              </w:rPr>
              <w:t>N/A</w:t>
            </w:r>
          </w:p>
        </w:tc>
        <w:tc>
          <w:tcPr>
            <w:tcW w:w="960" w:type="dxa"/>
            <w:vAlign w:val="bottom"/>
            <w:shd w:val="clear" w:color="auto" w:fill="F2F2F2"/>
          </w:tcPr>
          <w:p>
            <w:pPr>
              <w:jc w:val="right"/>
              <w:ind w:right="29"/>
              <w:spacing w:after="0"/>
              <w:rPr>
                <w:sz w:val="20"/>
                <w:szCs w:val="20"/>
                <w:color w:val="auto"/>
              </w:rPr>
            </w:pPr>
            <w:r>
              <w:rPr>
                <w:rFonts w:ascii="Arial" w:cs="Arial" w:eastAsia="Arial" w:hAnsi="Arial"/>
                <w:sz w:val="14"/>
                <w:szCs w:val="14"/>
                <w:color w:val="auto"/>
              </w:rPr>
              <w:t>N/A</w:t>
            </w:r>
          </w:p>
        </w:tc>
        <w:tc>
          <w:tcPr>
            <w:tcW w:w="1240" w:type="dxa"/>
            <w:vAlign w:val="bottom"/>
            <w:shd w:val="clear" w:color="auto" w:fill="F2F2F2"/>
          </w:tcPr>
          <w:p>
            <w:pPr>
              <w:jc w:val="right"/>
              <w:ind w:right="49"/>
              <w:spacing w:after="0"/>
              <w:rPr>
                <w:sz w:val="20"/>
                <w:szCs w:val="20"/>
                <w:color w:val="auto"/>
              </w:rPr>
            </w:pPr>
            <w:r>
              <w:rPr>
                <w:rFonts w:ascii="Arial" w:cs="Arial" w:eastAsia="Arial" w:hAnsi="Arial"/>
                <w:sz w:val="14"/>
                <w:szCs w:val="14"/>
                <w:color w:val="auto"/>
              </w:rPr>
              <w:t>N/A</w:t>
            </w:r>
          </w:p>
        </w:tc>
        <w:tc>
          <w:tcPr>
            <w:tcW w:w="1200" w:type="dxa"/>
            <w:vAlign w:val="bottom"/>
            <w:shd w:val="clear" w:color="auto" w:fill="F2F2F2"/>
          </w:tcPr>
          <w:p>
            <w:pPr>
              <w:jc w:val="right"/>
              <w:ind w:right="29"/>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1060" w:type="dxa"/>
            <w:vAlign w:val="bottom"/>
          </w:tcPr>
          <w:p>
            <w:pPr>
              <w:ind w:left="20"/>
              <w:spacing w:after="0"/>
              <w:rPr>
                <w:sz w:val="20"/>
                <w:szCs w:val="20"/>
                <w:color w:val="auto"/>
              </w:rPr>
            </w:pPr>
            <w:r>
              <w:rPr>
                <w:rFonts w:ascii="Arial" w:cs="Arial" w:eastAsia="Arial" w:hAnsi="Arial"/>
                <w:sz w:val="14"/>
                <w:szCs w:val="14"/>
                <w:color w:val="auto"/>
              </w:rPr>
              <w:t>President and</w:t>
            </w:r>
          </w:p>
        </w:tc>
        <w:tc>
          <w:tcPr>
            <w:tcW w:w="420" w:type="dxa"/>
            <w:vAlign w:val="bottom"/>
            <w:shd w:val="clear" w:color="auto" w:fill="F2F2F2"/>
          </w:tcPr>
          <w:p>
            <w:pPr>
              <w:spacing w:after="0"/>
              <w:rPr>
                <w:sz w:val="14"/>
                <w:szCs w:val="14"/>
                <w:color w:val="auto"/>
              </w:rPr>
            </w:pPr>
          </w:p>
        </w:tc>
        <w:tc>
          <w:tcPr>
            <w:tcW w:w="940" w:type="dxa"/>
            <w:vAlign w:val="bottom"/>
            <w:shd w:val="clear" w:color="auto" w:fill="F2F2F2"/>
          </w:tcPr>
          <w:p>
            <w:pPr>
              <w:spacing w:after="0"/>
              <w:rPr>
                <w:sz w:val="14"/>
                <w:szCs w:val="14"/>
                <w:color w:val="auto"/>
              </w:rPr>
            </w:pPr>
          </w:p>
        </w:tc>
        <w:tc>
          <w:tcPr>
            <w:tcW w:w="840" w:type="dxa"/>
            <w:vAlign w:val="bottom"/>
            <w:shd w:val="clear" w:color="auto" w:fill="F2F2F2"/>
          </w:tcPr>
          <w:p>
            <w:pPr>
              <w:spacing w:after="0"/>
              <w:rPr>
                <w:sz w:val="14"/>
                <w:szCs w:val="14"/>
                <w:color w:val="auto"/>
              </w:rPr>
            </w:pPr>
          </w:p>
        </w:tc>
        <w:tc>
          <w:tcPr>
            <w:tcW w:w="1100" w:type="dxa"/>
            <w:vAlign w:val="bottom"/>
            <w:shd w:val="clear" w:color="auto" w:fill="F2F2F2"/>
          </w:tcPr>
          <w:p>
            <w:pPr>
              <w:spacing w:after="0"/>
              <w:rPr>
                <w:sz w:val="14"/>
                <w:szCs w:val="14"/>
                <w:color w:val="auto"/>
              </w:rPr>
            </w:pPr>
          </w:p>
        </w:tc>
        <w:tc>
          <w:tcPr>
            <w:tcW w:w="1320" w:type="dxa"/>
            <w:vAlign w:val="bottom"/>
            <w:shd w:val="clear" w:color="auto" w:fill="F2F2F2"/>
          </w:tcPr>
          <w:p>
            <w:pPr>
              <w:spacing w:after="0"/>
              <w:rPr>
                <w:sz w:val="14"/>
                <w:szCs w:val="14"/>
                <w:color w:val="auto"/>
              </w:rPr>
            </w:pPr>
          </w:p>
        </w:tc>
        <w:tc>
          <w:tcPr>
            <w:tcW w:w="960" w:type="dxa"/>
            <w:vAlign w:val="bottom"/>
            <w:shd w:val="clear" w:color="auto" w:fill="F2F2F2"/>
          </w:tcPr>
          <w:p>
            <w:pPr>
              <w:spacing w:after="0"/>
              <w:rPr>
                <w:sz w:val="14"/>
                <w:szCs w:val="14"/>
                <w:color w:val="auto"/>
              </w:rPr>
            </w:pPr>
          </w:p>
        </w:tc>
        <w:tc>
          <w:tcPr>
            <w:tcW w:w="1240" w:type="dxa"/>
            <w:vAlign w:val="bottom"/>
            <w:shd w:val="clear" w:color="auto" w:fill="F2F2F2"/>
          </w:tcPr>
          <w:p>
            <w:pPr>
              <w:spacing w:after="0"/>
              <w:rPr>
                <w:sz w:val="14"/>
                <w:szCs w:val="14"/>
                <w:color w:val="auto"/>
              </w:rPr>
            </w:pPr>
          </w:p>
        </w:tc>
        <w:tc>
          <w:tcPr>
            <w:tcW w:w="120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60" w:type="dxa"/>
            <w:vAlign w:val="bottom"/>
          </w:tcPr>
          <w:p>
            <w:pPr>
              <w:ind w:left="20"/>
              <w:spacing w:after="0"/>
              <w:rPr>
                <w:sz w:val="20"/>
                <w:szCs w:val="20"/>
                <w:color w:val="auto"/>
              </w:rPr>
            </w:pPr>
            <w:r>
              <w:rPr>
                <w:rFonts w:ascii="Arial" w:cs="Arial" w:eastAsia="Arial" w:hAnsi="Arial"/>
                <w:sz w:val="14"/>
                <w:szCs w:val="14"/>
                <w:color w:val="auto"/>
              </w:rPr>
              <w:t>President, Lilly</w:t>
            </w:r>
          </w:p>
        </w:tc>
        <w:tc>
          <w:tcPr>
            <w:tcW w:w="420" w:type="dxa"/>
            <w:vAlign w:val="bottom"/>
            <w:shd w:val="clear" w:color="auto" w:fill="F2F2F2"/>
          </w:tcPr>
          <w:p>
            <w:pPr>
              <w:spacing w:after="0"/>
              <w:rPr>
                <w:sz w:val="15"/>
                <w:szCs w:val="15"/>
                <w:color w:val="auto"/>
              </w:rPr>
            </w:pPr>
          </w:p>
        </w:tc>
        <w:tc>
          <w:tcPr>
            <w:tcW w:w="940" w:type="dxa"/>
            <w:vAlign w:val="bottom"/>
            <w:shd w:val="clear" w:color="auto" w:fill="F2F2F2"/>
          </w:tcPr>
          <w:p>
            <w:pPr>
              <w:spacing w:after="0"/>
              <w:rPr>
                <w:sz w:val="15"/>
                <w:szCs w:val="15"/>
                <w:color w:val="auto"/>
              </w:rPr>
            </w:pPr>
          </w:p>
        </w:tc>
        <w:tc>
          <w:tcPr>
            <w:tcW w:w="840" w:type="dxa"/>
            <w:vAlign w:val="bottom"/>
            <w:shd w:val="clear" w:color="auto" w:fill="F2F2F2"/>
          </w:tcPr>
          <w:p>
            <w:pPr>
              <w:spacing w:after="0"/>
              <w:rPr>
                <w:sz w:val="15"/>
                <w:szCs w:val="15"/>
                <w:color w:val="auto"/>
              </w:rPr>
            </w:pPr>
          </w:p>
        </w:tc>
        <w:tc>
          <w:tcPr>
            <w:tcW w:w="1100" w:type="dxa"/>
            <w:vAlign w:val="bottom"/>
            <w:shd w:val="clear" w:color="auto" w:fill="F2F2F2"/>
          </w:tcPr>
          <w:p>
            <w:pPr>
              <w:spacing w:after="0"/>
              <w:rPr>
                <w:sz w:val="15"/>
                <w:szCs w:val="15"/>
                <w:color w:val="auto"/>
              </w:rPr>
            </w:pPr>
          </w:p>
        </w:tc>
        <w:tc>
          <w:tcPr>
            <w:tcW w:w="1320" w:type="dxa"/>
            <w:vAlign w:val="bottom"/>
            <w:shd w:val="clear" w:color="auto" w:fill="F2F2F2"/>
          </w:tcPr>
          <w:p>
            <w:pPr>
              <w:spacing w:after="0"/>
              <w:rPr>
                <w:sz w:val="15"/>
                <w:szCs w:val="15"/>
                <w:color w:val="auto"/>
              </w:rPr>
            </w:pPr>
          </w:p>
        </w:tc>
        <w:tc>
          <w:tcPr>
            <w:tcW w:w="960" w:type="dxa"/>
            <w:vAlign w:val="bottom"/>
            <w:shd w:val="clear" w:color="auto" w:fill="F2F2F2"/>
          </w:tcPr>
          <w:p>
            <w:pPr>
              <w:spacing w:after="0"/>
              <w:rPr>
                <w:sz w:val="15"/>
                <w:szCs w:val="15"/>
                <w:color w:val="auto"/>
              </w:rPr>
            </w:pPr>
          </w:p>
        </w:tc>
        <w:tc>
          <w:tcPr>
            <w:tcW w:w="1240" w:type="dxa"/>
            <w:vAlign w:val="bottom"/>
            <w:shd w:val="clear" w:color="auto" w:fill="F2F2F2"/>
          </w:tcPr>
          <w:p>
            <w:pPr>
              <w:spacing w:after="0"/>
              <w:rPr>
                <w:sz w:val="15"/>
                <w:szCs w:val="15"/>
                <w:color w:val="auto"/>
              </w:rPr>
            </w:pPr>
          </w:p>
        </w:tc>
        <w:tc>
          <w:tcPr>
            <w:tcW w:w="120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1060" w:type="dxa"/>
            <w:vAlign w:val="bottom"/>
            <w:vMerge w:val="restart"/>
          </w:tcPr>
          <w:p>
            <w:pPr>
              <w:ind w:left="20"/>
              <w:spacing w:after="0"/>
              <w:rPr>
                <w:sz w:val="20"/>
                <w:szCs w:val="20"/>
                <w:color w:val="auto"/>
              </w:rPr>
            </w:pPr>
            <w:r>
              <w:rPr>
                <w:rFonts w:ascii="Arial" w:cs="Arial" w:eastAsia="Arial" w:hAnsi="Arial"/>
                <w:sz w:val="14"/>
                <w:szCs w:val="14"/>
                <w:color w:val="auto"/>
              </w:rPr>
              <w:t>Immunology,</w:t>
            </w:r>
          </w:p>
        </w:tc>
        <w:tc>
          <w:tcPr>
            <w:tcW w:w="420" w:type="dxa"/>
            <w:vAlign w:val="bottom"/>
            <w:shd w:val="clear" w:color="auto" w:fill="F2F2F2"/>
          </w:tcPr>
          <w:p>
            <w:pPr>
              <w:spacing w:after="0"/>
              <w:rPr>
                <w:sz w:val="9"/>
                <w:szCs w:val="9"/>
                <w:color w:val="auto"/>
              </w:rPr>
            </w:pPr>
          </w:p>
        </w:tc>
        <w:tc>
          <w:tcPr>
            <w:tcW w:w="940" w:type="dxa"/>
            <w:vAlign w:val="bottom"/>
            <w:shd w:val="clear" w:color="auto" w:fill="F2F2F2"/>
          </w:tcPr>
          <w:p>
            <w:pPr>
              <w:spacing w:after="0"/>
              <w:rPr>
                <w:sz w:val="9"/>
                <w:szCs w:val="9"/>
                <w:color w:val="auto"/>
              </w:rPr>
            </w:pPr>
          </w:p>
        </w:tc>
        <w:tc>
          <w:tcPr>
            <w:tcW w:w="840" w:type="dxa"/>
            <w:vAlign w:val="bottom"/>
            <w:shd w:val="clear" w:color="auto" w:fill="F2F2F2"/>
          </w:tcPr>
          <w:p>
            <w:pPr>
              <w:spacing w:after="0"/>
              <w:rPr>
                <w:sz w:val="9"/>
                <w:szCs w:val="9"/>
                <w:color w:val="auto"/>
              </w:rPr>
            </w:pPr>
          </w:p>
        </w:tc>
        <w:tc>
          <w:tcPr>
            <w:tcW w:w="1100" w:type="dxa"/>
            <w:vAlign w:val="bottom"/>
            <w:shd w:val="clear" w:color="auto" w:fill="F2F2F2"/>
          </w:tcPr>
          <w:p>
            <w:pPr>
              <w:spacing w:after="0"/>
              <w:rPr>
                <w:sz w:val="9"/>
                <w:szCs w:val="9"/>
                <w:color w:val="auto"/>
              </w:rPr>
            </w:pPr>
          </w:p>
        </w:tc>
        <w:tc>
          <w:tcPr>
            <w:tcW w:w="1320" w:type="dxa"/>
            <w:vAlign w:val="bottom"/>
            <w:shd w:val="clear" w:color="auto" w:fill="F2F2F2"/>
          </w:tcPr>
          <w:p>
            <w:pPr>
              <w:spacing w:after="0"/>
              <w:rPr>
                <w:sz w:val="9"/>
                <w:szCs w:val="9"/>
                <w:color w:val="auto"/>
              </w:rPr>
            </w:pPr>
          </w:p>
        </w:tc>
        <w:tc>
          <w:tcPr>
            <w:tcW w:w="960" w:type="dxa"/>
            <w:vAlign w:val="bottom"/>
            <w:shd w:val="clear" w:color="auto" w:fill="F2F2F2"/>
          </w:tcPr>
          <w:p>
            <w:pPr>
              <w:spacing w:after="0"/>
              <w:rPr>
                <w:sz w:val="9"/>
                <w:szCs w:val="9"/>
                <w:color w:val="auto"/>
              </w:rPr>
            </w:pPr>
          </w:p>
        </w:tc>
        <w:tc>
          <w:tcPr>
            <w:tcW w:w="1240" w:type="dxa"/>
            <w:vAlign w:val="bottom"/>
            <w:shd w:val="clear" w:color="auto" w:fill="F2F2F2"/>
          </w:tcPr>
          <w:p>
            <w:pPr>
              <w:spacing w:after="0"/>
              <w:rPr>
                <w:sz w:val="9"/>
                <w:szCs w:val="9"/>
                <w:color w:val="auto"/>
              </w:rPr>
            </w:pPr>
          </w:p>
        </w:tc>
        <w:tc>
          <w:tcPr>
            <w:tcW w:w="1200" w:type="dxa"/>
            <w:vAlign w:val="bottom"/>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060" w:type="dxa"/>
            <w:vAlign w:val="bottom"/>
            <w:vMerge w:val="continue"/>
          </w:tcPr>
          <w:p>
            <w:pPr>
              <w:spacing w:after="0"/>
              <w:rPr>
                <w:sz w:val="7"/>
                <w:szCs w:val="7"/>
                <w:color w:val="auto"/>
              </w:rPr>
            </w:pPr>
          </w:p>
        </w:tc>
        <w:tc>
          <w:tcPr>
            <w:tcW w:w="420" w:type="dxa"/>
            <w:vAlign w:val="bottom"/>
          </w:tcPr>
          <w:p>
            <w:pPr>
              <w:ind w:left="60"/>
              <w:spacing w:after="0" w:line="86" w:lineRule="exact"/>
              <w:rPr>
                <w:sz w:val="20"/>
                <w:szCs w:val="20"/>
                <w:color w:val="auto"/>
              </w:rPr>
            </w:pPr>
            <w:r>
              <w:rPr>
                <w:rFonts w:ascii="Arial" w:cs="Arial" w:eastAsia="Arial" w:hAnsi="Arial"/>
                <w:sz w:val="9"/>
                <w:szCs w:val="9"/>
                <w:color w:val="auto"/>
              </w:rPr>
              <w:t>2020</w:t>
            </w:r>
          </w:p>
        </w:tc>
        <w:tc>
          <w:tcPr>
            <w:tcW w:w="940" w:type="dxa"/>
            <w:vAlign w:val="bottom"/>
          </w:tcPr>
          <w:p>
            <w:pPr>
              <w:jc w:val="right"/>
              <w:ind w:right="190"/>
              <w:spacing w:after="0" w:line="86" w:lineRule="exact"/>
              <w:rPr>
                <w:sz w:val="20"/>
                <w:szCs w:val="20"/>
                <w:color w:val="auto"/>
              </w:rPr>
            </w:pPr>
            <w:r>
              <w:rPr>
                <w:rFonts w:ascii="Arial" w:cs="Arial" w:eastAsia="Arial" w:hAnsi="Arial"/>
                <w:sz w:val="9"/>
                <w:szCs w:val="9"/>
                <w:color w:val="auto"/>
              </w:rPr>
              <w:t>N/A</w:t>
            </w:r>
          </w:p>
        </w:tc>
        <w:tc>
          <w:tcPr>
            <w:tcW w:w="840" w:type="dxa"/>
            <w:vAlign w:val="bottom"/>
          </w:tcPr>
          <w:p>
            <w:pPr>
              <w:jc w:val="right"/>
              <w:ind w:right="70"/>
              <w:spacing w:after="0" w:line="86" w:lineRule="exact"/>
              <w:rPr>
                <w:sz w:val="20"/>
                <w:szCs w:val="20"/>
                <w:color w:val="auto"/>
              </w:rPr>
            </w:pPr>
            <w:r>
              <w:rPr>
                <w:rFonts w:ascii="Arial" w:cs="Arial" w:eastAsia="Arial" w:hAnsi="Arial"/>
                <w:sz w:val="9"/>
                <w:szCs w:val="9"/>
                <w:color w:val="auto"/>
              </w:rPr>
              <w:t>N/A</w:t>
            </w:r>
          </w:p>
        </w:tc>
        <w:tc>
          <w:tcPr>
            <w:tcW w:w="1100" w:type="dxa"/>
            <w:vAlign w:val="bottom"/>
          </w:tcPr>
          <w:p>
            <w:pPr>
              <w:ind w:left="740"/>
              <w:spacing w:after="0" w:line="86" w:lineRule="exact"/>
              <w:rPr>
                <w:sz w:val="20"/>
                <w:szCs w:val="20"/>
                <w:color w:val="auto"/>
              </w:rPr>
            </w:pPr>
            <w:r>
              <w:rPr>
                <w:rFonts w:ascii="Arial" w:cs="Arial" w:eastAsia="Arial" w:hAnsi="Arial"/>
                <w:sz w:val="9"/>
                <w:szCs w:val="9"/>
                <w:color w:val="auto"/>
              </w:rPr>
              <w:t>N/A</w:t>
            </w:r>
          </w:p>
        </w:tc>
        <w:tc>
          <w:tcPr>
            <w:tcW w:w="1320" w:type="dxa"/>
            <w:vAlign w:val="bottom"/>
          </w:tcPr>
          <w:p>
            <w:pPr>
              <w:jc w:val="right"/>
              <w:ind w:right="129"/>
              <w:spacing w:after="0" w:line="86" w:lineRule="exact"/>
              <w:rPr>
                <w:sz w:val="20"/>
                <w:szCs w:val="20"/>
                <w:color w:val="auto"/>
              </w:rPr>
            </w:pPr>
            <w:r>
              <w:rPr>
                <w:rFonts w:ascii="Arial" w:cs="Arial" w:eastAsia="Arial" w:hAnsi="Arial"/>
                <w:sz w:val="9"/>
                <w:szCs w:val="9"/>
                <w:color w:val="auto"/>
              </w:rPr>
              <w:t>N/A</w:t>
            </w:r>
          </w:p>
        </w:tc>
        <w:tc>
          <w:tcPr>
            <w:tcW w:w="960" w:type="dxa"/>
            <w:vAlign w:val="bottom"/>
          </w:tcPr>
          <w:p>
            <w:pPr>
              <w:jc w:val="right"/>
              <w:ind w:right="29"/>
              <w:spacing w:after="0" w:line="86" w:lineRule="exact"/>
              <w:rPr>
                <w:sz w:val="20"/>
                <w:szCs w:val="20"/>
                <w:color w:val="auto"/>
              </w:rPr>
            </w:pPr>
            <w:r>
              <w:rPr>
                <w:rFonts w:ascii="Arial" w:cs="Arial" w:eastAsia="Arial" w:hAnsi="Arial"/>
                <w:sz w:val="9"/>
                <w:szCs w:val="9"/>
                <w:color w:val="auto"/>
              </w:rPr>
              <w:t>N/A</w:t>
            </w:r>
          </w:p>
        </w:tc>
        <w:tc>
          <w:tcPr>
            <w:tcW w:w="1240" w:type="dxa"/>
            <w:vAlign w:val="bottom"/>
          </w:tcPr>
          <w:p>
            <w:pPr>
              <w:jc w:val="right"/>
              <w:ind w:right="49"/>
              <w:spacing w:after="0" w:line="86" w:lineRule="exact"/>
              <w:rPr>
                <w:sz w:val="20"/>
                <w:szCs w:val="20"/>
                <w:color w:val="auto"/>
              </w:rPr>
            </w:pPr>
            <w:r>
              <w:rPr>
                <w:rFonts w:ascii="Arial" w:cs="Arial" w:eastAsia="Arial" w:hAnsi="Arial"/>
                <w:sz w:val="9"/>
                <w:szCs w:val="9"/>
                <w:color w:val="auto"/>
              </w:rPr>
              <w:t>N/A</w:t>
            </w:r>
          </w:p>
        </w:tc>
        <w:tc>
          <w:tcPr>
            <w:tcW w:w="1200" w:type="dxa"/>
            <w:vAlign w:val="bottom"/>
          </w:tcPr>
          <w:p>
            <w:pPr>
              <w:jc w:val="right"/>
              <w:ind w:right="29"/>
              <w:spacing w:after="0" w:line="86" w:lineRule="exact"/>
              <w:rPr>
                <w:sz w:val="20"/>
                <w:szCs w:val="20"/>
                <w:color w:val="auto"/>
              </w:rPr>
            </w:pPr>
            <w:r>
              <w:rPr>
                <w:rFonts w:ascii="Arial" w:cs="Arial" w:eastAsia="Arial" w:hAnsi="Arial"/>
                <w:sz w:val="9"/>
                <w:szCs w:val="9"/>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-688340</wp:posOffset>
            </wp:positionV>
            <wp:extent cx="5760720" cy="103695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5760720" cy="10369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Lilly USA and</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Chief Customer</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760720" cy="825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24" w:lineRule="exact"/>
        <w:rPr>
          <w:sz w:val="20"/>
          <w:szCs w:val="20"/>
          <w:color w:val="auto"/>
        </w:rPr>
      </w:pPr>
    </w:p>
    <w:p>
      <w:pPr>
        <w:ind w:left="180" w:right="400" w:hanging="172"/>
        <w:spacing w:after="0" w:line="231" w:lineRule="auto"/>
        <w:tabs>
          <w:tab w:leader="none" w:pos="110" w:val="left"/>
        </w:tabs>
        <w:numPr>
          <w:ilvl w:val="0"/>
          <w:numId w:val="149"/>
        </w:numPr>
        <w:rPr>
          <w:rFonts w:ascii="Arial" w:cs="Arial" w:eastAsia="Arial" w:hAnsi="Arial"/>
          <w:sz w:val="19"/>
          <w:szCs w:val="19"/>
          <w:color w:val="auto"/>
          <w:vertAlign w:val="superscript"/>
        </w:rPr>
      </w:pPr>
      <w:r>
        <w:rPr>
          <w:rFonts w:ascii="Arial" w:cs="Arial" w:eastAsia="Arial" w:hAnsi="Arial"/>
          <w:sz w:val="14"/>
          <w:szCs w:val="14"/>
          <w:color w:val="auto"/>
        </w:rPr>
        <w:t>This column shows the grant date fair value of performance awards, shareholder value awards and relative value awards for all named executive officers computed in accordance with FASB ASC Topic 718. See Note 12 of the consolidated financial statements in the company’s Annual Report on Form 10-K for the fiscal year ended December 31, 2022 for additional detail regarding assumptions underlying the valuation of equity awards. All values in the “Stock Awards” column were based upon the probable outcome of performance conditions as of the grant date, which vary year to year.</w:t>
      </w:r>
    </w:p>
    <w:p>
      <w:pPr>
        <w:spacing w:after="0" w:line="94" w:lineRule="exact"/>
        <w:rPr>
          <w:sz w:val="20"/>
          <w:szCs w:val="20"/>
          <w:color w:val="auto"/>
        </w:rPr>
      </w:pPr>
    </w:p>
    <w:p>
      <w:pPr>
        <w:ind w:left="180" w:right="40"/>
        <w:spacing w:after="0" w:line="273" w:lineRule="auto"/>
        <w:rPr>
          <w:sz w:val="20"/>
          <w:szCs w:val="20"/>
          <w:color w:val="auto"/>
        </w:rPr>
      </w:pPr>
      <w:r>
        <w:rPr>
          <w:rFonts w:ascii="Arial" w:cs="Arial" w:eastAsia="Arial" w:hAnsi="Arial"/>
          <w:sz w:val="14"/>
          <w:szCs w:val="14"/>
          <w:color w:val="auto"/>
        </w:rPr>
        <w:t>The table below shows the target and maximum payouts (valuing the number of shares that would vest at each payout level using the grant date fair value) for the 2022-2024 performance award, the 2022-2024 shareholder value award, and the 2022-2024 relative value award, each of which are included in the Summary Compensation Table above. All awards below pay out in February 2025 and have a minimum payout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188595</wp:posOffset>
            </wp:positionV>
            <wp:extent cx="4200525"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4200525" cy="8890"/>
                    </a:xfrm>
                    <a:prstGeom prst="rect">
                      <a:avLst/>
                    </a:prstGeom>
                    <a:noFill/>
                  </pic:spPr>
                </pic:pic>
              </a:graphicData>
            </a:graphic>
          </wp:anchor>
        </w:drawing>
      </w:r>
    </w:p>
    <w:p>
      <w:pPr>
        <w:spacing w:after="0" w:line="335" w:lineRule="exact"/>
        <w:rPr>
          <w:sz w:val="20"/>
          <w:szCs w:val="20"/>
          <w:color w:val="auto"/>
        </w:rPr>
      </w:pPr>
    </w:p>
    <w:tbl>
      <w:tblPr>
        <w:tblLayout w:type="fixed"/>
        <w:tblInd w:w="660" w:type="dxa"/>
        <w:tblCellMar>
          <w:top w:w="0" w:type="dxa"/>
          <w:left w:w="0" w:type="dxa"/>
          <w:bottom w:w="0" w:type="dxa"/>
          <w:right w:w="0" w:type="dxa"/>
        </w:tblCellMar>
      </w:tblPr>
      <w:tr>
        <w:trPr>
          <w:trHeight w:val="205"/>
        </w:trPr>
        <w:tc>
          <w:tcPr>
            <w:tcW w:w="15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2"/>
          </w:tcPr>
          <w:p>
            <w:pPr>
              <w:jc w:val="right"/>
              <w:ind w:right="688"/>
              <w:spacing w:after="0"/>
              <w:rPr>
                <w:sz w:val="20"/>
                <w:szCs w:val="20"/>
                <w:color w:val="auto"/>
              </w:rPr>
            </w:pPr>
            <w:r>
              <w:rPr>
                <w:rFonts w:ascii="Arial" w:cs="Arial" w:eastAsia="Arial" w:hAnsi="Arial"/>
                <w:sz w:val="14"/>
                <w:szCs w:val="14"/>
                <w:b w:val="1"/>
                <w:bCs w:val="1"/>
                <w:color w:val="auto"/>
              </w:rPr>
              <w:t>2022-2024 PA</w:t>
            </w:r>
          </w:p>
        </w:tc>
        <w:tc>
          <w:tcPr>
            <w:tcW w:w="2300" w:type="dxa"/>
            <w:vAlign w:val="bottom"/>
            <w:tcBorders>
              <w:bottom w:val="single" w:sz="8" w:color="auto"/>
            </w:tcBorders>
            <w:gridSpan w:val="2"/>
          </w:tcPr>
          <w:p>
            <w:pPr>
              <w:jc w:val="right"/>
              <w:ind w:right="648"/>
              <w:spacing w:after="0"/>
              <w:rPr>
                <w:sz w:val="20"/>
                <w:szCs w:val="20"/>
                <w:color w:val="auto"/>
              </w:rPr>
            </w:pPr>
            <w:r>
              <w:rPr>
                <w:rFonts w:ascii="Arial" w:cs="Arial" w:eastAsia="Arial" w:hAnsi="Arial"/>
                <w:sz w:val="14"/>
                <w:szCs w:val="14"/>
                <w:b w:val="1"/>
                <w:bCs w:val="1"/>
                <w:color w:val="auto"/>
              </w:rPr>
              <w:t>2022-2024 SVA</w:t>
            </w:r>
          </w:p>
        </w:tc>
        <w:tc>
          <w:tcPr>
            <w:tcW w:w="210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4"/>
                <w:szCs w:val="14"/>
                <w:b w:val="1"/>
                <w:bCs w:val="1"/>
                <w:color w:val="auto"/>
              </w:rPr>
              <w:t>2022-2024 RVA</w:t>
            </w:r>
          </w:p>
        </w:tc>
      </w:tr>
      <w:tr>
        <w:trPr>
          <w:trHeight w:val="250"/>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3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Target</w:t>
            </w:r>
          </w:p>
        </w:tc>
        <w:tc>
          <w:tcPr>
            <w:tcW w:w="11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Maximum</w:t>
            </w:r>
          </w:p>
        </w:tc>
        <w:tc>
          <w:tcPr>
            <w:tcW w:w="11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Target</w:t>
            </w:r>
          </w:p>
        </w:tc>
        <w:tc>
          <w:tcPr>
            <w:tcW w:w="11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Maximum</w:t>
            </w:r>
          </w:p>
        </w:tc>
        <w:tc>
          <w:tcPr>
            <w:tcW w:w="11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Target</w:t>
            </w: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Maximum</w:t>
            </w:r>
          </w:p>
        </w:tc>
      </w:tr>
      <w:tr>
        <w:trPr>
          <w:trHeight w:val="236"/>
        </w:trPr>
        <w:tc>
          <w:tcPr>
            <w:tcW w:w="150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1340" w:type="dxa"/>
            <w:vAlign w:val="bottom"/>
            <w:tcBorders>
              <w:bottom w:val="single" w:sz="8" w:color="F2F2F2"/>
            </w:tcBorders>
            <w:shd w:val="clear" w:color="auto" w:fill="F2F2F2"/>
          </w:tcPr>
          <w:p>
            <w:pPr>
              <w:jc w:val="right"/>
              <w:ind w:right="48"/>
              <w:spacing w:after="0"/>
              <w:rPr>
                <w:sz w:val="20"/>
                <w:szCs w:val="20"/>
                <w:color w:val="auto"/>
              </w:rPr>
            </w:pPr>
            <w:r>
              <w:rPr>
                <w:rFonts w:ascii="Arial" w:cs="Arial" w:eastAsia="Arial" w:hAnsi="Arial"/>
                <w:sz w:val="14"/>
                <w:szCs w:val="14"/>
                <w:color w:val="auto"/>
              </w:rPr>
              <w:t>$4,875,000</w:t>
            </w:r>
          </w:p>
        </w:tc>
        <w:tc>
          <w:tcPr>
            <w:tcW w:w="1180" w:type="dxa"/>
            <w:vAlign w:val="bottom"/>
            <w:tcBorders>
              <w:bottom w:val="single" w:sz="8" w:color="F2F2F2"/>
            </w:tcBorders>
            <w:shd w:val="clear" w:color="auto" w:fill="F2F2F2"/>
          </w:tcPr>
          <w:p>
            <w:pPr>
              <w:jc w:val="right"/>
              <w:ind w:right="228"/>
              <w:spacing w:after="0"/>
              <w:rPr>
                <w:sz w:val="20"/>
                <w:szCs w:val="20"/>
                <w:color w:val="auto"/>
              </w:rPr>
            </w:pPr>
            <w:r>
              <w:rPr>
                <w:rFonts w:ascii="Arial" w:cs="Arial" w:eastAsia="Arial" w:hAnsi="Arial"/>
                <w:sz w:val="14"/>
                <w:szCs w:val="14"/>
                <w:color w:val="auto"/>
              </w:rPr>
              <w:t>$8,531,250</w:t>
            </w:r>
          </w:p>
        </w:tc>
        <w:tc>
          <w:tcPr>
            <w:tcW w:w="1120" w:type="dxa"/>
            <w:vAlign w:val="bottom"/>
            <w:tcBorders>
              <w:bottom w:val="single" w:sz="8" w:color="F2F2F2"/>
            </w:tcBorders>
            <w:shd w:val="clear" w:color="auto" w:fill="F2F2F2"/>
          </w:tcPr>
          <w:p>
            <w:pPr>
              <w:jc w:val="right"/>
              <w:ind w:right="48"/>
              <w:spacing w:after="0"/>
              <w:rPr>
                <w:sz w:val="20"/>
                <w:szCs w:val="20"/>
                <w:color w:val="auto"/>
              </w:rPr>
            </w:pPr>
            <w:r>
              <w:rPr>
                <w:rFonts w:ascii="Arial" w:cs="Arial" w:eastAsia="Arial" w:hAnsi="Arial"/>
                <w:sz w:val="14"/>
                <w:szCs w:val="14"/>
                <w:color w:val="auto"/>
              </w:rPr>
              <w:t>$5,687,500</w:t>
            </w:r>
          </w:p>
        </w:tc>
        <w:tc>
          <w:tcPr>
            <w:tcW w:w="1180" w:type="dxa"/>
            <w:vAlign w:val="bottom"/>
            <w:tcBorders>
              <w:bottom w:val="single" w:sz="8" w:color="F2F2F2"/>
            </w:tcBorders>
            <w:shd w:val="clear" w:color="auto" w:fill="F2F2F2"/>
          </w:tcPr>
          <w:p>
            <w:pPr>
              <w:jc w:val="right"/>
              <w:ind w:right="228"/>
              <w:spacing w:after="0"/>
              <w:rPr>
                <w:sz w:val="20"/>
                <w:szCs w:val="20"/>
                <w:color w:val="auto"/>
              </w:rPr>
            </w:pPr>
            <w:r>
              <w:rPr>
                <w:rFonts w:ascii="Arial" w:cs="Arial" w:eastAsia="Arial" w:hAnsi="Arial"/>
                <w:sz w:val="14"/>
                <w:szCs w:val="14"/>
                <w:color w:val="auto"/>
              </w:rPr>
              <w:t>$9,953,125</w:t>
            </w:r>
          </w:p>
        </w:tc>
        <w:tc>
          <w:tcPr>
            <w:tcW w:w="1140" w:type="dxa"/>
            <w:vAlign w:val="bottom"/>
            <w:tcBorders>
              <w:bottom w:val="single" w:sz="8" w:color="F2F2F2"/>
            </w:tcBorders>
            <w:shd w:val="clear" w:color="auto" w:fill="F2F2F2"/>
          </w:tcPr>
          <w:p>
            <w:pPr>
              <w:jc w:val="right"/>
              <w:ind w:right="68"/>
              <w:spacing w:after="0"/>
              <w:rPr>
                <w:sz w:val="20"/>
                <w:szCs w:val="20"/>
                <w:color w:val="auto"/>
              </w:rPr>
            </w:pPr>
            <w:r>
              <w:rPr>
                <w:rFonts w:ascii="Arial" w:cs="Arial" w:eastAsia="Arial" w:hAnsi="Arial"/>
                <w:sz w:val="14"/>
                <w:szCs w:val="14"/>
                <w:color w:val="auto"/>
              </w:rPr>
              <w:t>$5,687,500</w:t>
            </w:r>
          </w:p>
        </w:tc>
        <w:tc>
          <w:tcPr>
            <w:tcW w:w="960" w:type="dxa"/>
            <w:vAlign w:val="bottom"/>
            <w:tcBorders>
              <w:bottom w:val="single" w:sz="8" w:color="F2F2F2"/>
            </w:tcBorders>
            <w:shd w:val="clear" w:color="auto" w:fill="F2F2F2"/>
          </w:tcPr>
          <w:p>
            <w:pPr>
              <w:jc w:val="right"/>
              <w:ind w:right="8"/>
              <w:spacing w:after="0"/>
              <w:rPr>
                <w:sz w:val="20"/>
                <w:szCs w:val="20"/>
                <w:color w:val="auto"/>
              </w:rPr>
            </w:pPr>
            <w:r>
              <w:rPr>
                <w:rFonts w:ascii="Arial" w:cs="Arial" w:eastAsia="Arial" w:hAnsi="Arial"/>
                <w:sz w:val="14"/>
                <w:szCs w:val="14"/>
                <w:color w:val="auto"/>
              </w:rPr>
              <w:t>$9,953,125</w:t>
            </w:r>
          </w:p>
        </w:tc>
      </w:tr>
      <w:tr>
        <w:trPr>
          <w:trHeight w:val="249"/>
        </w:trPr>
        <w:tc>
          <w:tcPr>
            <w:tcW w:w="1500" w:type="dxa"/>
            <w:vAlign w:val="bottom"/>
          </w:tcPr>
          <w:p>
            <w:pPr>
              <w:ind w:left="20"/>
              <w:spacing w:after="0"/>
              <w:rPr>
                <w:sz w:val="20"/>
                <w:szCs w:val="20"/>
                <w:color w:val="auto"/>
              </w:rPr>
            </w:pPr>
            <w:r>
              <w:rPr>
                <w:rFonts w:ascii="Arial" w:cs="Arial" w:eastAsia="Arial" w:hAnsi="Arial"/>
                <w:sz w:val="14"/>
                <w:szCs w:val="14"/>
                <w:color w:val="auto"/>
              </w:rPr>
              <w:t>Ms. Ashkenazi</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$900,000</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$1,575,000</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$1,050,000</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$1,837,500</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$1,050,000</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$1,837,500</w:t>
            </w:r>
          </w:p>
        </w:tc>
      </w:tr>
      <w:tr>
        <w:trPr>
          <w:trHeight w:val="21"/>
        </w:trPr>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50"/>
        </w:trPr>
        <w:tc>
          <w:tcPr>
            <w:tcW w:w="150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1340" w:type="dxa"/>
            <w:vAlign w:val="bottom"/>
            <w:tcBorders>
              <w:bottom w:val="single" w:sz="8" w:color="F2F2F2"/>
            </w:tcBorders>
            <w:shd w:val="clear" w:color="auto" w:fill="F2F2F2"/>
          </w:tcPr>
          <w:p>
            <w:pPr>
              <w:jc w:val="right"/>
              <w:ind w:right="48"/>
              <w:spacing w:after="0"/>
              <w:rPr>
                <w:sz w:val="20"/>
                <w:szCs w:val="20"/>
                <w:color w:val="auto"/>
              </w:rPr>
            </w:pPr>
            <w:r>
              <w:rPr>
                <w:rFonts w:ascii="Arial" w:cs="Arial" w:eastAsia="Arial" w:hAnsi="Arial"/>
                <w:sz w:val="14"/>
                <w:szCs w:val="14"/>
                <w:color w:val="auto"/>
              </w:rPr>
              <w:t>$1,650,000</w:t>
            </w:r>
          </w:p>
        </w:tc>
        <w:tc>
          <w:tcPr>
            <w:tcW w:w="1180" w:type="dxa"/>
            <w:vAlign w:val="bottom"/>
            <w:tcBorders>
              <w:bottom w:val="single" w:sz="8" w:color="F2F2F2"/>
            </w:tcBorders>
            <w:shd w:val="clear" w:color="auto" w:fill="F2F2F2"/>
          </w:tcPr>
          <w:p>
            <w:pPr>
              <w:jc w:val="right"/>
              <w:ind w:right="228"/>
              <w:spacing w:after="0"/>
              <w:rPr>
                <w:sz w:val="20"/>
                <w:szCs w:val="20"/>
                <w:color w:val="auto"/>
              </w:rPr>
            </w:pPr>
            <w:r>
              <w:rPr>
                <w:rFonts w:ascii="Arial" w:cs="Arial" w:eastAsia="Arial" w:hAnsi="Arial"/>
                <w:sz w:val="14"/>
                <w:szCs w:val="14"/>
                <w:color w:val="auto"/>
              </w:rPr>
              <w:t>$2,887,500</w:t>
            </w:r>
          </w:p>
        </w:tc>
        <w:tc>
          <w:tcPr>
            <w:tcW w:w="1120" w:type="dxa"/>
            <w:vAlign w:val="bottom"/>
            <w:tcBorders>
              <w:bottom w:val="single" w:sz="8" w:color="F2F2F2"/>
            </w:tcBorders>
            <w:shd w:val="clear" w:color="auto" w:fill="F2F2F2"/>
          </w:tcPr>
          <w:p>
            <w:pPr>
              <w:jc w:val="right"/>
              <w:ind w:right="48"/>
              <w:spacing w:after="0"/>
              <w:rPr>
                <w:sz w:val="20"/>
                <w:szCs w:val="20"/>
                <w:color w:val="auto"/>
              </w:rPr>
            </w:pPr>
            <w:r>
              <w:rPr>
                <w:rFonts w:ascii="Arial" w:cs="Arial" w:eastAsia="Arial" w:hAnsi="Arial"/>
                <w:sz w:val="14"/>
                <w:szCs w:val="14"/>
                <w:color w:val="auto"/>
              </w:rPr>
              <w:t>$1,925,000</w:t>
            </w:r>
          </w:p>
        </w:tc>
        <w:tc>
          <w:tcPr>
            <w:tcW w:w="1180" w:type="dxa"/>
            <w:vAlign w:val="bottom"/>
            <w:tcBorders>
              <w:bottom w:val="single" w:sz="8" w:color="F2F2F2"/>
            </w:tcBorders>
            <w:shd w:val="clear" w:color="auto" w:fill="F2F2F2"/>
          </w:tcPr>
          <w:p>
            <w:pPr>
              <w:jc w:val="right"/>
              <w:ind w:right="228"/>
              <w:spacing w:after="0"/>
              <w:rPr>
                <w:sz w:val="20"/>
                <w:szCs w:val="20"/>
                <w:color w:val="auto"/>
              </w:rPr>
            </w:pPr>
            <w:r>
              <w:rPr>
                <w:rFonts w:ascii="Arial" w:cs="Arial" w:eastAsia="Arial" w:hAnsi="Arial"/>
                <w:sz w:val="14"/>
                <w:szCs w:val="14"/>
                <w:color w:val="auto"/>
              </w:rPr>
              <w:t>$3,368,750</w:t>
            </w:r>
          </w:p>
        </w:tc>
        <w:tc>
          <w:tcPr>
            <w:tcW w:w="1140" w:type="dxa"/>
            <w:vAlign w:val="bottom"/>
            <w:tcBorders>
              <w:bottom w:val="single" w:sz="8" w:color="F2F2F2"/>
            </w:tcBorders>
            <w:shd w:val="clear" w:color="auto" w:fill="F2F2F2"/>
          </w:tcPr>
          <w:p>
            <w:pPr>
              <w:jc w:val="right"/>
              <w:ind w:right="68"/>
              <w:spacing w:after="0"/>
              <w:rPr>
                <w:sz w:val="20"/>
                <w:szCs w:val="20"/>
                <w:color w:val="auto"/>
              </w:rPr>
            </w:pPr>
            <w:r>
              <w:rPr>
                <w:rFonts w:ascii="Arial" w:cs="Arial" w:eastAsia="Arial" w:hAnsi="Arial"/>
                <w:sz w:val="14"/>
                <w:szCs w:val="14"/>
                <w:color w:val="auto"/>
              </w:rPr>
              <w:t>$1,925,000</w:t>
            </w:r>
          </w:p>
        </w:tc>
        <w:tc>
          <w:tcPr>
            <w:tcW w:w="960" w:type="dxa"/>
            <w:vAlign w:val="bottom"/>
            <w:tcBorders>
              <w:bottom w:val="single" w:sz="8" w:color="F2F2F2"/>
            </w:tcBorders>
            <w:shd w:val="clear" w:color="auto" w:fill="F2F2F2"/>
          </w:tcPr>
          <w:p>
            <w:pPr>
              <w:jc w:val="right"/>
              <w:ind w:right="8"/>
              <w:spacing w:after="0"/>
              <w:rPr>
                <w:sz w:val="20"/>
                <w:szCs w:val="20"/>
                <w:color w:val="auto"/>
              </w:rPr>
            </w:pPr>
            <w:r>
              <w:rPr>
                <w:rFonts w:ascii="Arial" w:cs="Arial" w:eastAsia="Arial" w:hAnsi="Arial"/>
                <w:sz w:val="14"/>
                <w:szCs w:val="14"/>
                <w:color w:val="auto"/>
              </w:rPr>
              <w:t>$3,368,750</w:t>
            </w:r>
          </w:p>
        </w:tc>
      </w:tr>
      <w:tr>
        <w:trPr>
          <w:trHeight w:val="249"/>
        </w:trPr>
        <w:tc>
          <w:tcPr>
            <w:tcW w:w="1500" w:type="dxa"/>
            <w:vAlign w:val="bottom"/>
          </w:tcPr>
          <w:p>
            <w:pPr>
              <w:ind w:left="20"/>
              <w:spacing w:after="0"/>
              <w:rPr>
                <w:sz w:val="20"/>
                <w:szCs w:val="20"/>
                <w:color w:val="auto"/>
              </w:rPr>
            </w:pPr>
            <w:r>
              <w:rPr>
                <w:rFonts w:ascii="Arial" w:cs="Arial" w:eastAsia="Arial" w:hAnsi="Arial"/>
                <w:sz w:val="14"/>
                <w:szCs w:val="14"/>
                <w:color w:val="auto"/>
              </w:rPr>
              <w:t>Ms. Hakim</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$900,000</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$1,575,000</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$1,050,000</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$1,837,500</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$1,050,000</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$1,837,500</w:t>
            </w:r>
          </w:p>
        </w:tc>
      </w:tr>
      <w:tr>
        <w:trPr>
          <w:trHeight w:val="21"/>
        </w:trPr>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50"/>
        </w:trPr>
        <w:tc>
          <w:tcPr>
            <w:tcW w:w="150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Mr. Jonsson</w:t>
            </w:r>
          </w:p>
        </w:tc>
        <w:tc>
          <w:tcPr>
            <w:tcW w:w="1340" w:type="dxa"/>
            <w:vAlign w:val="bottom"/>
            <w:tcBorders>
              <w:bottom w:val="single" w:sz="8" w:color="F2F2F2"/>
            </w:tcBorders>
            <w:shd w:val="clear" w:color="auto" w:fill="F2F2F2"/>
          </w:tcPr>
          <w:p>
            <w:pPr>
              <w:jc w:val="right"/>
              <w:ind w:right="48"/>
              <w:spacing w:after="0"/>
              <w:rPr>
                <w:sz w:val="20"/>
                <w:szCs w:val="20"/>
                <w:color w:val="auto"/>
              </w:rPr>
            </w:pPr>
            <w:r>
              <w:rPr>
                <w:rFonts w:ascii="Arial" w:cs="Arial" w:eastAsia="Arial" w:hAnsi="Arial"/>
                <w:sz w:val="14"/>
                <w:szCs w:val="14"/>
                <w:color w:val="auto"/>
              </w:rPr>
              <w:t>$630,000</w:t>
            </w:r>
          </w:p>
        </w:tc>
        <w:tc>
          <w:tcPr>
            <w:tcW w:w="1180" w:type="dxa"/>
            <w:vAlign w:val="bottom"/>
            <w:tcBorders>
              <w:bottom w:val="single" w:sz="8" w:color="F2F2F2"/>
            </w:tcBorders>
            <w:shd w:val="clear" w:color="auto" w:fill="F2F2F2"/>
          </w:tcPr>
          <w:p>
            <w:pPr>
              <w:jc w:val="right"/>
              <w:ind w:right="228"/>
              <w:spacing w:after="0"/>
              <w:rPr>
                <w:sz w:val="20"/>
                <w:szCs w:val="20"/>
                <w:color w:val="auto"/>
              </w:rPr>
            </w:pPr>
            <w:r>
              <w:rPr>
                <w:rFonts w:ascii="Arial" w:cs="Arial" w:eastAsia="Arial" w:hAnsi="Arial"/>
                <w:sz w:val="14"/>
                <w:szCs w:val="14"/>
                <w:color w:val="auto"/>
              </w:rPr>
              <w:t>$1,102,500</w:t>
            </w:r>
          </w:p>
        </w:tc>
        <w:tc>
          <w:tcPr>
            <w:tcW w:w="1120" w:type="dxa"/>
            <w:vAlign w:val="bottom"/>
            <w:tcBorders>
              <w:bottom w:val="single" w:sz="8" w:color="F2F2F2"/>
            </w:tcBorders>
            <w:shd w:val="clear" w:color="auto" w:fill="F2F2F2"/>
          </w:tcPr>
          <w:p>
            <w:pPr>
              <w:jc w:val="right"/>
              <w:ind w:right="48"/>
              <w:spacing w:after="0"/>
              <w:rPr>
                <w:sz w:val="20"/>
                <w:szCs w:val="20"/>
                <w:color w:val="auto"/>
              </w:rPr>
            </w:pPr>
            <w:r>
              <w:rPr>
                <w:rFonts w:ascii="Arial" w:cs="Arial" w:eastAsia="Arial" w:hAnsi="Arial"/>
                <w:sz w:val="14"/>
                <w:szCs w:val="14"/>
                <w:color w:val="auto"/>
              </w:rPr>
              <w:t>$735,000</w:t>
            </w:r>
          </w:p>
        </w:tc>
        <w:tc>
          <w:tcPr>
            <w:tcW w:w="1180" w:type="dxa"/>
            <w:vAlign w:val="bottom"/>
            <w:tcBorders>
              <w:bottom w:val="single" w:sz="8" w:color="F2F2F2"/>
            </w:tcBorders>
            <w:shd w:val="clear" w:color="auto" w:fill="F2F2F2"/>
          </w:tcPr>
          <w:p>
            <w:pPr>
              <w:jc w:val="right"/>
              <w:ind w:right="228"/>
              <w:spacing w:after="0"/>
              <w:rPr>
                <w:sz w:val="20"/>
                <w:szCs w:val="20"/>
                <w:color w:val="auto"/>
              </w:rPr>
            </w:pPr>
            <w:r>
              <w:rPr>
                <w:rFonts w:ascii="Arial" w:cs="Arial" w:eastAsia="Arial" w:hAnsi="Arial"/>
                <w:sz w:val="14"/>
                <w:szCs w:val="14"/>
                <w:color w:val="auto"/>
              </w:rPr>
              <w:t>$1,286,250</w:t>
            </w:r>
          </w:p>
        </w:tc>
        <w:tc>
          <w:tcPr>
            <w:tcW w:w="1140" w:type="dxa"/>
            <w:vAlign w:val="bottom"/>
            <w:tcBorders>
              <w:bottom w:val="single" w:sz="8" w:color="F2F2F2"/>
            </w:tcBorders>
            <w:shd w:val="clear" w:color="auto" w:fill="F2F2F2"/>
          </w:tcPr>
          <w:p>
            <w:pPr>
              <w:jc w:val="right"/>
              <w:ind w:right="68"/>
              <w:spacing w:after="0"/>
              <w:rPr>
                <w:sz w:val="20"/>
                <w:szCs w:val="20"/>
                <w:color w:val="auto"/>
              </w:rPr>
            </w:pPr>
            <w:r>
              <w:rPr>
                <w:rFonts w:ascii="Arial" w:cs="Arial" w:eastAsia="Arial" w:hAnsi="Arial"/>
                <w:sz w:val="14"/>
                <w:szCs w:val="14"/>
                <w:color w:val="auto"/>
              </w:rPr>
              <w:t>$735,000</w:t>
            </w:r>
          </w:p>
        </w:tc>
        <w:tc>
          <w:tcPr>
            <w:tcW w:w="960" w:type="dxa"/>
            <w:vAlign w:val="bottom"/>
            <w:tcBorders>
              <w:bottom w:val="single" w:sz="8" w:color="F2F2F2"/>
            </w:tcBorders>
            <w:shd w:val="clear" w:color="auto" w:fill="F2F2F2"/>
          </w:tcPr>
          <w:p>
            <w:pPr>
              <w:jc w:val="right"/>
              <w:ind w:right="8"/>
              <w:spacing w:after="0"/>
              <w:rPr>
                <w:sz w:val="20"/>
                <w:szCs w:val="20"/>
                <w:color w:val="auto"/>
              </w:rPr>
            </w:pPr>
            <w:r>
              <w:rPr>
                <w:rFonts w:ascii="Arial" w:cs="Arial" w:eastAsia="Arial" w:hAnsi="Arial"/>
                <w:sz w:val="14"/>
                <w:szCs w:val="14"/>
                <w:color w:val="auto"/>
              </w:rPr>
              <w:t>$1,286,250</w:t>
            </w:r>
          </w:p>
        </w:tc>
      </w:tr>
      <w:tr>
        <w:trPr>
          <w:trHeight w:val="20"/>
        </w:trPr>
        <w:tc>
          <w:tcPr>
            <w:tcW w:w="15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165" w:lineRule="exact"/>
        <w:rPr>
          <w:sz w:val="20"/>
          <w:szCs w:val="20"/>
          <w:color w:val="auto"/>
        </w:rPr>
      </w:pPr>
    </w:p>
    <w:p>
      <w:pPr>
        <w:ind w:left="100" w:hanging="92"/>
        <w:spacing w:after="0"/>
        <w:tabs>
          <w:tab w:leader="none" w:pos="100" w:val="left"/>
        </w:tabs>
        <w:numPr>
          <w:ilvl w:val="0"/>
          <w:numId w:val="150"/>
        </w:numPr>
        <w:rPr>
          <w:rFonts w:ascii="Arial" w:cs="Arial" w:eastAsia="Arial" w:hAnsi="Arial"/>
          <w:sz w:val="19"/>
          <w:szCs w:val="19"/>
          <w:color w:val="auto"/>
          <w:vertAlign w:val="superscript"/>
        </w:rPr>
      </w:pPr>
      <w:r>
        <w:rPr>
          <w:rFonts w:ascii="Arial" w:cs="Arial" w:eastAsia="Arial" w:hAnsi="Arial"/>
          <w:sz w:val="14"/>
          <w:szCs w:val="14"/>
          <w:color w:val="auto"/>
        </w:rPr>
        <w:t>Payments under the Bonus Plan for performance in the years represented.</w:t>
      </w:r>
    </w:p>
    <w:p>
      <w:pPr>
        <w:spacing w:after="0" w:line="40" w:lineRule="exact"/>
        <w:rPr>
          <w:sz w:val="20"/>
          <w:szCs w:val="20"/>
          <w:color w:val="auto"/>
        </w:rPr>
      </w:pPr>
    </w:p>
    <w:p>
      <w:pPr>
        <w:ind w:left="180" w:hanging="172"/>
        <w:spacing w:after="0" w:line="272" w:lineRule="auto"/>
        <w:tabs>
          <w:tab w:leader="none" w:pos="110" w:val="left"/>
        </w:tabs>
        <w:numPr>
          <w:ilvl w:val="0"/>
          <w:numId w:val="151"/>
        </w:numPr>
        <w:rPr>
          <w:rFonts w:ascii="Arial" w:cs="Arial" w:eastAsia="Arial" w:hAnsi="Arial"/>
          <w:sz w:val="9"/>
          <w:szCs w:val="9"/>
          <w:color w:val="auto"/>
        </w:rPr>
      </w:pPr>
      <w:r>
        <w:rPr>
          <w:rFonts w:ascii="Arial" w:cs="Arial" w:eastAsia="Arial" w:hAnsi="Arial"/>
          <w:sz w:val="14"/>
          <w:szCs w:val="14"/>
          <w:color w:val="auto"/>
        </w:rPr>
        <w:t>The amounts in this column reflect the change in pension value for each individual, calculated by an actuary. The changes in pension values in 2022 were driven by changes in actuarial assumptions offset by pay changes and an additional year of credited service. The design of the pension benefit plan did not change. See the Pension Benefits in 2022 table below for information about the standard actuarial assumptions used. No named executive officer received preferential or above-market earnings on deferred compensation.</w:t>
      </w:r>
    </w:p>
    <w:p>
      <w:pPr>
        <w:sectPr>
          <w:pgSz w:w="11900" w:h="16838" w:orient="portrait"/>
          <w:cols w:equalWidth="0" w:num="1">
            <w:col w:w="11220"/>
          </w:cols>
          <w:pgMar w:left="320" w:top="1135" w:right="359" w:bottom="737"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157720" cy="4254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5" w:right="359" w:bottom="737" w:gutter="0" w:footer="0" w:header="0"/>
          <w:type w:val="continuous"/>
        </w:sectPr>
      </w:pPr>
    </w:p>
    <w:bookmarkStart w:id="76" w:name="page77"/>
    <w:bookmarkEnd w:id="76"/>
    <w:p>
      <w:pPr>
        <w:ind w:left="180" w:right="60" w:hanging="172"/>
        <w:spacing w:after="0" w:line="248" w:lineRule="auto"/>
        <w:tabs>
          <w:tab w:leader="none" w:pos="110" w:val="left"/>
        </w:tabs>
        <w:numPr>
          <w:ilvl w:val="0"/>
          <w:numId w:val="152"/>
        </w:numPr>
        <w:rPr>
          <w:rFonts w:ascii="Arial" w:cs="Arial" w:eastAsia="Arial" w:hAnsi="Arial"/>
          <w:sz w:val="19"/>
          <w:szCs w:val="19"/>
          <w:color w:val="auto"/>
          <w:vertAlign w:val="superscript"/>
        </w:rPr>
      </w:pPr>
      <w:r>
        <w:rPr>
          <w:rFonts w:ascii="Arial" w:cs="Arial" w:eastAsia="Arial" w:hAnsi="Arial"/>
          <w:sz w:val="14"/>
          <w:szCs w:val="14"/>
          <w:color w:val="auto"/>
        </w:rPr>
        <w:t>The amounts in this column are company matching contributions into each individual’s 401(k) and nonqualified savings plan contributions. For Mr. Ricks, the amount in this column reflects $90,000 of company matching contributions and nonqualified savings plan contributions and $126,885 of aggregate incremental cost for his personal use of the corporate aircraft. The aggregate incremental costs for personal use of our aircraft are calculated based on our variable operating costs, which include crew travel expenses, on-board catering, landing fees, trip-related hangar/parking costs, fuel, trip-related maintenance, and other smaller variable costs. Because the vast majority of the use of the corporate aircraft is for business purposes, fixed costs such as aircraft purchase costs, maintenance not related to personal trips, and flight crew salaries are not included. The company does not reimburse executives for taxes outside of the limited circumstance of taxes related to a domestic employee relocation or a prior international assignment.</w:t>
      </w:r>
    </w:p>
    <w:p>
      <w:pPr>
        <w:spacing w:after="0" w:line="183" w:lineRule="exact"/>
        <w:rPr>
          <w:sz w:val="20"/>
          <w:szCs w:val="20"/>
          <w:color w:val="auto"/>
        </w:rPr>
      </w:pPr>
    </w:p>
    <w:p>
      <w:pPr>
        <w:ind w:left="100" w:hanging="92"/>
        <w:spacing w:after="0"/>
        <w:tabs>
          <w:tab w:leader="none" w:pos="100" w:val="left"/>
        </w:tabs>
        <w:numPr>
          <w:ilvl w:val="0"/>
          <w:numId w:val="153"/>
        </w:numPr>
        <w:rPr>
          <w:rFonts w:ascii="Arial" w:cs="Arial" w:eastAsia="Arial" w:hAnsi="Arial"/>
          <w:sz w:val="19"/>
          <w:szCs w:val="19"/>
          <w:color w:val="auto"/>
          <w:vertAlign w:val="superscript"/>
        </w:rPr>
      </w:pPr>
      <w:r>
        <w:rPr>
          <w:rFonts w:ascii="Arial" w:cs="Arial" w:eastAsia="Arial" w:hAnsi="Arial"/>
          <w:sz w:val="14"/>
          <w:szCs w:val="14"/>
          <w:color w:val="auto"/>
        </w:rPr>
        <w:t>Ms. Ashkenazi was not a named executive officer in 2020. Mr. Jonsson was not a named executive officer in 2020 or 2021.</w:t>
      </w:r>
    </w:p>
    <w:p>
      <w:pPr>
        <w:spacing w:after="0" w:line="119"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Grants of Plan-Based Awards During 2022</w:t>
      </w:r>
    </w:p>
    <w:p>
      <w:pPr>
        <w:spacing w:after="0" w:line="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compensation plans under which the grants in the following table were made are described in the CD&amp;A above and consist of the Bonus Plan (a non-equity incentive plan) and the Amended and Restated 2002 Lilly Stock Plan which provides for performance awards, shareholder value awards, relative value awards, and restricted stock units, among others.</w:t>
      </w:r>
    </w:p>
    <w:p>
      <w:pPr>
        <w:spacing w:after="0" w:line="117"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To receive a payout under a performance award, a shareholder value award and a relative value award issued annually to executive officers, the participant must remain employed with the company through the end of the relevant performance period, retire after December 31 of the year in which the award was granted or be subject to termination events outside of the control of the employee (death, plant closing or reduction in workforce). Annual awards granted to executive officers are also generally subject to a one-year non-compete post company exit. The annual awards granted to executive officers provide that if the former executive officer works for a direct competitor within the one-year restriction period, all annual cycle awards granted during the 2022 annual cycle or later would be forfeited. Awards issued to employees who were not executive officers at the time of grant generally did not include the non-compete or vesting into retirement provisions.</w:t>
      </w:r>
    </w:p>
    <w:p>
      <w:pPr>
        <w:spacing w:after="0" w:line="112"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No dividends accrue on performance awards, shareholder value awards, or relative value awards during the performance period. During the performance award 13-month service-vesting period and restricted stock unit award restriction period, non-preferential dividends accrue and are paid upon vesting.</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77" w:name="page78"/>
    <w:bookmarkEnd w:id="77"/>
    <w:tbl>
      <w:tblPr>
        <w:tblLayout w:type="fixed"/>
        <w:tblInd w:w="20" w:type="dxa"/>
        <w:tblCellMar>
          <w:top w:w="0" w:type="dxa"/>
          <w:left w:w="0" w:type="dxa"/>
          <w:bottom w:w="0" w:type="dxa"/>
          <w:right w:w="0" w:type="dxa"/>
        </w:tblCellMar>
      </w:tblPr>
      <w:tr>
        <w:trPr>
          <w:trHeight w:val="149"/>
        </w:trPr>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7"/>
              </w:rPr>
              <w:t>Estimated Future Payouts</w:t>
            </w:r>
          </w:p>
        </w:tc>
        <w:tc>
          <w:tcPr>
            <w:tcW w:w="228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6"/>
              </w:rPr>
              <w:t>Estimated Future</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740" w:type="dxa"/>
            <w:vAlign w:val="bottom"/>
            <w:gridSpan w:val="2"/>
            <w:vMerge w:val="restart"/>
          </w:tcPr>
          <w:p>
            <w:pPr>
              <w:jc w:val="center"/>
              <w:ind w:right="597"/>
              <w:spacing w:after="0"/>
              <w:rPr>
                <w:sz w:val="20"/>
                <w:szCs w:val="20"/>
                <w:color w:val="auto"/>
              </w:rPr>
            </w:pPr>
            <w:r>
              <w:rPr>
                <w:rFonts w:ascii="Arial" w:cs="Arial" w:eastAsia="Arial" w:hAnsi="Arial"/>
                <w:sz w:val="13"/>
                <w:szCs w:val="13"/>
                <w:b w:val="1"/>
                <w:bCs w:val="1"/>
                <w:color w:val="auto"/>
                <w:w w:val="97"/>
              </w:rPr>
              <w:t>Under Non-Equity</w:t>
            </w:r>
          </w:p>
        </w:tc>
        <w:tc>
          <w:tcPr>
            <w:tcW w:w="2280" w:type="dxa"/>
            <w:vAlign w:val="bottom"/>
            <w:gridSpan w:val="3"/>
            <w:vMerge w:val="continue"/>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740" w:type="dxa"/>
            <w:vAlign w:val="bottom"/>
            <w:gridSpan w:val="2"/>
            <w:vMerge w:val="continue"/>
          </w:tcPr>
          <w:p>
            <w:pPr>
              <w:spacing w:after="0"/>
              <w:rPr>
                <w:sz w:val="8"/>
                <w:szCs w:val="8"/>
                <w:color w:val="auto"/>
              </w:rPr>
            </w:pPr>
          </w:p>
        </w:tc>
        <w:tc>
          <w:tcPr>
            <w:tcW w:w="228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6"/>
              </w:rPr>
              <w:t>Payouts Under Equity</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440" w:type="dxa"/>
            <w:vAlign w:val="bottom"/>
            <w:gridSpan w:val="3"/>
            <w:vMerge w:val="restart"/>
          </w:tcPr>
          <w:p>
            <w:pPr>
              <w:jc w:val="center"/>
              <w:spacing w:after="0" w:line="180" w:lineRule="exact"/>
              <w:rPr>
                <w:sz w:val="20"/>
                <w:szCs w:val="20"/>
                <w:color w:val="auto"/>
              </w:rPr>
            </w:pPr>
            <w:r>
              <w:rPr>
                <w:rFonts w:ascii="Arial" w:cs="Arial" w:eastAsia="Arial" w:hAnsi="Arial"/>
                <w:sz w:val="13"/>
                <w:szCs w:val="13"/>
                <w:b w:val="1"/>
                <w:bCs w:val="1"/>
                <w:color w:val="auto"/>
                <w:w w:val="96"/>
              </w:rPr>
              <w:t xml:space="preserve">Incentive Plan Awards </w:t>
            </w:r>
            <w:r>
              <w:rPr>
                <w:rFonts w:ascii="Arial" w:cs="Arial" w:eastAsia="Arial" w:hAnsi="Arial"/>
                <w:sz w:val="16"/>
                <w:szCs w:val="16"/>
                <w:b w:val="1"/>
                <w:bCs w:val="1"/>
                <w:color w:val="auto"/>
                <w:w w:val="96"/>
                <w:vertAlign w:val="superscript"/>
              </w:rPr>
              <w:t>1</w:t>
            </w:r>
          </w:p>
        </w:tc>
        <w:tc>
          <w:tcPr>
            <w:tcW w:w="2280" w:type="dxa"/>
            <w:vAlign w:val="bottom"/>
            <w:gridSpan w:val="3"/>
            <w:vMerge w:val="continue"/>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40" w:type="dxa"/>
            <w:vAlign w:val="bottom"/>
            <w:gridSpan w:val="3"/>
            <w:vMerge w:val="continue"/>
          </w:tcPr>
          <w:p>
            <w:pPr>
              <w:spacing w:after="0"/>
              <w:rPr>
                <w:sz w:val="10"/>
                <w:szCs w:val="10"/>
                <w:color w:val="auto"/>
              </w:rPr>
            </w:pPr>
          </w:p>
        </w:tc>
        <w:tc>
          <w:tcPr>
            <w:tcW w:w="228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7"/>
              </w:rPr>
              <w:t>Incentive Plan Awards</w:t>
            </w:r>
          </w:p>
        </w:tc>
        <w:tc>
          <w:tcPr>
            <w:tcW w:w="84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96"/>
              </w:rPr>
              <w:t>Grant Date</w:t>
            </w:r>
          </w:p>
        </w:tc>
        <w:tc>
          <w:tcPr>
            <w:tcW w:w="0" w:type="dxa"/>
            <w:vAlign w:val="bottom"/>
          </w:tcPr>
          <w:p>
            <w:pPr>
              <w:spacing w:after="0"/>
              <w:rPr>
                <w:sz w:val="1"/>
                <w:szCs w:val="1"/>
                <w:color w:val="auto"/>
              </w:rPr>
            </w:pPr>
          </w:p>
        </w:tc>
      </w:tr>
      <w:tr>
        <w:trPr>
          <w:trHeight w:val="23"/>
        </w:trPr>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80" w:type="dxa"/>
            <w:vAlign w:val="bottom"/>
            <w:gridSpan w:val="3"/>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jc w:val="center"/>
              <w:ind w:left="17"/>
              <w:spacing w:after="0"/>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5"/>
              </w:rPr>
              <w:t>Compensation</w:t>
            </w: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jc w:val="center"/>
              <w:ind w:left="17"/>
              <w:spacing w:after="0"/>
              <w:rPr>
                <w:sz w:val="20"/>
                <w:szCs w:val="20"/>
                <w:color w:val="auto"/>
              </w:rPr>
            </w:pPr>
            <w:r>
              <w:rPr>
                <w:rFonts w:ascii="Arial" w:cs="Arial" w:eastAsia="Arial" w:hAnsi="Arial"/>
                <w:sz w:val="13"/>
                <w:szCs w:val="13"/>
                <w:b w:val="1"/>
                <w:bCs w:val="1"/>
                <w:color w:val="auto"/>
                <w:w w:val="97"/>
              </w:rPr>
              <w:t>of Stock and</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vMerge w:val="restart"/>
          </w:tcPr>
          <w:p>
            <w:pPr>
              <w:ind w:left="240"/>
              <w:spacing w:after="0"/>
              <w:rPr>
                <w:sz w:val="20"/>
                <w:szCs w:val="20"/>
                <w:color w:val="auto"/>
              </w:rPr>
            </w:pPr>
            <w:r>
              <w:rPr>
                <w:rFonts w:ascii="Arial" w:cs="Arial" w:eastAsia="Arial" w:hAnsi="Arial"/>
                <w:sz w:val="13"/>
                <w:szCs w:val="13"/>
                <w:b w:val="1"/>
                <w:bCs w:val="1"/>
                <w:color w:val="auto"/>
              </w:rPr>
              <w:t>Grant Date</w:t>
            </w:r>
            <w:r>
              <w:rPr>
                <w:rFonts w:ascii="Arial" w:cs="Arial" w:eastAsia="Arial" w:hAnsi="Arial"/>
                <w:sz w:val="16"/>
                <w:szCs w:val="16"/>
                <w:b w:val="1"/>
                <w:bCs w:val="1"/>
                <w:color w:val="auto"/>
                <w:vertAlign w:val="superscript"/>
              </w:rPr>
              <w:t>2</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8"/>
              </w:rPr>
              <w:t>Committee</w:t>
            </w:r>
          </w:p>
        </w:tc>
        <w:tc>
          <w:tcPr>
            <w:tcW w:w="700" w:type="dxa"/>
            <w:vAlign w:val="bottom"/>
          </w:tcPr>
          <w:p>
            <w:pPr>
              <w:jc w:val="center"/>
              <w:ind w:left="37"/>
              <w:spacing w:after="0"/>
              <w:rPr>
                <w:sz w:val="20"/>
                <w:szCs w:val="20"/>
                <w:color w:val="auto"/>
              </w:rPr>
            </w:pPr>
            <w:r>
              <w:rPr>
                <w:rFonts w:ascii="Arial" w:cs="Arial" w:eastAsia="Arial" w:hAnsi="Arial"/>
                <w:sz w:val="13"/>
                <w:szCs w:val="13"/>
                <w:b w:val="1"/>
                <w:bCs w:val="1"/>
                <w:color w:val="auto"/>
                <w:w w:val="95"/>
              </w:rPr>
              <w:t>Threshold</w:t>
            </w:r>
          </w:p>
        </w:tc>
        <w:tc>
          <w:tcPr>
            <w:tcW w:w="880" w:type="dxa"/>
            <w:vAlign w:val="bottom"/>
          </w:tcPr>
          <w:p>
            <w:pPr>
              <w:jc w:val="center"/>
              <w:ind w:left="57"/>
              <w:spacing w:after="0"/>
              <w:rPr>
                <w:sz w:val="20"/>
                <w:szCs w:val="20"/>
                <w:color w:val="auto"/>
              </w:rPr>
            </w:pPr>
            <w:r>
              <w:rPr>
                <w:rFonts w:ascii="Arial" w:cs="Arial" w:eastAsia="Arial" w:hAnsi="Arial"/>
                <w:sz w:val="13"/>
                <w:szCs w:val="13"/>
                <w:b w:val="1"/>
                <w:bCs w:val="1"/>
                <w:color w:val="auto"/>
                <w:w w:val="90"/>
              </w:rPr>
              <w:t>Target</w:t>
            </w:r>
          </w:p>
        </w:tc>
        <w:tc>
          <w:tcPr>
            <w:tcW w:w="860" w:type="dxa"/>
            <w:vAlign w:val="bottom"/>
          </w:tcPr>
          <w:p>
            <w:pPr>
              <w:jc w:val="center"/>
              <w:ind w:left="17"/>
              <w:spacing w:after="0"/>
              <w:rPr>
                <w:sz w:val="20"/>
                <w:szCs w:val="20"/>
                <w:color w:val="auto"/>
              </w:rPr>
            </w:pPr>
            <w:r>
              <w:rPr>
                <w:rFonts w:ascii="Arial" w:cs="Arial" w:eastAsia="Arial" w:hAnsi="Arial"/>
                <w:sz w:val="13"/>
                <w:szCs w:val="13"/>
                <w:b w:val="1"/>
                <w:bCs w:val="1"/>
                <w:color w:val="auto"/>
                <w:w w:val="96"/>
              </w:rPr>
              <w:t>Maximum</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Threshold</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5"/>
              </w:rPr>
              <w:t>Target</w:t>
            </w:r>
          </w:p>
        </w:tc>
        <w:tc>
          <w:tcPr>
            <w:tcW w:w="760" w:type="dxa"/>
            <w:vAlign w:val="bottom"/>
          </w:tcPr>
          <w:p>
            <w:pPr>
              <w:ind w:left="80"/>
              <w:spacing w:after="0"/>
              <w:rPr>
                <w:sz w:val="20"/>
                <w:szCs w:val="20"/>
                <w:color w:val="auto"/>
              </w:rPr>
            </w:pPr>
            <w:r>
              <w:rPr>
                <w:rFonts w:ascii="Arial" w:cs="Arial" w:eastAsia="Arial" w:hAnsi="Arial"/>
                <w:sz w:val="13"/>
                <w:szCs w:val="13"/>
                <w:b w:val="1"/>
                <w:bCs w:val="1"/>
                <w:color w:val="auto"/>
              </w:rPr>
              <w:t>Maximum</w:t>
            </w:r>
          </w:p>
        </w:tc>
        <w:tc>
          <w:tcPr>
            <w:tcW w:w="840" w:type="dxa"/>
            <w:vAlign w:val="bottom"/>
          </w:tcPr>
          <w:p>
            <w:pPr>
              <w:jc w:val="center"/>
              <w:ind w:left="17"/>
              <w:spacing w:after="0"/>
              <w:rPr>
                <w:sz w:val="20"/>
                <w:szCs w:val="20"/>
                <w:color w:val="auto"/>
              </w:rPr>
            </w:pPr>
            <w:r>
              <w:rPr>
                <w:rFonts w:ascii="Arial" w:cs="Arial" w:eastAsia="Arial" w:hAnsi="Arial"/>
                <w:sz w:val="13"/>
                <w:szCs w:val="13"/>
                <w:b w:val="1"/>
                <w:bCs w:val="1"/>
                <w:color w:val="auto"/>
                <w:w w:val="95"/>
              </w:rPr>
              <w:t>Option</w:t>
            </w:r>
          </w:p>
        </w:tc>
        <w:tc>
          <w:tcPr>
            <w:tcW w:w="0" w:type="dxa"/>
            <w:vAlign w:val="bottom"/>
          </w:tcPr>
          <w:p>
            <w:pPr>
              <w:spacing w:after="0"/>
              <w:rPr>
                <w:sz w:val="1"/>
                <w:szCs w:val="1"/>
                <w:color w:val="auto"/>
              </w:rPr>
            </w:pPr>
          </w:p>
        </w:tc>
      </w:tr>
      <w:tr>
        <w:trPr>
          <w:trHeight w:val="186"/>
        </w:trPr>
        <w:tc>
          <w:tcPr>
            <w:tcW w:w="54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820" w:type="dxa"/>
            <w:vAlign w:val="bottom"/>
          </w:tcPr>
          <w:p>
            <w:pPr>
              <w:ind w:left="180"/>
              <w:spacing w:after="0"/>
              <w:rPr>
                <w:sz w:val="20"/>
                <w:szCs w:val="20"/>
                <w:color w:val="auto"/>
              </w:rPr>
            </w:pPr>
            <w:r>
              <w:rPr>
                <w:rFonts w:ascii="Arial" w:cs="Arial" w:eastAsia="Arial" w:hAnsi="Arial"/>
                <w:sz w:val="13"/>
                <w:szCs w:val="13"/>
                <w:b w:val="1"/>
                <w:bCs w:val="1"/>
                <w:color w:val="auto"/>
              </w:rPr>
              <w:t>Award</w:t>
            </w:r>
          </w:p>
        </w:tc>
        <w:tc>
          <w:tcPr>
            <w:tcW w:w="1000" w:type="dxa"/>
            <w:vAlign w:val="bottom"/>
            <w:vMerge w:val="continue"/>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6"/>
              </w:rPr>
              <w:t>Action Date</w:t>
            </w:r>
          </w:p>
        </w:tc>
        <w:tc>
          <w:tcPr>
            <w:tcW w:w="700" w:type="dxa"/>
            <w:vAlign w:val="bottom"/>
          </w:tcPr>
          <w:p>
            <w:pPr>
              <w:jc w:val="right"/>
              <w:ind w:right="157"/>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ind w:right="237"/>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257"/>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 shares)</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7"/>
              </w:rPr>
              <w:t>(# shares)</w:t>
            </w:r>
          </w:p>
        </w:tc>
        <w:tc>
          <w:tcPr>
            <w:tcW w:w="760" w:type="dxa"/>
            <w:vAlign w:val="bottom"/>
          </w:tcPr>
          <w:p>
            <w:pPr>
              <w:ind w:left="80"/>
              <w:spacing w:after="0"/>
              <w:rPr>
                <w:sz w:val="20"/>
                <w:szCs w:val="20"/>
                <w:color w:val="auto"/>
              </w:rPr>
            </w:pPr>
            <w:r>
              <w:rPr>
                <w:rFonts w:ascii="Arial" w:cs="Arial" w:eastAsia="Arial" w:hAnsi="Arial"/>
                <w:sz w:val="13"/>
                <w:szCs w:val="13"/>
                <w:b w:val="1"/>
                <w:bCs w:val="1"/>
                <w:color w:val="auto"/>
              </w:rPr>
              <w:t>(# shares)</w:t>
            </w:r>
          </w:p>
        </w:tc>
        <w:tc>
          <w:tcPr>
            <w:tcW w:w="840" w:type="dxa"/>
            <w:vAlign w:val="bottom"/>
          </w:tcPr>
          <w:p>
            <w:pPr>
              <w:jc w:val="center"/>
              <w:ind w:left="17"/>
              <w:spacing w:after="0"/>
              <w:rPr>
                <w:sz w:val="20"/>
                <w:szCs w:val="20"/>
                <w:color w:val="auto"/>
              </w:rPr>
            </w:pPr>
            <w:r>
              <w:rPr>
                <w:rFonts w:ascii="Arial" w:cs="Arial" w:eastAsia="Arial" w:hAnsi="Arial"/>
                <w:sz w:val="13"/>
                <w:szCs w:val="13"/>
                <w:b w:val="1"/>
                <w:bCs w:val="1"/>
                <w:color w:val="auto"/>
                <w:w w:val="93"/>
              </w:rPr>
              <w:t>Awards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5709285" cy="7747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5709285" cy="7747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-337820</wp:posOffset>
            </wp:positionV>
            <wp:extent cx="8890" cy="825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-320675</wp:posOffset>
            </wp:positionV>
            <wp:extent cx="8890" cy="825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-303530</wp:posOffset>
            </wp:positionV>
            <wp:extent cx="889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-286385</wp:posOffset>
            </wp:positionV>
            <wp:extent cx="8890" cy="825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-269240</wp:posOffset>
            </wp:positionV>
            <wp:extent cx="8890" cy="825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-252095</wp:posOffset>
            </wp:positionV>
            <wp:extent cx="8890" cy="825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-234950</wp:posOffset>
            </wp:positionV>
            <wp:extent cx="8890" cy="825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-217805</wp:posOffset>
            </wp:positionV>
            <wp:extent cx="889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-200660</wp:posOffset>
            </wp:positionV>
            <wp:extent cx="8890" cy="825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-183515</wp:posOffset>
            </wp:positionV>
            <wp:extent cx="8890" cy="825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-166370</wp:posOffset>
            </wp:positionV>
            <wp:extent cx="8890" cy="825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-149225</wp:posOffset>
            </wp:positionV>
            <wp:extent cx="8890" cy="825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-132080</wp:posOffset>
            </wp:positionV>
            <wp:extent cx="889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-114935</wp:posOffset>
            </wp:positionV>
            <wp:extent cx="8890" cy="825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-715010</wp:posOffset>
            </wp:positionV>
            <wp:extent cx="5709285" cy="183451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5709285" cy="1834515"/>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380" w:type="dxa"/>
            <w:vAlign w:val="bottom"/>
            <w:gridSpan w:val="2"/>
          </w:tcPr>
          <w:p>
            <w:pPr>
              <w:ind w:left="20"/>
              <w:spacing w:after="0"/>
              <w:rPr>
                <w:sz w:val="20"/>
                <w:szCs w:val="20"/>
                <w:color w:val="auto"/>
              </w:rPr>
            </w:pPr>
            <w:r>
              <w:rPr>
                <w:rFonts w:ascii="Arial" w:cs="Arial" w:eastAsia="Arial" w:hAnsi="Arial"/>
                <w:sz w:val="14"/>
                <w:szCs w:val="14"/>
                <w:color w:val="auto"/>
              </w:rPr>
              <w:t>Mr. Ricks</w:t>
            </w:r>
          </w:p>
        </w:tc>
        <w:tc>
          <w:tcPr>
            <w:tcW w:w="200" w:type="dxa"/>
            <w:vAlign w:val="bottom"/>
            <w:vMerge w:val="restart"/>
          </w:tcPr>
          <w:p>
            <w:pPr>
              <w:jc w:val="right"/>
              <w:ind w:right="73"/>
              <w:spacing w:after="0"/>
              <w:rPr>
                <w:sz w:val="20"/>
                <w:szCs w:val="20"/>
                <w:color w:val="auto"/>
              </w:rPr>
            </w:pPr>
            <w:r>
              <w:rPr>
                <w:rFonts w:ascii="Arial" w:cs="Arial" w:eastAsia="Arial" w:hAnsi="Arial"/>
                <w:sz w:val="9"/>
                <w:szCs w:val="9"/>
                <w:color w:val="auto"/>
              </w:rPr>
              <w:t>3</w:t>
            </w:r>
          </w:p>
        </w:tc>
        <w:tc>
          <w:tcPr>
            <w:tcW w:w="860" w:type="dxa"/>
            <w:vAlign w:val="bottom"/>
          </w:tcPr>
          <w:p>
            <w:pPr>
              <w:jc w:val="center"/>
              <w:ind w:right="14"/>
              <w:spacing w:after="0"/>
              <w:rPr>
                <w:sz w:val="20"/>
                <w:szCs w:val="20"/>
                <w:color w:val="auto"/>
              </w:rPr>
            </w:pPr>
            <w:r>
              <w:rPr>
                <w:rFonts w:ascii="Arial" w:cs="Arial" w:eastAsia="Arial" w:hAnsi="Arial"/>
                <w:sz w:val="9"/>
                <w:szCs w:val="9"/>
                <w:color w:val="auto"/>
                <w:w w:val="99"/>
              </w:rPr>
              <w:t>__</w:t>
            </w:r>
          </w:p>
        </w:tc>
        <w:tc>
          <w:tcPr>
            <w:tcW w:w="1000" w:type="dxa"/>
            <w:vAlign w:val="bottom"/>
          </w:tcPr>
          <w:p>
            <w:pPr>
              <w:jc w:val="right"/>
              <w:ind w:right="454"/>
              <w:spacing w:after="0"/>
              <w:rPr>
                <w:sz w:val="20"/>
                <w:szCs w:val="20"/>
                <w:color w:val="auto"/>
              </w:rPr>
            </w:pPr>
            <w:r>
              <w:rPr>
                <w:rFonts w:ascii="Arial" w:cs="Arial" w:eastAsia="Arial" w:hAnsi="Arial"/>
                <w:sz w:val="9"/>
                <w:szCs w:val="9"/>
                <w:color w:val="auto"/>
              </w:rPr>
              <w:t>__</w:t>
            </w:r>
          </w:p>
        </w:tc>
        <w:tc>
          <w:tcPr>
            <w:tcW w:w="760" w:type="dxa"/>
            <w:vAlign w:val="bottom"/>
          </w:tcPr>
          <w:p>
            <w:pPr>
              <w:jc w:val="right"/>
              <w:spacing w:after="0"/>
              <w:rPr>
                <w:sz w:val="20"/>
                <w:szCs w:val="20"/>
                <w:color w:val="auto"/>
              </w:rPr>
            </w:pPr>
            <w:r>
              <w:rPr>
                <w:rFonts w:ascii="Arial" w:cs="Arial" w:eastAsia="Arial" w:hAnsi="Arial"/>
                <w:sz w:val="14"/>
                <w:szCs w:val="14"/>
                <w:color w:val="auto"/>
              </w:rPr>
              <w:t>$562,500</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$2,250,000</w:t>
            </w:r>
          </w:p>
        </w:tc>
        <w:tc>
          <w:tcPr>
            <w:tcW w:w="1600" w:type="dxa"/>
            <w:vAlign w:val="bottom"/>
          </w:tcPr>
          <w:p>
            <w:pPr>
              <w:jc w:val="right"/>
              <w:ind w:right="748"/>
              <w:spacing w:after="0"/>
              <w:rPr>
                <w:sz w:val="20"/>
                <w:szCs w:val="20"/>
                <w:color w:val="auto"/>
              </w:rPr>
            </w:pPr>
            <w:r>
              <w:rPr>
                <w:rFonts w:ascii="Arial" w:cs="Arial" w:eastAsia="Arial" w:hAnsi="Arial"/>
                <w:sz w:val="14"/>
                <w:szCs w:val="14"/>
                <w:color w:val="auto"/>
              </w:rPr>
              <w:t>$4,500,000</w:t>
            </w: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480" w:type="dxa"/>
            <w:vAlign w:val="bottom"/>
          </w:tcPr>
          <w:p>
            <w:pPr>
              <w:spacing w:after="0" w:line="20" w:lineRule="exact"/>
              <w:rPr>
                <w:sz w:val="1"/>
                <w:szCs w:val="1"/>
                <w:color w:val="auto"/>
              </w:rPr>
            </w:pPr>
          </w:p>
        </w:tc>
        <w:tc>
          <w:tcPr>
            <w:tcW w:w="900" w:type="dxa"/>
            <w:vAlign w:val="bottom"/>
            <w:vMerge w:val="restart"/>
          </w:tcPr>
          <w:p>
            <w:pPr>
              <w:ind w:left="20"/>
              <w:spacing w:after="0"/>
              <w:rPr>
                <w:sz w:val="20"/>
                <w:szCs w:val="20"/>
                <w:color w:val="auto"/>
              </w:rPr>
            </w:pPr>
            <w:r>
              <w:rPr>
                <w:rFonts w:ascii="Arial" w:cs="Arial" w:eastAsia="Arial" w:hAnsi="Arial"/>
                <w:sz w:val="14"/>
                <w:szCs w:val="14"/>
                <w:color w:val="auto"/>
              </w:rPr>
              <w:t>2022-2024</w:t>
            </w:r>
          </w:p>
        </w:tc>
        <w:tc>
          <w:tcPr>
            <w:tcW w:w="200" w:type="dxa"/>
            <w:vAlign w:val="bottom"/>
            <w:vMerge w:val="continu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480" w:type="dxa"/>
            <w:vAlign w:val="bottom"/>
            <w:shd w:val="clear" w:color="auto" w:fill="F2F2F2"/>
          </w:tcPr>
          <w:p>
            <w:pPr>
              <w:spacing w:after="0"/>
              <w:rPr>
                <w:sz w:val="7"/>
                <w:szCs w:val="7"/>
                <w:color w:val="auto"/>
              </w:rPr>
            </w:pPr>
          </w:p>
        </w:tc>
        <w:tc>
          <w:tcPr>
            <w:tcW w:w="90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480" w:type="dxa"/>
            <w:vAlign w:val="bottom"/>
            <w:shd w:val="clear" w:color="auto" w:fill="F2F2F2"/>
          </w:tcPr>
          <w:p>
            <w:pPr>
              <w:spacing w:after="0"/>
              <w:rPr>
                <w:sz w:val="9"/>
                <w:szCs w:val="9"/>
                <w:color w:val="auto"/>
              </w:rPr>
            </w:pPr>
          </w:p>
        </w:tc>
        <w:tc>
          <w:tcPr>
            <w:tcW w:w="9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480" w:type="dxa"/>
            <w:vAlign w:val="bottom"/>
            <w:shd w:val="clear" w:color="auto" w:fill="F2F2F2"/>
          </w:tcPr>
          <w:p>
            <w:pPr>
              <w:spacing w:after="0"/>
              <w:rPr>
                <w:sz w:val="16"/>
                <w:szCs w:val="16"/>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PA</w:t>
            </w:r>
          </w:p>
        </w:tc>
        <w:tc>
          <w:tcPr>
            <w:tcW w:w="200" w:type="dxa"/>
            <w:vAlign w:val="bottom"/>
            <w:vMerge w:val="restart"/>
          </w:tcPr>
          <w:p>
            <w:pPr>
              <w:jc w:val="right"/>
              <w:ind w:right="73"/>
              <w:spacing w:after="0"/>
              <w:rPr>
                <w:sz w:val="20"/>
                <w:szCs w:val="20"/>
                <w:color w:val="auto"/>
              </w:rPr>
            </w:pPr>
            <w:r>
              <w:rPr>
                <w:rFonts w:ascii="Arial" w:cs="Arial" w:eastAsia="Arial" w:hAnsi="Arial"/>
                <w:sz w:val="9"/>
                <w:szCs w:val="9"/>
                <w:color w:val="auto"/>
              </w:rPr>
              <w:t>4</w:t>
            </w:r>
          </w:p>
        </w:tc>
        <w:tc>
          <w:tcPr>
            <w:tcW w:w="860" w:type="dxa"/>
            <w:vAlign w:val="bottom"/>
          </w:tcPr>
          <w:p>
            <w:pPr>
              <w:jc w:val="center"/>
              <w:ind w:right="34"/>
              <w:spacing w:after="0"/>
              <w:rPr>
                <w:sz w:val="20"/>
                <w:szCs w:val="20"/>
                <w:color w:val="auto"/>
              </w:rPr>
            </w:pPr>
            <w:r>
              <w:rPr>
                <w:rFonts w:ascii="Arial" w:cs="Arial" w:eastAsia="Arial" w:hAnsi="Arial"/>
                <w:sz w:val="14"/>
                <w:szCs w:val="14"/>
                <w:color w:val="auto"/>
              </w:rPr>
              <w:t>2/9/2022</w:t>
            </w:r>
          </w:p>
        </w:tc>
        <w:tc>
          <w:tcPr>
            <w:tcW w:w="1000" w:type="dxa"/>
            <w:vAlign w:val="bottom"/>
          </w:tcPr>
          <w:p>
            <w:pPr>
              <w:jc w:val="right"/>
              <w:ind w:right="14"/>
              <w:spacing w:after="0"/>
              <w:rPr>
                <w:sz w:val="20"/>
                <w:szCs w:val="20"/>
                <w:color w:val="auto"/>
              </w:rPr>
            </w:pPr>
            <w:r>
              <w:rPr>
                <w:rFonts w:ascii="Arial" w:cs="Arial" w:eastAsia="Arial" w:hAnsi="Arial"/>
                <w:sz w:val="14"/>
                <w:szCs w:val="14"/>
                <w:color w:val="auto"/>
              </w:rPr>
              <w:t>12/13/2021</w:t>
            </w: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10,376</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20,751</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36,314</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$5,606,250</w:t>
            </w:r>
          </w:p>
        </w:tc>
        <w:tc>
          <w:tcPr>
            <w:tcW w:w="0" w:type="dxa"/>
            <w:vAlign w:val="bottom"/>
          </w:tcPr>
          <w:p>
            <w:pPr>
              <w:spacing w:after="0"/>
              <w:rPr>
                <w:sz w:val="1"/>
                <w:szCs w:val="1"/>
                <w:color w:val="auto"/>
              </w:rPr>
            </w:pPr>
          </w:p>
        </w:tc>
      </w:tr>
      <w:tr>
        <w:trPr>
          <w:trHeight w:val="22"/>
        </w:trPr>
        <w:tc>
          <w:tcPr>
            <w:tcW w:w="480" w:type="dxa"/>
            <w:vAlign w:val="bottom"/>
            <w:shd w:val="clear" w:color="auto" w:fill="F2F2F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480" w:type="dxa"/>
            <w:vAlign w:val="bottom"/>
            <w:shd w:val="clear" w:color="auto" w:fill="F2F2F2"/>
          </w:tcPr>
          <w:p>
            <w:pPr>
              <w:spacing w:after="0"/>
              <w:rPr>
                <w:sz w:val="7"/>
                <w:szCs w:val="7"/>
                <w:color w:val="auto"/>
              </w:rPr>
            </w:pPr>
          </w:p>
        </w:tc>
        <w:tc>
          <w:tcPr>
            <w:tcW w:w="90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2022-2024</w:t>
            </w:r>
          </w:p>
        </w:tc>
        <w:tc>
          <w:tcPr>
            <w:tcW w:w="20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480" w:type="dxa"/>
            <w:vAlign w:val="bottom"/>
            <w:shd w:val="clear" w:color="auto" w:fill="F2F2F2"/>
          </w:tcPr>
          <w:p>
            <w:pPr>
              <w:spacing w:after="0"/>
              <w:rPr>
                <w:sz w:val="9"/>
                <w:szCs w:val="9"/>
                <w:color w:val="auto"/>
              </w:rPr>
            </w:pPr>
          </w:p>
        </w:tc>
        <w:tc>
          <w:tcPr>
            <w:tcW w:w="900" w:type="dxa"/>
            <w:vAlign w:val="bottom"/>
            <w:vMerge w:val="continue"/>
            <w:shd w:val="clear" w:color="auto" w:fill="F2F2F2"/>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480" w:type="dxa"/>
            <w:vAlign w:val="bottom"/>
            <w:shd w:val="clear" w:color="auto" w:fill="F2F2F2"/>
          </w:tcPr>
          <w:p>
            <w:pPr>
              <w:spacing w:after="0"/>
              <w:rPr>
                <w:sz w:val="16"/>
                <w:szCs w:val="16"/>
                <w:color w:val="auto"/>
              </w:rPr>
            </w:pPr>
          </w:p>
        </w:tc>
        <w:tc>
          <w:tcPr>
            <w:tcW w:w="900" w:type="dxa"/>
            <w:vAlign w:val="bottom"/>
            <w:shd w:val="clear" w:color="auto" w:fill="F2F2F2"/>
          </w:tcPr>
          <w:p>
            <w:pPr>
              <w:ind w:left="20"/>
              <w:spacing w:after="0"/>
              <w:rPr>
                <w:sz w:val="20"/>
                <w:szCs w:val="20"/>
                <w:color w:val="auto"/>
              </w:rPr>
            </w:pPr>
            <w:r>
              <w:rPr>
                <w:rFonts w:ascii="Arial" w:cs="Arial" w:eastAsia="Arial" w:hAnsi="Arial"/>
                <w:sz w:val="14"/>
                <w:szCs w:val="14"/>
                <w:color w:val="auto"/>
              </w:rPr>
              <w:t>SVA</w:t>
            </w:r>
          </w:p>
        </w:tc>
        <w:tc>
          <w:tcPr>
            <w:tcW w:w="200" w:type="dxa"/>
            <w:vAlign w:val="bottom"/>
            <w:vMerge w:val="restart"/>
          </w:tcPr>
          <w:p>
            <w:pPr>
              <w:jc w:val="right"/>
              <w:ind w:right="73"/>
              <w:spacing w:after="0"/>
              <w:rPr>
                <w:sz w:val="20"/>
                <w:szCs w:val="20"/>
                <w:color w:val="auto"/>
              </w:rPr>
            </w:pPr>
            <w:r>
              <w:rPr>
                <w:rFonts w:ascii="Arial" w:cs="Arial" w:eastAsia="Arial" w:hAnsi="Arial"/>
                <w:sz w:val="9"/>
                <w:szCs w:val="9"/>
                <w:color w:val="auto"/>
              </w:rPr>
              <w:t>5</w:t>
            </w:r>
          </w:p>
        </w:tc>
        <w:tc>
          <w:tcPr>
            <w:tcW w:w="860" w:type="dxa"/>
            <w:vAlign w:val="bottom"/>
          </w:tcPr>
          <w:p>
            <w:pPr>
              <w:jc w:val="center"/>
              <w:ind w:right="34"/>
              <w:spacing w:after="0"/>
              <w:rPr>
                <w:sz w:val="20"/>
                <w:szCs w:val="20"/>
                <w:color w:val="auto"/>
              </w:rPr>
            </w:pPr>
            <w:r>
              <w:rPr>
                <w:rFonts w:ascii="Arial" w:cs="Arial" w:eastAsia="Arial" w:hAnsi="Arial"/>
                <w:sz w:val="14"/>
                <w:szCs w:val="14"/>
                <w:color w:val="auto"/>
              </w:rPr>
              <w:t>2/9/2022</w:t>
            </w:r>
          </w:p>
        </w:tc>
        <w:tc>
          <w:tcPr>
            <w:tcW w:w="1000" w:type="dxa"/>
            <w:vAlign w:val="bottom"/>
          </w:tcPr>
          <w:p>
            <w:pPr>
              <w:jc w:val="right"/>
              <w:ind w:right="14"/>
              <w:spacing w:after="0"/>
              <w:rPr>
                <w:sz w:val="20"/>
                <w:szCs w:val="20"/>
                <w:color w:val="auto"/>
              </w:rPr>
            </w:pPr>
            <w:r>
              <w:rPr>
                <w:rFonts w:ascii="Arial" w:cs="Arial" w:eastAsia="Arial" w:hAnsi="Arial"/>
                <w:sz w:val="14"/>
                <w:szCs w:val="14"/>
                <w:color w:val="auto"/>
              </w:rPr>
              <w:t>12/13/2021</w:t>
            </w: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16,186</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32,372</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56,651</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$5,687,500</w:t>
            </w:r>
          </w:p>
        </w:tc>
        <w:tc>
          <w:tcPr>
            <w:tcW w:w="0" w:type="dxa"/>
            <w:vAlign w:val="bottom"/>
          </w:tcPr>
          <w:p>
            <w:pPr>
              <w:spacing w:after="0"/>
              <w:rPr>
                <w:sz w:val="1"/>
                <w:szCs w:val="1"/>
                <w:color w:val="auto"/>
              </w:rPr>
            </w:pPr>
          </w:p>
        </w:tc>
      </w:tr>
      <w:tr>
        <w:trPr>
          <w:trHeight w:val="105"/>
        </w:trPr>
        <w:tc>
          <w:tcPr>
            <w:tcW w:w="480" w:type="dxa"/>
            <w:vAlign w:val="bottom"/>
            <w:shd w:val="clear" w:color="auto" w:fill="F2F2F2"/>
          </w:tcPr>
          <w:p>
            <w:pPr>
              <w:spacing w:after="0"/>
              <w:rPr>
                <w:sz w:val="9"/>
                <w:szCs w:val="9"/>
                <w:color w:val="auto"/>
              </w:rPr>
            </w:pPr>
          </w:p>
        </w:tc>
        <w:tc>
          <w:tcPr>
            <w:tcW w:w="90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2022-2024</w:t>
            </w:r>
          </w:p>
        </w:tc>
        <w:tc>
          <w:tcPr>
            <w:tcW w:w="20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80" w:type="dxa"/>
            <w:vAlign w:val="bottom"/>
            <w:shd w:val="clear" w:color="auto" w:fill="F2F2F2"/>
          </w:tcPr>
          <w:p>
            <w:pPr>
              <w:spacing w:after="0"/>
              <w:rPr>
                <w:sz w:val="9"/>
                <w:szCs w:val="9"/>
                <w:color w:val="auto"/>
              </w:rPr>
            </w:pPr>
          </w:p>
        </w:tc>
        <w:tc>
          <w:tcPr>
            <w:tcW w:w="900" w:type="dxa"/>
            <w:vAlign w:val="bottom"/>
            <w:vMerge w:val="continue"/>
            <w:shd w:val="clear" w:color="auto" w:fill="F2F2F2"/>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480" w:type="dxa"/>
            <w:vAlign w:val="bottom"/>
            <w:shd w:val="clear" w:color="auto" w:fill="F2F2F2"/>
          </w:tcPr>
          <w:p>
            <w:pPr>
              <w:spacing w:after="0"/>
              <w:rPr>
                <w:sz w:val="16"/>
                <w:szCs w:val="16"/>
                <w:color w:val="auto"/>
              </w:rPr>
            </w:pPr>
          </w:p>
        </w:tc>
        <w:tc>
          <w:tcPr>
            <w:tcW w:w="900" w:type="dxa"/>
            <w:vAlign w:val="bottom"/>
            <w:shd w:val="clear" w:color="auto" w:fill="F2F2F2"/>
          </w:tcPr>
          <w:p>
            <w:pPr>
              <w:ind w:left="20"/>
              <w:spacing w:after="0"/>
              <w:rPr>
                <w:sz w:val="20"/>
                <w:szCs w:val="20"/>
                <w:color w:val="auto"/>
              </w:rPr>
            </w:pPr>
            <w:r>
              <w:rPr>
                <w:rFonts w:ascii="Arial" w:cs="Arial" w:eastAsia="Arial" w:hAnsi="Arial"/>
                <w:sz w:val="14"/>
                <w:szCs w:val="14"/>
                <w:color w:val="auto"/>
              </w:rPr>
              <w:t>RVA</w:t>
            </w:r>
          </w:p>
        </w:tc>
        <w:tc>
          <w:tcPr>
            <w:tcW w:w="200" w:type="dxa"/>
            <w:vAlign w:val="bottom"/>
          </w:tcPr>
          <w:p>
            <w:pPr>
              <w:spacing w:after="0"/>
              <w:rPr>
                <w:sz w:val="16"/>
                <w:szCs w:val="16"/>
                <w:color w:val="auto"/>
              </w:rPr>
            </w:pPr>
          </w:p>
        </w:tc>
        <w:tc>
          <w:tcPr>
            <w:tcW w:w="860" w:type="dxa"/>
            <w:vAlign w:val="bottom"/>
          </w:tcPr>
          <w:p>
            <w:pPr>
              <w:jc w:val="center"/>
              <w:ind w:right="34"/>
              <w:spacing w:after="0"/>
              <w:rPr>
                <w:sz w:val="20"/>
                <w:szCs w:val="20"/>
                <w:color w:val="auto"/>
              </w:rPr>
            </w:pPr>
            <w:r>
              <w:rPr>
                <w:rFonts w:ascii="Arial" w:cs="Arial" w:eastAsia="Arial" w:hAnsi="Arial"/>
                <w:sz w:val="14"/>
                <w:szCs w:val="14"/>
                <w:color w:val="auto"/>
              </w:rPr>
              <w:t>2/9/2022</w:t>
            </w:r>
          </w:p>
        </w:tc>
        <w:tc>
          <w:tcPr>
            <w:tcW w:w="1000" w:type="dxa"/>
            <w:vAlign w:val="bottom"/>
          </w:tcPr>
          <w:p>
            <w:pPr>
              <w:jc w:val="right"/>
              <w:ind w:right="14"/>
              <w:spacing w:after="0"/>
              <w:rPr>
                <w:sz w:val="20"/>
                <w:szCs w:val="20"/>
                <w:color w:val="auto"/>
              </w:rPr>
            </w:pPr>
            <w:r>
              <w:rPr>
                <w:rFonts w:ascii="Arial" w:cs="Arial" w:eastAsia="Arial" w:hAnsi="Arial"/>
                <w:sz w:val="14"/>
                <w:szCs w:val="14"/>
                <w:color w:val="auto"/>
              </w:rPr>
              <w:t>12/13/2021</w:t>
            </w: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12,364</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24,728</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43,274</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$5,687,500</w:t>
            </w:r>
          </w:p>
        </w:tc>
        <w:tc>
          <w:tcPr>
            <w:tcW w:w="0" w:type="dxa"/>
            <w:vAlign w:val="bottom"/>
          </w:tcPr>
          <w:p>
            <w:pPr>
              <w:spacing w:after="0"/>
              <w:rPr>
                <w:sz w:val="1"/>
                <w:szCs w:val="1"/>
                <w:color w:val="auto"/>
              </w:rPr>
            </w:pPr>
          </w:p>
        </w:tc>
      </w:tr>
      <w:tr>
        <w:trPr>
          <w:trHeight w:val="22"/>
        </w:trPr>
        <w:tc>
          <w:tcPr>
            <w:tcW w:w="480" w:type="dxa"/>
            <w:vAlign w:val="bottom"/>
            <w:shd w:val="clear" w:color="auto" w:fill="F2F2F2"/>
          </w:tcPr>
          <w:p>
            <w:pPr>
              <w:spacing w:after="0" w:line="20" w:lineRule="exact"/>
              <w:rPr>
                <w:sz w:val="1"/>
                <w:szCs w:val="1"/>
                <w:color w:val="auto"/>
              </w:rPr>
            </w:pPr>
          </w:p>
        </w:tc>
        <w:tc>
          <w:tcPr>
            <w:tcW w:w="900" w:type="dxa"/>
            <w:vAlign w:val="bottom"/>
            <w:shd w:val="clear" w:color="auto" w:fill="F2F2F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80" w:type="dxa"/>
            <w:vAlign w:val="bottom"/>
            <w:shd w:val="clear" w:color="auto" w:fill="F2F2F2"/>
          </w:tcPr>
          <w:p>
            <w:pPr>
              <w:spacing w:after="0"/>
              <w:rPr>
                <w:sz w:val="22"/>
                <w:szCs w:val="22"/>
                <w:color w:val="auto"/>
              </w:rPr>
            </w:pPr>
          </w:p>
        </w:tc>
        <w:tc>
          <w:tcPr>
            <w:tcW w:w="900" w:type="dxa"/>
            <w:vAlign w:val="bottom"/>
            <w:shd w:val="clear" w:color="auto" w:fill="F2F2F2"/>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shd w:val="clear" w:color="auto" w:fill="F2F2F2"/>
          </w:tcPr>
          <w:p>
            <w:pPr>
              <w:spacing w:after="0"/>
              <w:rPr>
                <w:sz w:val="22"/>
                <w:szCs w:val="22"/>
                <w:color w:val="auto"/>
              </w:rPr>
            </w:pPr>
          </w:p>
        </w:tc>
        <w:tc>
          <w:tcPr>
            <w:tcW w:w="1000" w:type="dxa"/>
            <w:vAlign w:val="bottom"/>
            <w:shd w:val="clear" w:color="auto" w:fill="F2F2F2"/>
          </w:tcPr>
          <w:p>
            <w:pPr>
              <w:spacing w:after="0"/>
              <w:rPr>
                <w:sz w:val="22"/>
                <w:szCs w:val="22"/>
                <w:color w:val="auto"/>
              </w:rPr>
            </w:pPr>
          </w:p>
        </w:tc>
        <w:tc>
          <w:tcPr>
            <w:tcW w:w="760" w:type="dxa"/>
            <w:vAlign w:val="bottom"/>
            <w:shd w:val="clear" w:color="auto" w:fill="F2F2F2"/>
          </w:tcPr>
          <w:p>
            <w:pPr>
              <w:spacing w:after="0"/>
              <w:rPr>
                <w:sz w:val="22"/>
                <w:szCs w:val="22"/>
                <w:color w:val="auto"/>
              </w:rPr>
            </w:pPr>
          </w:p>
        </w:tc>
        <w:tc>
          <w:tcPr>
            <w:tcW w:w="860" w:type="dxa"/>
            <w:vAlign w:val="bottom"/>
            <w:shd w:val="clear" w:color="auto" w:fill="F2F2F2"/>
          </w:tcPr>
          <w:p>
            <w:pPr>
              <w:spacing w:after="0"/>
              <w:rPr>
                <w:sz w:val="22"/>
                <w:szCs w:val="22"/>
                <w:color w:val="auto"/>
              </w:rPr>
            </w:pPr>
          </w:p>
        </w:tc>
        <w:tc>
          <w:tcPr>
            <w:tcW w:w="1600" w:type="dxa"/>
            <w:vAlign w:val="bottom"/>
            <w:shd w:val="clear" w:color="auto" w:fill="F2F2F2"/>
          </w:tcPr>
          <w:p>
            <w:pPr>
              <w:spacing w:after="0"/>
              <w:rPr>
                <w:sz w:val="22"/>
                <w:szCs w:val="22"/>
                <w:color w:val="auto"/>
              </w:rPr>
            </w:pPr>
          </w:p>
        </w:tc>
        <w:tc>
          <w:tcPr>
            <w:tcW w:w="760" w:type="dxa"/>
            <w:vAlign w:val="bottom"/>
            <w:shd w:val="clear" w:color="auto" w:fill="F2F2F2"/>
          </w:tcPr>
          <w:p>
            <w:pPr>
              <w:spacing w:after="0"/>
              <w:rPr>
                <w:sz w:val="22"/>
                <w:szCs w:val="22"/>
                <w:color w:val="auto"/>
              </w:rPr>
            </w:pPr>
          </w:p>
        </w:tc>
        <w:tc>
          <w:tcPr>
            <w:tcW w:w="700" w:type="dxa"/>
            <w:vAlign w:val="bottom"/>
            <w:shd w:val="clear" w:color="auto" w:fill="F2F2F2"/>
          </w:tcPr>
          <w:p>
            <w:pPr>
              <w:spacing w:after="0"/>
              <w:rPr>
                <w:sz w:val="22"/>
                <w:szCs w:val="22"/>
                <w:color w:val="auto"/>
              </w:rPr>
            </w:pPr>
          </w:p>
        </w:tc>
        <w:tc>
          <w:tcPr>
            <w:tcW w:w="880" w:type="dxa"/>
            <w:vAlign w:val="bottom"/>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1380" w:type="dxa"/>
            <w:vAlign w:val="bottom"/>
            <w:gridSpan w:val="2"/>
          </w:tcPr>
          <w:p>
            <w:pPr>
              <w:ind w:left="20"/>
              <w:spacing w:after="0"/>
              <w:rPr>
                <w:sz w:val="20"/>
                <w:szCs w:val="20"/>
                <w:color w:val="auto"/>
              </w:rPr>
            </w:pPr>
            <w:r>
              <w:rPr>
                <w:rFonts w:ascii="Arial" w:cs="Arial" w:eastAsia="Arial" w:hAnsi="Arial"/>
                <w:sz w:val="14"/>
                <w:szCs w:val="14"/>
                <w:color w:val="auto"/>
              </w:rPr>
              <w:t>Ms. Ashkenazi</w:t>
            </w:r>
          </w:p>
        </w:tc>
        <w:tc>
          <w:tcPr>
            <w:tcW w:w="200" w:type="dxa"/>
            <w:vAlign w:val="bottom"/>
            <w:vMerge w:val="restart"/>
          </w:tcPr>
          <w:p>
            <w:pPr>
              <w:jc w:val="right"/>
              <w:ind w:right="73"/>
              <w:spacing w:after="0"/>
              <w:rPr>
                <w:sz w:val="20"/>
                <w:szCs w:val="20"/>
                <w:color w:val="auto"/>
              </w:rPr>
            </w:pPr>
            <w:r>
              <w:rPr>
                <w:rFonts w:ascii="Arial" w:cs="Arial" w:eastAsia="Arial" w:hAnsi="Arial"/>
                <w:sz w:val="9"/>
                <w:szCs w:val="9"/>
                <w:color w:val="auto"/>
              </w:rPr>
              <w:t>3</w:t>
            </w:r>
          </w:p>
        </w:tc>
        <w:tc>
          <w:tcPr>
            <w:tcW w:w="860" w:type="dxa"/>
            <w:vAlign w:val="bottom"/>
          </w:tcPr>
          <w:p>
            <w:pPr>
              <w:jc w:val="center"/>
              <w:ind w:right="14"/>
              <w:spacing w:after="0"/>
              <w:rPr>
                <w:sz w:val="20"/>
                <w:szCs w:val="20"/>
                <w:color w:val="auto"/>
              </w:rPr>
            </w:pPr>
            <w:r>
              <w:rPr>
                <w:rFonts w:ascii="Arial" w:cs="Arial" w:eastAsia="Arial" w:hAnsi="Arial"/>
                <w:sz w:val="9"/>
                <w:szCs w:val="9"/>
                <w:color w:val="auto"/>
                <w:w w:val="99"/>
              </w:rPr>
              <w:t>__</w:t>
            </w:r>
          </w:p>
        </w:tc>
        <w:tc>
          <w:tcPr>
            <w:tcW w:w="1000" w:type="dxa"/>
            <w:vAlign w:val="bottom"/>
          </w:tcPr>
          <w:p>
            <w:pPr>
              <w:jc w:val="right"/>
              <w:ind w:right="454"/>
              <w:spacing w:after="0"/>
              <w:rPr>
                <w:sz w:val="20"/>
                <w:szCs w:val="20"/>
                <w:color w:val="auto"/>
              </w:rPr>
            </w:pPr>
            <w:r>
              <w:rPr>
                <w:rFonts w:ascii="Arial" w:cs="Arial" w:eastAsia="Arial" w:hAnsi="Arial"/>
                <w:sz w:val="9"/>
                <w:szCs w:val="9"/>
                <w:color w:val="auto"/>
              </w:rPr>
              <w:t>__</w:t>
            </w:r>
          </w:p>
        </w:tc>
        <w:tc>
          <w:tcPr>
            <w:tcW w:w="760" w:type="dxa"/>
            <w:vAlign w:val="bottom"/>
          </w:tcPr>
          <w:p>
            <w:pPr>
              <w:jc w:val="right"/>
              <w:spacing w:after="0"/>
              <w:rPr>
                <w:sz w:val="20"/>
                <w:szCs w:val="20"/>
                <w:color w:val="auto"/>
              </w:rPr>
            </w:pPr>
            <w:r>
              <w:rPr>
                <w:rFonts w:ascii="Arial" w:cs="Arial" w:eastAsia="Arial" w:hAnsi="Arial"/>
                <w:sz w:val="14"/>
                <w:szCs w:val="14"/>
                <w:color w:val="auto"/>
              </w:rPr>
              <w:t>$235,096</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$940,385</w:t>
            </w:r>
          </w:p>
        </w:tc>
        <w:tc>
          <w:tcPr>
            <w:tcW w:w="1600" w:type="dxa"/>
            <w:vAlign w:val="bottom"/>
          </w:tcPr>
          <w:p>
            <w:pPr>
              <w:jc w:val="right"/>
              <w:ind w:right="748"/>
              <w:spacing w:after="0"/>
              <w:rPr>
                <w:sz w:val="20"/>
                <w:szCs w:val="20"/>
                <w:color w:val="auto"/>
              </w:rPr>
            </w:pPr>
            <w:r>
              <w:rPr>
                <w:rFonts w:ascii="Arial" w:cs="Arial" w:eastAsia="Arial" w:hAnsi="Arial"/>
                <w:sz w:val="14"/>
                <w:szCs w:val="14"/>
                <w:color w:val="auto"/>
              </w:rPr>
              <w:t>$1,880,769</w:t>
            </w: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1380" w:type="dxa"/>
            <w:vAlign w:val="bottom"/>
            <w:gridSpan w:val="2"/>
            <w:vMerge w:val="restart"/>
          </w:tcPr>
          <w:p>
            <w:pPr>
              <w:ind w:left="500"/>
              <w:spacing w:after="0"/>
              <w:rPr>
                <w:sz w:val="20"/>
                <w:szCs w:val="20"/>
                <w:color w:val="auto"/>
              </w:rPr>
            </w:pPr>
            <w:r>
              <w:rPr>
                <w:rFonts w:ascii="Arial" w:cs="Arial" w:eastAsia="Arial" w:hAnsi="Arial"/>
                <w:sz w:val="14"/>
                <w:szCs w:val="14"/>
                <w:color w:val="auto"/>
              </w:rPr>
              <w:t>2022-2024</w:t>
            </w:r>
          </w:p>
        </w:tc>
        <w:tc>
          <w:tcPr>
            <w:tcW w:w="20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3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480" w:type="dxa"/>
            <w:vAlign w:val="bottom"/>
          </w:tcPr>
          <w:p>
            <w:pPr>
              <w:spacing w:after="0"/>
              <w:rPr>
                <w:sz w:val="16"/>
                <w:szCs w:val="16"/>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PA</w:t>
            </w:r>
          </w:p>
        </w:tc>
        <w:tc>
          <w:tcPr>
            <w:tcW w:w="200" w:type="dxa"/>
            <w:vAlign w:val="bottom"/>
            <w:vMerge w:val="restart"/>
          </w:tcPr>
          <w:p>
            <w:pPr>
              <w:jc w:val="right"/>
              <w:ind w:right="73"/>
              <w:spacing w:after="0"/>
              <w:rPr>
                <w:sz w:val="20"/>
                <w:szCs w:val="20"/>
                <w:color w:val="auto"/>
              </w:rPr>
            </w:pPr>
            <w:r>
              <w:rPr>
                <w:rFonts w:ascii="Arial" w:cs="Arial" w:eastAsia="Arial" w:hAnsi="Arial"/>
                <w:sz w:val="9"/>
                <w:szCs w:val="9"/>
                <w:color w:val="auto"/>
              </w:rPr>
              <w:t>4</w:t>
            </w:r>
          </w:p>
        </w:tc>
        <w:tc>
          <w:tcPr>
            <w:tcW w:w="860" w:type="dxa"/>
            <w:vAlign w:val="bottom"/>
          </w:tcPr>
          <w:p>
            <w:pPr>
              <w:jc w:val="center"/>
              <w:ind w:right="34"/>
              <w:spacing w:after="0"/>
              <w:rPr>
                <w:sz w:val="20"/>
                <w:szCs w:val="20"/>
                <w:color w:val="auto"/>
              </w:rPr>
            </w:pPr>
            <w:r>
              <w:rPr>
                <w:rFonts w:ascii="Arial" w:cs="Arial" w:eastAsia="Arial" w:hAnsi="Arial"/>
                <w:sz w:val="14"/>
                <w:szCs w:val="14"/>
                <w:color w:val="auto"/>
              </w:rPr>
              <w:t>2/9/2022</w:t>
            </w:r>
          </w:p>
        </w:tc>
        <w:tc>
          <w:tcPr>
            <w:tcW w:w="1000" w:type="dxa"/>
            <w:vAlign w:val="bottom"/>
          </w:tcPr>
          <w:p>
            <w:pPr>
              <w:jc w:val="right"/>
              <w:ind w:right="14"/>
              <w:spacing w:after="0"/>
              <w:rPr>
                <w:sz w:val="20"/>
                <w:szCs w:val="20"/>
                <w:color w:val="auto"/>
              </w:rPr>
            </w:pPr>
            <w:r>
              <w:rPr>
                <w:rFonts w:ascii="Arial" w:cs="Arial" w:eastAsia="Arial" w:hAnsi="Arial"/>
                <w:sz w:val="14"/>
                <w:szCs w:val="14"/>
                <w:color w:val="auto"/>
              </w:rPr>
              <w:t>12/13/2021</w:t>
            </w: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1,916</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3,831</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6,704</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$1,035,000</w:t>
            </w:r>
          </w:p>
        </w:tc>
        <w:tc>
          <w:tcPr>
            <w:tcW w:w="0" w:type="dxa"/>
            <w:vAlign w:val="bottom"/>
          </w:tcPr>
          <w:p>
            <w:pPr>
              <w:spacing w:after="0"/>
              <w:rPr>
                <w:sz w:val="1"/>
                <w:szCs w:val="1"/>
                <w:color w:val="auto"/>
              </w:rPr>
            </w:pPr>
          </w:p>
        </w:tc>
      </w:tr>
      <w:tr>
        <w:trPr>
          <w:trHeight w:val="106"/>
        </w:trPr>
        <w:tc>
          <w:tcPr>
            <w:tcW w:w="1380" w:type="dxa"/>
            <w:vAlign w:val="bottom"/>
            <w:gridSpan w:val="2"/>
            <w:vMerge w:val="restart"/>
          </w:tcPr>
          <w:p>
            <w:pPr>
              <w:ind w:left="500"/>
              <w:spacing w:after="0"/>
              <w:rPr>
                <w:sz w:val="20"/>
                <w:szCs w:val="20"/>
                <w:color w:val="auto"/>
              </w:rPr>
            </w:pPr>
            <w:r>
              <w:rPr>
                <w:rFonts w:ascii="Arial" w:cs="Arial" w:eastAsia="Arial" w:hAnsi="Arial"/>
                <w:sz w:val="14"/>
                <w:szCs w:val="14"/>
                <w:color w:val="auto"/>
              </w:rPr>
              <w:t>2022-2024</w:t>
            </w:r>
          </w:p>
        </w:tc>
        <w:tc>
          <w:tcPr>
            <w:tcW w:w="20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3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480" w:type="dxa"/>
            <w:vAlign w:val="bottom"/>
          </w:tcPr>
          <w:p>
            <w:pPr>
              <w:spacing w:after="0"/>
              <w:rPr>
                <w:sz w:val="16"/>
                <w:szCs w:val="16"/>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SVA</w:t>
            </w:r>
          </w:p>
        </w:tc>
        <w:tc>
          <w:tcPr>
            <w:tcW w:w="200" w:type="dxa"/>
            <w:vAlign w:val="bottom"/>
            <w:vMerge w:val="restart"/>
          </w:tcPr>
          <w:p>
            <w:pPr>
              <w:jc w:val="right"/>
              <w:ind w:right="73"/>
              <w:spacing w:after="0"/>
              <w:rPr>
                <w:sz w:val="20"/>
                <w:szCs w:val="20"/>
                <w:color w:val="auto"/>
              </w:rPr>
            </w:pPr>
            <w:r>
              <w:rPr>
                <w:rFonts w:ascii="Arial" w:cs="Arial" w:eastAsia="Arial" w:hAnsi="Arial"/>
                <w:sz w:val="9"/>
                <w:szCs w:val="9"/>
                <w:color w:val="auto"/>
              </w:rPr>
              <w:t>5</w:t>
            </w:r>
          </w:p>
        </w:tc>
        <w:tc>
          <w:tcPr>
            <w:tcW w:w="860" w:type="dxa"/>
            <w:vAlign w:val="bottom"/>
          </w:tcPr>
          <w:p>
            <w:pPr>
              <w:jc w:val="center"/>
              <w:ind w:right="34"/>
              <w:spacing w:after="0"/>
              <w:rPr>
                <w:sz w:val="20"/>
                <w:szCs w:val="20"/>
                <w:color w:val="auto"/>
              </w:rPr>
            </w:pPr>
            <w:r>
              <w:rPr>
                <w:rFonts w:ascii="Arial" w:cs="Arial" w:eastAsia="Arial" w:hAnsi="Arial"/>
                <w:sz w:val="14"/>
                <w:szCs w:val="14"/>
                <w:color w:val="auto"/>
              </w:rPr>
              <w:t>2/9/2022</w:t>
            </w:r>
          </w:p>
        </w:tc>
        <w:tc>
          <w:tcPr>
            <w:tcW w:w="1000" w:type="dxa"/>
            <w:vAlign w:val="bottom"/>
          </w:tcPr>
          <w:p>
            <w:pPr>
              <w:jc w:val="right"/>
              <w:ind w:right="14"/>
              <w:spacing w:after="0"/>
              <w:rPr>
                <w:sz w:val="20"/>
                <w:szCs w:val="20"/>
                <w:color w:val="auto"/>
              </w:rPr>
            </w:pPr>
            <w:r>
              <w:rPr>
                <w:rFonts w:ascii="Arial" w:cs="Arial" w:eastAsia="Arial" w:hAnsi="Arial"/>
                <w:sz w:val="14"/>
                <w:szCs w:val="14"/>
                <w:color w:val="auto"/>
              </w:rPr>
              <w:t>12/13/2021</w:t>
            </w: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2,988</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5,976</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10,458</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$1,050,000</w:t>
            </w:r>
          </w:p>
        </w:tc>
        <w:tc>
          <w:tcPr>
            <w:tcW w:w="0" w:type="dxa"/>
            <w:vAlign w:val="bottom"/>
          </w:tcPr>
          <w:p>
            <w:pPr>
              <w:spacing w:after="0"/>
              <w:rPr>
                <w:sz w:val="1"/>
                <w:szCs w:val="1"/>
                <w:color w:val="auto"/>
              </w:rPr>
            </w:pPr>
          </w:p>
        </w:tc>
      </w:tr>
      <w:tr>
        <w:trPr>
          <w:trHeight w:val="106"/>
        </w:trPr>
        <w:tc>
          <w:tcPr>
            <w:tcW w:w="1380" w:type="dxa"/>
            <w:vAlign w:val="bottom"/>
            <w:gridSpan w:val="2"/>
            <w:vMerge w:val="restart"/>
          </w:tcPr>
          <w:p>
            <w:pPr>
              <w:ind w:left="500"/>
              <w:spacing w:after="0"/>
              <w:rPr>
                <w:sz w:val="20"/>
                <w:szCs w:val="20"/>
                <w:color w:val="auto"/>
              </w:rPr>
            </w:pPr>
            <w:r>
              <w:rPr>
                <w:rFonts w:ascii="Arial" w:cs="Arial" w:eastAsia="Arial" w:hAnsi="Arial"/>
                <w:sz w:val="14"/>
                <w:szCs w:val="14"/>
                <w:color w:val="auto"/>
              </w:rPr>
              <w:t>2022-2024</w:t>
            </w:r>
          </w:p>
        </w:tc>
        <w:tc>
          <w:tcPr>
            <w:tcW w:w="20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3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480" w:type="dxa"/>
            <w:vAlign w:val="bottom"/>
          </w:tcPr>
          <w:p>
            <w:pPr>
              <w:spacing w:after="0"/>
              <w:rPr>
                <w:sz w:val="16"/>
                <w:szCs w:val="16"/>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RVA</w:t>
            </w:r>
          </w:p>
        </w:tc>
        <w:tc>
          <w:tcPr>
            <w:tcW w:w="200" w:type="dxa"/>
            <w:vAlign w:val="bottom"/>
          </w:tcPr>
          <w:p>
            <w:pPr>
              <w:spacing w:after="0"/>
              <w:rPr>
                <w:sz w:val="16"/>
                <w:szCs w:val="16"/>
                <w:color w:val="auto"/>
              </w:rPr>
            </w:pPr>
          </w:p>
        </w:tc>
        <w:tc>
          <w:tcPr>
            <w:tcW w:w="860" w:type="dxa"/>
            <w:vAlign w:val="bottom"/>
          </w:tcPr>
          <w:p>
            <w:pPr>
              <w:jc w:val="center"/>
              <w:ind w:right="34"/>
              <w:spacing w:after="0"/>
              <w:rPr>
                <w:sz w:val="20"/>
                <w:szCs w:val="20"/>
                <w:color w:val="auto"/>
              </w:rPr>
            </w:pPr>
            <w:r>
              <w:rPr>
                <w:rFonts w:ascii="Arial" w:cs="Arial" w:eastAsia="Arial" w:hAnsi="Arial"/>
                <w:sz w:val="14"/>
                <w:szCs w:val="14"/>
                <w:color w:val="auto"/>
              </w:rPr>
              <w:t>2/9/2022</w:t>
            </w:r>
          </w:p>
        </w:tc>
        <w:tc>
          <w:tcPr>
            <w:tcW w:w="1000" w:type="dxa"/>
            <w:vAlign w:val="bottom"/>
          </w:tcPr>
          <w:p>
            <w:pPr>
              <w:jc w:val="right"/>
              <w:ind w:right="14"/>
              <w:spacing w:after="0"/>
              <w:rPr>
                <w:sz w:val="20"/>
                <w:szCs w:val="20"/>
                <w:color w:val="auto"/>
              </w:rPr>
            </w:pPr>
            <w:r>
              <w:rPr>
                <w:rFonts w:ascii="Arial" w:cs="Arial" w:eastAsia="Arial" w:hAnsi="Arial"/>
                <w:sz w:val="14"/>
                <w:szCs w:val="14"/>
                <w:color w:val="auto"/>
              </w:rPr>
              <w:t>12/13/2021</w:t>
            </w: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2,283</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4,565</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7,989</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$1,050,000</w:t>
            </w:r>
          </w:p>
        </w:tc>
        <w:tc>
          <w:tcPr>
            <w:tcW w:w="0" w:type="dxa"/>
            <w:vAlign w:val="bottom"/>
          </w:tcPr>
          <w:p>
            <w:pPr>
              <w:spacing w:after="0"/>
              <w:rPr>
                <w:sz w:val="1"/>
                <w:szCs w:val="1"/>
                <w:color w:val="auto"/>
              </w:rPr>
            </w:pPr>
          </w:p>
        </w:tc>
      </w:tr>
      <w:tr>
        <w:trPr>
          <w:trHeight w:val="513"/>
        </w:trPr>
        <w:tc>
          <w:tcPr>
            <w:tcW w:w="1380" w:type="dxa"/>
            <w:vAlign w:val="bottom"/>
            <w:gridSpan w:val="2"/>
          </w:tcPr>
          <w:p>
            <w:pPr>
              <w:ind w:left="20"/>
              <w:spacing w:after="0"/>
              <w:rPr>
                <w:sz w:val="20"/>
                <w:szCs w:val="20"/>
                <w:color w:val="auto"/>
              </w:rPr>
            </w:pPr>
            <w:r>
              <w:rPr>
                <w:rFonts w:ascii="Arial" w:cs="Arial" w:eastAsia="Arial" w:hAnsi="Arial"/>
                <w:sz w:val="14"/>
                <w:szCs w:val="14"/>
                <w:color w:val="auto"/>
              </w:rPr>
              <w:t>Dr. Skovronsky</w:t>
            </w:r>
          </w:p>
        </w:tc>
        <w:tc>
          <w:tcPr>
            <w:tcW w:w="200" w:type="dxa"/>
            <w:vAlign w:val="bottom"/>
            <w:vMerge w:val="restart"/>
          </w:tcPr>
          <w:p>
            <w:pPr>
              <w:jc w:val="right"/>
              <w:ind w:right="73"/>
              <w:spacing w:after="0"/>
              <w:rPr>
                <w:sz w:val="20"/>
                <w:szCs w:val="20"/>
                <w:color w:val="auto"/>
              </w:rPr>
            </w:pPr>
            <w:r>
              <w:rPr>
                <w:rFonts w:ascii="Arial" w:cs="Arial" w:eastAsia="Arial" w:hAnsi="Arial"/>
                <w:sz w:val="9"/>
                <w:szCs w:val="9"/>
                <w:color w:val="auto"/>
              </w:rPr>
              <w:t>3</w:t>
            </w:r>
          </w:p>
        </w:tc>
        <w:tc>
          <w:tcPr>
            <w:tcW w:w="860" w:type="dxa"/>
            <w:vAlign w:val="bottom"/>
          </w:tcPr>
          <w:p>
            <w:pPr>
              <w:jc w:val="center"/>
              <w:ind w:right="14"/>
              <w:spacing w:after="0"/>
              <w:rPr>
                <w:sz w:val="20"/>
                <w:szCs w:val="20"/>
                <w:color w:val="auto"/>
              </w:rPr>
            </w:pPr>
            <w:r>
              <w:rPr>
                <w:rFonts w:ascii="Arial" w:cs="Arial" w:eastAsia="Arial" w:hAnsi="Arial"/>
                <w:sz w:val="9"/>
                <w:szCs w:val="9"/>
                <w:color w:val="auto"/>
                <w:w w:val="99"/>
              </w:rPr>
              <w:t>__</w:t>
            </w:r>
          </w:p>
        </w:tc>
        <w:tc>
          <w:tcPr>
            <w:tcW w:w="1000" w:type="dxa"/>
            <w:vAlign w:val="bottom"/>
          </w:tcPr>
          <w:p>
            <w:pPr>
              <w:jc w:val="right"/>
              <w:ind w:right="454"/>
              <w:spacing w:after="0"/>
              <w:rPr>
                <w:sz w:val="20"/>
                <w:szCs w:val="20"/>
                <w:color w:val="auto"/>
              </w:rPr>
            </w:pPr>
            <w:r>
              <w:rPr>
                <w:rFonts w:ascii="Arial" w:cs="Arial" w:eastAsia="Arial" w:hAnsi="Arial"/>
                <w:sz w:val="9"/>
                <w:szCs w:val="9"/>
                <w:color w:val="auto"/>
              </w:rPr>
              <w:t>__</w:t>
            </w:r>
          </w:p>
        </w:tc>
        <w:tc>
          <w:tcPr>
            <w:tcW w:w="760" w:type="dxa"/>
            <w:vAlign w:val="bottom"/>
          </w:tcPr>
          <w:p>
            <w:pPr>
              <w:jc w:val="right"/>
              <w:spacing w:after="0"/>
              <w:rPr>
                <w:sz w:val="20"/>
                <w:szCs w:val="20"/>
                <w:color w:val="auto"/>
              </w:rPr>
            </w:pPr>
            <w:r>
              <w:rPr>
                <w:rFonts w:ascii="Arial" w:cs="Arial" w:eastAsia="Arial" w:hAnsi="Arial"/>
                <w:sz w:val="14"/>
                <w:szCs w:val="14"/>
                <w:color w:val="auto"/>
              </w:rPr>
              <w:t>$300,481</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$1,201,923</w:t>
            </w:r>
          </w:p>
        </w:tc>
        <w:tc>
          <w:tcPr>
            <w:tcW w:w="1600" w:type="dxa"/>
            <w:vAlign w:val="bottom"/>
          </w:tcPr>
          <w:p>
            <w:pPr>
              <w:jc w:val="right"/>
              <w:ind w:right="748"/>
              <w:spacing w:after="0"/>
              <w:rPr>
                <w:sz w:val="20"/>
                <w:szCs w:val="20"/>
                <w:color w:val="auto"/>
              </w:rPr>
            </w:pPr>
            <w:r>
              <w:rPr>
                <w:rFonts w:ascii="Arial" w:cs="Arial" w:eastAsia="Arial" w:hAnsi="Arial"/>
                <w:sz w:val="14"/>
                <w:szCs w:val="14"/>
                <w:color w:val="auto"/>
              </w:rPr>
              <w:t>$2,403,846</w:t>
            </w: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80" w:type="dxa"/>
            <w:vAlign w:val="bottom"/>
          </w:tcPr>
          <w:p>
            <w:pPr>
              <w:spacing w:after="0" w:line="20" w:lineRule="exact"/>
              <w:rPr>
                <w:sz w:val="1"/>
                <w:szCs w:val="1"/>
                <w:color w:val="auto"/>
              </w:rPr>
            </w:pPr>
          </w:p>
        </w:tc>
        <w:tc>
          <w:tcPr>
            <w:tcW w:w="900" w:type="dxa"/>
            <w:vAlign w:val="bottom"/>
            <w:vMerge w:val="restart"/>
          </w:tcPr>
          <w:p>
            <w:pPr>
              <w:ind w:left="20"/>
              <w:spacing w:after="0"/>
              <w:rPr>
                <w:sz w:val="20"/>
                <w:szCs w:val="20"/>
                <w:color w:val="auto"/>
              </w:rPr>
            </w:pPr>
            <w:r>
              <w:rPr>
                <w:rFonts w:ascii="Arial" w:cs="Arial" w:eastAsia="Arial" w:hAnsi="Arial"/>
                <w:sz w:val="14"/>
                <w:szCs w:val="14"/>
                <w:color w:val="auto"/>
              </w:rPr>
              <w:t>2022-2024</w:t>
            </w:r>
          </w:p>
        </w:tc>
        <w:tc>
          <w:tcPr>
            <w:tcW w:w="200" w:type="dxa"/>
            <w:vAlign w:val="bottom"/>
            <w:vMerge w:val="continu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480" w:type="dxa"/>
            <w:vAlign w:val="bottom"/>
            <w:shd w:val="clear" w:color="auto" w:fill="F2F2F2"/>
          </w:tcPr>
          <w:p>
            <w:pPr>
              <w:spacing w:after="0"/>
              <w:rPr>
                <w:sz w:val="7"/>
                <w:szCs w:val="7"/>
                <w:color w:val="auto"/>
              </w:rPr>
            </w:pPr>
          </w:p>
        </w:tc>
        <w:tc>
          <w:tcPr>
            <w:tcW w:w="90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480" w:type="dxa"/>
            <w:vAlign w:val="bottom"/>
            <w:shd w:val="clear" w:color="auto" w:fill="F2F2F2"/>
          </w:tcPr>
          <w:p>
            <w:pPr>
              <w:spacing w:after="0"/>
              <w:rPr>
                <w:sz w:val="9"/>
                <w:szCs w:val="9"/>
                <w:color w:val="auto"/>
              </w:rPr>
            </w:pPr>
          </w:p>
        </w:tc>
        <w:tc>
          <w:tcPr>
            <w:tcW w:w="9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480" w:type="dxa"/>
            <w:vAlign w:val="bottom"/>
            <w:shd w:val="clear" w:color="auto" w:fill="F2F2F2"/>
          </w:tcPr>
          <w:p>
            <w:pPr>
              <w:spacing w:after="0"/>
              <w:rPr>
                <w:sz w:val="16"/>
                <w:szCs w:val="16"/>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PA</w:t>
            </w:r>
          </w:p>
        </w:tc>
        <w:tc>
          <w:tcPr>
            <w:tcW w:w="200" w:type="dxa"/>
            <w:vAlign w:val="bottom"/>
            <w:vMerge w:val="restart"/>
          </w:tcPr>
          <w:p>
            <w:pPr>
              <w:jc w:val="right"/>
              <w:ind w:right="73"/>
              <w:spacing w:after="0"/>
              <w:rPr>
                <w:sz w:val="20"/>
                <w:szCs w:val="20"/>
                <w:color w:val="auto"/>
              </w:rPr>
            </w:pPr>
            <w:r>
              <w:rPr>
                <w:rFonts w:ascii="Arial" w:cs="Arial" w:eastAsia="Arial" w:hAnsi="Arial"/>
                <w:sz w:val="9"/>
                <w:szCs w:val="9"/>
                <w:color w:val="auto"/>
              </w:rPr>
              <w:t>4</w:t>
            </w:r>
          </w:p>
        </w:tc>
        <w:tc>
          <w:tcPr>
            <w:tcW w:w="860" w:type="dxa"/>
            <w:vAlign w:val="bottom"/>
          </w:tcPr>
          <w:p>
            <w:pPr>
              <w:jc w:val="center"/>
              <w:ind w:right="34"/>
              <w:spacing w:after="0"/>
              <w:rPr>
                <w:sz w:val="20"/>
                <w:szCs w:val="20"/>
                <w:color w:val="auto"/>
              </w:rPr>
            </w:pPr>
            <w:r>
              <w:rPr>
                <w:rFonts w:ascii="Arial" w:cs="Arial" w:eastAsia="Arial" w:hAnsi="Arial"/>
                <w:sz w:val="14"/>
                <w:szCs w:val="14"/>
                <w:color w:val="auto"/>
              </w:rPr>
              <w:t>2/9/2022</w:t>
            </w:r>
          </w:p>
        </w:tc>
        <w:tc>
          <w:tcPr>
            <w:tcW w:w="1000" w:type="dxa"/>
            <w:vAlign w:val="bottom"/>
          </w:tcPr>
          <w:p>
            <w:pPr>
              <w:jc w:val="right"/>
              <w:ind w:right="14"/>
              <w:spacing w:after="0"/>
              <w:rPr>
                <w:sz w:val="20"/>
                <w:szCs w:val="20"/>
                <w:color w:val="auto"/>
              </w:rPr>
            </w:pPr>
            <w:r>
              <w:rPr>
                <w:rFonts w:ascii="Arial" w:cs="Arial" w:eastAsia="Arial" w:hAnsi="Arial"/>
                <w:sz w:val="14"/>
                <w:szCs w:val="14"/>
                <w:color w:val="auto"/>
              </w:rPr>
              <w:t>12/13/2021</w:t>
            </w: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3,512</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7,023</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12,290</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$1,897,500</w:t>
            </w:r>
          </w:p>
        </w:tc>
        <w:tc>
          <w:tcPr>
            <w:tcW w:w="0" w:type="dxa"/>
            <w:vAlign w:val="bottom"/>
          </w:tcPr>
          <w:p>
            <w:pPr>
              <w:spacing w:after="0"/>
              <w:rPr>
                <w:sz w:val="1"/>
                <w:szCs w:val="1"/>
                <w:color w:val="auto"/>
              </w:rPr>
            </w:pPr>
          </w:p>
        </w:tc>
      </w:tr>
      <w:tr>
        <w:trPr>
          <w:trHeight w:val="22"/>
        </w:trPr>
        <w:tc>
          <w:tcPr>
            <w:tcW w:w="480" w:type="dxa"/>
            <w:vAlign w:val="bottom"/>
            <w:shd w:val="clear" w:color="auto" w:fill="F2F2F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480" w:type="dxa"/>
            <w:vAlign w:val="bottom"/>
            <w:shd w:val="clear" w:color="auto" w:fill="F2F2F2"/>
          </w:tcPr>
          <w:p>
            <w:pPr>
              <w:spacing w:after="0"/>
              <w:rPr>
                <w:sz w:val="7"/>
                <w:szCs w:val="7"/>
                <w:color w:val="auto"/>
              </w:rPr>
            </w:pPr>
          </w:p>
        </w:tc>
        <w:tc>
          <w:tcPr>
            <w:tcW w:w="90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2022-2024</w:t>
            </w:r>
          </w:p>
        </w:tc>
        <w:tc>
          <w:tcPr>
            <w:tcW w:w="20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480" w:type="dxa"/>
            <w:vAlign w:val="bottom"/>
            <w:shd w:val="clear" w:color="auto" w:fill="F2F2F2"/>
          </w:tcPr>
          <w:p>
            <w:pPr>
              <w:spacing w:after="0"/>
              <w:rPr>
                <w:sz w:val="9"/>
                <w:szCs w:val="9"/>
                <w:color w:val="auto"/>
              </w:rPr>
            </w:pPr>
          </w:p>
        </w:tc>
        <w:tc>
          <w:tcPr>
            <w:tcW w:w="900" w:type="dxa"/>
            <w:vAlign w:val="bottom"/>
            <w:vMerge w:val="continue"/>
            <w:shd w:val="clear" w:color="auto" w:fill="F2F2F2"/>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480" w:type="dxa"/>
            <w:vAlign w:val="bottom"/>
            <w:shd w:val="clear" w:color="auto" w:fill="F2F2F2"/>
          </w:tcPr>
          <w:p>
            <w:pPr>
              <w:spacing w:after="0"/>
              <w:rPr>
                <w:sz w:val="16"/>
                <w:szCs w:val="16"/>
                <w:color w:val="auto"/>
              </w:rPr>
            </w:pPr>
          </w:p>
        </w:tc>
        <w:tc>
          <w:tcPr>
            <w:tcW w:w="900" w:type="dxa"/>
            <w:vAlign w:val="bottom"/>
            <w:shd w:val="clear" w:color="auto" w:fill="F2F2F2"/>
          </w:tcPr>
          <w:p>
            <w:pPr>
              <w:ind w:left="20"/>
              <w:spacing w:after="0"/>
              <w:rPr>
                <w:sz w:val="20"/>
                <w:szCs w:val="20"/>
                <w:color w:val="auto"/>
              </w:rPr>
            </w:pPr>
            <w:r>
              <w:rPr>
                <w:rFonts w:ascii="Arial" w:cs="Arial" w:eastAsia="Arial" w:hAnsi="Arial"/>
                <w:sz w:val="14"/>
                <w:szCs w:val="14"/>
                <w:color w:val="auto"/>
              </w:rPr>
              <w:t>SVA</w:t>
            </w:r>
          </w:p>
        </w:tc>
        <w:tc>
          <w:tcPr>
            <w:tcW w:w="200" w:type="dxa"/>
            <w:vAlign w:val="bottom"/>
            <w:vMerge w:val="restart"/>
          </w:tcPr>
          <w:p>
            <w:pPr>
              <w:jc w:val="right"/>
              <w:ind w:right="73"/>
              <w:spacing w:after="0"/>
              <w:rPr>
                <w:sz w:val="20"/>
                <w:szCs w:val="20"/>
                <w:color w:val="auto"/>
              </w:rPr>
            </w:pPr>
            <w:r>
              <w:rPr>
                <w:rFonts w:ascii="Arial" w:cs="Arial" w:eastAsia="Arial" w:hAnsi="Arial"/>
                <w:sz w:val="9"/>
                <w:szCs w:val="9"/>
                <w:color w:val="auto"/>
              </w:rPr>
              <w:t>5</w:t>
            </w:r>
          </w:p>
        </w:tc>
        <w:tc>
          <w:tcPr>
            <w:tcW w:w="860" w:type="dxa"/>
            <w:vAlign w:val="bottom"/>
          </w:tcPr>
          <w:p>
            <w:pPr>
              <w:jc w:val="center"/>
              <w:ind w:right="34"/>
              <w:spacing w:after="0"/>
              <w:rPr>
                <w:sz w:val="20"/>
                <w:szCs w:val="20"/>
                <w:color w:val="auto"/>
              </w:rPr>
            </w:pPr>
            <w:r>
              <w:rPr>
                <w:rFonts w:ascii="Arial" w:cs="Arial" w:eastAsia="Arial" w:hAnsi="Arial"/>
                <w:sz w:val="14"/>
                <w:szCs w:val="14"/>
                <w:color w:val="auto"/>
              </w:rPr>
              <w:t>2/9/2022</w:t>
            </w:r>
          </w:p>
        </w:tc>
        <w:tc>
          <w:tcPr>
            <w:tcW w:w="1000" w:type="dxa"/>
            <w:vAlign w:val="bottom"/>
          </w:tcPr>
          <w:p>
            <w:pPr>
              <w:jc w:val="right"/>
              <w:ind w:right="14"/>
              <w:spacing w:after="0"/>
              <w:rPr>
                <w:sz w:val="20"/>
                <w:szCs w:val="20"/>
                <w:color w:val="auto"/>
              </w:rPr>
            </w:pPr>
            <w:r>
              <w:rPr>
                <w:rFonts w:ascii="Arial" w:cs="Arial" w:eastAsia="Arial" w:hAnsi="Arial"/>
                <w:sz w:val="14"/>
                <w:szCs w:val="14"/>
                <w:color w:val="auto"/>
              </w:rPr>
              <w:t>12/13/2021</w:t>
            </w: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5,479</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10,957</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19,175</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$1,925,000</w:t>
            </w:r>
          </w:p>
        </w:tc>
        <w:tc>
          <w:tcPr>
            <w:tcW w:w="0" w:type="dxa"/>
            <w:vAlign w:val="bottom"/>
          </w:tcPr>
          <w:p>
            <w:pPr>
              <w:spacing w:after="0"/>
              <w:rPr>
                <w:sz w:val="1"/>
                <w:szCs w:val="1"/>
                <w:color w:val="auto"/>
              </w:rPr>
            </w:pPr>
          </w:p>
        </w:tc>
      </w:tr>
      <w:tr>
        <w:trPr>
          <w:trHeight w:val="105"/>
        </w:trPr>
        <w:tc>
          <w:tcPr>
            <w:tcW w:w="480" w:type="dxa"/>
            <w:vAlign w:val="bottom"/>
            <w:shd w:val="clear" w:color="auto" w:fill="F2F2F2"/>
          </w:tcPr>
          <w:p>
            <w:pPr>
              <w:spacing w:after="0"/>
              <w:rPr>
                <w:sz w:val="9"/>
                <w:szCs w:val="9"/>
                <w:color w:val="auto"/>
              </w:rPr>
            </w:pPr>
          </w:p>
        </w:tc>
        <w:tc>
          <w:tcPr>
            <w:tcW w:w="90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2022-2024</w:t>
            </w:r>
          </w:p>
        </w:tc>
        <w:tc>
          <w:tcPr>
            <w:tcW w:w="20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80" w:type="dxa"/>
            <w:vAlign w:val="bottom"/>
            <w:shd w:val="clear" w:color="auto" w:fill="F2F2F2"/>
          </w:tcPr>
          <w:p>
            <w:pPr>
              <w:spacing w:after="0"/>
              <w:rPr>
                <w:sz w:val="9"/>
                <w:szCs w:val="9"/>
                <w:color w:val="auto"/>
              </w:rPr>
            </w:pPr>
          </w:p>
        </w:tc>
        <w:tc>
          <w:tcPr>
            <w:tcW w:w="900" w:type="dxa"/>
            <w:vAlign w:val="bottom"/>
            <w:vMerge w:val="continue"/>
            <w:shd w:val="clear" w:color="auto" w:fill="F2F2F2"/>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480" w:type="dxa"/>
            <w:vAlign w:val="bottom"/>
            <w:shd w:val="clear" w:color="auto" w:fill="F2F2F2"/>
          </w:tcPr>
          <w:p>
            <w:pPr>
              <w:spacing w:after="0"/>
              <w:rPr>
                <w:sz w:val="16"/>
                <w:szCs w:val="16"/>
                <w:color w:val="auto"/>
              </w:rPr>
            </w:pPr>
          </w:p>
        </w:tc>
        <w:tc>
          <w:tcPr>
            <w:tcW w:w="900" w:type="dxa"/>
            <w:vAlign w:val="bottom"/>
            <w:shd w:val="clear" w:color="auto" w:fill="F2F2F2"/>
          </w:tcPr>
          <w:p>
            <w:pPr>
              <w:ind w:left="20"/>
              <w:spacing w:after="0"/>
              <w:rPr>
                <w:sz w:val="20"/>
                <w:szCs w:val="20"/>
                <w:color w:val="auto"/>
              </w:rPr>
            </w:pPr>
            <w:r>
              <w:rPr>
                <w:rFonts w:ascii="Arial" w:cs="Arial" w:eastAsia="Arial" w:hAnsi="Arial"/>
                <w:sz w:val="14"/>
                <w:szCs w:val="14"/>
                <w:color w:val="auto"/>
              </w:rPr>
              <w:t>RVA</w:t>
            </w:r>
          </w:p>
        </w:tc>
        <w:tc>
          <w:tcPr>
            <w:tcW w:w="200" w:type="dxa"/>
            <w:vAlign w:val="bottom"/>
          </w:tcPr>
          <w:p>
            <w:pPr>
              <w:spacing w:after="0"/>
              <w:rPr>
                <w:sz w:val="16"/>
                <w:szCs w:val="16"/>
                <w:color w:val="auto"/>
              </w:rPr>
            </w:pPr>
          </w:p>
        </w:tc>
        <w:tc>
          <w:tcPr>
            <w:tcW w:w="860" w:type="dxa"/>
            <w:vAlign w:val="bottom"/>
          </w:tcPr>
          <w:p>
            <w:pPr>
              <w:jc w:val="center"/>
              <w:ind w:right="34"/>
              <w:spacing w:after="0"/>
              <w:rPr>
                <w:sz w:val="20"/>
                <w:szCs w:val="20"/>
                <w:color w:val="auto"/>
              </w:rPr>
            </w:pPr>
            <w:r>
              <w:rPr>
                <w:rFonts w:ascii="Arial" w:cs="Arial" w:eastAsia="Arial" w:hAnsi="Arial"/>
                <w:sz w:val="14"/>
                <w:szCs w:val="14"/>
                <w:color w:val="auto"/>
              </w:rPr>
              <w:t>2/9/2022</w:t>
            </w:r>
          </w:p>
        </w:tc>
        <w:tc>
          <w:tcPr>
            <w:tcW w:w="1000" w:type="dxa"/>
            <w:vAlign w:val="bottom"/>
          </w:tcPr>
          <w:p>
            <w:pPr>
              <w:jc w:val="right"/>
              <w:ind w:right="14"/>
              <w:spacing w:after="0"/>
              <w:rPr>
                <w:sz w:val="20"/>
                <w:szCs w:val="20"/>
                <w:color w:val="auto"/>
              </w:rPr>
            </w:pPr>
            <w:r>
              <w:rPr>
                <w:rFonts w:ascii="Arial" w:cs="Arial" w:eastAsia="Arial" w:hAnsi="Arial"/>
                <w:sz w:val="14"/>
                <w:szCs w:val="14"/>
                <w:color w:val="auto"/>
              </w:rPr>
              <w:t>12/13/2021</w:t>
            </w: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4,185</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8,370</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14,648</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$1,925,000</w:t>
            </w:r>
          </w:p>
        </w:tc>
        <w:tc>
          <w:tcPr>
            <w:tcW w:w="0" w:type="dxa"/>
            <w:vAlign w:val="bottom"/>
          </w:tcPr>
          <w:p>
            <w:pPr>
              <w:spacing w:after="0"/>
              <w:rPr>
                <w:sz w:val="1"/>
                <w:szCs w:val="1"/>
                <w:color w:val="auto"/>
              </w:rPr>
            </w:pPr>
          </w:p>
        </w:tc>
      </w:tr>
      <w:tr>
        <w:trPr>
          <w:trHeight w:val="22"/>
        </w:trPr>
        <w:tc>
          <w:tcPr>
            <w:tcW w:w="480" w:type="dxa"/>
            <w:vAlign w:val="bottom"/>
            <w:shd w:val="clear" w:color="auto" w:fill="F2F2F2"/>
          </w:tcPr>
          <w:p>
            <w:pPr>
              <w:spacing w:after="0" w:line="20" w:lineRule="exact"/>
              <w:rPr>
                <w:sz w:val="1"/>
                <w:szCs w:val="1"/>
                <w:color w:val="auto"/>
              </w:rPr>
            </w:pPr>
          </w:p>
        </w:tc>
        <w:tc>
          <w:tcPr>
            <w:tcW w:w="900" w:type="dxa"/>
            <w:vAlign w:val="bottom"/>
            <w:shd w:val="clear" w:color="auto" w:fill="F2F2F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80" w:type="dxa"/>
            <w:vAlign w:val="bottom"/>
            <w:shd w:val="clear" w:color="auto" w:fill="F2F2F2"/>
          </w:tcPr>
          <w:p>
            <w:pPr>
              <w:spacing w:after="0"/>
              <w:rPr>
                <w:sz w:val="22"/>
                <w:szCs w:val="22"/>
                <w:color w:val="auto"/>
              </w:rPr>
            </w:pPr>
          </w:p>
        </w:tc>
        <w:tc>
          <w:tcPr>
            <w:tcW w:w="900" w:type="dxa"/>
            <w:vAlign w:val="bottom"/>
            <w:shd w:val="clear" w:color="auto" w:fill="F2F2F2"/>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shd w:val="clear" w:color="auto" w:fill="F2F2F2"/>
          </w:tcPr>
          <w:p>
            <w:pPr>
              <w:spacing w:after="0"/>
              <w:rPr>
                <w:sz w:val="22"/>
                <w:szCs w:val="22"/>
                <w:color w:val="auto"/>
              </w:rPr>
            </w:pPr>
          </w:p>
        </w:tc>
        <w:tc>
          <w:tcPr>
            <w:tcW w:w="1000" w:type="dxa"/>
            <w:vAlign w:val="bottom"/>
            <w:shd w:val="clear" w:color="auto" w:fill="F2F2F2"/>
          </w:tcPr>
          <w:p>
            <w:pPr>
              <w:spacing w:after="0"/>
              <w:rPr>
                <w:sz w:val="22"/>
                <w:szCs w:val="22"/>
                <w:color w:val="auto"/>
              </w:rPr>
            </w:pPr>
          </w:p>
        </w:tc>
        <w:tc>
          <w:tcPr>
            <w:tcW w:w="760" w:type="dxa"/>
            <w:vAlign w:val="bottom"/>
            <w:shd w:val="clear" w:color="auto" w:fill="F2F2F2"/>
          </w:tcPr>
          <w:p>
            <w:pPr>
              <w:spacing w:after="0"/>
              <w:rPr>
                <w:sz w:val="22"/>
                <w:szCs w:val="22"/>
                <w:color w:val="auto"/>
              </w:rPr>
            </w:pPr>
          </w:p>
        </w:tc>
        <w:tc>
          <w:tcPr>
            <w:tcW w:w="860" w:type="dxa"/>
            <w:vAlign w:val="bottom"/>
            <w:shd w:val="clear" w:color="auto" w:fill="F2F2F2"/>
          </w:tcPr>
          <w:p>
            <w:pPr>
              <w:spacing w:after="0"/>
              <w:rPr>
                <w:sz w:val="22"/>
                <w:szCs w:val="22"/>
                <w:color w:val="auto"/>
              </w:rPr>
            </w:pPr>
          </w:p>
        </w:tc>
        <w:tc>
          <w:tcPr>
            <w:tcW w:w="1600" w:type="dxa"/>
            <w:vAlign w:val="bottom"/>
            <w:shd w:val="clear" w:color="auto" w:fill="F2F2F2"/>
          </w:tcPr>
          <w:p>
            <w:pPr>
              <w:spacing w:after="0"/>
              <w:rPr>
                <w:sz w:val="22"/>
                <w:szCs w:val="22"/>
                <w:color w:val="auto"/>
              </w:rPr>
            </w:pPr>
          </w:p>
        </w:tc>
        <w:tc>
          <w:tcPr>
            <w:tcW w:w="760" w:type="dxa"/>
            <w:vAlign w:val="bottom"/>
            <w:shd w:val="clear" w:color="auto" w:fill="F2F2F2"/>
          </w:tcPr>
          <w:p>
            <w:pPr>
              <w:spacing w:after="0"/>
              <w:rPr>
                <w:sz w:val="22"/>
                <w:szCs w:val="22"/>
                <w:color w:val="auto"/>
              </w:rPr>
            </w:pPr>
          </w:p>
        </w:tc>
        <w:tc>
          <w:tcPr>
            <w:tcW w:w="700" w:type="dxa"/>
            <w:vAlign w:val="bottom"/>
            <w:shd w:val="clear" w:color="auto" w:fill="F2F2F2"/>
          </w:tcPr>
          <w:p>
            <w:pPr>
              <w:spacing w:after="0"/>
              <w:rPr>
                <w:sz w:val="22"/>
                <w:szCs w:val="22"/>
                <w:color w:val="auto"/>
              </w:rPr>
            </w:pPr>
          </w:p>
        </w:tc>
        <w:tc>
          <w:tcPr>
            <w:tcW w:w="880" w:type="dxa"/>
            <w:vAlign w:val="bottom"/>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1380" w:type="dxa"/>
            <w:vAlign w:val="bottom"/>
            <w:gridSpan w:val="2"/>
          </w:tcPr>
          <w:p>
            <w:pPr>
              <w:ind w:left="20"/>
              <w:spacing w:after="0"/>
              <w:rPr>
                <w:sz w:val="20"/>
                <w:szCs w:val="20"/>
                <w:color w:val="auto"/>
              </w:rPr>
            </w:pPr>
            <w:r>
              <w:rPr>
                <w:rFonts w:ascii="Arial" w:cs="Arial" w:eastAsia="Arial" w:hAnsi="Arial"/>
                <w:sz w:val="14"/>
                <w:szCs w:val="14"/>
                <w:color w:val="auto"/>
              </w:rPr>
              <w:t>Ms. Hakim</w:t>
            </w:r>
          </w:p>
        </w:tc>
        <w:tc>
          <w:tcPr>
            <w:tcW w:w="200" w:type="dxa"/>
            <w:vAlign w:val="bottom"/>
          </w:tcPr>
          <w:p>
            <w:pPr>
              <w:spacing w:after="0"/>
              <w:rPr>
                <w:sz w:val="20"/>
                <w:szCs w:val="20"/>
                <w:color w:val="auto"/>
              </w:rPr>
            </w:pPr>
          </w:p>
        </w:tc>
        <w:tc>
          <w:tcPr>
            <w:tcW w:w="860" w:type="dxa"/>
            <w:vAlign w:val="bottom"/>
          </w:tcPr>
          <w:p>
            <w:pPr>
              <w:jc w:val="center"/>
              <w:ind w:right="14"/>
              <w:spacing w:after="0"/>
              <w:rPr>
                <w:sz w:val="20"/>
                <w:szCs w:val="20"/>
                <w:color w:val="auto"/>
              </w:rPr>
            </w:pPr>
            <w:r>
              <w:rPr>
                <w:rFonts w:ascii="Arial" w:cs="Arial" w:eastAsia="Arial" w:hAnsi="Arial"/>
                <w:sz w:val="9"/>
                <w:szCs w:val="9"/>
                <w:color w:val="auto"/>
                <w:w w:val="99"/>
              </w:rPr>
              <w:t>__</w:t>
            </w:r>
          </w:p>
        </w:tc>
        <w:tc>
          <w:tcPr>
            <w:tcW w:w="1000" w:type="dxa"/>
            <w:vAlign w:val="bottom"/>
          </w:tcPr>
          <w:p>
            <w:pPr>
              <w:jc w:val="right"/>
              <w:ind w:right="454"/>
              <w:spacing w:after="0"/>
              <w:rPr>
                <w:sz w:val="20"/>
                <w:szCs w:val="20"/>
                <w:color w:val="auto"/>
              </w:rPr>
            </w:pPr>
            <w:r>
              <w:rPr>
                <w:rFonts w:ascii="Arial" w:cs="Arial" w:eastAsia="Arial" w:hAnsi="Arial"/>
                <w:sz w:val="9"/>
                <w:szCs w:val="9"/>
                <w:color w:val="auto"/>
              </w:rPr>
              <w:t>__</w:t>
            </w:r>
          </w:p>
        </w:tc>
        <w:tc>
          <w:tcPr>
            <w:tcW w:w="760" w:type="dxa"/>
            <w:vAlign w:val="bottom"/>
          </w:tcPr>
          <w:p>
            <w:pPr>
              <w:jc w:val="right"/>
              <w:spacing w:after="0"/>
              <w:rPr>
                <w:sz w:val="20"/>
                <w:szCs w:val="20"/>
                <w:color w:val="auto"/>
              </w:rPr>
            </w:pPr>
            <w:r>
              <w:rPr>
                <w:rFonts w:ascii="Arial" w:cs="Arial" w:eastAsia="Arial" w:hAnsi="Arial"/>
                <w:sz w:val="14"/>
                <w:szCs w:val="14"/>
                <w:color w:val="auto"/>
              </w:rPr>
              <w:t>$218,990</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$875,962</w:t>
            </w:r>
          </w:p>
        </w:tc>
        <w:tc>
          <w:tcPr>
            <w:tcW w:w="1600" w:type="dxa"/>
            <w:vAlign w:val="bottom"/>
          </w:tcPr>
          <w:p>
            <w:pPr>
              <w:jc w:val="right"/>
              <w:ind w:right="748"/>
              <w:spacing w:after="0"/>
              <w:rPr>
                <w:sz w:val="20"/>
                <w:szCs w:val="20"/>
                <w:color w:val="auto"/>
              </w:rPr>
            </w:pPr>
            <w:r>
              <w:rPr>
                <w:rFonts w:ascii="Arial" w:cs="Arial" w:eastAsia="Arial" w:hAnsi="Arial"/>
                <w:sz w:val="14"/>
                <w:szCs w:val="14"/>
                <w:color w:val="auto"/>
              </w:rPr>
              <w:t>$1,751,923</w:t>
            </w: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380" w:type="dxa"/>
            <w:vAlign w:val="bottom"/>
            <w:gridSpan w:val="2"/>
          </w:tcPr>
          <w:p>
            <w:pPr>
              <w:ind w:left="500"/>
              <w:spacing w:after="0"/>
              <w:rPr>
                <w:sz w:val="20"/>
                <w:szCs w:val="20"/>
                <w:color w:val="auto"/>
              </w:rPr>
            </w:pPr>
            <w:r>
              <w:rPr>
                <w:rFonts w:ascii="Arial" w:cs="Arial" w:eastAsia="Arial" w:hAnsi="Arial"/>
                <w:sz w:val="14"/>
                <w:szCs w:val="14"/>
                <w:color w:val="auto"/>
              </w:rPr>
              <w:t>2022-2024</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80" w:type="dxa"/>
            <w:vAlign w:val="bottom"/>
          </w:tcPr>
          <w:p>
            <w:pPr>
              <w:spacing w:after="0"/>
              <w:rPr>
                <w:sz w:val="16"/>
                <w:szCs w:val="16"/>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PA</w:t>
            </w:r>
          </w:p>
        </w:tc>
        <w:tc>
          <w:tcPr>
            <w:tcW w:w="200" w:type="dxa"/>
            <w:vAlign w:val="bottom"/>
          </w:tcPr>
          <w:p>
            <w:pPr>
              <w:jc w:val="right"/>
              <w:ind w:right="73"/>
              <w:spacing w:after="0"/>
              <w:rPr>
                <w:sz w:val="20"/>
                <w:szCs w:val="20"/>
                <w:color w:val="auto"/>
              </w:rPr>
            </w:pPr>
            <w:r>
              <w:rPr>
                <w:rFonts w:ascii="Arial" w:cs="Arial" w:eastAsia="Arial" w:hAnsi="Arial"/>
                <w:sz w:val="9"/>
                <w:szCs w:val="9"/>
                <w:color w:val="auto"/>
              </w:rPr>
              <w:t>3</w:t>
            </w:r>
          </w:p>
        </w:tc>
        <w:tc>
          <w:tcPr>
            <w:tcW w:w="860" w:type="dxa"/>
            <w:vAlign w:val="bottom"/>
          </w:tcPr>
          <w:p>
            <w:pPr>
              <w:jc w:val="center"/>
              <w:ind w:right="34"/>
              <w:spacing w:after="0"/>
              <w:rPr>
                <w:sz w:val="20"/>
                <w:szCs w:val="20"/>
                <w:color w:val="auto"/>
              </w:rPr>
            </w:pPr>
            <w:r>
              <w:rPr>
                <w:rFonts w:ascii="Arial" w:cs="Arial" w:eastAsia="Arial" w:hAnsi="Arial"/>
                <w:sz w:val="14"/>
                <w:szCs w:val="14"/>
                <w:color w:val="auto"/>
              </w:rPr>
              <w:t>2/9/2022</w:t>
            </w:r>
          </w:p>
        </w:tc>
        <w:tc>
          <w:tcPr>
            <w:tcW w:w="1000" w:type="dxa"/>
            <w:vAlign w:val="bottom"/>
          </w:tcPr>
          <w:p>
            <w:pPr>
              <w:jc w:val="right"/>
              <w:ind w:right="14"/>
              <w:spacing w:after="0"/>
              <w:rPr>
                <w:sz w:val="20"/>
                <w:szCs w:val="20"/>
                <w:color w:val="auto"/>
              </w:rPr>
            </w:pPr>
            <w:r>
              <w:rPr>
                <w:rFonts w:ascii="Arial" w:cs="Arial" w:eastAsia="Arial" w:hAnsi="Arial"/>
                <w:sz w:val="14"/>
                <w:szCs w:val="14"/>
                <w:color w:val="auto"/>
              </w:rPr>
              <w:t>12/13/2021</w:t>
            </w: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1,916</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3,831</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6,704</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$1,035,000</w:t>
            </w:r>
          </w:p>
        </w:tc>
        <w:tc>
          <w:tcPr>
            <w:tcW w:w="0" w:type="dxa"/>
            <w:vAlign w:val="bottom"/>
          </w:tcPr>
          <w:p>
            <w:pPr>
              <w:spacing w:after="0"/>
              <w:rPr>
                <w:sz w:val="1"/>
                <w:szCs w:val="1"/>
                <w:color w:val="auto"/>
              </w:rPr>
            </w:pPr>
          </w:p>
        </w:tc>
      </w:tr>
      <w:tr>
        <w:trPr>
          <w:trHeight w:val="215"/>
        </w:trPr>
        <w:tc>
          <w:tcPr>
            <w:tcW w:w="1380" w:type="dxa"/>
            <w:vAlign w:val="bottom"/>
            <w:gridSpan w:val="2"/>
          </w:tcPr>
          <w:p>
            <w:pPr>
              <w:ind w:left="500"/>
              <w:spacing w:after="0"/>
              <w:rPr>
                <w:sz w:val="20"/>
                <w:szCs w:val="20"/>
                <w:color w:val="auto"/>
              </w:rPr>
            </w:pPr>
            <w:r>
              <w:rPr>
                <w:rFonts w:ascii="Arial" w:cs="Arial" w:eastAsia="Arial" w:hAnsi="Arial"/>
                <w:sz w:val="14"/>
                <w:szCs w:val="14"/>
                <w:color w:val="auto"/>
              </w:rPr>
              <w:t>2022-2024</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80" w:type="dxa"/>
            <w:vAlign w:val="bottom"/>
          </w:tcPr>
          <w:p>
            <w:pPr>
              <w:spacing w:after="0"/>
              <w:rPr>
                <w:sz w:val="16"/>
                <w:szCs w:val="16"/>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SVA</w:t>
            </w:r>
          </w:p>
        </w:tc>
        <w:tc>
          <w:tcPr>
            <w:tcW w:w="200" w:type="dxa"/>
            <w:vAlign w:val="bottom"/>
          </w:tcPr>
          <w:p>
            <w:pPr>
              <w:jc w:val="right"/>
              <w:ind w:right="73"/>
              <w:spacing w:after="0"/>
              <w:rPr>
                <w:sz w:val="20"/>
                <w:szCs w:val="20"/>
                <w:color w:val="auto"/>
              </w:rPr>
            </w:pPr>
            <w:r>
              <w:rPr>
                <w:rFonts w:ascii="Arial" w:cs="Arial" w:eastAsia="Arial" w:hAnsi="Arial"/>
                <w:sz w:val="9"/>
                <w:szCs w:val="9"/>
                <w:color w:val="auto"/>
              </w:rPr>
              <w:t>4</w:t>
            </w:r>
          </w:p>
        </w:tc>
        <w:tc>
          <w:tcPr>
            <w:tcW w:w="860" w:type="dxa"/>
            <w:vAlign w:val="bottom"/>
          </w:tcPr>
          <w:p>
            <w:pPr>
              <w:jc w:val="center"/>
              <w:ind w:right="34"/>
              <w:spacing w:after="0"/>
              <w:rPr>
                <w:sz w:val="20"/>
                <w:szCs w:val="20"/>
                <w:color w:val="auto"/>
              </w:rPr>
            </w:pPr>
            <w:r>
              <w:rPr>
                <w:rFonts w:ascii="Arial" w:cs="Arial" w:eastAsia="Arial" w:hAnsi="Arial"/>
                <w:sz w:val="14"/>
                <w:szCs w:val="14"/>
                <w:color w:val="auto"/>
              </w:rPr>
              <w:t>2/9/2022</w:t>
            </w:r>
          </w:p>
        </w:tc>
        <w:tc>
          <w:tcPr>
            <w:tcW w:w="1000" w:type="dxa"/>
            <w:vAlign w:val="bottom"/>
          </w:tcPr>
          <w:p>
            <w:pPr>
              <w:jc w:val="right"/>
              <w:ind w:right="14"/>
              <w:spacing w:after="0"/>
              <w:rPr>
                <w:sz w:val="20"/>
                <w:szCs w:val="20"/>
                <w:color w:val="auto"/>
              </w:rPr>
            </w:pPr>
            <w:r>
              <w:rPr>
                <w:rFonts w:ascii="Arial" w:cs="Arial" w:eastAsia="Arial" w:hAnsi="Arial"/>
                <w:sz w:val="14"/>
                <w:szCs w:val="14"/>
                <w:color w:val="auto"/>
              </w:rPr>
              <w:t>12/13/2021</w:t>
            </w: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2,988</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5,976</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10,458</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$1,050,000</w:t>
            </w:r>
          </w:p>
        </w:tc>
        <w:tc>
          <w:tcPr>
            <w:tcW w:w="0" w:type="dxa"/>
            <w:vAlign w:val="bottom"/>
          </w:tcPr>
          <w:p>
            <w:pPr>
              <w:spacing w:after="0"/>
              <w:rPr>
                <w:sz w:val="1"/>
                <w:szCs w:val="1"/>
                <w:color w:val="auto"/>
              </w:rPr>
            </w:pPr>
          </w:p>
        </w:tc>
      </w:tr>
      <w:tr>
        <w:trPr>
          <w:trHeight w:val="215"/>
        </w:trPr>
        <w:tc>
          <w:tcPr>
            <w:tcW w:w="1380" w:type="dxa"/>
            <w:vAlign w:val="bottom"/>
            <w:gridSpan w:val="2"/>
          </w:tcPr>
          <w:p>
            <w:pPr>
              <w:ind w:left="500"/>
              <w:spacing w:after="0"/>
              <w:rPr>
                <w:sz w:val="20"/>
                <w:szCs w:val="20"/>
                <w:color w:val="auto"/>
              </w:rPr>
            </w:pPr>
            <w:r>
              <w:rPr>
                <w:rFonts w:ascii="Arial" w:cs="Arial" w:eastAsia="Arial" w:hAnsi="Arial"/>
                <w:sz w:val="14"/>
                <w:szCs w:val="14"/>
                <w:color w:val="auto"/>
              </w:rPr>
              <w:t>2022-2024</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80" w:type="dxa"/>
            <w:vAlign w:val="bottom"/>
          </w:tcPr>
          <w:p>
            <w:pPr>
              <w:spacing w:after="0"/>
              <w:rPr>
                <w:sz w:val="16"/>
                <w:szCs w:val="16"/>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RVA</w:t>
            </w:r>
          </w:p>
        </w:tc>
        <w:tc>
          <w:tcPr>
            <w:tcW w:w="200" w:type="dxa"/>
            <w:vAlign w:val="bottom"/>
          </w:tcPr>
          <w:p>
            <w:pPr>
              <w:jc w:val="right"/>
              <w:ind w:right="73"/>
              <w:spacing w:after="0"/>
              <w:rPr>
                <w:sz w:val="20"/>
                <w:szCs w:val="20"/>
                <w:color w:val="auto"/>
              </w:rPr>
            </w:pPr>
            <w:r>
              <w:rPr>
                <w:rFonts w:ascii="Arial" w:cs="Arial" w:eastAsia="Arial" w:hAnsi="Arial"/>
                <w:sz w:val="9"/>
                <w:szCs w:val="9"/>
                <w:color w:val="auto"/>
              </w:rPr>
              <w:t>5</w:t>
            </w:r>
          </w:p>
        </w:tc>
        <w:tc>
          <w:tcPr>
            <w:tcW w:w="860" w:type="dxa"/>
            <w:vAlign w:val="bottom"/>
          </w:tcPr>
          <w:p>
            <w:pPr>
              <w:jc w:val="center"/>
              <w:ind w:right="34"/>
              <w:spacing w:after="0"/>
              <w:rPr>
                <w:sz w:val="20"/>
                <w:szCs w:val="20"/>
                <w:color w:val="auto"/>
              </w:rPr>
            </w:pPr>
            <w:r>
              <w:rPr>
                <w:rFonts w:ascii="Arial" w:cs="Arial" w:eastAsia="Arial" w:hAnsi="Arial"/>
                <w:sz w:val="14"/>
                <w:szCs w:val="14"/>
                <w:color w:val="auto"/>
              </w:rPr>
              <w:t>2/9/2022</w:t>
            </w:r>
          </w:p>
        </w:tc>
        <w:tc>
          <w:tcPr>
            <w:tcW w:w="1000" w:type="dxa"/>
            <w:vAlign w:val="bottom"/>
          </w:tcPr>
          <w:p>
            <w:pPr>
              <w:jc w:val="right"/>
              <w:ind w:right="14"/>
              <w:spacing w:after="0"/>
              <w:rPr>
                <w:sz w:val="20"/>
                <w:szCs w:val="20"/>
                <w:color w:val="auto"/>
              </w:rPr>
            </w:pPr>
            <w:r>
              <w:rPr>
                <w:rFonts w:ascii="Arial" w:cs="Arial" w:eastAsia="Arial" w:hAnsi="Arial"/>
                <w:sz w:val="14"/>
                <w:szCs w:val="14"/>
                <w:color w:val="auto"/>
              </w:rPr>
              <w:t>12/13/2021</w:t>
            </w: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2,283</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4,565</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7,989</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$1,050,000</w:t>
            </w:r>
          </w:p>
        </w:tc>
        <w:tc>
          <w:tcPr>
            <w:tcW w:w="0" w:type="dxa"/>
            <w:vAlign w:val="bottom"/>
          </w:tcPr>
          <w:p>
            <w:pPr>
              <w:spacing w:after="0"/>
              <w:rPr>
                <w:sz w:val="1"/>
                <w:szCs w:val="1"/>
                <w:color w:val="auto"/>
              </w:rPr>
            </w:pPr>
          </w:p>
        </w:tc>
      </w:tr>
      <w:tr>
        <w:trPr>
          <w:trHeight w:val="278"/>
        </w:trPr>
        <w:tc>
          <w:tcPr>
            <w:tcW w:w="138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380" w:type="dxa"/>
            <w:vAlign w:val="bottom"/>
            <w:gridSpan w:val="2"/>
            <w:shd w:val="clear" w:color="auto" w:fill="F2F2F2"/>
          </w:tcPr>
          <w:p>
            <w:pPr>
              <w:ind w:left="20"/>
              <w:spacing w:after="0"/>
              <w:rPr>
                <w:sz w:val="20"/>
                <w:szCs w:val="20"/>
                <w:color w:val="auto"/>
              </w:rPr>
            </w:pPr>
            <w:r>
              <w:rPr>
                <w:rFonts w:ascii="Arial" w:cs="Arial" w:eastAsia="Arial" w:hAnsi="Arial"/>
                <w:sz w:val="14"/>
                <w:szCs w:val="14"/>
                <w:color w:val="auto"/>
              </w:rPr>
              <w:t>Mr. Jonsson</w:t>
            </w:r>
          </w:p>
        </w:tc>
        <w:tc>
          <w:tcPr>
            <w:tcW w:w="200" w:type="dxa"/>
            <w:vAlign w:val="bottom"/>
            <w:shd w:val="clear" w:color="auto" w:fill="F2F2F2"/>
          </w:tcPr>
          <w:p>
            <w:pPr>
              <w:spacing w:after="0"/>
              <w:rPr>
                <w:sz w:val="20"/>
                <w:szCs w:val="20"/>
                <w:color w:val="auto"/>
              </w:rPr>
            </w:pPr>
          </w:p>
        </w:tc>
        <w:tc>
          <w:tcPr>
            <w:tcW w:w="860" w:type="dxa"/>
            <w:vAlign w:val="bottom"/>
            <w:shd w:val="clear" w:color="auto" w:fill="F2F2F2"/>
          </w:tcPr>
          <w:p>
            <w:pPr>
              <w:jc w:val="center"/>
              <w:ind w:right="14"/>
              <w:spacing w:after="0"/>
              <w:rPr>
                <w:sz w:val="20"/>
                <w:szCs w:val="20"/>
                <w:color w:val="auto"/>
              </w:rPr>
            </w:pPr>
            <w:r>
              <w:rPr>
                <w:rFonts w:ascii="Arial" w:cs="Arial" w:eastAsia="Arial" w:hAnsi="Arial"/>
                <w:sz w:val="9"/>
                <w:szCs w:val="9"/>
                <w:color w:val="auto"/>
                <w:w w:val="99"/>
              </w:rPr>
              <w:t>__</w:t>
            </w:r>
          </w:p>
        </w:tc>
        <w:tc>
          <w:tcPr>
            <w:tcW w:w="1000" w:type="dxa"/>
            <w:vAlign w:val="bottom"/>
            <w:shd w:val="clear" w:color="auto" w:fill="F2F2F2"/>
          </w:tcPr>
          <w:p>
            <w:pPr>
              <w:jc w:val="right"/>
              <w:ind w:right="454"/>
              <w:spacing w:after="0"/>
              <w:rPr>
                <w:sz w:val="20"/>
                <w:szCs w:val="20"/>
                <w:color w:val="auto"/>
              </w:rPr>
            </w:pPr>
            <w:r>
              <w:rPr>
                <w:rFonts w:ascii="Arial" w:cs="Arial" w:eastAsia="Arial" w:hAnsi="Arial"/>
                <w:sz w:val="9"/>
                <w:szCs w:val="9"/>
                <w:color w:val="auto"/>
              </w:rPr>
              <w:t>__</w:t>
            </w:r>
          </w:p>
        </w:tc>
        <w:tc>
          <w:tcPr>
            <w:tcW w:w="7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$185,096</w:t>
            </w:r>
          </w:p>
        </w:tc>
        <w:tc>
          <w:tcPr>
            <w:tcW w:w="8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$740,385</w:t>
            </w:r>
          </w:p>
        </w:tc>
        <w:tc>
          <w:tcPr>
            <w:tcW w:w="1600" w:type="dxa"/>
            <w:vAlign w:val="bottom"/>
            <w:shd w:val="clear" w:color="auto" w:fill="F2F2F2"/>
          </w:tcPr>
          <w:p>
            <w:pPr>
              <w:jc w:val="right"/>
              <w:ind w:right="748"/>
              <w:spacing w:after="0"/>
              <w:rPr>
                <w:sz w:val="20"/>
                <w:szCs w:val="20"/>
                <w:color w:val="auto"/>
              </w:rPr>
            </w:pPr>
            <w:r>
              <w:rPr>
                <w:rFonts w:ascii="Arial" w:cs="Arial" w:eastAsia="Arial" w:hAnsi="Arial"/>
                <w:sz w:val="14"/>
                <w:szCs w:val="14"/>
                <w:color w:val="auto"/>
              </w:rPr>
              <w:t>$1,480,769</w:t>
            </w:r>
          </w:p>
        </w:tc>
        <w:tc>
          <w:tcPr>
            <w:tcW w:w="760" w:type="dxa"/>
            <w:vAlign w:val="bottom"/>
            <w:shd w:val="clear" w:color="auto" w:fill="F2F2F2"/>
          </w:tcPr>
          <w:p>
            <w:pPr>
              <w:spacing w:after="0"/>
              <w:rPr>
                <w:sz w:val="20"/>
                <w:szCs w:val="20"/>
                <w:color w:val="auto"/>
              </w:rPr>
            </w:pPr>
          </w:p>
        </w:tc>
        <w:tc>
          <w:tcPr>
            <w:tcW w:w="700" w:type="dxa"/>
            <w:vAlign w:val="bottom"/>
            <w:shd w:val="clear" w:color="auto" w:fill="F2F2F2"/>
          </w:tcPr>
          <w:p>
            <w:pPr>
              <w:spacing w:after="0"/>
              <w:rPr>
                <w:sz w:val="20"/>
                <w:szCs w:val="20"/>
                <w:color w:val="auto"/>
              </w:rPr>
            </w:pPr>
          </w:p>
        </w:tc>
        <w:tc>
          <w:tcPr>
            <w:tcW w:w="88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80" w:type="dxa"/>
            <w:vAlign w:val="bottom"/>
            <w:shd w:val="clear" w:color="auto" w:fill="F2F2F2"/>
          </w:tcPr>
          <w:p>
            <w:pPr>
              <w:spacing w:after="0"/>
              <w:rPr>
                <w:sz w:val="18"/>
                <w:szCs w:val="18"/>
                <w:color w:val="auto"/>
              </w:rPr>
            </w:pPr>
          </w:p>
        </w:tc>
        <w:tc>
          <w:tcPr>
            <w:tcW w:w="900" w:type="dxa"/>
            <w:vAlign w:val="bottom"/>
            <w:shd w:val="clear" w:color="auto" w:fill="F2F2F2"/>
          </w:tcPr>
          <w:p>
            <w:pPr>
              <w:ind w:left="20"/>
              <w:spacing w:after="0"/>
              <w:rPr>
                <w:sz w:val="20"/>
                <w:szCs w:val="20"/>
                <w:color w:val="auto"/>
              </w:rPr>
            </w:pPr>
            <w:r>
              <w:rPr>
                <w:rFonts w:ascii="Arial" w:cs="Arial" w:eastAsia="Arial" w:hAnsi="Arial"/>
                <w:sz w:val="14"/>
                <w:szCs w:val="14"/>
                <w:color w:val="auto"/>
              </w:rPr>
              <w:t>2022-2024</w:t>
            </w:r>
          </w:p>
        </w:tc>
        <w:tc>
          <w:tcPr>
            <w:tcW w:w="200" w:type="dxa"/>
            <w:vAlign w:val="bottom"/>
            <w:shd w:val="clear" w:color="auto" w:fill="F2F2F2"/>
          </w:tcPr>
          <w:p>
            <w:pPr>
              <w:spacing w:after="0"/>
              <w:rPr>
                <w:sz w:val="18"/>
                <w:szCs w:val="18"/>
                <w:color w:val="auto"/>
              </w:rPr>
            </w:pPr>
          </w:p>
        </w:tc>
        <w:tc>
          <w:tcPr>
            <w:tcW w:w="860" w:type="dxa"/>
            <w:vAlign w:val="bottom"/>
            <w:shd w:val="clear" w:color="auto" w:fill="F2F2F2"/>
          </w:tcPr>
          <w:p>
            <w:pPr>
              <w:spacing w:after="0"/>
              <w:rPr>
                <w:sz w:val="18"/>
                <w:szCs w:val="18"/>
                <w:color w:val="auto"/>
              </w:rPr>
            </w:pPr>
          </w:p>
        </w:tc>
        <w:tc>
          <w:tcPr>
            <w:tcW w:w="1000" w:type="dxa"/>
            <w:vAlign w:val="bottom"/>
            <w:shd w:val="clear" w:color="auto" w:fill="F2F2F2"/>
          </w:tcPr>
          <w:p>
            <w:pPr>
              <w:spacing w:after="0"/>
              <w:rPr>
                <w:sz w:val="18"/>
                <w:szCs w:val="18"/>
                <w:color w:val="auto"/>
              </w:rPr>
            </w:pPr>
          </w:p>
        </w:tc>
        <w:tc>
          <w:tcPr>
            <w:tcW w:w="760" w:type="dxa"/>
            <w:vAlign w:val="bottom"/>
            <w:shd w:val="clear" w:color="auto" w:fill="F2F2F2"/>
          </w:tcPr>
          <w:p>
            <w:pPr>
              <w:spacing w:after="0"/>
              <w:rPr>
                <w:sz w:val="18"/>
                <w:szCs w:val="18"/>
                <w:color w:val="auto"/>
              </w:rPr>
            </w:pPr>
          </w:p>
        </w:tc>
        <w:tc>
          <w:tcPr>
            <w:tcW w:w="860" w:type="dxa"/>
            <w:vAlign w:val="bottom"/>
            <w:shd w:val="clear" w:color="auto" w:fill="F2F2F2"/>
          </w:tcPr>
          <w:p>
            <w:pPr>
              <w:spacing w:after="0"/>
              <w:rPr>
                <w:sz w:val="18"/>
                <w:szCs w:val="18"/>
                <w:color w:val="auto"/>
              </w:rPr>
            </w:pPr>
          </w:p>
        </w:tc>
        <w:tc>
          <w:tcPr>
            <w:tcW w:w="1600" w:type="dxa"/>
            <w:vAlign w:val="bottom"/>
            <w:shd w:val="clear" w:color="auto" w:fill="F2F2F2"/>
          </w:tcPr>
          <w:p>
            <w:pPr>
              <w:spacing w:after="0"/>
              <w:rPr>
                <w:sz w:val="18"/>
                <w:szCs w:val="18"/>
                <w:color w:val="auto"/>
              </w:rPr>
            </w:pPr>
          </w:p>
        </w:tc>
        <w:tc>
          <w:tcPr>
            <w:tcW w:w="760" w:type="dxa"/>
            <w:vAlign w:val="bottom"/>
            <w:shd w:val="clear" w:color="auto" w:fill="F2F2F2"/>
          </w:tcPr>
          <w:p>
            <w:pPr>
              <w:spacing w:after="0"/>
              <w:rPr>
                <w:sz w:val="18"/>
                <w:szCs w:val="18"/>
                <w:color w:val="auto"/>
              </w:rPr>
            </w:pPr>
          </w:p>
        </w:tc>
        <w:tc>
          <w:tcPr>
            <w:tcW w:w="700" w:type="dxa"/>
            <w:vAlign w:val="bottom"/>
            <w:shd w:val="clear" w:color="auto" w:fill="F2F2F2"/>
          </w:tcPr>
          <w:p>
            <w:pPr>
              <w:spacing w:after="0"/>
              <w:rPr>
                <w:sz w:val="18"/>
                <w:szCs w:val="18"/>
                <w:color w:val="auto"/>
              </w:rPr>
            </w:pPr>
          </w:p>
        </w:tc>
        <w:tc>
          <w:tcPr>
            <w:tcW w:w="88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80" w:type="dxa"/>
            <w:vAlign w:val="bottom"/>
            <w:shd w:val="clear" w:color="auto" w:fill="F2F2F2"/>
          </w:tcPr>
          <w:p>
            <w:pPr>
              <w:spacing w:after="0"/>
              <w:rPr>
                <w:sz w:val="16"/>
                <w:szCs w:val="16"/>
                <w:color w:val="auto"/>
              </w:rPr>
            </w:pPr>
          </w:p>
        </w:tc>
        <w:tc>
          <w:tcPr>
            <w:tcW w:w="900" w:type="dxa"/>
            <w:vAlign w:val="bottom"/>
            <w:shd w:val="clear" w:color="auto" w:fill="F2F2F2"/>
          </w:tcPr>
          <w:p>
            <w:pPr>
              <w:ind w:left="20"/>
              <w:spacing w:after="0"/>
              <w:rPr>
                <w:sz w:val="20"/>
                <w:szCs w:val="20"/>
                <w:color w:val="auto"/>
              </w:rPr>
            </w:pPr>
            <w:r>
              <w:rPr>
                <w:rFonts w:ascii="Arial" w:cs="Arial" w:eastAsia="Arial" w:hAnsi="Arial"/>
                <w:sz w:val="14"/>
                <w:szCs w:val="14"/>
                <w:color w:val="auto"/>
              </w:rPr>
              <w:t>PA</w:t>
            </w:r>
          </w:p>
        </w:tc>
        <w:tc>
          <w:tcPr>
            <w:tcW w:w="200" w:type="dxa"/>
            <w:vAlign w:val="bottom"/>
            <w:shd w:val="clear" w:color="auto" w:fill="F2F2F2"/>
          </w:tcPr>
          <w:p>
            <w:pPr>
              <w:jc w:val="right"/>
              <w:ind w:right="73"/>
              <w:spacing w:after="0"/>
              <w:rPr>
                <w:sz w:val="20"/>
                <w:szCs w:val="20"/>
                <w:color w:val="auto"/>
              </w:rPr>
            </w:pPr>
            <w:r>
              <w:rPr>
                <w:rFonts w:ascii="Arial" w:cs="Arial" w:eastAsia="Arial" w:hAnsi="Arial"/>
                <w:sz w:val="9"/>
                <w:szCs w:val="9"/>
                <w:color w:val="auto"/>
              </w:rPr>
              <w:t>3</w:t>
            </w:r>
          </w:p>
        </w:tc>
        <w:tc>
          <w:tcPr>
            <w:tcW w:w="860" w:type="dxa"/>
            <w:vAlign w:val="bottom"/>
            <w:shd w:val="clear" w:color="auto" w:fill="F2F2F2"/>
          </w:tcPr>
          <w:p>
            <w:pPr>
              <w:jc w:val="center"/>
              <w:ind w:right="34"/>
              <w:spacing w:after="0"/>
              <w:rPr>
                <w:sz w:val="20"/>
                <w:szCs w:val="20"/>
                <w:color w:val="auto"/>
              </w:rPr>
            </w:pPr>
            <w:r>
              <w:rPr>
                <w:rFonts w:ascii="Arial" w:cs="Arial" w:eastAsia="Arial" w:hAnsi="Arial"/>
                <w:sz w:val="14"/>
                <w:szCs w:val="14"/>
                <w:color w:val="auto"/>
              </w:rPr>
              <w:t>2/9/2022</w:t>
            </w:r>
          </w:p>
        </w:tc>
        <w:tc>
          <w:tcPr>
            <w:tcW w:w="1000" w:type="dxa"/>
            <w:vAlign w:val="bottom"/>
            <w:shd w:val="clear" w:color="auto" w:fill="F2F2F2"/>
          </w:tcPr>
          <w:p>
            <w:pPr>
              <w:jc w:val="right"/>
              <w:ind w:right="14"/>
              <w:spacing w:after="0"/>
              <w:rPr>
                <w:sz w:val="20"/>
                <w:szCs w:val="20"/>
                <w:color w:val="auto"/>
              </w:rPr>
            </w:pPr>
            <w:r>
              <w:rPr>
                <w:rFonts w:ascii="Arial" w:cs="Arial" w:eastAsia="Arial" w:hAnsi="Arial"/>
                <w:sz w:val="14"/>
                <w:szCs w:val="14"/>
                <w:color w:val="auto"/>
              </w:rPr>
              <w:t>12/13/2021</w:t>
            </w:r>
          </w:p>
        </w:tc>
        <w:tc>
          <w:tcPr>
            <w:tcW w:w="760" w:type="dxa"/>
            <w:vAlign w:val="bottom"/>
            <w:shd w:val="clear" w:color="auto" w:fill="F2F2F2"/>
          </w:tcPr>
          <w:p>
            <w:pPr>
              <w:spacing w:after="0"/>
              <w:rPr>
                <w:sz w:val="16"/>
                <w:szCs w:val="16"/>
                <w:color w:val="auto"/>
              </w:rPr>
            </w:pPr>
          </w:p>
        </w:tc>
        <w:tc>
          <w:tcPr>
            <w:tcW w:w="860" w:type="dxa"/>
            <w:vAlign w:val="bottom"/>
            <w:shd w:val="clear" w:color="auto" w:fill="F2F2F2"/>
          </w:tcPr>
          <w:p>
            <w:pPr>
              <w:spacing w:after="0"/>
              <w:rPr>
                <w:sz w:val="16"/>
                <w:szCs w:val="16"/>
                <w:color w:val="auto"/>
              </w:rPr>
            </w:pPr>
          </w:p>
        </w:tc>
        <w:tc>
          <w:tcPr>
            <w:tcW w:w="160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1,341</w:t>
            </w:r>
          </w:p>
        </w:tc>
        <w:tc>
          <w:tcPr>
            <w:tcW w:w="760" w:type="dxa"/>
            <w:vAlign w:val="bottom"/>
            <w:shd w:val="clear" w:color="auto" w:fill="F2F2F2"/>
          </w:tcPr>
          <w:p>
            <w:pPr>
              <w:jc w:val="right"/>
              <w:ind w:right="108"/>
              <w:spacing w:after="0"/>
              <w:rPr>
                <w:sz w:val="20"/>
                <w:szCs w:val="20"/>
                <w:color w:val="auto"/>
              </w:rPr>
            </w:pPr>
            <w:r>
              <w:rPr>
                <w:rFonts w:ascii="Arial" w:cs="Arial" w:eastAsia="Arial" w:hAnsi="Arial"/>
                <w:sz w:val="14"/>
                <w:szCs w:val="14"/>
                <w:color w:val="auto"/>
              </w:rPr>
              <w:t>1,277</w:t>
            </w:r>
          </w:p>
        </w:tc>
        <w:tc>
          <w:tcPr>
            <w:tcW w:w="70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1,277</w:t>
            </w:r>
          </w:p>
        </w:tc>
        <w:tc>
          <w:tcPr>
            <w:tcW w:w="88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$724,500</w:t>
            </w:r>
          </w:p>
        </w:tc>
        <w:tc>
          <w:tcPr>
            <w:tcW w:w="0" w:type="dxa"/>
            <w:vAlign w:val="bottom"/>
          </w:tcPr>
          <w:p>
            <w:pPr>
              <w:spacing w:after="0"/>
              <w:rPr>
                <w:sz w:val="1"/>
                <w:szCs w:val="1"/>
                <w:color w:val="auto"/>
              </w:rPr>
            </w:pPr>
          </w:p>
        </w:tc>
      </w:tr>
      <w:tr>
        <w:trPr>
          <w:trHeight w:val="215"/>
        </w:trPr>
        <w:tc>
          <w:tcPr>
            <w:tcW w:w="480" w:type="dxa"/>
            <w:vAlign w:val="bottom"/>
            <w:shd w:val="clear" w:color="auto" w:fill="F2F2F2"/>
          </w:tcPr>
          <w:p>
            <w:pPr>
              <w:spacing w:after="0"/>
              <w:rPr>
                <w:sz w:val="18"/>
                <w:szCs w:val="18"/>
                <w:color w:val="auto"/>
              </w:rPr>
            </w:pPr>
          </w:p>
        </w:tc>
        <w:tc>
          <w:tcPr>
            <w:tcW w:w="900" w:type="dxa"/>
            <w:vAlign w:val="bottom"/>
            <w:shd w:val="clear" w:color="auto" w:fill="F2F2F2"/>
          </w:tcPr>
          <w:p>
            <w:pPr>
              <w:ind w:left="20"/>
              <w:spacing w:after="0"/>
              <w:rPr>
                <w:sz w:val="20"/>
                <w:szCs w:val="20"/>
                <w:color w:val="auto"/>
              </w:rPr>
            </w:pPr>
            <w:r>
              <w:rPr>
                <w:rFonts w:ascii="Arial" w:cs="Arial" w:eastAsia="Arial" w:hAnsi="Arial"/>
                <w:sz w:val="14"/>
                <w:szCs w:val="14"/>
                <w:color w:val="auto"/>
              </w:rPr>
              <w:t>2022-2024</w:t>
            </w:r>
          </w:p>
        </w:tc>
        <w:tc>
          <w:tcPr>
            <w:tcW w:w="200" w:type="dxa"/>
            <w:vAlign w:val="bottom"/>
            <w:shd w:val="clear" w:color="auto" w:fill="F2F2F2"/>
          </w:tcPr>
          <w:p>
            <w:pPr>
              <w:spacing w:after="0"/>
              <w:rPr>
                <w:sz w:val="18"/>
                <w:szCs w:val="18"/>
                <w:color w:val="auto"/>
              </w:rPr>
            </w:pPr>
          </w:p>
        </w:tc>
        <w:tc>
          <w:tcPr>
            <w:tcW w:w="860" w:type="dxa"/>
            <w:vAlign w:val="bottom"/>
            <w:shd w:val="clear" w:color="auto" w:fill="F2F2F2"/>
          </w:tcPr>
          <w:p>
            <w:pPr>
              <w:spacing w:after="0"/>
              <w:rPr>
                <w:sz w:val="18"/>
                <w:szCs w:val="18"/>
                <w:color w:val="auto"/>
              </w:rPr>
            </w:pPr>
          </w:p>
        </w:tc>
        <w:tc>
          <w:tcPr>
            <w:tcW w:w="1000" w:type="dxa"/>
            <w:vAlign w:val="bottom"/>
            <w:shd w:val="clear" w:color="auto" w:fill="F2F2F2"/>
          </w:tcPr>
          <w:p>
            <w:pPr>
              <w:spacing w:after="0"/>
              <w:rPr>
                <w:sz w:val="18"/>
                <w:szCs w:val="18"/>
                <w:color w:val="auto"/>
              </w:rPr>
            </w:pPr>
          </w:p>
        </w:tc>
        <w:tc>
          <w:tcPr>
            <w:tcW w:w="760" w:type="dxa"/>
            <w:vAlign w:val="bottom"/>
            <w:shd w:val="clear" w:color="auto" w:fill="F2F2F2"/>
          </w:tcPr>
          <w:p>
            <w:pPr>
              <w:spacing w:after="0"/>
              <w:rPr>
                <w:sz w:val="18"/>
                <w:szCs w:val="18"/>
                <w:color w:val="auto"/>
              </w:rPr>
            </w:pPr>
          </w:p>
        </w:tc>
        <w:tc>
          <w:tcPr>
            <w:tcW w:w="860" w:type="dxa"/>
            <w:vAlign w:val="bottom"/>
            <w:shd w:val="clear" w:color="auto" w:fill="F2F2F2"/>
          </w:tcPr>
          <w:p>
            <w:pPr>
              <w:spacing w:after="0"/>
              <w:rPr>
                <w:sz w:val="18"/>
                <w:szCs w:val="18"/>
                <w:color w:val="auto"/>
              </w:rPr>
            </w:pPr>
          </w:p>
        </w:tc>
        <w:tc>
          <w:tcPr>
            <w:tcW w:w="1600" w:type="dxa"/>
            <w:vAlign w:val="bottom"/>
            <w:shd w:val="clear" w:color="auto" w:fill="F2F2F2"/>
          </w:tcPr>
          <w:p>
            <w:pPr>
              <w:spacing w:after="0"/>
              <w:rPr>
                <w:sz w:val="18"/>
                <w:szCs w:val="18"/>
                <w:color w:val="auto"/>
              </w:rPr>
            </w:pPr>
          </w:p>
        </w:tc>
        <w:tc>
          <w:tcPr>
            <w:tcW w:w="760" w:type="dxa"/>
            <w:vAlign w:val="bottom"/>
            <w:shd w:val="clear" w:color="auto" w:fill="F2F2F2"/>
          </w:tcPr>
          <w:p>
            <w:pPr>
              <w:spacing w:after="0"/>
              <w:rPr>
                <w:sz w:val="18"/>
                <w:szCs w:val="18"/>
                <w:color w:val="auto"/>
              </w:rPr>
            </w:pPr>
          </w:p>
        </w:tc>
        <w:tc>
          <w:tcPr>
            <w:tcW w:w="700" w:type="dxa"/>
            <w:vAlign w:val="bottom"/>
            <w:shd w:val="clear" w:color="auto" w:fill="F2F2F2"/>
          </w:tcPr>
          <w:p>
            <w:pPr>
              <w:spacing w:after="0"/>
              <w:rPr>
                <w:sz w:val="18"/>
                <w:szCs w:val="18"/>
                <w:color w:val="auto"/>
              </w:rPr>
            </w:pPr>
          </w:p>
        </w:tc>
        <w:tc>
          <w:tcPr>
            <w:tcW w:w="88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80" w:type="dxa"/>
            <w:vAlign w:val="bottom"/>
            <w:shd w:val="clear" w:color="auto" w:fill="F2F2F2"/>
          </w:tcPr>
          <w:p>
            <w:pPr>
              <w:spacing w:after="0"/>
              <w:rPr>
                <w:sz w:val="16"/>
                <w:szCs w:val="16"/>
                <w:color w:val="auto"/>
              </w:rPr>
            </w:pPr>
          </w:p>
        </w:tc>
        <w:tc>
          <w:tcPr>
            <w:tcW w:w="900" w:type="dxa"/>
            <w:vAlign w:val="bottom"/>
            <w:shd w:val="clear" w:color="auto" w:fill="F2F2F2"/>
          </w:tcPr>
          <w:p>
            <w:pPr>
              <w:ind w:left="20"/>
              <w:spacing w:after="0"/>
              <w:rPr>
                <w:sz w:val="20"/>
                <w:szCs w:val="20"/>
                <w:color w:val="auto"/>
              </w:rPr>
            </w:pPr>
            <w:r>
              <w:rPr>
                <w:rFonts w:ascii="Arial" w:cs="Arial" w:eastAsia="Arial" w:hAnsi="Arial"/>
                <w:sz w:val="14"/>
                <w:szCs w:val="14"/>
                <w:color w:val="auto"/>
              </w:rPr>
              <w:t>SVA</w:t>
            </w:r>
          </w:p>
        </w:tc>
        <w:tc>
          <w:tcPr>
            <w:tcW w:w="200" w:type="dxa"/>
            <w:vAlign w:val="bottom"/>
            <w:shd w:val="clear" w:color="auto" w:fill="F2F2F2"/>
          </w:tcPr>
          <w:p>
            <w:pPr>
              <w:jc w:val="right"/>
              <w:ind w:right="73"/>
              <w:spacing w:after="0"/>
              <w:rPr>
                <w:sz w:val="20"/>
                <w:szCs w:val="20"/>
                <w:color w:val="auto"/>
              </w:rPr>
            </w:pPr>
            <w:r>
              <w:rPr>
                <w:rFonts w:ascii="Arial" w:cs="Arial" w:eastAsia="Arial" w:hAnsi="Arial"/>
                <w:sz w:val="9"/>
                <w:szCs w:val="9"/>
                <w:color w:val="auto"/>
              </w:rPr>
              <w:t>4</w:t>
            </w:r>
          </w:p>
        </w:tc>
        <w:tc>
          <w:tcPr>
            <w:tcW w:w="860" w:type="dxa"/>
            <w:vAlign w:val="bottom"/>
            <w:shd w:val="clear" w:color="auto" w:fill="F2F2F2"/>
          </w:tcPr>
          <w:p>
            <w:pPr>
              <w:jc w:val="center"/>
              <w:ind w:right="34"/>
              <w:spacing w:after="0"/>
              <w:rPr>
                <w:sz w:val="20"/>
                <w:szCs w:val="20"/>
                <w:color w:val="auto"/>
              </w:rPr>
            </w:pPr>
            <w:r>
              <w:rPr>
                <w:rFonts w:ascii="Arial" w:cs="Arial" w:eastAsia="Arial" w:hAnsi="Arial"/>
                <w:sz w:val="14"/>
                <w:szCs w:val="14"/>
                <w:color w:val="auto"/>
              </w:rPr>
              <w:t>2/9/2022</w:t>
            </w:r>
          </w:p>
        </w:tc>
        <w:tc>
          <w:tcPr>
            <w:tcW w:w="1000" w:type="dxa"/>
            <w:vAlign w:val="bottom"/>
            <w:shd w:val="clear" w:color="auto" w:fill="F2F2F2"/>
          </w:tcPr>
          <w:p>
            <w:pPr>
              <w:jc w:val="right"/>
              <w:ind w:right="14"/>
              <w:spacing w:after="0"/>
              <w:rPr>
                <w:sz w:val="20"/>
                <w:szCs w:val="20"/>
                <w:color w:val="auto"/>
              </w:rPr>
            </w:pPr>
            <w:r>
              <w:rPr>
                <w:rFonts w:ascii="Arial" w:cs="Arial" w:eastAsia="Arial" w:hAnsi="Arial"/>
                <w:sz w:val="14"/>
                <w:szCs w:val="14"/>
                <w:color w:val="auto"/>
              </w:rPr>
              <w:t>12/13/2021</w:t>
            </w:r>
          </w:p>
        </w:tc>
        <w:tc>
          <w:tcPr>
            <w:tcW w:w="760" w:type="dxa"/>
            <w:vAlign w:val="bottom"/>
            <w:shd w:val="clear" w:color="auto" w:fill="F2F2F2"/>
          </w:tcPr>
          <w:p>
            <w:pPr>
              <w:spacing w:after="0"/>
              <w:rPr>
                <w:sz w:val="16"/>
                <w:szCs w:val="16"/>
                <w:color w:val="auto"/>
              </w:rPr>
            </w:pPr>
          </w:p>
        </w:tc>
        <w:tc>
          <w:tcPr>
            <w:tcW w:w="860" w:type="dxa"/>
            <w:vAlign w:val="bottom"/>
            <w:shd w:val="clear" w:color="auto" w:fill="F2F2F2"/>
          </w:tcPr>
          <w:p>
            <w:pPr>
              <w:spacing w:after="0"/>
              <w:rPr>
                <w:sz w:val="16"/>
                <w:szCs w:val="16"/>
                <w:color w:val="auto"/>
              </w:rPr>
            </w:pPr>
          </w:p>
        </w:tc>
        <w:tc>
          <w:tcPr>
            <w:tcW w:w="160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2,092</w:t>
            </w:r>
          </w:p>
        </w:tc>
        <w:tc>
          <w:tcPr>
            <w:tcW w:w="760" w:type="dxa"/>
            <w:vAlign w:val="bottom"/>
            <w:shd w:val="clear" w:color="auto" w:fill="F2F2F2"/>
          </w:tcPr>
          <w:p>
            <w:pPr>
              <w:jc w:val="right"/>
              <w:ind w:right="108"/>
              <w:spacing w:after="0"/>
              <w:rPr>
                <w:sz w:val="20"/>
                <w:szCs w:val="20"/>
                <w:color w:val="auto"/>
              </w:rPr>
            </w:pPr>
            <w:r>
              <w:rPr>
                <w:rFonts w:ascii="Arial" w:cs="Arial" w:eastAsia="Arial" w:hAnsi="Arial"/>
                <w:sz w:val="14"/>
                <w:szCs w:val="14"/>
                <w:color w:val="auto"/>
              </w:rPr>
              <w:t>1,992</w:t>
            </w:r>
          </w:p>
        </w:tc>
        <w:tc>
          <w:tcPr>
            <w:tcW w:w="70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1,992</w:t>
            </w:r>
          </w:p>
        </w:tc>
        <w:tc>
          <w:tcPr>
            <w:tcW w:w="88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$735,000</w:t>
            </w:r>
          </w:p>
        </w:tc>
        <w:tc>
          <w:tcPr>
            <w:tcW w:w="0" w:type="dxa"/>
            <w:vAlign w:val="bottom"/>
          </w:tcPr>
          <w:p>
            <w:pPr>
              <w:spacing w:after="0"/>
              <w:rPr>
                <w:sz w:val="1"/>
                <w:szCs w:val="1"/>
                <w:color w:val="auto"/>
              </w:rPr>
            </w:pPr>
          </w:p>
        </w:tc>
      </w:tr>
      <w:tr>
        <w:trPr>
          <w:trHeight w:val="215"/>
        </w:trPr>
        <w:tc>
          <w:tcPr>
            <w:tcW w:w="480" w:type="dxa"/>
            <w:vAlign w:val="bottom"/>
            <w:shd w:val="clear" w:color="auto" w:fill="F2F2F2"/>
          </w:tcPr>
          <w:p>
            <w:pPr>
              <w:spacing w:after="0"/>
              <w:rPr>
                <w:sz w:val="18"/>
                <w:szCs w:val="18"/>
                <w:color w:val="auto"/>
              </w:rPr>
            </w:pPr>
          </w:p>
        </w:tc>
        <w:tc>
          <w:tcPr>
            <w:tcW w:w="900" w:type="dxa"/>
            <w:vAlign w:val="bottom"/>
            <w:shd w:val="clear" w:color="auto" w:fill="F2F2F2"/>
          </w:tcPr>
          <w:p>
            <w:pPr>
              <w:ind w:left="20"/>
              <w:spacing w:after="0"/>
              <w:rPr>
                <w:sz w:val="20"/>
                <w:szCs w:val="20"/>
                <w:color w:val="auto"/>
              </w:rPr>
            </w:pPr>
            <w:r>
              <w:rPr>
                <w:rFonts w:ascii="Arial" w:cs="Arial" w:eastAsia="Arial" w:hAnsi="Arial"/>
                <w:sz w:val="14"/>
                <w:szCs w:val="14"/>
                <w:color w:val="auto"/>
              </w:rPr>
              <w:t>2022-2024</w:t>
            </w:r>
          </w:p>
        </w:tc>
        <w:tc>
          <w:tcPr>
            <w:tcW w:w="200" w:type="dxa"/>
            <w:vAlign w:val="bottom"/>
            <w:shd w:val="clear" w:color="auto" w:fill="F2F2F2"/>
          </w:tcPr>
          <w:p>
            <w:pPr>
              <w:spacing w:after="0"/>
              <w:rPr>
                <w:sz w:val="18"/>
                <w:szCs w:val="18"/>
                <w:color w:val="auto"/>
              </w:rPr>
            </w:pPr>
          </w:p>
        </w:tc>
        <w:tc>
          <w:tcPr>
            <w:tcW w:w="860" w:type="dxa"/>
            <w:vAlign w:val="bottom"/>
            <w:shd w:val="clear" w:color="auto" w:fill="F2F2F2"/>
          </w:tcPr>
          <w:p>
            <w:pPr>
              <w:spacing w:after="0"/>
              <w:rPr>
                <w:sz w:val="18"/>
                <w:szCs w:val="18"/>
                <w:color w:val="auto"/>
              </w:rPr>
            </w:pPr>
          </w:p>
        </w:tc>
        <w:tc>
          <w:tcPr>
            <w:tcW w:w="1000" w:type="dxa"/>
            <w:vAlign w:val="bottom"/>
            <w:shd w:val="clear" w:color="auto" w:fill="F2F2F2"/>
          </w:tcPr>
          <w:p>
            <w:pPr>
              <w:spacing w:after="0"/>
              <w:rPr>
                <w:sz w:val="18"/>
                <w:szCs w:val="18"/>
                <w:color w:val="auto"/>
              </w:rPr>
            </w:pPr>
          </w:p>
        </w:tc>
        <w:tc>
          <w:tcPr>
            <w:tcW w:w="760" w:type="dxa"/>
            <w:vAlign w:val="bottom"/>
            <w:shd w:val="clear" w:color="auto" w:fill="F2F2F2"/>
          </w:tcPr>
          <w:p>
            <w:pPr>
              <w:spacing w:after="0"/>
              <w:rPr>
                <w:sz w:val="18"/>
                <w:szCs w:val="18"/>
                <w:color w:val="auto"/>
              </w:rPr>
            </w:pPr>
          </w:p>
        </w:tc>
        <w:tc>
          <w:tcPr>
            <w:tcW w:w="860" w:type="dxa"/>
            <w:vAlign w:val="bottom"/>
            <w:shd w:val="clear" w:color="auto" w:fill="F2F2F2"/>
          </w:tcPr>
          <w:p>
            <w:pPr>
              <w:spacing w:after="0"/>
              <w:rPr>
                <w:sz w:val="18"/>
                <w:szCs w:val="18"/>
                <w:color w:val="auto"/>
              </w:rPr>
            </w:pPr>
          </w:p>
        </w:tc>
        <w:tc>
          <w:tcPr>
            <w:tcW w:w="1600" w:type="dxa"/>
            <w:vAlign w:val="bottom"/>
            <w:shd w:val="clear" w:color="auto" w:fill="F2F2F2"/>
          </w:tcPr>
          <w:p>
            <w:pPr>
              <w:spacing w:after="0"/>
              <w:rPr>
                <w:sz w:val="18"/>
                <w:szCs w:val="18"/>
                <w:color w:val="auto"/>
              </w:rPr>
            </w:pPr>
          </w:p>
        </w:tc>
        <w:tc>
          <w:tcPr>
            <w:tcW w:w="760" w:type="dxa"/>
            <w:vAlign w:val="bottom"/>
            <w:shd w:val="clear" w:color="auto" w:fill="F2F2F2"/>
          </w:tcPr>
          <w:p>
            <w:pPr>
              <w:spacing w:after="0"/>
              <w:rPr>
                <w:sz w:val="18"/>
                <w:szCs w:val="18"/>
                <w:color w:val="auto"/>
              </w:rPr>
            </w:pPr>
          </w:p>
        </w:tc>
        <w:tc>
          <w:tcPr>
            <w:tcW w:w="700" w:type="dxa"/>
            <w:vAlign w:val="bottom"/>
            <w:shd w:val="clear" w:color="auto" w:fill="F2F2F2"/>
          </w:tcPr>
          <w:p>
            <w:pPr>
              <w:spacing w:after="0"/>
              <w:rPr>
                <w:sz w:val="18"/>
                <w:szCs w:val="18"/>
                <w:color w:val="auto"/>
              </w:rPr>
            </w:pPr>
          </w:p>
        </w:tc>
        <w:tc>
          <w:tcPr>
            <w:tcW w:w="88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80" w:type="dxa"/>
            <w:vAlign w:val="bottom"/>
            <w:shd w:val="clear" w:color="auto" w:fill="F2F2F2"/>
          </w:tcPr>
          <w:p>
            <w:pPr>
              <w:spacing w:after="0"/>
              <w:rPr>
                <w:sz w:val="16"/>
                <w:szCs w:val="16"/>
                <w:color w:val="auto"/>
              </w:rPr>
            </w:pPr>
          </w:p>
        </w:tc>
        <w:tc>
          <w:tcPr>
            <w:tcW w:w="900" w:type="dxa"/>
            <w:vAlign w:val="bottom"/>
            <w:shd w:val="clear" w:color="auto" w:fill="F2F2F2"/>
          </w:tcPr>
          <w:p>
            <w:pPr>
              <w:ind w:left="20"/>
              <w:spacing w:after="0"/>
              <w:rPr>
                <w:sz w:val="20"/>
                <w:szCs w:val="20"/>
                <w:color w:val="auto"/>
              </w:rPr>
            </w:pPr>
            <w:r>
              <w:rPr>
                <w:rFonts w:ascii="Arial" w:cs="Arial" w:eastAsia="Arial" w:hAnsi="Arial"/>
                <w:sz w:val="14"/>
                <w:szCs w:val="14"/>
                <w:color w:val="auto"/>
              </w:rPr>
              <w:t>RVA</w:t>
            </w:r>
          </w:p>
        </w:tc>
        <w:tc>
          <w:tcPr>
            <w:tcW w:w="200" w:type="dxa"/>
            <w:vAlign w:val="bottom"/>
            <w:shd w:val="clear" w:color="auto" w:fill="F2F2F2"/>
          </w:tcPr>
          <w:p>
            <w:pPr>
              <w:jc w:val="right"/>
              <w:ind w:right="73"/>
              <w:spacing w:after="0"/>
              <w:rPr>
                <w:sz w:val="20"/>
                <w:szCs w:val="20"/>
                <w:color w:val="auto"/>
              </w:rPr>
            </w:pPr>
            <w:r>
              <w:rPr>
                <w:rFonts w:ascii="Arial" w:cs="Arial" w:eastAsia="Arial" w:hAnsi="Arial"/>
                <w:sz w:val="9"/>
                <w:szCs w:val="9"/>
                <w:color w:val="auto"/>
              </w:rPr>
              <w:t>5</w:t>
            </w:r>
          </w:p>
        </w:tc>
        <w:tc>
          <w:tcPr>
            <w:tcW w:w="860" w:type="dxa"/>
            <w:vAlign w:val="bottom"/>
            <w:shd w:val="clear" w:color="auto" w:fill="F2F2F2"/>
          </w:tcPr>
          <w:p>
            <w:pPr>
              <w:jc w:val="center"/>
              <w:ind w:right="34"/>
              <w:spacing w:after="0"/>
              <w:rPr>
                <w:sz w:val="20"/>
                <w:szCs w:val="20"/>
                <w:color w:val="auto"/>
              </w:rPr>
            </w:pPr>
            <w:r>
              <w:rPr>
                <w:rFonts w:ascii="Arial" w:cs="Arial" w:eastAsia="Arial" w:hAnsi="Arial"/>
                <w:sz w:val="14"/>
                <w:szCs w:val="14"/>
                <w:color w:val="auto"/>
              </w:rPr>
              <w:t>2/9/2022</w:t>
            </w:r>
          </w:p>
        </w:tc>
        <w:tc>
          <w:tcPr>
            <w:tcW w:w="1000" w:type="dxa"/>
            <w:vAlign w:val="bottom"/>
            <w:shd w:val="clear" w:color="auto" w:fill="F2F2F2"/>
          </w:tcPr>
          <w:p>
            <w:pPr>
              <w:jc w:val="right"/>
              <w:ind w:right="14"/>
              <w:spacing w:after="0"/>
              <w:rPr>
                <w:sz w:val="20"/>
                <w:szCs w:val="20"/>
                <w:color w:val="auto"/>
              </w:rPr>
            </w:pPr>
            <w:r>
              <w:rPr>
                <w:rFonts w:ascii="Arial" w:cs="Arial" w:eastAsia="Arial" w:hAnsi="Arial"/>
                <w:sz w:val="14"/>
                <w:szCs w:val="14"/>
                <w:color w:val="auto"/>
              </w:rPr>
              <w:t>12/13/2021</w:t>
            </w:r>
          </w:p>
        </w:tc>
        <w:tc>
          <w:tcPr>
            <w:tcW w:w="760" w:type="dxa"/>
            <w:vAlign w:val="bottom"/>
            <w:shd w:val="clear" w:color="auto" w:fill="F2F2F2"/>
          </w:tcPr>
          <w:p>
            <w:pPr>
              <w:spacing w:after="0"/>
              <w:rPr>
                <w:sz w:val="16"/>
                <w:szCs w:val="16"/>
                <w:color w:val="auto"/>
              </w:rPr>
            </w:pPr>
          </w:p>
        </w:tc>
        <w:tc>
          <w:tcPr>
            <w:tcW w:w="860" w:type="dxa"/>
            <w:vAlign w:val="bottom"/>
            <w:shd w:val="clear" w:color="auto" w:fill="F2F2F2"/>
          </w:tcPr>
          <w:p>
            <w:pPr>
              <w:spacing w:after="0"/>
              <w:rPr>
                <w:sz w:val="16"/>
                <w:szCs w:val="16"/>
                <w:color w:val="auto"/>
              </w:rPr>
            </w:pPr>
          </w:p>
        </w:tc>
        <w:tc>
          <w:tcPr>
            <w:tcW w:w="160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1,598</w:t>
            </w:r>
          </w:p>
        </w:tc>
        <w:tc>
          <w:tcPr>
            <w:tcW w:w="760" w:type="dxa"/>
            <w:vAlign w:val="bottom"/>
            <w:shd w:val="clear" w:color="auto" w:fill="F2F2F2"/>
          </w:tcPr>
          <w:p>
            <w:pPr>
              <w:jc w:val="right"/>
              <w:ind w:right="108"/>
              <w:spacing w:after="0"/>
              <w:rPr>
                <w:sz w:val="20"/>
                <w:szCs w:val="20"/>
                <w:color w:val="auto"/>
              </w:rPr>
            </w:pPr>
            <w:r>
              <w:rPr>
                <w:rFonts w:ascii="Arial" w:cs="Arial" w:eastAsia="Arial" w:hAnsi="Arial"/>
                <w:sz w:val="14"/>
                <w:szCs w:val="14"/>
                <w:color w:val="auto"/>
              </w:rPr>
              <w:t>1,522</w:t>
            </w:r>
          </w:p>
        </w:tc>
        <w:tc>
          <w:tcPr>
            <w:tcW w:w="70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1,522</w:t>
            </w:r>
          </w:p>
        </w:tc>
        <w:tc>
          <w:tcPr>
            <w:tcW w:w="88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$735,000</w:t>
            </w:r>
          </w:p>
        </w:tc>
        <w:tc>
          <w:tcPr>
            <w:tcW w:w="0" w:type="dxa"/>
            <w:vAlign w:val="bottom"/>
          </w:tcPr>
          <w:p>
            <w:pPr>
              <w:spacing w:after="0"/>
              <w:rPr>
                <w:sz w:val="1"/>
                <w:szCs w:val="1"/>
                <w:color w:val="auto"/>
              </w:rPr>
            </w:pPr>
          </w:p>
        </w:tc>
      </w:tr>
      <w:tr>
        <w:trPr>
          <w:trHeight w:val="278"/>
        </w:trPr>
        <w:tc>
          <w:tcPr>
            <w:tcW w:w="480" w:type="dxa"/>
            <w:vAlign w:val="bottom"/>
            <w:tcBorders>
              <w:bottom w:val="single" w:sz="8" w:color="auto"/>
            </w:tcBorders>
            <w:shd w:val="clear" w:color="auto" w:fill="F2F2F2"/>
          </w:tcPr>
          <w:p>
            <w:pPr>
              <w:spacing w:after="0"/>
              <w:rPr>
                <w:sz w:val="24"/>
                <w:szCs w:val="24"/>
                <w:color w:val="auto"/>
              </w:rPr>
            </w:pPr>
          </w:p>
        </w:tc>
        <w:tc>
          <w:tcPr>
            <w:tcW w:w="900" w:type="dxa"/>
            <w:vAlign w:val="bottom"/>
            <w:tcBorders>
              <w:bottom w:val="single" w:sz="8" w:color="auto"/>
            </w:tcBorders>
            <w:shd w:val="clear" w:color="auto" w:fill="F2F2F2"/>
          </w:tcPr>
          <w:p>
            <w:pPr>
              <w:spacing w:after="0"/>
              <w:rPr>
                <w:sz w:val="24"/>
                <w:szCs w:val="24"/>
                <w:color w:val="auto"/>
              </w:rPr>
            </w:pPr>
          </w:p>
        </w:tc>
        <w:tc>
          <w:tcPr>
            <w:tcW w:w="200" w:type="dxa"/>
            <w:vAlign w:val="bottom"/>
            <w:tcBorders>
              <w:bottom w:val="single" w:sz="8" w:color="auto"/>
            </w:tcBorders>
            <w:shd w:val="clear" w:color="auto" w:fill="F2F2F2"/>
          </w:tcPr>
          <w:p>
            <w:pPr>
              <w:spacing w:after="0"/>
              <w:rPr>
                <w:sz w:val="24"/>
                <w:szCs w:val="24"/>
                <w:color w:val="auto"/>
              </w:rPr>
            </w:pPr>
          </w:p>
        </w:tc>
        <w:tc>
          <w:tcPr>
            <w:tcW w:w="860" w:type="dxa"/>
            <w:vAlign w:val="bottom"/>
            <w:tcBorders>
              <w:bottom w:val="single" w:sz="8" w:color="auto"/>
            </w:tcBorders>
            <w:shd w:val="clear" w:color="auto" w:fill="F2F2F2"/>
          </w:tcPr>
          <w:p>
            <w:pPr>
              <w:spacing w:after="0"/>
              <w:rPr>
                <w:sz w:val="24"/>
                <w:szCs w:val="24"/>
                <w:color w:val="auto"/>
              </w:rPr>
            </w:pPr>
          </w:p>
        </w:tc>
        <w:tc>
          <w:tcPr>
            <w:tcW w:w="1000" w:type="dxa"/>
            <w:vAlign w:val="bottom"/>
            <w:tcBorders>
              <w:bottom w:val="single" w:sz="8" w:color="auto"/>
            </w:tcBorders>
            <w:shd w:val="clear" w:color="auto" w:fill="F2F2F2"/>
          </w:tcPr>
          <w:p>
            <w:pPr>
              <w:spacing w:after="0"/>
              <w:rPr>
                <w:sz w:val="24"/>
                <w:szCs w:val="24"/>
                <w:color w:val="auto"/>
              </w:rPr>
            </w:pPr>
          </w:p>
        </w:tc>
        <w:tc>
          <w:tcPr>
            <w:tcW w:w="760" w:type="dxa"/>
            <w:vAlign w:val="bottom"/>
            <w:tcBorders>
              <w:bottom w:val="single" w:sz="8" w:color="auto"/>
            </w:tcBorders>
            <w:shd w:val="clear" w:color="auto" w:fill="F2F2F2"/>
          </w:tcPr>
          <w:p>
            <w:pPr>
              <w:spacing w:after="0"/>
              <w:rPr>
                <w:sz w:val="24"/>
                <w:szCs w:val="24"/>
                <w:color w:val="auto"/>
              </w:rPr>
            </w:pPr>
          </w:p>
        </w:tc>
        <w:tc>
          <w:tcPr>
            <w:tcW w:w="860" w:type="dxa"/>
            <w:vAlign w:val="bottom"/>
            <w:tcBorders>
              <w:bottom w:val="single" w:sz="8" w:color="auto"/>
            </w:tcBorders>
            <w:shd w:val="clear" w:color="auto" w:fill="F2F2F2"/>
          </w:tcPr>
          <w:p>
            <w:pPr>
              <w:spacing w:after="0"/>
              <w:rPr>
                <w:sz w:val="24"/>
                <w:szCs w:val="24"/>
                <w:color w:val="auto"/>
              </w:rPr>
            </w:pPr>
          </w:p>
        </w:tc>
        <w:tc>
          <w:tcPr>
            <w:tcW w:w="1600" w:type="dxa"/>
            <w:vAlign w:val="bottom"/>
            <w:tcBorders>
              <w:bottom w:val="single" w:sz="8" w:color="auto"/>
            </w:tcBorders>
            <w:shd w:val="clear" w:color="auto" w:fill="F2F2F2"/>
          </w:tcPr>
          <w:p>
            <w:pPr>
              <w:spacing w:after="0"/>
              <w:rPr>
                <w:sz w:val="24"/>
                <w:szCs w:val="24"/>
                <w:color w:val="auto"/>
              </w:rPr>
            </w:pPr>
          </w:p>
        </w:tc>
        <w:tc>
          <w:tcPr>
            <w:tcW w:w="760" w:type="dxa"/>
            <w:vAlign w:val="bottom"/>
            <w:tcBorders>
              <w:bottom w:val="single" w:sz="8" w:color="auto"/>
            </w:tcBorders>
            <w:shd w:val="clear" w:color="auto" w:fill="F2F2F2"/>
          </w:tcPr>
          <w:p>
            <w:pPr>
              <w:spacing w:after="0"/>
              <w:rPr>
                <w:sz w:val="24"/>
                <w:szCs w:val="24"/>
                <w:color w:val="auto"/>
              </w:rPr>
            </w:pPr>
          </w:p>
        </w:tc>
        <w:tc>
          <w:tcPr>
            <w:tcW w:w="700" w:type="dxa"/>
            <w:vAlign w:val="bottom"/>
            <w:tcBorders>
              <w:bottom w:val="single" w:sz="8" w:color="auto"/>
            </w:tcBorders>
            <w:shd w:val="clear" w:color="auto" w:fill="F2F2F2"/>
          </w:tcPr>
          <w:p>
            <w:pPr>
              <w:spacing w:after="0"/>
              <w:rPr>
                <w:sz w:val="24"/>
                <w:szCs w:val="24"/>
                <w:color w:val="auto"/>
              </w:rPr>
            </w:pPr>
          </w:p>
        </w:tc>
        <w:tc>
          <w:tcPr>
            <w:tcW w:w="880" w:type="dxa"/>
            <w:vAlign w:val="bottom"/>
            <w:tcBorders>
              <w:bottom w:val="single" w:sz="8" w:color="auto"/>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-153670</wp:posOffset>
            </wp:positionV>
            <wp:extent cx="8255"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-136525</wp:posOffset>
            </wp:positionV>
            <wp:extent cx="8255"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-119380</wp:posOffset>
            </wp:positionV>
            <wp:extent cx="8255" cy="825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-102235</wp:posOffset>
            </wp:positionV>
            <wp:extent cx="8255" cy="825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-85090</wp:posOffset>
            </wp:positionV>
            <wp:extent cx="8255" cy="825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-67945</wp:posOffset>
            </wp:positionV>
            <wp:extent cx="8255"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-50800</wp:posOffset>
            </wp:positionV>
            <wp:extent cx="8255" cy="825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-33655</wp:posOffset>
            </wp:positionV>
            <wp:extent cx="8255" cy="825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-16510</wp:posOffset>
            </wp:positionV>
            <wp:extent cx="8255" cy="825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-153670</wp:posOffset>
            </wp:positionV>
            <wp:extent cx="889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-136525</wp:posOffset>
            </wp:positionV>
            <wp:extent cx="889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-119380</wp:posOffset>
            </wp:positionV>
            <wp:extent cx="8890" cy="825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-102235</wp:posOffset>
            </wp:positionV>
            <wp:extent cx="8890" cy="825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-85090</wp:posOffset>
            </wp:positionV>
            <wp:extent cx="8890" cy="825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-67945</wp:posOffset>
            </wp:positionV>
            <wp:extent cx="889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-50800</wp:posOffset>
            </wp:positionV>
            <wp:extent cx="8890" cy="825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-33655</wp:posOffset>
            </wp:positionV>
            <wp:extent cx="8890" cy="825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-16510</wp:posOffset>
            </wp:positionV>
            <wp:extent cx="8890" cy="825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-153670</wp:posOffset>
            </wp:positionV>
            <wp:extent cx="889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-136525</wp:posOffset>
            </wp:positionV>
            <wp:extent cx="8890"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-119380</wp:posOffset>
            </wp:positionV>
            <wp:extent cx="8890" cy="825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-102235</wp:posOffset>
            </wp:positionV>
            <wp:extent cx="8890" cy="825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-85090</wp:posOffset>
            </wp:positionV>
            <wp:extent cx="8890" cy="825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-67945</wp:posOffset>
            </wp:positionV>
            <wp:extent cx="8890"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-50800</wp:posOffset>
            </wp:positionV>
            <wp:extent cx="8890" cy="825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-33655</wp:posOffset>
            </wp:positionV>
            <wp:extent cx="8890" cy="825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-16510</wp:posOffset>
            </wp:positionV>
            <wp:extent cx="8890" cy="825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-401955</wp:posOffset>
            </wp:positionV>
            <wp:extent cx="8255" cy="825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-384810</wp:posOffset>
            </wp:positionV>
            <wp:extent cx="8255" cy="825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-367665</wp:posOffset>
            </wp:positionV>
            <wp:extent cx="8255"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-350520</wp:posOffset>
            </wp:positionV>
            <wp:extent cx="8255"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-333375</wp:posOffset>
            </wp:positionV>
            <wp:extent cx="8255" cy="825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-316230</wp:posOffset>
            </wp:positionV>
            <wp:extent cx="8255" cy="825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-299085</wp:posOffset>
            </wp:positionV>
            <wp:extent cx="8255" cy="825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-281940</wp:posOffset>
            </wp:positionV>
            <wp:extent cx="8255"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-264795</wp:posOffset>
            </wp:positionV>
            <wp:extent cx="8255"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-247650</wp:posOffset>
            </wp:positionV>
            <wp:extent cx="8255" cy="825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-230505</wp:posOffset>
            </wp:positionV>
            <wp:extent cx="8255" cy="825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-213360</wp:posOffset>
            </wp:positionV>
            <wp:extent cx="8255" cy="825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-196215</wp:posOffset>
            </wp:positionV>
            <wp:extent cx="8255"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-179070</wp:posOffset>
            </wp:positionV>
            <wp:extent cx="8255" cy="1714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-401955</wp:posOffset>
            </wp:positionV>
            <wp:extent cx="8890" cy="825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-384810</wp:posOffset>
            </wp:positionV>
            <wp:extent cx="8890" cy="825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-367665</wp:posOffset>
            </wp:positionV>
            <wp:extent cx="889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-350520</wp:posOffset>
            </wp:positionV>
            <wp:extent cx="8890"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-333375</wp:posOffset>
            </wp:positionV>
            <wp:extent cx="8890" cy="825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-316230</wp:posOffset>
            </wp:positionV>
            <wp:extent cx="8890" cy="825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-299085</wp:posOffset>
            </wp:positionV>
            <wp:extent cx="8890" cy="825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-281940</wp:posOffset>
            </wp:positionV>
            <wp:extent cx="8890"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-264795</wp:posOffset>
            </wp:positionV>
            <wp:extent cx="8890"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-247650</wp:posOffset>
            </wp:positionV>
            <wp:extent cx="8890" cy="825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-230505</wp:posOffset>
            </wp:positionV>
            <wp:extent cx="8890" cy="825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-213360</wp:posOffset>
            </wp:positionV>
            <wp:extent cx="8890" cy="825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-196215</wp:posOffset>
            </wp:positionV>
            <wp:extent cx="8890"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-179070</wp:posOffset>
            </wp:positionV>
            <wp:extent cx="8890" cy="1714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-401955</wp:posOffset>
            </wp:positionV>
            <wp:extent cx="8890" cy="825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-384810</wp:posOffset>
            </wp:positionV>
            <wp:extent cx="8890" cy="825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-367665</wp:posOffset>
            </wp:positionV>
            <wp:extent cx="8890"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-350520</wp:posOffset>
            </wp:positionV>
            <wp:extent cx="8890"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-333375</wp:posOffset>
            </wp:positionV>
            <wp:extent cx="8890" cy="825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-316230</wp:posOffset>
            </wp:positionV>
            <wp:extent cx="8890" cy="825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-299085</wp:posOffset>
            </wp:positionV>
            <wp:extent cx="8890" cy="825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-281940</wp:posOffset>
            </wp:positionV>
            <wp:extent cx="889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-264795</wp:posOffset>
            </wp:positionV>
            <wp:extent cx="8890"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-247650</wp:posOffset>
            </wp:positionV>
            <wp:extent cx="8890" cy="825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-230505</wp:posOffset>
            </wp:positionV>
            <wp:extent cx="8890" cy="825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-213360</wp:posOffset>
            </wp:positionV>
            <wp:extent cx="8890" cy="825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-196215</wp:posOffset>
            </wp:positionV>
            <wp:extent cx="8890"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-179070</wp:posOffset>
            </wp:positionV>
            <wp:extent cx="8890" cy="1714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-659130</wp:posOffset>
            </wp:positionV>
            <wp:extent cx="8255" cy="825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-641985</wp:posOffset>
            </wp:positionV>
            <wp:extent cx="8255" cy="825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-624840</wp:posOffset>
            </wp:positionV>
            <wp:extent cx="8255"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-607695</wp:posOffset>
            </wp:positionV>
            <wp:extent cx="8255" cy="88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-590550</wp:posOffset>
            </wp:positionV>
            <wp:extent cx="8255" cy="825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-573405</wp:posOffset>
            </wp:positionV>
            <wp:extent cx="8255" cy="825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-556260</wp:posOffset>
            </wp:positionV>
            <wp:extent cx="8255" cy="825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-539115</wp:posOffset>
            </wp:positionV>
            <wp:extent cx="8255"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-521970</wp:posOffset>
            </wp:positionV>
            <wp:extent cx="8255"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-504825</wp:posOffset>
            </wp:positionV>
            <wp:extent cx="8255" cy="825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-487680</wp:posOffset>
            </wp:positionV>
            <wp:extent cx="8255" cy="825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-470535</wp:posOffset>
            </wp:positionV>
            <wp:extent cx="8255" cy="825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-453390</wp:posOffset>
            </wp:positionV>
            <wp:extent cx="8255"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-436245</wp:posOffset>
            </wp:positionV>
            <wp:extent cx="8255" cy="2540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-659130</wp:posOffset>
            </wp:positionV>
            <wp:extent cx="8890" cy="825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-641985</wp:posOffset>
            </wp:positionV>
            <wp:extent cx="8890" cy="825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-624840</wp:posOffset>
            </wp:positionV>
            <wp:extent cx="889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-607695</wp:posOffset>
            </wp:positionV>
            <wp:extent cx="8890"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-590550</wp:posOffset>
            </wp:positionV>
            <wp:extent cx="8890" cy="825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-573405</wp:posOffset>
            </wp:positionV>
            <wp:extent cx="8890" cy="825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-556260</wp:posOffset>
            </wp:positionV>
            <wp:extent cx="8890" cy="825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-539115</wp:posOffset>
            </wp:positionV>
            <wp:extent cx="8890" cy="88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-521970</wp:posOffset>
            </wp:positionV>
            <wp:extent cx="8890"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-504825</wp:posOffset>
            </wp:positionV>
            <wp:extent cx="8890" cy="825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-487680</wp:posOffset>
            </wp:positionV>
            <wp:extent cx="8890" cy="825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-470535</wp:posOffset>
            </wp:positionV>
            <wp:extent cx="8890" cy="825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-453390</wp:posOffset>
            </wp:positionV>
            <wp:extent cx="889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-436245</wp:posOffset>
            </wp:positionV>
            <wp:extent cx="8890" cy="2540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-659130</wp:posOffset>
            </wp:positionV>
            <wp:extent cx="8890" cy="825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-641985</wp:posOffset>
            </wp:positionV>
            <wp:extent cx="8890" cy="825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-624840</wp:posOffset>
            </wp:positionV>
            <wp:extent cx="8890" cy="88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-607695</wp:posOffset>
            </wp:positionV>
            <wp:extent cx="8890" cy="88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-590550</wp:posOffset>
            </wp:positionV>
            <wp:extent cx="8890" cy="825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-573405</wp:posOffset>
            </wp:positionV>
            <wp:extent cx="8890" cy="825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-556260</wp:posOffset>
            </wp:positionV>
            <wp:extent cx="8890" cy="825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-539115</wp:posOffset>
            </wp:positionV>
            <wp:extent cx="8890" cy="88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-521970</wp:posOffset>
            </wp:positionV>
            <wp:extent cx="8890" cy="88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-504825</wp:posOffset>
            </wp:positionV>
            <wp:extent cx="8890" cy="825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-487680</wp:posOffset>
            </wp:positionV>
            <wp:extent cx="8890" cy="825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-470535</wp:posOffset>
            </wp:positionV>
            <wp:extent cx="8890" cy="8255"/>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-453390</wp:posOffset>
            </wp:positionV>
            <wp:extent cx="8890" cy="88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-436245</wp:posOffset>
            </wp:positionV>
            <wp:extent cx="8890" cy="2540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-916305</wp:posOffset>
            </wp:positionV>
            <wp:extent cx="8255" cy="8255"/>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-899160</wp:posOffset>
            </wp:positionV>
            <wp:extent cx="8255" cy="825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-882015</wp:posOffset>
            </wp:positionV>
            <wp:extent cx="8255" cy="8255"/>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-864870</wp:posOffset>
            </wp:positionV>
            <wp:extent cx="8255"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-847725</wp:posOffset>
            </wp:positionV>
            <wp:extent cx="8255"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-830580</wp:posOffset>
            </wp:positionV>
            <wp:extent cx="8255" cy="825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-813435</wp:posOffset>
            </wp:positionV>
            <wp:extent cx="8255" cy="825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-796290</wp:posOffset>
            </wp:positionV>
            <wp:extent cx="8255" cy="825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-779145</wp:posOffset>
            </wp:positionV>
            <wp:extent cx="8255" cy="88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-762000</wp:posOffset>
            </wp:positionV>
            <wp:extent cx="8255"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-744855</wp:posOffset>
            </wp:positionV>
            <wp:extent cx="8255" cy="8255"/>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-727710</wp:posOffset>
            </wp:positionV>
            <wp:extent cx="8255" cy="825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-710565</wp:posOffset>
            </wp:positionV>
            <wp:extent cx="8255" cy="88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-693420</wp:posOffset>
            </wp:positionV>
            <wp:extent cx="8255" cy="2540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-916305</wp:posOffset>
            </wp:positionV>
            <wp:extent cx="8890" cy="825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-899160</wp:posOffset>
            </wp:positionV>
            <wp:extent cx="8890" cy="825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-882015</wp:posOffset>
            </wp:positionV>
            <wp:extent cx="8890" cy="825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-864870</wp:posOffset>
            </wp:positionV>
            <wp:extent cx="8890"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-847725</wp:posOffset>
            </wp:positionV>
            <wp:extent cx="8890"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-830580</wp:posOffset>
            </wp:positionV>
            <wp:extent cx="8890" cy="8255"/>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-813435</wp:posOffset>
            </wp:positionV>
            <wp:extent cx="8890" cy="825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-796290</wp:posOffset>
            </wp:positionV>
            <wp:extent cx="8890" cy="825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-779145</wp:posOffset>
            </wp:positionV>
            <wp:extent cx="8890" cy="88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-762000</wp:posOffset>
            </wp:positionV>
            <wp:extent cx="8890" cy="88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-744855</wp:posOffset>
            </wp:positionV>
            <wp:extent cx="8890" cy="825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-727710</wp:posOffset>
            </wp:positionV>
            <wp:extent cx="8890" cy="8255"/>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-710565</wp:posOffset>
            </wp:positionV>
            <wp:extent cx="8890" cy="88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-693420</wp:posOffset>
            </wp:positionV>
            <wp:extent cx="8890" cy="2540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-916305</wp:posOffset>
            </wp:positionV>
            <wp:extent cx="8890" cy="8255"/>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-899160</wp:posOffset>
            </wp:positionV>
            <wp:extent cx="8890" cy="825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-882015</wp:posOffset>
            </wp:positionV>
            <wp:extent cx="8890" cy="8255"/>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-864870</wp:posOffset>
            </wp:positionV>
            <wp:extent cx="8890" cy="88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-847725</wp:posOffset>
            </wp:positionV>
            <wp:extent cx="8890"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-830580</wp:posOffset>
            </wp:positionV>
            <wp:extent cx="8890" cy="825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-813435</wp:posOffset>
            </wp:positionV>
            <wp:extent cx="8890" cy="825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-796290</wp:posOffset>
            </wp:positionV>
            <wp:extent cx="8890" cy="825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-779145</wp:posOffset>
            </wp:positionV>
            <wp:extent cx="8890" cy="88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-762000</wp:posOffset>
            </wp:positionV>
            <wp:extent cx="8890" cy="88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-744855</wp:posOffset>
            </wp:positionV>
            <wp:extent cx="8890" cy="825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-727710</wp:posOffset>
            </wp:positionV>
            <wp:extent cx="8890" cy="8255"/>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-710565</wp:posOffset>
            </wp:positionV>
            <wp:extent cx="8890" cy="88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-693420</wp:posOffset>
            </wp:positionV>
            <wp:extent cx="8890" cy="2540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-1087755</wp:posOffset>
            </wp:positionV>
            <wp:extent cx="8255" cy="825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-1070610</wp:posOffset>
            </wp:positionV>
            <wp:extent cx="8255" cy="8255"/>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-1053465</wp:posOffset>
            </wp:positionV>
            <wp:extent cx="8255" cy="825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-1036320</wp:posOffset>
            </wp:positionV>
            <wp:extent cx="8255"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-1019175</wp:posOffset>
            </wp:positionV>
            <wp:extent cx="8255"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-1002030</wp:posOffset>
            </wp:positionV>
            <wp:extent cx="8255" cy="825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-984885</wp:posOffset>
            </wp:positionV>
            <wp:extent cx="8255" cy="8255"/>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-967740</wp:posOffset>
            </wp:positionV>
            <wp:extent cx="8255" cy="825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-950595</wp:posOffset>
            </wp:positionV>
            <wp:extent cx="8255" cy="26035"/>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-1087755</wp:posOffset>
            </wp:positionV>
            <wp:extent cx="8890" cy="825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-1070610</wp:posOffset>
            </wp:positionV>
            <wp:extent cx="8890" cy="8255"/>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-1053465</wp:posOffset>
            </wp:positionV>
            <wp:extent cx="8890" cy="8255"/>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-1036320</wp:posOffset>
            </wp:positionV>
            <wp:extent cx="8890"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-1019175</wp:posOffset>
            </wp:positionV>
            <wp:extent cx="889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-1002030</wp:posOffset>
            </wp:positionV>
            <wp:extent cx="8890" cy="825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-984885</wp:posOffset>
            </wp:positionV>
            <wp:extent cx="8890" cy="825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-967740</wp:posOffset>
            </wp:positionV>
            <wp:extent cx="8890" cy="8255"/>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-950595</wp:posOffset>
            </wp:positionV>
            <wp:extent cx="8890" cy="26035"/>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-1087755</wp:posOffset>
            </wp:positionV>
            <wp:extent cx="8890" cy="8255"/>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-1070610</wp:posOffset>
            </wp:positionV>
            <wp:extent cx="8890" cy="825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-1053465</wp:posOffset>
            </wp:positionV>
            <wp:extent cx="8890" cy="8255"/>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-1036320</wp:posOffset>
            </wp:positionV>
            <wp:extent cx="8890" cy="88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-1019175</wp:posOffset>
            </wp:positionV>
            <wp:extent cx="8890"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-1002030</wp:posOffset>
            </wp:positionV>
            <wp:extent cx="8890" cy="825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-984885</wp:posOffset>
            </wp:positionV>
            <wp:extent cx="8890" cy="825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-967740</wp:posOffset>
            </wp:positionV>
            <wp:extent cx="8890" cy="8255"/>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-950595</wp:posOffset>
            </wp:positionV>
            <wp:extent cx="8890" cy="26035"/>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-1250950</wp:posOffset>
            </wp:positionV>
            <wp:extent cx="8255"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-1233805</wp:posOffset>
            </wp:positionV>
            <wp:extent cx="8255"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-1216660</wp:posOffset>
            </wp:positionV>
            <wp:extent cx="8255" cy="8255"/>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-1199515</wp:posOffset>
            </wp:positionV>
            <wp:extent cx="8255" cy="8255"/>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-1182370</wp:posOffset>
            </wp:positionV>
            <wp:extent cx="8255" cy="8255"/>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-1165225</wp:posOffset>
            </wp:positionV>
            <wp:extent cx="8255"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-1148080</wp:posOffset>
            </wp:positionV>
            <wp:extent cx="8255"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-1130935</wp:posOffset>
            </wp:positionV>
            <wp:extent cx="8255" cy="8255"/>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-1113790</wp:posOffset>
            </wp:positionV>
            <wp:extent cx="8255" cy="17145"/>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-1250950</wp:posOffset>
            </wp:positionV>
            <wp:extent cx="8890"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-1233805</wp:posOffset>
            </wp:positionV>
            <wp:extent cx="8890" cy="88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-1216660</wp:posOffset>
            </wp:positionV>
            <wp:extent cx="8890" cy="8255"/>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-1199515</wp:posOffset>
            </wp:positionV>
            <wp:extent cx="8890" cy="8255"/>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-1182370</wp:posOffset>
            </wp:positionV>
            <wp:extent cx="8890" cy="8255"/>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-1165225</wp:posOffset>
            </wp:positionV>
            <wp:extent cx="8890"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-1148080</wp:posOffset>
            </wp:positionV>
            <wp:extent cx="8890" cy="88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-1130935</wp:posOffset>
            </wp:positionV>
            <wp:extent cx="8890" cy="8255"/>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-1113790</wp:posOffset>
            </wp:positionV>
            <wp:extent cx="8890" cy="17145"/>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-1250950</wp:posOffset>
            </wp:positionV>
            <wp:extent cx="8890"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-1233805</wp:posOffset>
            </wp:positionV>
            <wp:extent cx="8890"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-1216660</wp:posOffset>
            </wp:positionV>
            <wp:extent cx="8890" cy="8255"/>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-1199515</wp:posOffset>
            </wp:positionV>
            <wp:extent cx="8890" cy="8255"/>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-1182370</wp:posOffset>
            </wp:positionV>
            <wp:extent cx="8890" cy="8255"/>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-1165225</wp:posOffset>
            </wp:positionV>
            <wp:extent cx="8890" cy="88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-1148080</wp:posOffset>
            </wp:positionV>
            <wp:extent cx="8890" cy="88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-1130935</wp:posOffset>
            </wp:positionV>
            <wp:extent cx="8890" cy="8255"/>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-1113790</wp:posOffset>
            </wp:positionV>
            <wp:extent cx="8890" cy="17145"/>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-1499235</wp:posOffset>
            </wp:positionV>
            <wp:extent cx="8255" cy="8255"/>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-1482090</wp:posOffset>
            </wp:positionV>
            <wp:extent cx="8255" cy="8255"/>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-1464945</wp:posOffset>
            </wp:positionV>
            <wp:extent cx="8255" cy="8255"/>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-1447800</wp:posOffset>
            </wp:positionV>
            <wp:extent cx="8255"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-1430655</wp:posOffset>
            </wp:positionV>
            <wp:extent cx="8255" cy="8255"/>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-1413510</wp:posOffset>
            </wp:positionV>
            <wp:extent cx="8255" cy="8255"/>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-1396365</wp:posOffset>
            </wp:positionV>
            <wp:extent cx="8255" cy="8255"/>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-1379220</wp:posOffset>
            </wp:positionV>
            <wp:extent cx="8255"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-1362075</wp:posOffset>
            </wp:positionV>
            <wp:extent cx="8255"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-1344930</wp:posOffset>
            </wp:positionV>
            <wp:extent cx="8255" cy="8255"/>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-1327785</wp:posOffset>
            </wp:positionV>
            <wp:extent cx="8255" cy="8255"/>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-1310640</wp:posOffset>
            </wp:positionV>
            <wp:extent cx="8255" cy="8255"/>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-1293495</wp:posOffset>
            </wp:positionV>
            <wp:extent cx="8255"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-1276350</wp:posOffset>
            </wp:positionV>
            <wp:extent cx="8255" cy="17145"/>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-1499235</wp:posOffset>
            </wp:positionV>
            <wp:extent cx="8890" cy="8255"/>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-1482090</wp:posOffset>
            </wp:positionV>
            <wp:extent cx="8890" cy="8255"/>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-1464945</wp:posOffset>
            </wp:positionV>
            <wp:extent cx="8890" cy="8255"/>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-1447800</wp:posOffset>
            </wp:positionV>
            <wp:extent cx="8890"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-1430655</wp:posOffset>
            </wp:positionV>
            <wp:extent cx="8890" cy="8255"/>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-1413510</wp:posOffset>
            </wp:positionV>
            <wp:extent cx="8890" cy="8255"/>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-1396365</wp:posOffset>
            </wp:positionV>
            <wp:extent cx="8890" cy="8255"/>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-1379220</wp:posOffset>
            </wp:positionV>
            <wp:extent cx="8890" cy="88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-1362075</wp:posOffset>
            </wp:positionV>
            <wp:extent cx="8890"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-1344930</wp:posOffset>
            </wp:positionV>
            <wp:extent cx="8890" cy="8255"/>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-1327785</wp:posOffset>
            </wp:positionV>
            <wp:extent cx="8890" cy="8255"/>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-1310640</wp:posOffset>
            </wp:positionV>
            <wp:extent cx="8890" cy="8255"/>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-1293495</wp:posOffset>
            </wp:positionV>
            <wp:extent cx="8890"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-1276350</wp:posOffset>
            </wp:positionV>
            <wp:extent cx="8890" cy="17145"/>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-1499235</wp:posOffset>
            </wp:positionV>
            <wp:extent cx="8890" cy="8255"/>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-1482090</wp:posOffset>
            </wp:positionV>
            <wp:extent cx="8890" cy="8255"/>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-1464945</wp:posOffset>
            </wp:positionV>
            <wp:extent cx="8890" cy="8255"/>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-1447800</wp:posOffset>
            </wp:positionV>
            <wp:extent cx="8890" cy="88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-1430655</wp:posOffset>
            </wp:positionV>
            <wp:extent cx="8890" cy="8255"/>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-1413510</wp:posOffset>
            </wp:positionV>
            <wp:extent cx="8890" cy="8255"/>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-1396365</wp:posOffset>
            </wp:positionV>
            <wp:extent cx="8890" cy="8255"/>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-1379220</wp:posOffset>
            </wp:positionV>
            <wp:extent cx="8890" cy="88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-1362075</wp:posOffset>
            </wp:positionV>
            <wp:extent cx="8890" cy="88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-1344930</wp:posOffset>
            </wp:positionV>
            <wp:extent cx="8890" cy="8255"/>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-1327785</wp:posOffset>
            </wp:positionV>
            <wp:extent cx="8890" cy="8255"/>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-1310640</wp:posOffset>
            </wp:positionV>
            <wp:extent cx="8890" cy="8255"/>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-1293495</wp:posOffset>
            </wp:positionV>
            <wp:extent cx="8890"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-1276350</wp:posOffset>
            </wp:positionV>
            <wp:extent cx="8890" cy="17145"/>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-1756410</wp:posOffset>
            </wp:positionV>
            <wp:extent cx="8255" cy="8255"/>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-1739265</wp:posOffset>
            </wp:positionV>
            <wp:extent cx="8255" cy="8255"/>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-1722120</wp:posOffset>
            </wp:positionV>
            <wp:extent cx="8255" cy="8255"/>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-1704975</wp:posOffset>
            </wp:positionV>
            <wp:extent cx="8255" cy="88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-1687830</wp:posOffset>
            </wp:positionV>
            <wp:extent cx="8255" cy="88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-1670685</wp:posOffset>
            </wp:positionV>
            <wp:extent cx="8255" cy="8255"/>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-1653540</wp:posOffset>
            </wp:positionV>
            <wp:extent cx="8255" cy="8255"/>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-1636395</wp:posOffset>
            </wp:positionV>
            <wp:extent cx="8255" cy="8255"/>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-1619250</wp:posOffset>
            </wp:positionV>
            <wp:extent cx="8255"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-1602105</wp:posOffset>
            </wp:positionV>
            <wp:extent cx="8255" cy="88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-1584960</wp:posOffset>
            </wp:positionV>
            <wp:extent cx="8255" cy="8255"/>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-1567815</wp:posOffset>
            </wp:positionV>
            <wp:extent cx="8255" cy="8255"/>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-1550670</wp:posOffset>
            </wp:positionV>
            <wp:extent cx="8255" cy="8255"/>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-1533525</wp:posOffset>
            </wp:positionV>
            <wp:extent cx="8255" cy="26035"/>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-1756410</wp:posOffset>
            </wp:positionV>
            <wp:extent cx="8890" cy="8255"/>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-1739265</wp:posOffset>
            </wp:positionV>
            <wp:extent cx="8890" cy="8255"/>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-1722120</wp:posOffset>
            </wp:positionV>
            <wp:extent cx="8890" cy="8255"/>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-1704975</wp:posOffset>
            </wp:positionV>
            <wp:extent cx="8890" cy="88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-1687830</wp:posOffset>
            </wp:positionV>
            <wp:extent cx="8890" cy="88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-1670685</wp:posOffset>
            </wp:positionV>
            <wp:extent cx="8890" cy="8255"/>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-1653540</wp:posOffset>
            </wp:positionV>
            <wp:extent cx="8890" cy="8255"/>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-1636395</wp:posOffset>
            </wp:positionV>
            <wp:extent cx="8890" cy="8255"/>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-1619250</wp:posOffset>
            </wp:positionV>
            <wp:extent cx="8890" cy="88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-1602105</wp:posOffset>
            </wp:positionV>
            <wp:extent cx="8890" cy="88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-1584960</wp:posOffset>
            </wp:positionV>
            <wp:extent cx="8890" cy="8255"/>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-1567815</wp:posOffset>
            </wp:positionV>
            <wp:extent cx="8890" cy="8255"/>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-1550670</wp:posOffset>
            </wp:positionV>
            <wp:extent cx="8890" cy="8255"/>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-1533525</wp:posOffset>
            </wp:positionV>
            <wp:extent cx="8890" cy="26035"/>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-1756410</wp:posOffset>
            </wp:positionV>
            <wp:extent cx="8890" cy="8255"/>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-1739265</wp:posOffset>
            </wp:positionV>
            <wp:extent cx="8890" cy="8255"/>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-1722120</wp:posOffset>
            </wp:positionV>
            <wp:extent cx="8890" cy="8255"/>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-1704975</wp:posOffset>
            </wp:positionV>
            <wp:extent cx="8890" cy="889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-1687830</wp:posOffset>
            </wp:positionV>
            <wp:extent cx="8890" cy="889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-1670685</wp:posOffset>
            </wp:positionV>
            <wp:extent cx="8890" cy="8255"/>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-1653540</wp:posOffset>
            </wp:positionV>
            <wp:extent cx="8890" cy="8255"/>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-1636395</wp:posOffset>
            </wp:positionV>
            <wp:extent cx="8890" cy="8255"/>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-1619250</wp:posOffset>
            </wp:positionV>
            <wp:extent cx="8890" cy="889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-1602105</wp:posOffset>
            </wp:positionV>
            <wp:extent cx="8890" cy="88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-1584960</wp:posOffset>
            </wp:positionV>
            <wp:extent cx="8890" cy="8255"/>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-1567815</wp:posOffset>
            </wp:positionV>
            <wp:extent cx="8890" cy="8255"/>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-1550670</wp:posOffset>
            </wp:positionV>
            <wp:extent cx="8890" cy="8255"/>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-1533525</wp:posOffset>
            </wp:positionV>
            <wp:extent cx="8890" cy="26035"/>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-2013585</wp:posOffset>
            </wp:positionV>
            <wp:extent cx="8255" cy="8255"/>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-1996440</wp:posOffset>
            </wp:positionV>
            <wp:extent cx="8255" cy="8255"/>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-1979295</wp:posOffset>
            </wp:positionV>
            <wp:extent cx="8255" cy="8255"/>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-1962150</wp:posOffset>
            </wp:positionV>
            <wp:extent cx="8255" cy="889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-1945005</wp:posOffset>
            </wp:positionV>
            <wp:extent cx="8255" cy="889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-1927860</wp:posOffset>
            </wp:positionV>
            <wp:extent cx="8255" cy="8255"/>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-1910715</wp:posOffset>
            </wp:positionV>
            <wp:extent cx="8255" cy="8255"/>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-1893570</wp:posOffset>
            </wp:positionV>
            <wp:extent cx="8255" cy="8255"/>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-1876425</wp:posOffset>
            </wp:positionV>
            <wp:extent cx="8255" cy="889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-1859280</wp:posOffset>
            </wp:positionV>
            <wp:extent cx="8255" cy="88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-1842135</wp:posOffset>
            </wp:positionV>
            <wp:extent cx="8255" cy="8255"/>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-1824990</wp:posOffset>
            </wp:positionV>
            <wp:extent cx="8255" cy="8255"/>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-1807845</wp:posOffset>
            </wp:positionV>
            <wp:extent cx="8255" cy="8255"/>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-1790700</wp:posOffset>
            </wp:positionV>
            <wp:extent cx="8255" cy="26035"/>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-2013585</wp:posOffset>
            </wp:positionV>
            <wp:extent cx="8890" cy="8255"/>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-1996440</wp:posOffset>
            </wp:positionV>
            <wp:extent cx="8890" cy="8255"/>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-1979295</wp:posOffset>
            </wp:positionV>
            <wp:extent cx="8890" cy="8255"/>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-1962150</wp:posOffset>
            </wp:positionV>
            <wp:extent cx="8890" cy="88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-1945005</wp:posOffset>
            </wp:positionV>
            <wp:extent cx="8890" cy="889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-1927860</wp:posOffset>
            </wp:positionV>
            <wp:extent cx="8890" cy="8255"/>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-1910715</wp:posOffset>
            </wp:positionV>
            <wp:extent cx="8890" cy="8255"/>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-1893570</wp:posOffset>
            </wp:positionV>
            <wp:extent cx="8890" cy="8255"/>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-1876425</wp:posOffset>
            </wp:positionV>
            <wp:extent cx="8890" cy="889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-1859280</wp:posOffset>
            </wp:positionV>
            <wp:extent cx="8890" cy="889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-1842135</wp:posOffset>
            </wp:positionV>
            <wp:extent cx="8890" cy="8255"/>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-1824990</wp:posOffset>
            </wp:positionV>
            <wp:extent cx="8890" cy="8255"/>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-1807845</wp:posOffset>
            </wp:positionV>
            <wp:extent cx="8890" cy="8255"/>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-1790700</wp:posOffset>
            </wp:positionV>
            <wp:extent cx="8890" cy="26035"/>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-2013585</wp:posOffset>
            </wp:positionV>
            <wp:extent cx="8890" cy="8255"/>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-1996440</wp:posOffset>
            </wp:positionV>
            <wp:extent cx="8890" cy="8255"/>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-1979295</wp:posOffset>
            </wp:positionV>
            <wp:extent cx="8890" cy="8255"/>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-1962150</wp:posOffset>
            </wp:positionV>
            <wp:extent cx="8890" cy="889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-1945005</wp:posOffset>
            </wp:positionV>
            <wp:extent cx="8890" cy="889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-1927860</wp:posOffset>
            </wp:positionV>
            <wp:extent cx="8890" cy="8255"/>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-1910715</wp:posOffset>
            </wp:positionV>
            <wp:extent cx="8890" cy="8255"/>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-1893570</wp:posOffset>
            </wp:positionV>
            <wp:extent cx="8890" cy="8255"/>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-1876425</wp:posOffset>
            </wp:positionV>
            <wp:extent cx="8890" cy="88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-1859280</wp:posOffset>
            </wp:positionV>
            <wp:extent cx="8890" cy="889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-1842135</wp:posOffset>
            </wp:positionV>
            <wp:extent cx="8890" cy="8255"/>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-1824990</wp:posOffset>
            </wp:positionV>
            <wp:extent cx="8890" cy="8255"/>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-1807845</wp:posOffset>
            </wp:positionV>
            <wp:extent cx="8890" cy="8255"/>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-1790700</wp:posOffset>
            </wp:positionV>
            <wp:extent cx="8890" cy="26035"/>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-4379595</wp:posOffset>
            </wp:positionV>
            <wp:extent cx="5709285" cy="235712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5709285" cy="2357120"/>
                    </a:xfrm>
                    <a:prstGeom prst="rect">
                      <a:avLst/>
                    </a:prstGeom>
                    <a:noFill/>
                  </pic:spPr>
                </pic:pic>
              </a:graphicData>
            </a:graphic>
          </wp:anchor>
        </w:drawing>
      </w:r>
    </w:p>
    <w:p>
      <w:pPr>
        <w:spacing w:after="0" w:line="173" w:lineRule="exact"/>
        <w:rPr>
          <w:sz w:val="20"/>
          <w:szCs w:val="20"/>
          <w:color w:val="auto"/>
        </w:rPr>
      </w:pPr>
    </w:p>
    <w:p>
      <w:pPr>
        <w:ind w:left="180" w:hanging="172"/>
        <w:spacing w:after="0" w:line="234" w:lineRule="auto"/>
        <w:tabs>
          <w:tab w:leader="none" w:pos="110" w:val="left"/>
        </w:tabs>
        <w:numPr>
          <w:ilvl w:val="0"/>
          <w:numId w:val="154"/>
        </w:numPr>
        <w:rPr>
          <w:rFonts w:ascii="Arial" w:cs="Arial" w:eastAsia="Arial" w:hAnsi="Arial"/>
          <w:sz w:val="19"/>
          <w:szCs w:val="19"/>
          <w:color w:val="auto"/>
          <w:vertAlign w:val="superscript"/>
        </w:rPr>
      </w:pPr>
      <w:r>
        <w:rPr>
          <w:rFonts w:ascii="Arial" w:cs="Arial" w:eastAsia="Arial" w:hAnsi="Arial"/>
          <w:sz w:val="14"/>
          <w:szCs w:val="14"/>
          <w:color w:val="auto"/>
        </w:rPr>
        <w:t>These columns show the threshold, target and maximum payouts for performance under the Bonus Plan. The Bonus Plan payouts range from 0 to 200 percent of target. The Bonus Plan payout for 2022 performance was 120 percent of target. Actual payouts are shown in the Summary Compensation Table in the column titled “Non-Equity Incentive Plan Compensation.”</w:t>
      </w:r>
    </w:p>
    <w:p>
      <w:pPr>
        <w:spacing w:after="0" w:line="12" w:lineRule="exact"/>
        <w:rPr>
          <w:sz w:val="20"/>
          <w:szCs w:val="20"/>
          <w:color w:val="auto"/>
        </w:rPr>
      </w:pPr>
    </w:p>
    <w:p>
      <w:pPr>
        <w:ind w:left="100" w:hanging="92"/>
        <w:spacing w:after="0"/>
        <w:tabs>
          <w:tab w:leader="none" w:pos="100" w:val="left"/>
        </w:tabs>
        <w:numPr>
          <w:ilvl w:val="0"/>
          <w:numId w:val="155"/>
        </w:numPr>
        <w:rPr>
          <w:rFonts w:ascii="Arial" w:cs="Arial" w:eastAsia="Arial" w:hAnsi="Arial"/>
          <w:sz w:val="19"/>
          <w:szCs w:val="19"/>
          <w:color w:val="auto"/>
          <w:vertAlign w:val="superscript"/>
        </w:rPr>
      </w:pPr>
      <w:r>
        <w:rPr>
          <w:rFonts w:ascii="Arial" w:cs="Arial" w:eastAsia="Arial" w:hAnsi="Arial"/>
          <w:sz w:val="14"/>
          <w:szCs w:val="14"/>
          <w:color w:val="auto"/>
        </w:rPr>
        <w:t>To assure grant timing is not manipulated for employee gain, the annual grant date is established in advance by the Talent and Compensation Committee.</w:t>
      </w:r>
    </w:p>
    <w:p>
      <w:pPr>
        <w:spacing w:after="0" w:line="11" w:lineRule="exact"/>
        <w:rPr>
          <w:sz w:val="20"/>
          <w:szCs w:val="20"/>
          <w:color w:val="auto"/>
        </w:rPr>
      </w:pPr>
    </w:p>
    <w:p>
      <w:pPr>
        <w:ind w:left="100" w:hanging="92"/>
        <w:spacing w:after="0"/>
        <w:tabs>
          <w:tab w:leader="none" w:pos="100" w:val="left"/>
        </w:tabs>
        <w:numPr>
          <w:ilvl w:val="0"/>
          <w:numId w:val="156"/>
        </w:numPr>
        <w:rPr>
          <w:rFonts w:ascii="Arial" w:cs="Arial" w:eastAsia="Arial" w:hAnsi="Arial"/>
          <w:sz w:val="19"/>
          <w:szCs w:val="19"/>
          <w:color w:val="auto"/>
          <w:vertAlign w:val="superscript"/>
        </w:rPr>
      </w:pPr>
      <w:r>
        <w:rPr>
          <w:rFonts w:ascii="Arial" w:cs="Arial" w:eastAsia="Arial" w:hAnsi="Arial"/>
          <w:sz w:val="14"/>
          <w:szCs w:val="14"/>
          <w:color w:val="auto"/>
        </w:rPr>
        <w:t>This row shows the possible payouts for the 2022-2024 performance awards ranging from 0 to 175 percent of target. This performance award will pay out in February 2025.</w:t>
      </w:r>
    </w:p>
    <w:p>
      <w:pPr>
        <w:spacing w:after="0" w:line="45" w:lineRule="exact"/>
        <w:rPr>
          <w:sz w:val="20"/>
          <w:szCs w:val="20"/>
          <w:color w:val="auto"/>
        </w:rPr>
      </w:pPr>
    </w:p>
    <w:p>
      <w:pPr>
        <w:ind w:left="180" w:right="80" w:hanging="172"/>
        <w:spacing w:after="0" w:line="219" w:lineRule="auto"/>
        <w:tabs>
          <w:tab w:leader="none" w:pos="110" w:val="left"/>
        </w:tabs>
        <w:numPr>
          <w:ilvl w:val="0"/>
          <w:numId w:val="157"/>
        </w:numPr>
        <w:rPr>
          <w:rFonts w:ascii="Arial" w:cs="Arial" w:eastAsia="Arial" w:hAnsi="Arial"/>
          <w:sz w:val="19"/>
          <w:szCs w:val="19"/>
          <w:color w:val="auto"/>
          <w:vertAlign w:val="superscript"/>
        </w:rPr>
      </w:pPr>
      <w:r>
        <w:rPr>
          <w:rFonts w:ascii="Arial" w:cs="Arial" w:eastAsia="Arial" w:hAnsi="Arial"/>
          <w:sz w:val="14"/>
          <w:szCs w:val="14"/>
          <w:color w:val="auto"/>
        </w:rPr>
        <w:t>This row shows the range of payouts for the 2022-2024 shareholder value awards. This shareholder value award will pay out in February 2025, with payouts ranging from 0 to 175 percent of target. We measure the fair value of the shareholder value award on the grant date using a Monte Carlo simulation model.</w:t>
      </w:r>
    </w:p>
    <w:p>
      <w:pPr>
        <w:spacing w:after="0" w:line="40" w:lineRule="exact"/>
        <w:rPr>
          <w:sz w:val="20"/>
          <w:szCs w:val="20"/>
          <w:color w:val="auto"/>
        </w:rPr>
      </w:pPr>
    </w:p>
    <w:p>
      <w:pPr>
        <w:ind w:left="180" w:right="680" w:hanging="172"/>
        <w:spacing w:after="0" w:line="305" w:lineRule="auto"/>
        <w:tabs>
          <w:tab w:leader="none" w:pos="110" w:val="left"/>
        </w:tabs>
        <w:numPr>
          <w:ilvl w:val="0"/>
          <w:numId w:val="158"/>
        </w:numPr>
        <w:rPr>
          <w:rFonts w:ascii="Arial" w:cs="Arial" w:eastAsia="Arial" w:hAnsi="Arial"/>
          <w:sz w:val="9"/>
          <w:szCs w:val="9"/>
          <w:color w:val="auto"/>
        </w:rPr>
      </w:pPr>
      <w:r>
        <w:rPr>
          <w:rFonts w:ascii="Arial" w:cs="Arial" w:eastAsia="Arial" w:hAnsi="Arial"/>
          <w:sz w:val="14"/>
          <w:szCs w:val="14"/>
          <w:color w:val="auto"/>
        </w:rPr>
        <w:t>This row shows the range of payouts for the 2022-2024 relative value awards. This relative value award will pay out in February 2025, with payouts ranging from 0 to 175 percent of target. We measure the fair value of the relative value award on the grant date using a Monte Carlo simulation model.</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78" w:name="page79"/>
    <w:bookmarkEnd w:id="78"/>
    <w:p>
      <w:pPr>
        <w:spacing w:after="0"/>
        <w:rPr>
          <w:sz w:val="20"/>
          <w:szCs w:val="20"/>
          <w:color w:val="auto"/>
        </w:rPr>
      </w:pPr>
      <w:r>
        <w:rPr>
          <w:rFonts w:ascii="Arial" w:cs="Arial" w:eastAsia="Arial" w:hAnsi="Arial"/>
          <w:sz w:val="25"/>
          <w:szCs w:val="25"/>
          <w:b w:val="1"/>
          <w:bCs w:val="1"/>
          <w:color w:val="00A1DE"/>
        </w:rPr>
        <w:t>Outstanding Equity Awards on December 31, 2022</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2022 closing stock price used to calculate the values in the table below was $365.84.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137795</wp:posOffset>
            </wp:positionV>
            <wp:extent cx="3677285" cy="8255"/>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3677285" cy="8255"/>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470"/>
              <w:spacing w:after="0"/>
              <w:rPr>
                <w:sz w:val="20"/>
                <w:szCs w:val="20"/>
                <w:color w:val="auto"/>
              </w:rPr>
            </w:pPr>
            <w:r>
              <w:rPr>
                <w:rFonts w:ascii="Arial" w:cs="Arial" w:eastAsia="Arial" w:hAnsi="Arial"/>
                <w:sz w:val="13"/>
                <w:szCs w:val="13"/>
                <w:color w:val="auto"/>
              </w:rPr>
              <w:t>Stock Awards</w:t>
            </w:r>
          </w:p>
        </w:tc>
        <w:tc>
          <w:tcPr>
            <w:tcW w:w="3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Number of Shares</w:t>
            </w:r>
          </w:p>
        </w:tc>
        <w:tc>
          <w:tcPr>
            <w:tcW w:w="11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Market Value of</w:t>
            </w:r>
          </w:p>
        </w:tc>
        <w:tc>
          <w:tcPr>
            <w:tcW w:w="17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Equity Incentive Plan</w:t>
            </w:r>
          </w:p>
        </w:tc>
        <w:tc>
          <w:tcPr>
            <w:tcW w:w="1680" w:type="dxa"/>
            <w:vAlign w:val="bottom"/>
          </w:tcPr>
          <w:p>
            <w:pPr>
              <w:jc w:val="center"/>
              <w:spacing w:after="0"/>
              <w:rPr>
                <w:sz w:val="20"/>
                <w:szCs w:val="20"/>
                <w:color w:val="auto"/>
              </w:rPr>
            </w:pPr>
            <w:r>
              <w:rPr>
                <w:rFonts w:ascii="Arial" w:cs="Arial" w:eastAsia="Arial" w:hAnsi="Arial"/>
                <w:sz w:val="13"/>
                <w:szCs w:val="13"/>
                <w:b w:val="1"/>
                <w:bCs w:val="1"/>
                <w:color w:val="auto"/>
                <w:w w:val="97"/>
              </w:rPr>
              <w:t>Equity Incentive Plan</w:t>
            </w:r>
          </w:p>
        </w:tc>
        <w:tc>
          <w:tcPr>
            <w:tcW w:w="0" w:type="dxa"/>
            <w:vAlign w:val="bottom"/>
          </w:tcPr>
          <w:p>
            <w:pPr>
              <w:spacing w:after="0"/>
              <w:rPr>
                <w:sz w:val="1"/>
                <w:szCs w:val="1"/>
                <w:color w:val="auto"/>
              </w:rPr>
            </w:pPr>
          </w:p>
        </w:tc>
      </w:tr>
      <w:tr>
        <w:trPr>
          <w:trHeight w:val="126"/>
        </w:trPr>
        <w:tc>
          <w:tcPr>
            <w:tcW w:w="16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6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7"/>
              </w:rPr>
              <w:t>Awards: Market or Payout</w:t>
            </w:r>
          </w:p>
        </w:tc>
        <w:tc>
          <w:tcPr>
            <w:tcW w:w="0" w:type="dxa"/>
            <w:vAlign w:val="bottom"/>
          </w:tcPr>
          <w:p>
            <w:pPr>
              <w:spacing w:after="0"/>
              <w:rPr>
                <w:sz w:val="1"/>
                <w:szCs w:val="1"/>
                <w:color w:val="auto"/>
              </w:rPr>
            </w:pPr>
          </w:p>
        </w:tc>
      </w:tr>
      <w:tr>
        <w:trPr>
          <w:trHeight w:val="81"/>
        </w:trPr>
        <w:tc>
          <w:tcPr>
            <w:tcW w:w="16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or Units of Stock</w:t>
            </w:r>
          </w:p>
        </w:tc>
        <w:tc>
          <w:tcPr>
            <w:tcW w:w="11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Shares or Units of</w:t>
            </w:r>
          </w:p>
        </w:tc>
        <w:tc>
          <w:tcPr>
            <w:tcW w:w="1700" w:type="dxa"/>
            <w:vAlign w:val="bottom"/>
            <w:gridSpan w:val="2"/>
          </w:tcPr>
          <w:p>
            <w:pPr>
              <w:jc w:val="center"/>
              <w:spacing w:after="0" w:line="81" w:lineRule="exact"/>
              <w:rPr>
                <w:sz w:val="20"/>
                <w:szCs w:val="20"/>
                <w:color w:val="auto"/>
              </w:rPr>
            </w:pPr>
            <w:r>
              <w:rPr>
                <w:rFonts w:ascii="Arial" w:cs="Arial" w:eastAsia="Arial" w:hAnsi="Arial"/>
                <w:sz w:val="9"/>
                <w:szCs w:val="9"/>
                <w:b w:val="1"/>
                <w:bCs w:val="1"/>
                <w:color w:val="auto"/>
              </w:rPr>
              <w:t>Awards: Number of</w:t>
            </w:r>
          </w:p>
        </w:tc>
        <w:tc>
          <w:tcPr>
            <w:tcW w:w="16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Value of Unearned Shares,</w:t>
            </w:r>
          </w:p>
        </w:tc>
        <w:tc>
          <w:tcPr>
            <w:tcW w:w="0" w:type="dxa"/>
            <w:vAlign w:val="bottom"/>
          </w:tcPr>
          <w:p>
            <w:pPr>
              <w:spacing w:after="0"/>
              <w:rPr>
                <w:sz w:val="1"/>
                <w:szCs w:val="1"/>
                <w:color w:val="auto"/>
              </w:rPr>
            </w:pPr>
          </w:p>
        </w:tc>
      </w:tr>
      <w:tr>
        <w:trPr>
          <w:trHeight w:val="122"/>
        </w:trPr>
        <w:tc>
          <w:tcPr>
            <w:tcW w:w="16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7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Unearned Shares, Units, or</w:t>
            </w: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vMerge w:val="restart"/>
          </w:tcPr>
          <w:p>
            <w:pPr>
              <w:ind w:left="60"/>
              <w:spacing w:after="0"/>
              <w:rPr>
                <w:sz w:val="20"/>
                <w:szCs w:val="20"/>
                <w:color w:val="auto"/>
              </w:rPr>
            </w:pPr>
            <w:r>
              <w:rPr>
                <w:rFonts w:ascii="Arial" w:cs="Arial" w:eastAsia="Arial" w:hAnsi="Arial"/>
                <w:sz w:val="13"/>
                <w:szCs w:val="13"/>
                <w:color w:val="auto"/>
              </w:rPr>
              <w:t>Name</w:t>
            </w:r>
          </w:p>
        </w:tc>
        <w:tc>
          <w:tcPr>
            <w:tcW w:w="1400" w:type="dxa"/>
            <w:vAlign w:val="bottom"/>
            <w:vMerge w:val="restart"/>
          </w:tcPr>
          <w:p>
            <w:pPr>
              <w:ind w:left="520"/>
              <w:spacing w:after="0"/>
              <w:rPr>
                <w:sz w:val="20"/>
                <w:szCs w:val="20"/>
                <w:color w:val="auto"/>
              </w:rPr>
            </w:pPr>
            <w:r>
              <w:rPr>
                <w:rFonts w:ascii="Arial" w:cs="Arial" w:eastAsia="Arial" w:hAnsi="Arial"/>
                <w:sz w:val="13"/>
                <w:szCs w:val="13"/>
                <w:b w:val="1"/>
                <w:bCs w:val="1"/>
                <w:color w:val="auto"/>
              </w:rPr>
              <w:t>Award</w:t>
            </w:r>
          </w:p>
        </w:tc>
        <w:tc>
          <w:tcPr>
            <w:tcW w:w="220" w:type="dxa"/>
            <w:vAlign w:val="bottom"/>
          </w:tcPr>
          <w:p>
            <w:pPr>
              <w:spacing w:after="0"/>
              <w:rPr>
                <w:sz w:val="10"/>
                <w:szCs w:val="10"/>
                <w:color w:val="auto"/>
              </w:rPr>
            </w:pPr>
          </w:p>
        </w:tc>
        <w:tc>
          <w:tcPr>
            <w:tcW w:w="126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6"/>
              </w:rPr>
              <w:t>That Have Not</w:t>
            </w:r>
          </w:p>
        </w:tc>
        <w:tc>
          <w:tcPr>
            <w:tcW w:w="11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Stock That Have</w:t>
            </w:r>
          </w:p>
        </w:tc>
        <w:tc>
          <w:tcPr>
            <w:tcW w:w="17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6"/>
              </w:rPr>
              <w:t>Other Rights That Have Not</w:t>
            </w:r>
          </w:p>
        </w:tc>
        <w:tc>
          <w:tcPr>
            <w:tcW w:w="16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Units, or Other Rights That</w:t>
            </w:r>
          </w:p>
        </w:tc>
        <w:tc>
          <w:tcPr>
            <w:tcW w:w="0" w:type="dxa"/>
            <w:vAlign w:val="bottom"/>
          </w:tcPr>
          <w:p>
            <w:pPr>
              <w:spacing w:after="0"/>
              <w:rPr>
                <w:sz w:val="1"/>
                <w:szCs w:val="1"/>
                <w:color w:val="auto"/>
              </w:rPr>
            </w:pPr>
          </w:p>
        </w:tc>
      </w:tr>
      <w:tr>
        <w:trPr>
          <w:trHeight w:val="185"/>
        </w:trPr>
        <w:tc>
          <w:tcPr>
            <w:tcW w:w="166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left="272"/>
              <w:spacing w:after="0"/>
              <w:rPr>
                <w:sz w:val="20"/>
                <w:szCs w:val="20"/>
                <w:color w:val="auto"/>
              </w:rPr>
            </w:pPr>
            <w:r>
              <w:rPr>
                <w:rFonts w:ascii="Arial" w:cs="Arial" w:eastAsia="Arial" w:hAnsi="Arial"/>
                <w:sz w:val="13"/>
                <w:szCs w:val="13"/>
                <w:b w:val="1"/>
                <w:bCs w:val="1"/>
                <w:color w:val="auto"/>
                <w:w w:val="96"/>
              </w:rPr>
              <w:t>Vested (#)</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Not Vested ($)</w:t>
            </w:r>
          </w:p>
        </w:tc>
        <w:tc>
          <w:tcPr>
            <w:tcW w:w="1400" w:type="dxa"/>
            <w:vAlign w:val="bottom"/>
            <w:tcBorders>
              <w:bottom w:val="single" w:sz="8" w:color="auto"/>
            </w:tcBorders>
          </w:tcPr>
          <w:p>
            <w:pPr>
              <w:jc w:val="center"/>
              <w:ind w:left="250"/>
              <w:spacing w:after="0"/>
              <w:rPr>
                <w:sz w:val="20"/>
                <w:szCs w:val="20"/>
                <w:color w:val="auto"/>
              </w:rPr>
            </w:pPr>
            <w:r>
              <w:rPr>
                <w:rFonts w:ascii="Arial" w:cs="Arial" w:eastAsia="Arial" w:hAnsi="Arial"/>
                <w:sz w:val="13"/>
                <w:szCs w:val="13"/>
                <w:b w:val="1"/>
                <w:bCs w:val="1"/>
                <w:color w:val="auto"/>
                <w:w w:val="96"/>
              </w:rPr>
              <w:t>Vested (#)</w:t>
            </w: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Have Not Vested ($)</w:t>
            </w:r>
          </w:p>
        </w:tc>
        <w:tc>
          <w:tcPr>
            <w:tcW w:w="0" w:type="dxa"/>
            <w:vAlign w:val="bottom"/>
          </w:tcPr>
          <w:p>
            <w:pPr>
              <w:spacing w:after="0"/>
              <w:rPr>
                <w:sz w:val="1"/>
                <w:szCs w:val="1"/>
                <w:color w:val="auto"/>
              </w:rPr>
            </w:pPr>
          </w:p>
        </w:tc>
      </w:tr>
      <w:tr>
        <w:trPr>
          <w:trHeight w:val="215"/>
        </w:trPr>
        <w:tc>
          <w:tcPr>
            <w:tcW w:w="1660" w:type="dxa"/>
            <w:vAlign w:val="bottom"/>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140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2022-2024 SVA</w:t>
            </w:r>
          </w:p>
        </w:tc>
        <w:tc>
          <w:tcPr>
            <w:tcW w:w="220" w:type="dxa"/>
            <w:vAlign w:val="bottom"/>
            <w:shd w:val="clear" w:color="auto" w:fill="F2F2F2"/>
          </w:tcPr>
          <w:p>
            <w:pPr>
              <w:spacing w:after="0"/>
              <w:rPr>
                <w:sz w:val="18"/>
                <w:szCs w:val="18"/>
                <w:color w:val="auto"/>
              </w:rPr>
            </w:pPr>
          </w:p>
        </w:tc>
        <w:tc>
          <w:tcPr>
            <w:tcW w:w="940" w:type="dxa"/>
            <w:vAlign w:val="bottom"/>
            <w:shd w:val="clear" w:color="auto" w:fill="F2F2F2"/>
          </w:tcPr>
          <w:p>
            <w:pPr>
              <w:spacing w:after="0"/>
              <w:rPr>
                <w:sz w:val="18"/>
                <w:szCs w:val="18"/>
                <w:color w:val="auto"/>
              </w:rPr>
            </w:pPr>
          </w:p>
        </w:tc>
        <w:tc>
          <w:tcPr>
            <w:tcW w:w="320" w:type="dxa"/>
            <w:vAlign w:val="bottom"/>
            <w:shd w:val="clear" w:color="auto" w:fill="F2F2F2"/>
          </w:tcPr>
          <w:p>
            <w:pPr>
              <w:spacing w:after="0"/>
              <w:rPr>
                <w:sz w:val="18"/>
                <w:szCs w:val="18"/>
                <w:color w:val="auto"/>
              </w:rPr>
            </w:pPr>
          </w:p>
        </w:tc>
        <w:tc>
          <w:tcPr>
            <w:tcW w:w="1160" w:type="dxa"/>
            <w:vAlign w:val="bottom"/>
            <w:shd w:val="clear" w:color="auto" w:fill="F2F2F2"/>
          </w:tcPr>
          <w:p>
            <w:pPr>
              <w:spacing w:after="0"/>
              <w:rPr>
                <w:sz w:val="18"/>
                <w:szCs w:val="18"/>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56,651</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1</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$20,725,202</w:t>
            </w:r>
          </w:p>
        </w:tc>
        <w:tc>
          <w:tcPr>
            <w:tcW w:w="0" w:type="dxa"/>
            <w:vAlign w:val="bottom"/>
          </w:tcPr>
          <w:p>
            <w:pPr>
              <w:spacing w:after="0"/>
              <w:rPr>
                <w:sz w:val="1"/>
                <w:szCs w:val="1"/>
                <w:color w:val="auto"/>
              </w:rPr>
            </w:pPr>
          </w:p>
        </w:tc>
      </w:tr>
      <w:tr>
        <w:trPr>
          <w:trHeight w:val="257"/>
        </w:trPr>
        <w:tc>
          <w:tcPr>
            <w:tcW w:w="1660" w:type="dxa"/>
            <w:vAlign w:val="bottom"/>
            <w:shd w:val="clear" w:color="auto" w:fill="F2F2F2"/>
          </w:tcPr>
          <w:p>
            <w:pPr>
              <w:spacing w:after="0"/>
              <w:rPr>
                <w:sz w:val="22"/>
                <w:szCs w:val="22"/>
                <w:color w:val="auto"/>
              </w:rPr>
            </w:pPr>
          </w:p>
        </w:tc>
        <w:tc>
          <w:tcPr>
            <w:tcW w:w="140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2021-2023 SVA</w:t>
            </w:r>
          </w:p>
        </w:tc>
        <w:tc>
          <w:tcPr>
            <w:tcW w:w="220" w:type="dxa"/>
            <w:vAlign w:val="bottom"/>
            <w:shd w:val="clear" w:color="auto" w:fill="F2F2F2"/>
          </w:tcPr>
          <w:p>
            <w:pPr>
              <w:spacing w:after="0"/>
              <w:rPr>
                <w:sz w:val="22"/>
                <w:szCs w:val="22"/>
                <w:color w:val="auto"/>
              </w:rPr>
            </w:pPr>
          </w:p>
        </w:tc>
        <w:tc>
          <w:tcPr>
            <w:tcW w:w="940" w:type="dxa"/>
            <w:vAlign w:val="bottom"/>
            <w:shd w:val="clear" w:color="auto" w:fill="F2F2F2"/>
          </w:tcPr>
          <w:p>
            <w:pPr>
              <w:spacing w:after="0"/>
              <w:rPr>
                <w:sz w:val="22"/>
                <w:szCs w:val="22"/>
                <w:color w:val="auto"/>
              </w:rPr>
            </w:pPr>
          </w:p>
        </w:tc>
        <w:tc>
          <w:tcPr>
            <w:tcW w:w="320" w:type="dxa"/>
            <w:vAlign w:val="bottom"/>
            <w:shd w:val="clear" w:color="auto" w:fill="F2F2F2"/>
          </w:tcPr>
          <w:p>
            <w:pPr>
              <w:spacing w:after="0"/>
              <w:rPr>
                <w:sz w:val="22"/>
                <w:szCs w:val="22"/>
                <w:color w:val="auto"/>
              </w:rPr>
            </w:pPr>
          </w:p>
        </w:tc>
        <w:tc>
          <w:tcPr>
            <w:tcW w:w="1160" w:type="dxa"/>
            <w:vAlign w:val="bottom"/>
            <w:shd w:val="clear" w:color="auto" w:fill="F2F2F2"/>
          </w:tcPr>
          <w:p>
            <w:pPr>
              <w:spacing w:after="0"/>
              <w:rPr>
                <w:sz w:val="22"/>
                <w:szCs w:val="22"/>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39,447</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2</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$14,431,290</w:t>
            </w:r>
          </w:p>
        </w:tc>
        <w:tc>
          <w:tcPr>
            <w:tcW w:w="0" w:type="dxa"/>
            <w:vAlign w:val="bottom"/>
          </w:tcPr>
          <w:p>
            <w:pPr>
              <w:spacing w:after="0"/>
              <w:rPr>
                <w:sz w:val="1"/>
                <w:szCs w:val="1"/>
                <w:color w:val="auto"/>
              </w:rPr>
            </w:pPr>
          </w:p>
        </w:tc>
      </w:tr>
      <w:tr>
        <w:trPr>
          <w:trHeight w:val="256"/>
        </w:trPr>
        <w:tc>
          <w:tcPr>
            <w:tcW w:w="1660" w:type="dxa"/>
            <w:vAlign w:val="bottom"/>
            <w:shd w:val="clear" w:color="auto" w:fill="F2F2F2"/>
          </w:tcPr>
          <w:p>
            <w:pPr>
              <w:spacing w:after="0"/>
              <w:rPr>
                <w:sz w:val="22"/>
                <w:szCs w:val="22"/>
                <w:color w:val="auto"/>
              </w:rPr>
            </w:pPr>
          </w:p>
        </w:tc>
        <w:tc>
          <w:tcPr>
            <w:tcW w:w="140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2022-2024 RVA</w:t>
            </w:r>
          </w:p>
        </w:tc>
        <w:tc>
          <w:tcPr>
            <w:tcW w:w="220" w:type="dxa"/>
            <w:vAlign w:val="bottom"/>
            <w:shd w:val="clear" w:color="auto" w:fill="F2F2F2"/>
          </w:tcPr>
          <w:p>
            <w:pPr>
              <w:spacing w:after="0"/>
              <w:rPr>
                <w:sz w:val="22"/>
                <w:szCs w:val="22"/>
                <w:color w:val="auto"/>
              </w:rPr>
            </w:pPr>
          </w:p>
        </w:tc>
        <w:tc>
          <w:tcPr>
            <w:tcW w:w="940" w:type="dxa"/>
            <w:vAlign w:val="bottom"/>
            <w:shd w:val="clear" w:color="auto" w:fill="F2F2F2"/>
          </w:tcPr>
          <w:p>
            <w:pPr>
              <w:spacing w:after="0"/>
              <w:rPr>
                <w:sz w:val="22"/>
                <w:szCs w:val="22"/>
                <w:color w:val="auto"/>
              </w:rPr>
            </w:pPr>
          </w:p>
        </w:tc>
        <w:tc>
          <w:tcPr>
            <w:tcW w:w="320" w:type="dxa"/>
            <w:vAlign w:val="bottom"/>
            <w:shd w:val="clear" w:color="auto" w:fill="F2F2F2"/>
          </w:tcPr>
          <w:p>
            <w:pPr>
              <w:spacing w:after="0"/>
              <w:rPr>
                <w:sz w:val="22"/>
                <w:szCs w:val="22"/>
                <w:color w:val="auto"/>
              </w:rPr>
            </w:pPr>
          </w:p>
        </w:tc>
        <w:tc>
          <w:tcPr>
            <w:tcW w:w="1160" w:type="dxa"/>
            <w:vAlign w:val="bottom"/>
            <w:shd w:val="clear" w:color="auto" w:fill="F2F2F2"/>
          </w:tcPr>
          <w:p>
            <w:pPr>
              <w:spacing w:after="0"/>
              <w:rPr>
                <w:sz w:val="22"/>
                <w:szCs w:val="22"/>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43,274</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3</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$15,831,360</w:t>
            </w:r>
          </w:p>
        </w:tc>
        <w:tc>
          <w:tcPr>
            <w:tcW w:w="0" w:type="dxa"/>
            <w:vAlign w:val="bottom"/>
          </w:tcPr>
          <w:p>
            <w:pPr>
              <w:spacing w:after="0"/>
              <w:rPr>
                <w:sz w:val="1"/>
                <w:szCs w:val="1"/>
                <w:color w:val="auto"/>
              </w:rPr>
            </w:pPr>
          </w:p>
        </w:tc>
      </w:tr>
      <w:tr>
        <w:trPr>
          <w:trHeight w:val="257"/>
        </w:trPr>
        <w:tc>
          <w:tcPr>
            <w:tcW w:w="1660" w:type="dxa"/>
            <w:vAlign w:val="bottom"/>
            <w:shd w:val="clear" w:color="auto" w:fill="F2F2F2"/>
          </w:tcPr>
          <w:p>
            <w:pPr>
              <w:spacing w:after="0"/>
              <w:rPr>
                <w:sz w:val="22"/>
                <w:szCs w:val="22"/>
                <w:color w:val="auto"/>
              </w:rPr>
            </w:pPr>
          </w:p>
        </w:tc>
        <w:tc>
          <w:tcPr>
            <w:tcW w:w="140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2021-2023 RVA</w:t>
            </w:r>
          </w:p>
        </w:tc>
        <w:tc>
          <w:tcPr>
            <w:tcW w:w="220" w:type="dxa"/>
            <w:vAlign w:val="bottom"/>
            <w:shd w:val="clear" w:color="auto" w:fill="F2F2F2"/>
          </w:tcPr>
          <w:p>
            <w:pPr>
              <w:spacing w:after="0"/>
              <w:rPr>
                <w:sz w:val="22"/>
                <w:szCs w:val="22"/>
                <w:color w:val="auto"/>
              </w:rPr>
            </w:pPr>
          </w:p>
        </w:tc>
        <w:tc>
          <w:tcPr>
            <w:tcW w:w="940" w:type="dxa"/>
            <w:vAlign w:val="bottom"/>
            <w:shd w:val="clear" w:color="auto" w:fill="F2F2F2"/>
          </w:tcPr>
          <w:p>
            <w:pPr>
              <w:spacing w:after="0"/>
              <w:rPr>
                <w:sz w:val="22"/>
                <w:szCs w:val="22"/>
                <w:color w:val="auto"/>
              </w:rPr>
            </w:pPr>
          </w:p>
        </w:tc>
        <w:tc>
          <w:tcPr>
            <w:tcW w:w="320" w:type="dxa"/>
            <w:vAlign w:val="bottom"/>
            <w:shd w:val="clear" w:color="auto" w:fill="F2F2F2"/>
          </w:tcPr>
          <w:p>
            <w:pPr>
              <w:spacing w:after="0"/>
              <w:rPr>
                <w:sz w:val="22"/>
                <w:szCs w:val="22"/>
                <w:color w:val="auto"/>
              </w:rPr>
            </w:pPr>
          </w:p>
        </w:tc>
        <w:tc>
          <w:tcPr>
            <w:tcW w:w="1160" w:type="dxa"/>
            <w:vAlign w:val="bottom"/>
            <w:shd w:val="clear" w:color="auto" w:fill="F2F2F2"/>
          </w:tcPr>
          <w:p>
            <w:pPr>
              <w:spacing w:after="0"/>
              <w:rPr>
                <w:sz w:val="22"/>
                <w:szCs w:val="22"/>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29,908</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4</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$10,941,543</w:t>
            </w:r>
          </w:p>
        </w:tc>
        <w:tc>
          <w:tcPr>
            <w:tcW w:w="0" w:type="dxa"/>
            <w:vAlign w:val="bottom"/>
          </w:tcPr>
          <w:p>
            <w:pPr>
              <w:spacing w:after="0"/>
              <w:rPr>
                <w:sz w:val="1"/>
                <w:szCs w:val="1"/>
                <w:color w:val="auto"/>
              </w:rPr>
            </w:pPr>
          </w:p>
        </w:tc>
      </w:tr>
      <w:tr>
        <w:trPr>
          <w:trHeight w:val="260"/>
        </w:trPr>
        <w:tc>
          <w:tcPr>
            <w:tcW w:w="1660" w:type="dxa"/>
            <w:vAlign w:val="bottom"/>
            <w:shd w:val="clear" w:color="auto" w:fill="F2F2F2"/>
          </w:tcPr>
          <w:p>
            <w:pPr>
              <w:spacing w:after="0"/>
              <w:rPr>
                <w:sz w:val="22"/>
                <w:szCs w:val="22"/>
                <w:color w:val="auto"/>
              </w:rPr>
            </w:pPr>
          </w:p>
        </w:tc>
        <w:tc>
          <w:tcPr>
            <w:tcW w:w="140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2022-2024 PA</w:t>
            </w:r>
          </w:p>
        </w:tc>
        <w:tc>
          <w:tcPr>
            <w:tcW w:w="220" w:type="dxa"/>
            <w:vAlign w:val="bottom"/>
            <w:shd w:val="clear" w:color="auto" w:fill="F2F2F2"/>
          </w:tcPr>
          <w:p>
            <w:pPr>
              <w:spacing w:after="0"/>
              <w:rPr>
                <w:sz w:val="22"/>
                <w:szCs w:val="22"/>
                <w:color w:val="auto"/>
              </w:rPr>
            </w:pPr>
          </w:p>
        </w:tc>
        <w:tc>
          <w:tcPr>
            <w:tcW w:w="940" w:type="dxa"/>
            <w:vAlign w:val="bottom"/>
            <w:shd w:val="clear" w:color="auto" w:fill="F2F2F2"/>
          </w:tcPr>
          <w:p>
            <w:pPr>
              <w:spacing w:after="0"/>
              <w:rPr>
                <w:sz w:val="22"/>
                <w:szCs w:val="22"/>
                <w:color w:val="auto"/>
              </w:rPr>
            </w:pPr>
          </w:p>
        </w:tc>
        <w:tc>
          <w:tcPr>
            <w:tcW w:w="320" w:type="dxa"/>
            <w:vAlign w:val="bottom"/>
            <w:vMerge w:val="restart"/>
            <w:shd w:val="clear" w:color="auto" w:fill="F2F2F2"/>
          </w:tcPr>
          <w:p>
            <w:pPr>
              <w:jc w:val="right"/>
              <w:ind w:right="213"/>
              <w:spacing w:after="0"/>
              <w:rPr>
                <w:sz w:val="20"/>
                <w:szCs w:val="20"/>
                <w:color w:val="auto"/>
              </w:rPr>
            </w:pPr>
            <w:r>
              <w:rPr>
                <w:rFonts w:ascii="Arial" w:cs="Arial" w:eastAsia="Arial" w:hAnsi="Arial"/>
                <w:sz w:val="9"/>
                <w:szCs w:val="9"/>
                <w:color w:val="auto"/>
                <w:w w:val="78"/>
              </w:rPr>
              <w:t>6</w:t>
            </w:r>
          </w:p>
        </w:tc>
        <w:tc>
          <w:tcPr>
            <w:tcW w:w="1160" w:type="dxa"/>
            <w:vAlign w:val="bottom"/>
            <w:shd w:val="clear" w:color="auto" w:fill="F2F2F2"/>
          </w:tcPr>
          <w:p>
            <w:pPr>
              <w:spacing w:after="0"/>
              <w:rPr>
                <w:sz w:val="22"/>
                <w:szCs w:val="22"/>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36,314</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5</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$13,285,114</w:t>
            </w:r>
          </w:p>
        </w:tc>
        <w:tc>
          <w:tcPr>
            <w:tcW w:w="0" w:type="dxa"/>
            <w:vAlign w:val="bottom"/>
          </w:tcPr>
          <w:p>
            <w:pPr>
              <w:spacing w:after="0"/>
              <w:rPr>
                <w:sz w:val="1"/>
                <w:szCs w:val="1"/>
                <w:color w:val="auto"/>
              </w:rPr>
            </w:pPr>
          </w:p>
        </w:tc>
      </w:tr>
      <w:tr>
        <w:trPr>
          <w:trHeight w:val="253"/>
        </w:trPr>
        <w:tc>
          <w:tcPr>
            <w:tcW w:w="1660" w:type="dxa"/>
            <w:vAlign w:val="bottom"/>
            <w:shd w:val="clear" w:color="auto" w:fill="F2F2F2"/>
          </w:tcPr>
          <w:p>
            <w:pPr>
              <w:spacing w:after="0"/>
              <w:rPr>
                <w:sz w:val="21"/>
                <w:szCs w:val="21"/>
                <w:color w:val="auto"/>
              </w:rPr>
            </w:pPr>
          </w:p>
        </w:tc>
        <w:tc>
          <w:tcPr>
            <w:tcW w:w="140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2021-2023 PA</w:t>
            </w:r>
          </w:p>
        </w:tc>
        <w:tc>
          <w:tcPr>
            <w:tcW w:w="220" w:type="dxa"/>
            <w:vAlign w:val="bottom"/>
            <w:shd w:val="clear" w:color="auto" w:fill="F2F2F2"/>
          </w:tcPr>
          <w:p>
            <w:pPr>
              <w:spacing w:after="0"/>
              <w:rPr>
                <w:sz w:val="21"/>
                <w:szCs w:val="21"/>
                <w:color w:val="auto"/>
              </w:rPr>
            </w:pPr>
          </w:p>
        </w:tc>
        <w:tc>
          <w:tcPr>
            <w:tcW w:w="9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29,611</w:t>
            </w:r>
          </w:p>
        </w:tc>
        <w:tc>
          <w:tcPr>
            <w:tcW w:w="320" w:type="dxa"/>
            <w:vAlign w:val="bottom"/>
            <w:vMerge w:val="continue"/>
            <w:shd w:val="clear" w:color="auto" w:fill="F2F2F2"/>
          </w:tcPr>
          <w:p>
            <w:pPr>
              <w:spacing w:after="0"/>
              <w:rPr>
                <w:sz w:val="21"/>
                <w:szCs w:val="21"/>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$10,832,888</w:t>
            </w:r>
          </w:p>
        </w:tc>
        <w:tc>
          <w:tcPr>
            <w:tcW w:w="1400" w:type="dxa"/>
            <w:vAlign w:val="bottom"/>
            <w:shd w:val="clear" w:color="auto" w:fill="F2F2F2"/>
          </w:tcPr>
          <w:p>
            <w:pPr>
              <w:spacing w:after="0"/>
              <w:rPr>
                <w:sz w:val="21"/>
                <w:szCs w:val="21"/>
                <w:color w:val="auto"/>
              </w:rPr>
            </w:pPr>
          </w:p>
        </w:tc>
        <w:tc>
          <w:tcPr>
            <w:tcW w:w="300" w:type="dxa"/>
            <w:vAlign w:val="bottom"/>
            <w:shd w:val="clear" w:color="auto" w:fill="F2F2F2"/>
          </w:tcPr>
          <w:p>
            <w:pPr>
              <w:spacing w:after="0"/>
              <w:rPr>
                <w:sz w:val="21"/>
                <w:szCs w:val="21"/>
                <w:color w:val="auto"/>
              </w:rPr>
            </w:pPr>
          </w:p>
        </w:tc>
        <w:tc>
          <w:tcPr>
            <w:tcW w:w="1680" w:type="dxa"/>
            <w:vAlign w:val="bottom"/>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660" w:type="dxa"/>
            <w:vAlign w:val="bottom"/>
            <w:tcBorders>
              <w:bottom w:val="single" w:sz="8" w:color="F2F2F2"/>
            </w:tcBorders>
            <w:shd w:val="clear" w:color="auto" w:fill="F2F2F2"/>
          </w:tcPr>
          <w:p>
            <w:pPr>
              <w:spacing w:after="0"/>
              <w:rPr>
                <w:sz w:val="22"/>
                <w:szCs w:val="22"/>
                <w:color w:val="auto"/>
              </w:rPr>
            </w:pPr>
          </w:p>
        </w:tc>
        <w:tc>
          <w:tcPr>
            <w:tcW w:w="140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4"/>
                <w:szCs w:val="14"/>
                <w:color w:val="auto"/>
              </w:rPr>
              <w:t>2020-2022 PA</w:t>
            </w:r>
          </w:p>
        </w:tc>
        <w:tc>
          <w:tcPr>
            <w:tcW w:w="220" w:type="dxa"/>
            <w:vAlign w:val="bottom"/>
            <w:tcBorders>
              <w:bottom w:val="single" w:sz="8" w:color="F2F2F2"/>
            </w:tcBorders>
            <w:shd w:val="clear" w:color="auto" w:fill="F2F2F2"/>
          </w:tcPr>
          <w:p>
            <w:pPr>
              <w:spacing w:after="0"/>
              <w:rPr>
                <w:sz w:val="22"/>
                <w:szCs w:val="22"/>
                <w:color w:val="auto"/>
              </w:rPr>
            </w:pPr>
          </w:p>
        </w:tc>
        <w:tc>
          <w:tcPr>
            <w:tcW w:w="94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47,786</w:t>
            </w:r>
          </w:p>
        </w:tc>
        <w:tc>
          <w:tcPr>
            <w:tcW w:w="320" w:type="dxa"/>
            <w:vAlign w:val="bottom"/>
            <w:tcBorders>
              <w:bottom w:val="single" w:sz="8" w:color="F2F2F2"/>
            </w:tcBorders>
            <w:shd w:val="clear" w:color="auto" w:fill="F2F2F2"/>
          </w:tcPr>
          <w:p>
            <w:pPr>
              <w:jc w:val="right"/>
              <w:ind w:right="213"/>
              <w:spacing w:after="0"/>
              <w:rPr>
                <w:sz w:val="20"/>
                <w:szCs w:val="20"/>
                <w:color w:val="auto"/>
              </w:rPr>
            </w:pPr>
            <w:r>
              <w:rPr>
                <w:rFonts w:ascii="Arial" w:cs="Arial" w:eastAsia="Arial" w:hAnsi="Arial"/>
                <w:sz w:val="9"/>
                <w:szCs w:val="9"/>
                <w:color w:val="auto"/>
                <w:w w:val="78"/>
              </w:rPr>
              <w:t>7</w:t>
            </w:r>
          </w:p>
        </w:tc>
        <w:tc>
          <w:tcPr>
            <w:tcW w:w="11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$17,482,030</w:t>
            </w:r>
          </w:p>
        </w:tc>
        <w:tc>
          <w:tcPr>
            <w:tcW w:w="1400" w:type="dxa"/>
            <w:vAlign w:val="bottom"/>
            <w:tcBorders>
              <w:bottom w:val="single" w:sz="8" w:color="F2F2F2"/>
            </w:tcBorders>
            <w:shd w:val="clear" w:color="auto" w:fill="F2F2F2"/>
          </w:tcPr>
          <w:p>
            <w:pPr>
              <w:spacing w:after="0"/>
              <w:rPr>
                <w:sz w:val="22"/>
                <w:szCs w:val="22"/>
                <w:color w:val="auto"/>
              </w:rPr>
            </w:pPr>
          </w:p>
        </w:tc>
        <w:tc>
          <w:tcPr>
            <w:tcW w:w="300" w:type="dxa"/>
            <w:vAlign w:val="bottom"/>
            <w:tcBorders>
              <w:bottom w:val="single" w:sz="8" w:color="F2F2F2"/>
            </w:tcBorders>
            <w:shd w:val="clear" w:color="auto" w:fill="F2F2F2"/>
          </w:tcPr>
          <w:p>
            <w:pPr>
              <w:spacing w:after="0"/>
              <w:rPr>
                <w:sz w:val="22"/>
                <w:szCs w:val="22"/>
                <w:color w:val="auto"/>
              </w:rPr>
            </w:pPr>
          </w:p>
        </w:tc>
        <w:tc>
          <w:tcPr>
            <w:tcW w:w="1680" w:type="dxa"/>
            <w:vAlign w:val="bottom"/>
            <w:tcBorders>
              <w:bottom w:val="single" w:sz="8" w:color="F2F2F2"/>
            </w:tcBorders>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1660" w:type="dxa"/>
            <w:vAlign w:val="bottom"/>
          </w:tcPr>
          <w:p>
            <w:pPr>
              <w:ind w:left="20"/>
              <w:spacing w:after="0"/>
              <w:rPr>
                <w:sz w:val="20"/>
                <w:szCs w:val="20"/>
                <w:color w:val="auto"/>
              </w:rPr>
            </w:pPr>
            <w:r>
              <w:rPr>
                <w:rFonts w:ascii="Arial" w:cs="Arial" w:eastAsia="Arial" w:hAnsi="Arial"/>
                <w:sz w:val="14"/>
                <w:szCs w:val="14"/>
                <w:color w:val="auto"/>
              </w:rPr>
              <w:t>Ms. Ashkenazi</w:t>
            </w:r>
          </w:p>
        </w:tc>
        <w:tc>
          <w:tcPr>
            <w:tcW w:w="1400" w:type="dxa"/>
            <w:vAlign w:val="bottom"/>
          </w:tcPr>
          <w:p>
            <w:pPr>
              <w:ind w:left="100"/>
              <w:spacing w:after="0"/>
              <w:rPr>
                <w:sz w:val="20"/>
                <w:szCs w:val="20"/>
                <w:color w:val="auto"/>
              </w:rPr>
            </w:pPr>
            <w:r>
              <w:rPr>
                <w:rFonts w:ascii="Arial" w:cs="Arial" w:eastAsia="Arial" w:hAnsi="Arial"/>
                <w:sz w:val="14"/>
                <w:szCs w:val="14"/>
                <w:color w:val="auto"/>
              </w:rPr>
              <w:t>2022-2024 SVA</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10,458</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1</w:t>
            </w:r>
          </w:p>
        </w:tc>
        <w:tc>
          <w:tcPr>
            <w:tcW w:w="1680" w:type="dxa"/>
            <w:vAlign w:val="bottom"/>
          </w:tcPr>
          <w:p>
            <w:pPr>
              <w:jc w:val="right"/>
              <w:spacing w:after="0"/>
              <w:rPr>
                <w:sz w:val="20"/>
                <w:szCs w:val="20"/>
                <w:color w:val="auto"/>
              </w:rPr>
            </w:pPr>
            <w:r>
              <w:rPr>
                <w:rFonts w:ascii="Arial" w:cs="Arial" w:eastAsia="Arial" w:hAnsi="Arial"/>
                <w:sz w:val="14"/>
                <w:szCs w:val="14"/>
                <w:color w:val="auto"/>
              </w:rPr>
              <w:t>$3,825,955</w:t>
            </w:r>
          </w:p>
        </w:tc>
        <w:tc>
          <w:tcPr>
            <w:tcW w:w="0" w:type="dxa"/>
            <w:vAlign w:val="bottom"/>
          </w:tcPr>
          <w:p>
            <w:pPr>
              <w:spacing w:after="0"/>
              <w:rPr>
                <w:sz w:val="1"/>
                <w:szCs w:val="1"/>
                <w:color w:val="auto"/>
              </w:rPr>
            </w:pPr>
          </w:p>
        </w:tc>
      </w:tr>
      <w:tr>
        <w:trPr>
          <w:trHeight w:val="257"/>
        </w:trPr>
        <w:tc>
          <w:tcPr>
            <w:tcW w:w="1660" w:type="dxa"/>
            <w:vAlign w:val="bottom"/>
          </w:tcPr>
          <w:p>
            <w:pPr>
              <w:spacing w:after="0"/>
              <w:rPr>
                <w:sz w:val="22"/>
                <w:szCs w:val="22"/>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2021-2023 SVA</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4,114</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2</w:t>
            </w:r>
          </w:p>
        </w:tc>
        <w:tc>
          <w:tcPr>
            <w:tcW w:w="1680" w:type="dxa"/>
            <w:vAlign w:val="bottom"/>
          </w:tcPr>
          <w:p>
            <w:pPr>
              <w:jc w:val="right"/>
              <w:spacing w:after="0"/>
              <w:rPr>
                <w:sz w:val="20"/>
                <w:szCs w:val="20"/>
                <w:color w:val="auto"/>
              </w:rPr>
            </w:pPr>
            <w:r>
              <w:rPr>
                <w:rFonts w:ascii="Arial" w:cs="Arial" w:eastAsia="Arial" w:hAnsi="Arial"/>
                <w:sz w:val="14"/>
                <w:szCs w:val="14"/>
                <w:color w:val="auto"/>
              </w:rPr>
              <w:t>$1,505,066</w:t>
            </w:r>
          </w:p>
        </w:tc>
        <w:tc>
          <w:tcPr>
            <w:tcW w:w="0" w:type="dxa"/>
            <w:vAlign w:val="bottom"/>
          </w:tcPr>
          <w:p>
            <w:pPr>
              <w:spacing w:after="0"/>
              <w:rPr>
                <w:sz w:val="1"/>
                <w:szCs w:val="1"/>
                <w:color w:val="auto"/>
              </w:rPr>
            </w:pPr>
          </w:p>
        </w:tc>
      </w:tr>
      <w:tr>
        <w:trPr>
          <w:trHeight w:val="257"/>
        </w:trPr>
        <w:tc>
          <w:tcPr>
            <w:tcW w:w="1660" w:type="dxa"/>
            <w:vAlign w:val="bottom"/>
          </w:tcPr>
          <w:p>
            <w:pPr>
              <w:spacing w:after="0"/>
              <w:rPr>
                <w:sz w:val="22"/>
                <w:szCs w:val="22"/>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2022-2024 RVA</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7,989</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3</w:t>
            </w:r>
          </w:p>
        </w:tc>
        <w:tc>
          <w:tcPr>
            <w:tcW w:w="1680" w:type="dxa"/>
            <w:vAlign w:val="bottom"/>
          </w:tcPr>
          <w:p>
            <w:pPr>
              <w:jc w:val="right"/>
              <w:spacing w:after="0"/>
              <w:rPr>
                <w:sz w:val="20"/>
                <w:szCs w:val="20"/>
                <w:color w:val="auto"/>
              </w:rPr>
            </w:pPr>
            <w:r>
              <w:rPr>
                <w:rFonts w:ascii="Arial" w:cs="Arial" w:eastAsia="Arial" w:hAnsi="Arial"/>
                <w:sz w:val="14"/>
                <w:szCs w:val="14"/>
                <w:color w:val="auto"/>
              </w:rPr>
              <w:t>$2,922,696</w:t>
            </w:r>
          </w:p>
        </w:tc>
        <w:tc>
          <w:tcPr>
            <w:tcW w:w="0" w:type="dxa"/>
            <w:vAlign w:val="bottom"/>
          </w:tcPr>
          <w:p>
            <w:pPr>
              <w:spacing w:after="0"/>
              <w:rPr>
                <w:sz w:val="1"/>
                <w:szCs w:val="1"/>
                <w:color w:val="auto"/>
              </w:rPr>
            </w:pPr>
          </w:p>
        </w:tc>
      </w:tr>
      <w:tr>
        <w:trPr>
          <w:trHeight w:val="257"/>
        </w:trPr>
        <w:tc>
          <w:tcPr>
            <w:tcW w:w="1660" w:type="dxa"/>
            <w:vAlign w:val="bottom"/>
          </w:tcPr>
          <w:p>
            <w:pPr>
              <w:spacing w:after="0"/>
              <w:rPr>
                <w:sz w:val="22"/>
                <w:szCs w:val="22"/>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2021-2023 RVA</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3,357</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4</w:t>
            </w:r>
          </w:p>
        </w:tc>
        <w:tc>
          <w:tcPr>
            <w:tcW w:w="1680" w:type="dxa"/>
            <w:vAlign w:val="bottom"/>
          </w:tcPr>
          <w:p>
            <w:pPr>
              <w:jc w:val="right"/>
              <w:spacing w:after="0"/>
              <w:rPr>
                <w:sz w:val="20"/>
                <w:szCs w:val="20"/>
                <w:color w:val="auto"/>
              </w:rPr>
            </w:pPr>
            <w:r>
              <w:rPr>
                <w:rFonts w:ascii="Arial" w:cs="Arial" w:eastAsia="Arial" w:hAnsi="Arial"/>
                <w:sz w:val="14"/>
                <w:szCs w:val="14"/>
                <w:color w:val="auto"/>
              </w:rPr>
              <w:t>$1,228,125</w:t>
            </w:r>
          </w:p>
        </w:tc>
        <w:tc>
          <w:tcPr>
            <w:tcW w:w="0" w:type="dxa"/>
            <w:vAlign w:val="bottom"/>
          </w:tcPr>
          <w:p>
            <w:pPr>
              <w:spacing w:after="0"/>
              <w:rPr>
                <w:sz w:val="1"/>
                <w:szCs w:val="1"/>
                <w:color w:val="auto"/>
              </w:rPr>
            </w:pPr>
          </w:p>
        </w:tc>
      </w:tr>
      <w:tr>
        <w:trPr>
          <w:trHeight w:val="260"/>
        </w:trPr>
        <w:tc>
          <w:tcPr>
            <w:tcW w:w="1660" w:type="dxa"/>
            <w:vAlign w:val="bottom"/>
          </w:tcPr>
          <w:p>
            <w:pPr>
              <w:spacing w:after="0"/>
              <w:rPr>
                <w:sz w:val="22"/>
                <w:szCs w:val="22"/>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2022-2024 PA</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vMerge w:val="restart"/>
          </w:tcPr>
          <w:p>
            <w:pPr>
              <w:jc w:val="right"/>
              <w:ind w:right="213"/>
              <w:spacing w:after="0"/>
              <w:rPr>
                <w:sz w:val="20"/>
                <w:szCs w:val="20"/>
                <w:color w:val="auto"/>
              </w:rPr>
            </w:pPr>
            <w:r>
              <w:rPr>
                <w:rFonts w:ascii="Arial" w:cs="Arial" w:eastAsia="Arial" w:hAnsi="Arial"/>
                <w:sz w:val="9"/>
                <w:szCs w:val="9"/>
                <w:color w:val="auto"/>
                <w:w w:val="78"/>
              </w:rPr>
              <w:t>8</w:t>
            </w:r>
          </w:p>
        </w:tc>
        <w:tc>
          <w:tcPr>
            <w:tcW w:w="1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6,704</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5</w:t>
            </w:r>
          </w:p>
        </w:tc>
        <w:tc>
          <w:tcPr>
            <w:tcW w:w="1680" w:type="dxa"/>
            <w:vAlign w:val="bottom"/>
          </w:tcPr>
          <w:p>
            <w:pPr>
              <w:jc w:val="right"/>
              <w:spacing w:after="0"/>
              <w:rPr>
                <w:sz w:val="20"/>
                <w:szCs w:val="20"/>
                <w:color w:val="auto"/>
              </w:rPr>
            </w:pPr>
            <w:r>
              <w:rPr>
                <w:rFonts w:ascii="Arial" w:cs="Arial" w:eastAsia="Arial" w:hAnsi="Arial"/>
                <w:sz w:val="14"/>
                <w:szCs w:val="14"/>
                <w:color w:val="auto"/>
              </w:rPr>
              <w:t>$2,452,591</w:t>
            </w:r>
          </w:p>
        </w:tc>
        <w:tc>
          <w:tcPr>
            <w:tcW w:w="0" w:type="dxa"/>
            <w:vAlign w:val="bottom"/>
          </w:tcPr>
          <w:p>
            <w:pPr>
              <w:spacing w:after="0"/>
              <w:rPr>
                <w:sz w:val="1"/>
                <w:szCs w:val="1"/>
                <w:color w:val="auto"/>
              </w:rPr>
            </w:pPr>
          </w:p>
        </w:tc>
      </w:tr>
      <w:tr>
        <w:trPr>
          <w:trHeight w:val="257"/>
        </w:trPr>
        <w:tc>
          <w:tcPr>
            <w:tcW w:w="1660" w:type="dxa"/>
            <w:vAlign w:val="bottom"/>
          </w:tcPr>
          <w:p>
            <w:pPr>
              <w:spacing w:after="0"/>
              <w:rPr>
                <w:sz w:val="22"/>
                <w:szCs w:val="22"/>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RSU</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11,499</w:t>
            </w:r>
          </w:p>
        </w:tc>
        <w:tc>
          <w:tcPr>
            <w:tcW w:w="320" w:type="dxa"/>
            <w:vAlign w:val="bottom"/>
            <w:vMerge w:val="continue"/>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$4,206,794</w:t>
            </w:r>
          </w:p>
        </w:tc>
        <w:tc>
          <w:tcPr>
            <w:tcW w:w="1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
        </w:trPr>
        <w:tc>
          <w:tcPr>
            <w:tcW w:w="1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1660" w:type="dxa"/>
            <w:vAlign w:val="bottom"/>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140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2022-2024 SVA</w:t>
            </w:r>
          </w:p>
        </w:tc>
        <w:tc>
          <w:tcPr>
            <w:tcW w:w="220" w:type="dxa"/>
            <w:vAlign w:val="bottom"/>
            <w:shd w:val="clear" w:color="auto" w:fill="F2F2F2"/>
          </w:tcPr>
          <w:p>
            <w:pPr>
              <w:spacing w:after="0"/>
              <w:rPr>
                <w:sz w:val="20"/>
                <w:szCs w:val="20"/>
                <w:color w:val="auto"/>
              </w:rPr>
            </w:pPr>
          </w:p>
        </w:tc>
        <w:tc>
          <w:tcPr>
            <w:tcW w:w="940" w:type="dxa"/>
            <w:vAlign w:val="bottom"/>
            <w:shd w:val="clear" w:color="auto" w:fill="F2F2F2"/>
          </w:tcPr>
          <w:p>
            <w:pPr>
              <w:spacing w:after="0"/>
              <w:rPr>
                <w:sz w:val="20"/>
                <w:szCs w:val="20"/>
                <w:color w:val="auto"/>
              </w:rPr>
            </w:pPr>
          </w:p>
        </w:tc>
        <w:tc>
          <w:tcPr>
            <w:tcW w:w="320" w:type="dxa"/>
            <w:vAlign w:val="bottom"/>
            <w:shd w:val="clear" w:color="auto" w:fill="F2F2F2"/>
          </w:tcPr>
          <w:p>
            <w:pPr>
              <w:spacing w:after="0"/>
              <w:rPr>
                <w:sz w:val="20"/>
                <w:szCs w:val="20"/>
                <w:color w:val="auto"/>
              </w:rPr>
            </w:pPr>
          </w:p>
        </w:tc>
        <w:tc>
          <w:tcPr>
            <w:tcW w:w="1160" w:type="dxa"/>
            <w:vAlign w:val="bottom"/>
            <w:shd w:val="clear" w:color="auto" w:fill="F2F2F2"/>
          </w:tcPr>
          <w:p>
            <w:pPr>
              <w:spacing w:after="0"/>
              <w:rPr>
                <w:sz w:val="20"/>
                <w:szCs w:val="20"/>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19,175</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1</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$7,014,982</w:t>
            </w:r>
          </w:p>
        </w:tc>
        <w:tc>
          <w:tcPr>
            <w:tcW w:w="0" w:type="dxa"/>
            <w:vAlign w:val="bottom"/>
          </w:tcPr>
          <w:p>
            <w:pPr>
              <w:spacing w:after="0"/>
              <w:rPr>
                <w:sz w:val="1"/>
                <w:szCs w:val="1"/>
                <w:color w:val="auto"/>
              </w:rPr>
            </w:pPr>
          </w:p>
        </w:tc>
      </w:tr>
      <w:tr>
        <w:trPr>
          <w:trHeight w:val="257"/>
        </w:trPr>
        <w:tc>
          <w:tcPr>
            <w:tcW w:w="1660" w:type="dxa"/>
            <w:vAlign w:val="bottom"/>
            <w:shd w:val="clear" w:color="auto" w:fill="F2F2F2"/>
          </w:tcPr>
          <w:p>
            <w:pPr>
              <w:spacing w:after="0"/>
              <w:rPr>
                <w:sz w:val="22"/>
                <w:szCs w:val="22"/>
                <w:color w:val="auto"/>
              </w:rPr>
            </w:pPr>
          </w:p>
        </w:tc>
        <w:tc>
          <w:tcPr>
            <w:tcW w:w="140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2021-2023 SVA</w:t>
            </w:r>
          </w:p>
        </w:tc>
        <w:tc>
          <w:tcPr>
            <w:tcW w:w="220" w:type="dxa"/>
            <w:vAlign w:val="bottom"/>
            <w:shd w:val="clear" w:color="auto" w:fill="F2F2F2"/>
          </w:tcPr>
          <w:p>
            <w:pPr>
              <w:spacing w:after="0"/>
              <w:rPr>
                <w:sz w:val="22"/>
                <w:szCs w:val="22"/>
                <w:color w:val="auto"/>
              </w:rPr>
            </w:pPr>
          </w:p>
        </w:tc>
        <w:tc>
          <w:tcPr>
            <w:tcW w:w="940" w:type="dxa"/>
            <w:vAlign w:val="bottom"/>
            <w:shd w:val="clear" w:color="auto" w:fill="F2F2F2"/>
          </w:tcPr>
          <w:p>
            <w:pPr>
              <w:spacing w:after="0"/>
              <w:rPr>
                <w:sz w:val="22"/>
                <w:szCs w:val="22"/>
                <w:color w:val="auto"/>
              </w:rPr>
            </w:pPr>
          </w:p>
        </w:tc>
        <w:tc>
          <w:tcPr>
            <w:tcW w:w="320" w:type="dxa"/>
            <w:vAlign w:val="bottom"/>
            <w:shd w:val="clear" w:color="auto" w:fill="F2F2F2"/>
          </w:tcPr>
          <w:p>
            <w:pPr>
              <w:spacing w:after="0"/>
              <w:rPr>
                <w:sz w:val="22"/>
                <w:szCs w:val="22"/>
                <w:color w:val="auto"/>
              </w:rPr>
            </w:pPr>
          </w:p>
        </w:tc>
        <w:tc>
          <w:tcPr>
            <w:tcW w:w="1160" w:type="dxa"/>
            <w:vAlign w:val="bottom"/>
            <w:shd w:val="clear" w:color="auto" w:fill="F2F2F2"/>
          </w:tcPr>
          <w:p>
            <w:pPr>
              <w:spacing w:after="0"/>
              <w:rPr>
                <w:sz w:val="22"/>
                <w:szCs w:val="22"/>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13,242</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2</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$4,844,453</w:t>
            </w:r>
          </w:p>
        </w:tc>
        <w:tc>
          <w:tcPr>
            <w:tcW w:w="0" w:type="dxa"/>
            <w:vAlign w:val="bottom"/>
          </w:tcPr>
          <w:p>
            <w:pPr>
              <w:spacing w:after="0"/>
              <w:rPr>
                <w:sz w:val="1"/>
                <w:szCs w:val="1"/>
                <w:color w:val="auto"/>
              </w:rPr>
            </w:pPr>
          </w:p>
        </w:tc>
      </w:tr>
      <w:tr>
        <w:trPr>
          <w:trHeight w:val="257"/>
        </w:trPr>
        <w:tc>
          <w:tcPr>
            <w:tcW w:w="1660" w:type="dxa"/>
            <w:vAlign w:val="bottom"/>
            <w:shd w:val="clear" w:color="auto" w:fill="F2F2F2"/>
          </w:tcPr>
          <w:p>
            <w:pPr>
              <w:spacing w:after="0"/>
              <w:rPr>
                <w:sz w:val="22"/>
                <w:szCs w:val="22"/>
                <w:color w:val="auto"/>
              </w:rPr>
            </w:pPr>
          </w:p>
        </w:tc>
        <w:tc>
          <w:tcPr>
            <w:tcW w:w="140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2022-2024 RVA</w:t>
            </w:r>
          </w:p>
        </w:tc>
        <w:tc>
          <w:tcPr>
            <w:tcW w:w="220" w:type="dxa"/>
            <w:vAlign w:val="bottom"/>
            <w:shd w:val="clear" w:color="auto" w:fill="F2F2F2"/>
          </w:tcPr>
          <w:p>
            <w:pPr>
              <w:spacing w:after="0"/>
              <w:rPr>
                <w:sz w:val="22"/>
                <w:szCs w:val="22"/>
                <w:color w:val="auto"/>
              </w:rPr>
            </w:pPr>
          </w:p>
        </w:tc>
        <w:tc>
          <w:tcPr>
            <w:tcW w:w="940" w:type="dxa"/>
            <w:vAlign w:val="bottom"/>
            <w:shd w:val="clear" w:color="auto" w:fill="F2F2F2"/>
          </w:tcPr>
          <w:p>
            <w:pPr>
              <w:spacing w:after="0"/>
              <w:rPr>
                <w:sz w:val="22"/>
                <w:szCs w:val="22"/>
                <w:color w:val="auto"/>
              </w:rPr>
            </w:pPr>
          </w:p>
        </w:tc>
        <w:tc>
          <w:tcPr>
            <w:tcW w:w="320" w:type="dxa"/>
            <w:vAlign w:val="bottom"/>
            <w:shd w:val="clear" w:color="auto" w:fill="F2F2F2"/>
          </w:tcPr>
          <w:p>
            <w:pPr>
              <w:spacing w:after="0"/>
              <w:rPr>
                <w:sz w:val="22"/>
                <w:szCs w:val="22"/>
                <w:color w:val="auto"/>
              </w:rPr>
            </w:pPr>
          </w:p>
        </w:tc>
        <w:tc>
          <w:tcPr>
            <w:tcW w:w="1160" w:type="dxa"/>
            <w:vAlign w:val="bottom"/>
            <w:shd w:val="clear" w:color="auto" w:fill="F2F2F2"/>
          </w:tcPr>
          <w:p>
            <w:pPr>
              <w:spacing w:after="0"/>
              <w:rPr>
                <w:sz w:val="22"/>
                <w:szCs w:val="22"/>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14,648</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3</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$7,014,982</w:t>
            </w:r>
          </w:p>
        </w:tc>
        <w:tc>
          <w:tcPr>
            <w:tcW w:w="0" w:type="dxa"/>
            <w:vAlign w:val="bottom"/>
          </w:tcPr>
          <w:p>
            <w:pPr>
              <w:spacing w:after="0"/>
              <w:rPr>
                <w:sz w:val="1"/>
                <w:szCs w:val="1"/>
                <w:color w:val="auto"/>
              </w:rPr>
            </w:pPr>
          </w:p>
        </w:tc>
      </w:tr>
      <w:tr>
        <w:trPr>
          <w:trHeight w:val="256"/>
        </w:trPr>
        <w:tc>
          <w:tcPr>
            <w:tcW w:w="1660" w:type="dxa"/>
            <w:vAlign w:val="bottom"/>
            <w:shd w:val="clear" w:color="auto" w:fill="F2F2F2"/>
          </w:tcPr>
          <w:p>
            <w:pPr>
              <w:spacing w:after="0"/>
              <w:rPr>
                <w:sz w:val="22"/>
                <w:szCs w:val="22"/>
                <w:color w:val="auto"/>
              </w:rPr>
            </w:pPr>
          </w:p>
        </w:tc>
        <w:tc>
          <w:tcPr>
            <w:tcW w:w="140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2021-2023 RVA</w:t>
            </w:r>
          </w:p>
        </w:tc>
        <w:tc>
          <w:tcPr>
            <w:tcW w:w="220" w:type="dxa"/>
            <w:vAlign w:val="bottom"/>
            <w:shd w:val="clear" w:color="auto" w:fill="F2F2F2"/>
          </w:tcPr>
          <w:p>
            <w:pPr>
              <w:spacing w:after="0"/>
              <w:rPr>
                <w:sz w:val="22"/>
                <w:szCs w:val="22"/>
                <w:color w:val="auto"/>
              </w:rPr>
            </w:pPr>
          </w:p>
        </w:tc>
        <w:tc>
          <w:tcPr>
            <w:tcW w:w="940" w:type="dxa"/>
            <w:vAlign w:val="bottom"/>
            <w:shd w:val="clear" w:color="auto" w:fill="F2F2F2"/>
          </w:tcPr>
          <w:p>
            <w:pPr>
              <w:spacing w:after="0"/>
              <w:rPr>
                <w:sz w:val="22"/>
                <w:szCs w:val="22"/>
                <w:color w:val="auto"/>
              </w:rPr>
            </w:pPr>
          </w:p>
        </w:tc>
        <w:tc>
          <w:tcPr>
            <w:tcW w:w="320" w:type="dxa"/>
            <w:vAlign w:val="bottom"/>
            <w:shd w:val="clear" w:color="auto" w:fill="F2F2F2"/>
          </w:tcPr>
          <w:p>
            <w:pPr>
              <w:spacing w:after="0"/>
              <w:rPr>
                <w:sz w:val="22"/>
                <w:szCs w:val="22"/>
                <w:color w:val="auto"/>
              </w:rPr>
            </w:pPr>
          </w:p>
        </w:tc>
        <w:tc>
          <w:tcPr>
            <w:tcW w:w="1160" w:type="dxa"/>
            <w:vAlign w:val="bottom"/>
            <w:shd w:val="clear" w:color="auto" w:fill="F2F2F2"/>
          </w:tcPr>
          <w:p>
            <w:pPr>
              <w:spacing w:after="0"/>
              <w:rPr>
                <w:sz w:val="22"/>
                <w:szCs w:val="22"/>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10,042</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4</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$3,673,765</w:t>
            </w:r>
          </w:p>
        </w:tc>
        <w:tc>
          <w:tcPr>
            <w:tcW w:w="0" w:type="dxa"/>
            <w:vAlign w:val="bottom"/>
          </w:tcPr>
          <w:p>
            <w:pPr>
              <w:spacing w:after="0"/>
              <w:rPr>
                <w:sz w:val="1"/>
                <w:szCs w:val="1"/>
                <w:color w:val="auto"/>
              </w:rPr>
            </w:pPr>
          </w:p>
        </w:tc>
      </w:tr>
      <w:tr>
        <w:trPr>
          <w:trHeight w:val="260"/>
        </w:trPr>
        <w:tc>
          <w:tcPr>
            <w:tcW w:w="1660" w:type="dxa"/>
            <w:vAlign w:val="bottom"/>
            <w:shd w:val="clear" w:color="auto" w:fill="F2F2F2"/>
          </w:tcPr>
          <w:p>
            <w:pPr>
              <w:spacing w:after="0"/>
              <w:rPr>
                <w:sz w:val="22"/>
                <w:szCs w:val="22"/>
                <w:color w:val="auto"/>
              </w:rPr>
            </w:pPr>
          </w:p>
        </w:tc>
        <w:tc>
          <w:tcPr>
            <w:tcW w:w="140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2022-2024 PA</w:t>
            </w:r>
          </w:p>
        </w:tc>
        <w:tc>
          <w:tcPr>
            <w:tcW w:w="220" w:type="dxa"/>
            <w:vAlign w:val="bottom"/>
            <w:shd w:val="clear" w:color="auto" w:fill="F2F2F2"/>
          </w:tcPr>
          <w:p>
            <w:pPr>
              <w:spacing w:after="0"/>
              <w:rPr>
                <w:sz w:val="22"/>
                <w:szCs w:val="22"/>
                <w:color w:val="auto"/>
              </w:rPr>
            </w:pPr>
          </w:p>
        </w:tc>
        <w:tc>
          <w:tcPr>
            <w:tcW w:w="940" w:type="dxa"/>
            <w:vAlign w:val="bottom"/>
            <w:shd w:val="clear" w:color="auto" w:fill="F2F2F2"/>
          </w:tcPr>
          <w:p>
            <w:pPr>
              <w:spacing w:after="0"/>
              <w:rPr>
                <w:sz w:val="22"/>
                <w:szCs w:val="22"/>
                <w:color w:val="auto"/>
              </w:rPr>
            </w:pPr>
          </w:p>
        </w:tc>
        <w:tc>
          <w:tcPr>
            <w:tcW w:w="320" w:type="dxa"/>
            <w:vAlign w:val="bottom"/>
            <w:vMerge w:val="restart"/>
            <w:shd w:val="clear" w:color="auto" w:fill="F2F2F2"/>
          </w:tcPr>
          <w:p>
            <w:pPr>
              <w:jc w:val="right"/>
              <w:ind w:right="213"/>
              <w:spacing w:after="0"/>
              <w:rPr>
                <w:sz w:val="20"/>
                <w:szCs w:val="20"/>
                <w:color w:val="auto"/>
              </w:rPr>
            </w:pPr>
            <w:r>
              <w:rPr>
                <w:rFonts w:ascii="Arial" w:cs="Arial" w:eastAsia="Arial" w:hAnsi="Arial"/>
                <w:sz w:val="9"/>
                <w:szCs w:val="9"/>
                <w:color w:val="auto"/>
                <w:w w:val="78"/>
              </w:rPr>
              <w:t>6</w:t>
            </w:r>
          </w:p>
        </w:tc>
        <w:tc>
          <w:tcPr>
            <w:tcW w:w="1160" w:type="dxa"/>
            <w:vAlign w:val="bottom"/>
            <w:shd w:val="clear" w:color="auto" w:fill="F2F2F2"/>
          </w:tcPr>
          <w:p>
            <w:pPr>
              <w:spacing w:after="0"/>
              <w:rPr>
                <w:sz w:val="22"/>
                <w:szCs w:val="22"/>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12,290</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5</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$4,496,174</w:t>
            </w:r>
          </w:p>
        </w:tc>
        <w:tc>
          <w:tcPr>
            <w:tcW w:w="0" w:type="dxa"/>
            <w:vAlign w:val="bottom"/>
          </w:tcPr>
          <w:p>
            <w:pPr>
              <w:spacing w:after="0"/>
              <w:rPr>
                <w:sz w:val="1"/>
                <w:szCs w:val="1"/>
                <w:color w:val="auto"/>
              </w:rPr>
            </w:pPr>
          </w:p>
        </w:tc>
      </w:tr>
      <w:tr>
        <w:trPr>
          <w:trHeight w:val="253"/>
        </w:trPr>
        <w:tc>
          <w:tcPr>
            <w:tcW w:w="1660" w:type="dxa"/>
            <w:vAlign w:val="bottom"/>
            <w:shd w:val="clear" w:color="auto" w:fill="F2F2F2"/>
          </w:tcPr>
          <w:p>
            <w:pPr>
              <w:spacing w:after="0"/>
              <w:rPr>
                <w:sz w:val="21"/>
                <w:szCs w:val="21"/>
                <w:color w:val="auto"/>
              </w:rPr>
            </w:pPr>
          </w:p>
        </w:tc>
        <w:tc>
          <w:tcPr>
            <w:tcW w:w="140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2021-2023 PA</w:t>
            </w:r>
          </w:p>
        </w:tc>
        <w:tc>
          <w:tcPr>
            <w:tcW w:w="220" w:type="dxa"/>
            <w:vAlign w:val="bottom"/>
            <w:shd w:val="clear" w:color="auto" w:fill="F2F2F2"/>
          </w:tcPr>
          <w:p>
            <w:pPr>
              <w:spacing w:after="0"/>
              <w:rPr>
                <w:sz w:val="21"/>
                <w:szCs w:val="21"/>
                <w:color w:val="auto"/>
              </w:rPr>
            </w:pPr>
          </w:p>
        </w:tc>
        <w:tc>
          <w:tcPr>
            <w:tcW w:w="9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9,941</w:t>
            </w:r>
          </w:p>
        </w:tc>
        <w:tc>
          <w:tcPr>
            <w:tcW w:w="320" w:type="dxa"/>
            <w:vAlign w:val="bottom"/>
            <w:vMerge w:val="continue"/>
            <w:shd w:val="clear" w:color="auto" w:fill="F2F2F2"/>
          </w:tcPr>
          <w:p>
            <w:pPr>
              <w:spacing w:after="0"/>
              <w:rPr>
                <w:sz w:val="21"/>
                <w:szCs w:val="21"/>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$3,636,815</w:t>
            </w:r>
          </w:p>
        </w:tc>
        <w:tc>
          <w:tcPr>
            <w:tcW w:w="1400" w:type="dxa"/>
            <w:vAlign w:val="bottom"/>
            <w:shd w:val="clear" w:color="auto" w:fill="F2F2F2"/>
          </w:tcPr>
          <w:p>
            <w:pPr>
              <w:spacing w:after="0"/>
              <w:rPr>
                <w:sz w:val="21"/>
                <w:szCs w:val="21"/>
                <w:color w:val="auto"/>
              </w:rPr>
            </w:pPr>
          </w:p>
        </w:tc>
        <w:tc>
          <w:tcPr>
            <w:tcW w:w="300" w:type="dxa"/>
            <w:vAlign w:val="bottom"/>
            <w:shd w:val="clear" w:color="auto" w:fill="F2F2F2"/>
          </w:tcPr>
          <w:p>
            <w:pPr>
              <w:spacing w:after="0"/>
              <w:rPr>
                <w:sz w:val="21"/>
                <w:szCs w:val="21"/>
                <w:color w:val="auto"/>
              </w:rPr>
            </w:pPr>
          </w:p>
        </w:tc>
        <w:tc>
          <w:tcPr>
            <w:tcW w:w="1680" w:type="dxa"/>
            <w:vAlign w:val="bottom"/>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660" w:type="dxa"/>
            <w:vAlign w:val="bottom"/>
            <w:tcBorders>
              <w:bottom w:val="single" w:sz="8" w:color="F2F2F2"/>
            </w:tcBorders>
            <w:shd w:val="clear" w:color="auto" w:fill="F2F2F2"/>
          </w:tcPr>
          <w:p>
            <w:pPr>
              <w:spacing w:after="0"/>
              <w:rPr>
                <w:sz w:val="22"/>
                <w:szCs w:val="22"/>
                <w:color w:val="auto"/>
              </w:rPr>
            </w:pPr>
          </w:p>
        </w:tc>
        <w:tc>
          <w:tcPr>
            <w:tcW w:w="140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4"/>
                <w:szCs w:val="14"/>
                <w:color w:val="auto"/>
              </w:rPr>
              <w:t>2020-2022 PA</w:t>
            </w:r>
          </w:p>
        </w:tc>
        <w:tc>
          <w:tcPr>
            <w:tcW w:w="220" w:type="dxa"/>
            <w:vAlign w:val="bottom"/>
            <w:tcBorders>
              <w:bottom w:val="single" w:sz="8" w:color="F2F2F2"/>
            </w:tcBorders>
            <w:shd w:val="clear" w:color="auto" w:fill="F2F2F2"/>
          </w:tcPr>
          <w:p>
            <w:pPr>
              <w:spacing w:after="0"/>
              <w:rPr>
                <w:sz w:val="22"/>
                <w:szCs w:val="22"/>
                <w:color w:val="auto"/>
              </w:rPr>
            </w:pPr>
          </w:p>
        </w:tc>
        <w:tc>
          <w:tcPr>
            <w:tcW w:w="94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15,675</w:t>
            </w:r>
          </w:p>
        </w:tc>
        <w:tc>
          <w:tcPr>
            <w:tcW w:w="320" w:type="dxa"/>
            <w:vAlign w:val="bottom"/>
            <w:tcBorders>
              <w:bottom w:val="single" w:sz="8" w:color="F2F2F2"/>
            </w:tcBorders>
            <w:shd w:val="clear" w:color="auto" w:fill="F2F2F2"/>
          </w:tcPr>
          <w:p>
            <w:pPr>
              <w:jc w:val="right"/>
              <w:ind w:right="213"/>
              <w:spacing w:after="0"/>
              <w:rPr>
                <w:sz w:val="20"/>
                <w:szCs w:val="20"/>
                <w:color w:val="auto"/>
              </w:rPr>
            </w:pPr>
            <w:r>
              <w:rPr>
                <w:rFonts w:ascii="Arial" w:cs="Arial" w:eastAsia="Arial" w:hAnsi="Arial"/>
                <w:sz w:val="9"/>
                <w:szCs w:val="9"/>
                <w:color w:val="auto"/>
                <w:w w:val="78"/>
              </w:rPr>
              <w:t>7</w:t>
            </w:r>
          </w:p>
        </w:tc>
        <w:tc>
          <w:tcPr>
            <w:tcW w:w="11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$5,734,542</w:t>
            </w:r>
          </w:p>
        </w:tc>
        <w:tc>
          <w:tcPr>
            <w:tcW w:w="1400" w:type="dxa"/>
            <w:vAlign w:val="bottom"/>
            <w:tcBorders>
              <w:bottom w:val="single" w:sz="8" w:color="F2F2F2"/>
            </w:tcBorders>
            <w:shd w:val="clear" w:color="auto" w:fill="F2F2F2"/>
          </w:tcPr>
          <w:p>
            <w:pPr>
              <w:spacing w:after="0"/>
              <w:rPr>
                <w:sz w:val="22"/>
                <w:szCs w:val="22"/>
                <w:color w:val="auto"/>
              </w:rPr>
            </w:pPr>
          </w:p>
        </w:tc>
        <w:tc>
          <w:tcPr>
            <w:tcW w:w="300" w:type="dxa"/>
            <w:vAlign w:val="bottom"/>
            <w:tcBorders>
              <w:bottom w:val="single" w:sz="8" w:color="F2F2F2"/>
            </w:tcBorders>
            <w:shd w:val="clear" w:color="auto" w:fill="F2F2F2"/>
          </w:tcPr>
          <w:p>
            <w:pPr>
              <w:spacing w:after="0"/>
              <w:rPr>
                <w:sz w:val="22"/>
                <w:szCs w:val="22"/>
                <w:color w:val="auto"/>
              </w:rPr>
            </w:pPr>
          </w:p>
        </w:tc>
        <w:tc>
          <w:tcPr>
            <w:tcW w:w="1680" w:type="dxa"/>
            <w:vAlign w:val="bottom"/>
            <w:tcBorders>
              <w:bottom w:val="single" w:sz="8" w:color="F2F2F2"/>
            </w:tcBorders>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1660" w:type="dxa"/>
            <w:vAlign w:val="bottom"/>
          </w:tcPr>
          <w:p>
            <w:pPr>
              <w:ind w:left="20"/>
              <w:spacing w:after="0"/>
              <w:rPr>
                <w:sz w:val="20"/>
                <w:szCs w:val="20"/>
                <w:color w:val="auto"/>
              </w:rPr>
            </w:pPr>
            <w:r>
              <w:rPr>
                <w:rFonts w:ascii="Arial" w:cs="Arial" w:eastAsia="Arial" w:hAnsi="Arial"/>
                <w:sz w:val="14"/>
                <w:szCs w:val="14"/>
                <w:color w:val="auto"/>
              </w:rPr>
              <w:t>Ms. Hakim</w:t>
            </w:r>
          </w:p>
        </w:tc>
        <w:tc>
          <w:tcPr>
            <w:tcW w:w="1400" w:type="dxa"/>
            <w:vAlign w:val="bottom"/>
          </w:tcPr>
          <w:p>
            <w:pPr>
              <w:ind w:left="100"/>
              <w:spacing w:after="0"/>
              <w:rPr>
                <w:sz w:val="20"/>
                <w:szCs w:val="20"/>
                <w:color w:val="auto"/>
              </w:rPr>
            </w:pPr>
            <w:r>
              <w:rPr>
                <w:rFonts w:ascii="Arial" w:cs="Arial" w:eastAsia="Arial" w:hAnsi="Arial"/>
                <w:sz w:val="14"/>
                <w:szCs w:val="14"/>
                <w:color w:val="auto"/>
              </w:rPr>
              <w:t>2022-2024 SVA</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10,458</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1</w:t>
            </w:r>
          </w:p>
        </w:tc>
        <w:tc>
          <w:tcPr>
            <w:tcW w:w="1680" w:type="dxa"/>
            <w:vAlign w:val="bottom"/>
          </w:tcPr>
          <w:p>
            <w:pPr>
              <w:jc w:val="right"/>
              <w:spacing w:after="0"/>
              <w:rPr>
                <w:sz w:val="20"/>
                <w:szCs w:val="20"/>
                <w:color w:val="auto"/>
              </w:rPr>
            </w:pPr>
            <w:r>
              <w:rPr>
                <w:rFonts w:ascii="Arial" w:cs="Arial" w:eastAsia="Arial" w:hAnsi="Arial"/>
                <w:sz w:val="14"/>
                <w:szCs w:val="14"/>
                <w:color w:val="auto"/>
              </w:rPr>
              <w:t>$3,825,955</w:t>
            </w:r>
          </w:p>
        </w:tc>
        <w:tc>
          <w:tcPr>
            <w:tcW w:w="0" w:type="dxa"/>
            <w:vAlign w:val="bottom"/>
          </w:tcPr>
          <w:p>
            <w:pPr>
              <w:spacing w:after="0"/>
              <w:rPr>
                <w:sz w:val="1"/>
                <w:szCs w:val="1"/>
                <w:color w:val="auto"/>
              </w:rPr>
            </w:pPr>
          </w:p>
        </w:tc>
      </w:tr>
      <w:tr>
        <w:trPr>
          <w:trHeight w:val="256"/>
        </w:trPr>
        <w:tc>
          <w:tcPr>
            <w:tcW w:w="1660" w:type="dxa"/>
            <w:vAlign w:val="bottom"/>
          </w:tcPr>
          <w:p>
            <w:pPr>
              <w:spacing w:after="0"/>
              <w:rPr>
                <w:sz w:val="22"/>
                <w:szCs w:val="22"/>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2021-2023 SVA</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5,917</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2</w:t>
            </w:r>
          </w:p>
        </w:tc>
        <w:tc>
          <w:tcPr>
            <w:tcW w:w="1680" w:type="dxa"/>
            <w:vAlign w:val="bottom"/>
          </w:tcPr>
          <w:p>
            <w:pPr>
              <w:jc w:val="right"/>
              <w:spacing w:after="0"/>
              <w:rPr>
                <w:sz w:val="20"/>
                <w:szCs w:val="20"/>
                <w:color w:val="auto"/>
              </w:rPr>
            </w:pPr>
            <w:r>
              <w:rPr>
                <w:rFonts w:ascii="Arial" w:cs="Arial" w:eastAsia="Arial" w:hAnsi="Arial"/>
                <w:sz w:val="14"/>
                <w:szCs w:val="14"/>
                <w:color w:val="auto"/>
              </w:rPr>
              <w:t>$2,164,675</w:t>
            </w:r>
          </w:p>
        </w:tc>
        <w:tc>
          <w:tcPr>
            <w:tcW w:w="0" w:type="dxa"/>
            <w:vAlign w:val="bottom"/>
          </w:tcPr>
          <w:p>
            <w:pPr>
              <w:spacing w:after="0"/>
              <w:rPr>
                <w:sz w:val="1"/>
                <w:szCs w:val="1"/>
                <w:color w:val="auto"/>
              </w:rPr>
            </w:pPr>
          </w:p>
        </w:tc>
      </w:tr>
      <w:tr>
        <w:trPr>
          <w:trHeight w:val="257"/>
        </w:trPr>
        <w:tc>
          <w:tcPr>
            <w:tcW w:w="1660" w:type="dxa"/>
            <w:vAlign w:val="bottom"/>
          </w:tcPr>
          <w:p>
            <w:pPr>
              <w:spacing w:after="0"/>
              <w:rPr>
                <w:sz w:val="22"/>
                <w:szCs w:val="22"/>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2022-2024 RVA</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7,989</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3</w:t>
            </w:r>
          </w:p>
        </w:tc>
        <w:tc>
          <w:tcPr>
            <w:tcW w:w="1680" w:type="dxa"/>
            <w:vAlign w:val="bottom"/>
          </w:tcPr>
          <w:p>
            <w:pPr>
              <w:jc w:val="right"/>
              <w:spacing w:after="0"/>
              <w:rPr>
                <w:sz w:val="20"/>
                <w:szCs w:val="20"/>
                <w:color w:val="auto"/>
              </w:rPr>
            </w:pPr>
            <w:r>
              <w:rPr>
                <w:rFonts w:ascii="Arial" w:cs="Arial" w:eastAsia="Arial" w:hAnsi="Arial"/>
                <w:sz w:val="14"/>
                <w:szCs w:val="14"/>
                <w:color w:val="auto"/>
              </w:rPr>
              <w:t>$3,825,955</w:t>
            </w:r>
          </w:p>
        </w:tc>
        <w:tc>
          <w:tcPr>
            <w:tcW w:w="0" w:type="dxa"/>
            <w:vAlign w:val="bottom"/>
          </w:tcPr>
          <w:p>
            <w:pPr>
              <w:spacing w:after="0"/>
              <w:rPr>
                <w:sz w:val="1"/>
                <w:szCs w:val="1"/>
                <w:color w:val="auto"/>
              </w:rPr>
            </w:pPr>
          </w:p>
        </w:tc>
      </w:tr>
      <w:tr>
        <w:trPr>
          <w:trHeight w:val="256"/>
        </w:trPr>
        <w:tc>
          <w:tcPr>
            <w:tcW w:w="1660" w:type="dxa"/>
            <w:vAlign w:val="bottom"/>
          </w:tcPr>
          <w:p>
            <w:pPr>
              <w:spacing w:after="0"/>
              <w:rPr>
                <w:sz w:val="22"/>
                <w:szCs w:val="22"/>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2021-2023 RVA</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4,487</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4</w:t>
            </w:r>
          </w:p>
        </w:tc>
        <w:tc>
          <w:tcPr>
            <w:tcW w:w="1680" w:type="dxa"/>
            <w:vAlign w:val="bottom"/>
          </w:tcPr>
          <w:p>
            <w:pPr>
              <w:jc w:val="right"/>
              <w:spacing w:after="0"/>
              <w:rPr>
                <w:sz w:val="20"/>
                <w:szCs w:val="20"/>
                <w:color w:val="auto"/>
              </w:rPr>
            </w:pPr>
            <w:r>
              <w:rPr>
                <w:rFonts w:ascii="Arial" w:cs="Arial" w:eastAsia="Arial" w:hAnsi="Arial"/>
                <w:sz w:val="14"/>
                <w:szCs w:val="14"/>
                <w:color w:val="auto"/>
              </w:rPr>
              <w:t>$1,641,524</w:t>
            </w:r>
          </w:p>
        </w:tc>
        <w:tc>
          <w:tcPr>
            <w:tcW w:w="0" w:type="dxa"/>
            <w:vAlign w:val="bottom"/>
          </w:tcPr>
          <w:p>
            <w:pPr>
              <w:spacing w:after="0"/>
              <w:rPr>
                <w:sz w:val="1"/>
                <w:szCs w:val="1"/>
                <w:color w:val="auto"/>
              </w:rPr>
            </w:pPr>
          </w:p>
        </w:tc>
      </w:tr>
      <w:tr>
        <w:trPr>
          <w:trHeight w:val="260"/>
        </w:trPr>
        <w:tc>
          <w:tcPr>
            <w:tcW w:w="1660" w:type="dxa"/>
            <w:vAlign w:val="bottom"/>
          </w:tcPr>
          <w:p>
            <w:pPr>
              <w:spacing w:after="0"/>
              <w:rPr>
                <w:sz w:val="22"/>
                <w:szCs w:val="22"/>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2022-2024 PA</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vMerge w:val="restart"/>
          </w:tcPr>
          <w:p>
            <w:pPr>
              <w:jc w:val="right"/>
              <w:ind w:right="213"/>
              <w:spacing w:after="0"/>
              <w:rPr>
                <w:sz w:val="20"/>
                <w:szCs w:val="20"/>
                <w:color w:val="auto"/>
              </w:rPr>
            </w:pPr>
            <w:r>
              <w:rPr>
                <w:rFonts w:ascii="Arial" w:cs="Arial" w:eastAsia="Arial" w:hAnsi="Arial"/>
                <w:sz w:val="9"/>
                <w:szCs w:val="9"/>
                <w:color w:val="auto"/>
                <w:w w:val="78"/>
              </w:rPr>
              <w:t>6</w:t>
            </w:r>
          </w:p>
        </w:tc>
        <w:tc>
          <w:tcPr>
            <w:tcW w:w="1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6,704</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5</w:t>
            </w:r>
          </w:p>
        </w:tc>
        <w:tc>
          <w:tcPr>
            <w:tcW w:w="1680" w:type="dxa"/>
            <w:vAlign w:val="bottom"/>
          </w:tcPr>
          <w:p>
            <w:pPr>
              <w:jc w:val="right"/>
              <w:spacing w:after="0"/>
              <w:rPr>
                <w:sz w:val="20"/>
                <w:szCs w:val="20"/>
                <w:color w:val="auto"/>
              </w:rPr>
            </w:pPr>
            <w:r>
              <w:rPr>
                <w:rFonts w:ascii="Arial" w:cs="Arial" w:eastAsia="Arial" w:hAnsi="Arial"/>
                <w:sz w:val="14"/>
                <w:szCs w:val="14"/>
                <w:color w:val="auto"/>
              </w:rPr>
              <w:t>$2,452,591</w:t>
            </w:r>
          </w:p>
        </w:tc>
        <w:tc>
          <w:tcPr>
            <w:tcW w:w="0" w:type="dxa"/>
            <w:vAlign w:val="bottom"/>
          </w:tcPr>
          <w:p>
            <w:pPr>
              <w:spacing w:after="0"/>
              <w:rPr>
                <w:sz w:val="1"/>
                <w:szCs w:val="1"/>
                <w:color w:val="auto"/>
              </w:rPr>
            </w:pPr>
          </w:p>
        </w:tc>
      </w:tr>
      <w:tr>
        <w:trPr>
          <w:trHeight w:val="253"/>
        </w:trPr>
        <w:tc>
          <w:tcPr>
            <w:tcW w:w="1660" w:type="dxa"/>
            <w:vAlign w:val="bottom"/>
          </w:tcPr>
          <w:p>
            <w:pPr>
              <w:spacing w:after="0"/>
              <w:rPr>
                <w:sz w:val="21"/>
                <w:szCs w:val="21"/>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2021-2023 PA</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4,442</w:t>
            </w:r>
          </w:p>
        </w:tc>
        <w:tc>
          <w:tcPr>
            <w:tcW w:w="320" w:type="dxa"/>
            <w:vAlign w:val="bottom"/>
            <w:vMerge w:val="continue"/>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$1,625,061</w:t>
            </w:r>
          </w:p>
        </w:tc>
        <w:tc>
          <w:tcPr>
            <w:tcW w:w="1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1660" w:type="dxa"/>
            <w:vAlign w:val="bottom"/>
          </w:tcPr>
          <w:p>
            <w:pPr>
              <w:spacing w:after="0"/>
              <w:rPr>
                <w:sz w:val="22"/>
                <w:szCs w:val="22"/>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2020-2022 PA</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7,646</w:t>
            </w:r>
          </w:p>
        </w:tc>
        <w:tc>
          <w:tcPr>
            <w:tcW w:w="320" w:type="dxa"/>
            <w:vAlign w:val="bottom"/>
          </w:tcPr>
          <w:p>
            <w:pPr>
              <w:jc w:val="right"/>
              <w:ind w:right="213"/>
              <w:spacing w:after="0"/>
              <w:rPr>
                <w:sz w:val="20"/>
                <w:szCs w:val="20"/>
                <w:color w:val="auto"/>
              </w:rPr>
            </w:pPr>
            <w:r>
              <w:rPr>
                <w:rFonts w:ascii="Arial" w:cs="Arial" w:eastAsia="Arial" w:hAnsi="Arial"/>
                <w:sz w:val="9"/>
                <w:szCs w:val="9"/>
                <w:color w:val="auto"/>
                <w:w w:val="78"/>
              </w:rPr>
              <w:t>7</w:t>
            </w:r>
          </w:p>
        </w:tc>
        <w:tc>
          <w:tcPr>
            <w:tcW w:w="1160" w:type="dxa"/>
            <w:vAlign w:val="bottom"/>
          </w:tcPr>
          <w:p>
            <w:pPr>
              <w:jc w:val="right"/>
              <w:spacing w:after="0"/>
              <w:rPr>
                <w:sz w:val="20"/>
                <w:szCs w:val="20"/>
                <w:color w:val="auto"/>
              </w:rPr>
            </w:pPr>
            <w:r>
              <w:rPr>
                <w:rFonts w:ascii="Arial" w:cs="Arial" w:eastAsia="Arial" w:hAnsi="Arial"/>
                <w:sz w:val="14"/>
                <w:szCs w:val="14"/>
                <w:color w:val="auto"/>
              </w:rPr>
              <w:t>$2,797,213</w:t>
            </w:r>
          </w:p>
        </w:tc>
        <w:tc>
          <w:tcPr>
            <w:tcW w:w="1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
        </w:trPr>
        <w:tc>
          <w:tcPr>
            <w:tcW w:w="1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1660" w:type="dxa"/>
            <w:vAlign w:val="bottom"/>
            <w:shd w:val="clear" w:color="auto" w:fill="F2F2F2"/>
          </w:tcPr>
          <w:p>
            <w:pPr>
              <w:ind w:left="20"/>
              <w:spacing w:after="0"/>
              <w:rPr>
                <w:sz w:val="20"/>
                <w:szCs w:val="20"/>
                <w:color w:val="auto"/>
              </w:rPr>
            </w:pPr>
            <w:r>
              <w:rPr>
                <w:rFonts w:ascii="Arial" w:cs="Arial" w:eastAsia="Arial" w:hAnsi="Arial"/>
                <w:sz w:val="14"/>
                <w:szCs w:val="14"/>
                <w:color w:val="auto"/>
              </w:rPr>
              <w:t>Mr. Jonsson</w:t>
            </w:r>
          </w:p>
        </w:tc>
        <w:tc>
          <w:tcPr>
            <w:tcW w:w="140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2022-2024 SVA</w:t>
            </w:r>
          </w:p>
        </w:tc>
        <w:tc>
          <w:tcPr>
            <w:tcW w:w="220" w:type="dxa"/>
            <w:vAlign w:val="bottom"/>
            <w:shd w:val="clear" w:color="auto" w:fill="F2F2F2"/>
          </w:tcPr>
          <w:p>
            <w:pPr>
              <w:spacing w:after="0"/>
              <w:rPr>
                <w:sz w:val="20"/>
                <w:szCs w:val="20"/>
                <w:color w:val="auto"/>
              </w:rPr>
            </w:pPr>
          </w:p>
        </w:tc>
        <w:tc>
          <w:tcPr>
            <w:tcW w:w="940" w:type="dxa"/>
            <w:vAlign w:val="bottom"/>
            <w:shd w:val="clear" w:color="auto" w:fill="F2F2F2"/>
          </w:tcPr>
          <w:p>
            <w:pPr>
              <w:spacing w:after="0"/>
              <w:rPr>
                <w:sz w:val="20"/>
                <w:szCs w:val="20"/>
                <w:color w:val="auto"/>
              </w:rPr>
            </w:pPr>
          </w:p>
        </w:tc>
        <w:tc>
          <w:tcPr>
            <w:tcW w:w="320" w:type="dxa"/>
            <w:vAlign w:val="bottom"/>
            <w:shd w:val="clear" w:color="auto" w:fill="F2F2F2"/>
          </w:tcPr>
          <w:p>
            <w:pPr>
              <w:spacing w:after="0"/>
              <w:rPr>
                <w:sz w:val="20"/>
                <w:szCs w:val="20"/>
                <w:color w:val="auto"/>
              </w:rPr>
            </w:pPr>
          </w:p>
        </w:tc>
        <w:tc>
          <w:tcPr>
            <w:tcW w:w="1160" w:type="dxa"/>
            <w:vAlign w:val="bottom"/>
            <w:shd w:val="clear" w:color="auto" w:fill="F2F2F2"/>
          </w:tcPr>
          <w:p>
            <w:pPr>
              <w:spacing w:after="0"/>
              <w:rPr>
                <w:sz w:val="20"/>
                <w:szCs w:val="20"/>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7,322</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1</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$2,678,680</w:t>
            </w:r>
          </w:p>
        </w:tc>
        <w:tc>
          <w:tcPr>
            <w:tcW w:w="0" w:type="dxa"/>
            <w:vAlign w:val="bottom"/>
          </w:tcPr>
          <w:p>
            <w:pPr>
              <w:spacing w:after="0"/>
              <w:rPr>
                <w:sz w:val="1"/>
                <w:szCs w:val="1"/>
                <w:color w:val="auto"/>
              </w:rPr>
            </w:pPr>
          </w:p>
        </w:tc>
      </w:tr>
      <w:tr>
        <w:trPr>
          <w:trHeight w:val="257"/>
        </w:trPr>
        <w:tc>
          <w:tcPr>
            <w:tcW w:w="1660" w:type="dxa"/>
            <w:vAlign w:val="bottom"/>
            <w:shd w:val="clear" w:color="auto" w:fill="F2F2F2"/>
          </w:tcPr>
          <w:p>
            <w:pPr>
              <w:spacing w:after="0"/>
              <w:rPr>
                <w:sz w:val="22"/>
                <w:szCs w:val="22"/>
                <w:color w:val="auto"/>
              </w:rPr>
            </w:pPr>
          </w:p>
        </w:tc>
        <w:tc>
          <w:tcPr>
            <w:tcW w:w="140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2021-2023 SVA</w:t>
            </w:r>
          </w:p>
        </w:tc>
        <w:tc>
          <w:tcPr>
            <w:tcW w:w="220" w:type="dxa"/>
            <w:vAlign w:val="bottom"/>
            <w:shd w:val="clear" w:color="auto" w:fill="F2F2F2"/>
          </w:tcPr>
          <w:p>
            <w:pPr>
              <w:spacing w:after="0"/>
              <w:rPr>
                <w:sz w:val="22"/>
                <w:szCs w:val="22"/>
                <w:color w:val="auto"/>
              </w:rPr>
            </w:pPr>
          </w:p>
        </w:tc>
        <w:tc>
          <w:tcPr>
            <w:tcW w:w="940" w:type="dxa"/>
            <w:vAlign w:val="bottom"/>
            <w:shd w:val="clear" w:color="auto" w:fill="F2F2F2"/>
          </w:tcPr>
          <w:p>
            <w:pPr>
              <w:spacing w:after="0"/>
              <w:rPr>
                <w:sz w:val="22"/>
                <w:szCs w:val="22"/>
                <w:color w:val="auto"/>
              </w:rPr>
            </w:pPr>
          </w:p>
        </w:tc>
        <w:tc>
          <w:tcPr>
            <w:tcW w:w="320" w:type="dxa"/>
            <w:vAlign w:val="bottom"/>
            <w:shd w:val="clear" w:color="auto" w:fill="F2F2F2"/>
          </w:tcPr>
          <w:p>
            <w:pPr>
              <w:spacing w:after="0"/>
              <w:rPr>
                <w:sz w:val="22"/>
                <w:szCs w:val="22"/>
                <w:color w:val="auto"/>
              </w:rPr>
            </w:pPr>
          </w:p>
        </w:tc>
        <w:tc>
          <w:tcPr>
            <w:tcW w:w="1160" w:type="dxa"/>
            <w:vAlign w:val="bottom"/>
            <w:shd w:val="clear" w:color="auto" w:fill="F2F2F2"/>
          </w:tcPr>
          <w:p>
            <w:pPr>
              <w:spacing w:after="0"/>
              <w:rPr>
                <w:sz w:val="22"/>
                <w:szCs w:val="22"/>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5,495</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2</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$2,010,291</w:t>
            </w:r>
          </w:p>
        </w:tc>
        <w:tc>
          <w:tcPr>
            <w:tcW w:w="0" w:type="dxa"/>
            <w:vAlign w:val="bottom"/>
          </w:tcPr>
          <w:p>
            <w:pPr>
              <w:spacing w:after="0"/>
              <w:rPr>
                <w:sz w:val="1"/>
                <w:szCs w:val="1"/>
                <w:color w:val="auto"/>
              </w:rPr>
            </w:pPr>
          </w:p>
        </w:tc>
      </w:tr>
      <w:tr>
        <w:trPr>
          <w:trHeight w:val="257"/>
        </w:trPr>
        <w:tc>
          <w:tcPr>
            <w:tcW w:w="1660" w:type="dxa"/>
            <w:vAlign w:val="bottom"/>
            <w:shd w:val="clear" w:color="auto" w:fill="F2F2F2"/>
          </w:tcPr>
          <w:p>
            <w:pPr>
              <w:spacing w:after="0"/>
              <w:rPr>
                <w:sz w:val="22"/>
                <w:szCs w:val="22"/>
                <w:color w:val="auto"/>
              </w:rPr>
            </w:pPr>
          </w:p>
        </w:tc>
        <w:tc>
          <w:tcPr>
            <w:tcW w:w="140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2022-2024 RVA</w:t>
            </w:r>
          </w:p>
        </w:tc>
        <w:tc>
          <w:tcPr>
            <w:tcW w:w="220" w:type="dxa"/>
            <w:vAlign w:val="bottom"/>
            <w:shd w:val="clear" w:color="auto" w:fill="F2F2F2"/>
          </w:tcPr>
          <w:p>
            <w:pPr>
              <w:spacing w:after="0"/>
              <w:rPr>
                <w:sz w:val="22"/>
                <w:szCs w:val="22"/>
                <w:color w:val="auto"/>
              </w:rPr>
            </w:pPr>
          </w:p>
        </w:tc>
        <w:tc>
          <w:tcPr>
            <w:tcW w:w="940" w:type="dxa"/>
            <w:vAlign w:val="bottom"/>
            <w:shd w:val="clear" w:color="auto" w:fill="F2F2F2"/>
          </w:tcPr>
          <w:p>
            <w:pPr>
              <w:spacing w:after="0"/>
              <w:rPr>
                <w:sz w:val="22"/>
                <w:szCs w:val="22"/>
                <w:color w:val="auto"/>
              </w:rPr>
            </w:pPr>
          </w:p>
        </w:tc>
        <w:tc>
          <w:tcPr>
            <w:tcW w:w="320" w:type="dxa"/>
            <w:vAlign w:val="bottom"/>
            <w:shd w:val="clear" w:color="auto" w:fill="F2F2F2"/>
          </w:tcPr>
          <w:p>
            <w:pPr>
              <w:spacing w:after="0"/>
              <w:rPr>
                <w:sz w:val="22"/>
                <w:szCs w:val="22"/>
                <w:color w:val="auto"/>
              </w:rPr>
            </w:pPr>
          </w:p>
        </w:tc>
        <w:tc>
          <w:tcPr>
            <w:tcW w:w="1160" w:type="dxa"/>
            <w:vAlign w:val="bottom"/>
            <w:shd w:val="clear" w:color="auto" w:fill="F2F2F2"/>
          </w:tcPr>
          <w:p>
            <w:pPr>
              <w:spacing w:after="0"/>
              <w:rPr>
                <w:sz w:val="22"/>
                <w:szCs w:val="22"/>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5,593</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3</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$2,678,680</w:t>
            </w:r>
          </w:p>
        </w:tc>
        <w:tc>
          <w:tcPr>
            <w:tcW w:w="0" w:type="dxa"/>
            <w:vAlign w:val="bottom"/>
          </w:tcPr>
          <w:p>
            <w:pPr>
              <w:spacing w:after="0"/>
              <w:rPr>
                <w:sz w:val="1"/>
                <w:szCs w:val="1"/>
                <w:color w:val="auto"/>
              </w:rPr>
            </w:pPr>
          </w:p>
        </w:tc>
      </w:tr>
      <w:tr>
        <w:trPr>
          <w:trHeight w:val="256"/>
        </w:trPr>
        <w:tc>
          <w:tcPr>
            <w:tcW w:w="1660" w:type="dxa"/>
            <w:vAlign w:val="bottom"/>
            <w:shd w:val="clear" w:color="auto" w:fill="F2F2F2"/>
          </w:tcPr>
          <w:p>
            <w:pPr>
              <w:spacing w:after="0"/>
              <w:rPr>
                <w:sz w:val="22"/>
                <w:szCs w:val="22"/>
                <w:color w:val="auto"/>
              </w:rPr>
            </w:pPr>
          </w:p>
        </w:tc>
        <w:tc>
          <w:tcPr>
            <w:tcW w:w="140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2021-2023 RVA</w:t>
            </w:r>
          </w:p>
        </w:tc>
        <w:tc>
          <w:tcPr>
            <w:tcW w:w="220" w:type="dxa"/>
            <w:vAlign w:val="bottom"/>
            <w:shd w:val="clear" w:color="auto" w:fill="F2F2F2"/>
          </w:tcPr>
          <w:p>
            <w:pPr>
              <w:spacing w:after="0"/>
              <w:rPr>
                <w:sz w:val="22"/>
                <w:szCs w:val="22"/>
                <w:color w:val="auto"/>
              </w:rPr>
            </w:pPr>
          </w:p>
        </w:tc>
        <w:tc>
          <w:tcPr>
            <w:tcW w:w="940" w:type="dxa"/>
            <w:vAlign w:val="bottom"/>
            <w:shd w:val="clear" w:color="auto" w:fill="F2F2F2"/>
          </w:tcPr>
          <w:p>
            <w:pPr>
              <w:spacing w:after="0"/>
              <w:rPr>
                <w:sz w:val="22"/>
                <w:szCs w:val="22"/>
                <w:color w:val="auto"/>
              </w:rPr>
            </w:pPr>
          </w:p>
        </w:tc>
        <w:tc>
          <w:tcPr>
            <w:tcW w:w="320" w:type="dxa"/>
            <w:vAlign w:val="bottom"/>
            <w:shd w:val="clear" w:color="auto" w:fill="F2F2F2"/>
          </w:tcPr>
          <w:p>
            <w:pPr>
              <w:spacing w:after="0"/>
              <w:rPr>
                <w:sz w:val="22"/>
                <w:szCs w:val="22"/>
                <w:color w:val="auto"/>
              </w:rPr>
            </w:pPr>
          </w:p>
        </w:tc>
        <w:tc>
          <w:tcPr>
            <w:tcW w:w="1160" w:type="dxa"/>
            <w:vAlign w:val="bottom"/>
            <w:shd w:val="clear" w:color="auto" w:fill="F2F2F2"/>
          </w:tcPr>
          <w:p>
            <w:pPr>
              <w:spacing w:after="0"/>
              <w:rPr>
                <w:sz w:val="22"/>
                <w:szCs w:val="22"/>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4,165</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4</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$1,523,724</w:t>
            </w:r>
          </w:p>
        </w:tc>
        <w:tc>
          <w:tcPr>
            <w:tcW w:w="0" w:type="dxa"/>
            <w:vAlign w:val="bottom"/>
          </w:tcPr>
          <w:p>
            <w:pPr>
              <w:spacing w:after="0"/>
              <w:rPr>
                <w:sz w:val="1"/>
                <w:szCs w:val="1"/>
                <w:color w:val="auto"/>
              </w:rPr>
            </w:pPr>
          </w:p>
        </w:tc>
      </w:tr>
      <w:tr>
        <w:trPr>
          <w:trHeight w:val="260"/>
        </w:trPr>
        <w:tc>
          <w:tcPr>
            <w:tcW w:w="1660" w:type="dxa"/>
            <w:vAlign w:val="bottom"/>
            <w:shd w:val="clear" w:color="auto" w:fill="F2F2F2"/>
          </w:tcPr>
          <w:p>
            <w:pPr>
              <w:spacing w:after="0"/>
              <w:rPr>
                <w:sz w:val="22"/>
                <w:szCs w:val="22"/>
                <w:color w:val="auto"/>
              </w:rPr>
            </w:pPr>
          </w:p>
        </w:tc>
        <w:tc>
          <w:tcPr>
            <w:tcW w:w="140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2022-2024 PA</w:t>
            </w:r>
          </w:p>
        </w:tc>
        <w:tc>
          <w:tcPr>
            <w:tcW w:w="220" w:type="dxa"/>
            <w:vAlign w:val="bottom"/>
            <w:shd w:val="clear" w:color="auto" w:fill="F2F2F2"/>
          </w:tcPr>
          <w:p>
            <w:pPr>
              <w:spacing w:after="0"/>
              <w:rPr>
                <w:sz w:val="22"/>
                <w:szCs w:val="22"/>
                <w:color w:val="auto"/>
              </w:rPr>
            </w:pPr>
          </w:p>
        </w:tc>
        <w:tc>
          <w:tcPr>
            <w:tcW w:w="940" w:type="dxa"/>
            <w:vAlign w:val="bottom"/>
            <w:shd w:val="clear" w:color="auto" w:fill="F2F2F2"/>
          </w:tcPr>
          <w:p>
            <w:pPr>
              <w:spacing w:after="0"/>
              <w:rPr>
                <w:sz w:val="22"/>
                <w:szCs w:val="22"/>
                <w:color w:val="auto"/>
              </w:rPr>
            </w:pPr>
          </w:p>
        </w:tc>
        <w:tc>
          <w:tcPr>
            <w:tcW w:w="320" w:type="dxa"/>
            <w:vAlign w:val="bottom"/>
            <w:vMerge w:val="restart"/>
            <w:shd w:val="clear" w:color="auto" w:fill="F2F2F2"/>
          </w:tcPr>
          <w:p>
            <w:pPr>
              <w:jc w:val="right"/>
              <w:ind w:right="213"/>
              <w:spacing w:after="0"/>
              <w:rPr>
                <w:sz w:val="20"/>
                <w:szCs w:val="20"/>
                <w:color w:val="auto"/>
              </w:rPr>
            </w:pPr>
            <w:r>
              <w:rPr>
                <w:rFonts w:ascii="Arial" w:cs="Arial" w:eastAsia="Arial" w:hAnsi="Arial"/>
                <w:sz w:val="9"/>
                <w:szCs w:val="9"/>
                <w:color w:val="auto"/>
                <w:w w:val="78"/>
              </w:rPr>
              <w:t>6</w:t>
            </w:r>
          </w:p>
        </w:tc>
        <w:tc>
          <w:tcPr>
            <w:tcW w:w="1160" w:type="dxa"/>
            <w:vAlign w:val="bottom"/>
            <w:shd w:val="clear" w:color="auto" w:fill="F2F2F2"/>
          </w:tcPr>
          <w:p>
            <w:pPr>
              <w:spacing w:after="0"/>
              <w:rPr>
                <w:sz w:val="22"/>
                <w:szCs w:val="22"/>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4,694</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5</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$1,717,253</w:t>
            </w:r>
          </w:p>
        </w:tc>
        <w:tc>
          <w:tcPr>
            <w:tcW w:w="0" w:type="dxa"/>
            <w:vAlign w:val="bottom"/>
          </w:tcPr>
          <w:p>
            <w:pPr>
              <w:spacing w:after="0"/>
              <w:rPr>
                <w:sz w:val="1"/>
                <w:szCs w:val="1"/>
                <w:color w:val="auto"/>
              </w:rPr>
            </w:pPr>
          </w:p>
        </w:tc>
      </w:tr>
      <w:tr>
        <w:trPr>
          <w:trHeight w:val="253"/>
        </w:trPr>
        <w:tc>
          <w:tcPr>
            <w:tcW w:w="1660" w:type="dxa"/>
            <w:vAlign w:val="bottom"/>
            <w:shd w:val="clear" w:color="auto" w:fill="F2F2F2"/>
          </w:tcPr>
          <w:p>
            <w:pPr>
              <w:spacing w:after="0"/>
              <w:rPr>
                <w:sz w:val="21"/>
                <w:szCs w:val="21"/>
                <w:color w:val="auto"/>
              </w:rPr>
            </w:pPr>
          </w:p>
        </w:tc>
        <w:tc>
          <w:tcPr>
            <w:tcW w:w="140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2021-2023 PA</w:t>
            </w:r>
          </w:p>
        </w:tc>
        <w:tc>
          <w:tcPr>
            <w:tcW w:w="220" w:type="dxa"/>
            <w:vAlign w:val="bottom"/>
            <w:shd w:val="clear" w:color="auto" w:fill="F2F2F2"/>
          </w:tcPr>
          <w:p>
            <w:pPr>
              <w:spacing w:after="0"/>
              <w:rPr>
                <w:sz w:val="21"/>
                <w:szCs w:val="21"/>
                <w:color w:val="auto"/>
              </w:rPr>
            </w:pPr>
          </w:p>
        </w:tc>
        <w:tc>
          <w:tcPr>
            <w:tcW w:w="9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4,124</w:t>
            </w:r>
          </w:p>
        </w:tc>
        <w:tc>
          <w:tcPr>
            <w:tcW w:w="320" w:type="dxa"/>
            <w:vAlign w:val="bottom"/>
            <w:vMerge w:val="continue"/>
            <w:shd w:val="clear" w:color="auto" w:fill="F2F2F2"/>
          </w:tcPr>
          <w:p>
            <w:pPr>
              <w:spacing w:after="0"/>
              <w:rPr>
                <w:sz w:val="21"/>
                <w:szCs w:val="21"/>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$1,508,724</w:t>
            </w:r>
          </w:p>
        </w:tc>
        <w:tc>
          <w:tcPr>
            <w:tcW w:w="1400" w:type="dxa"/>
            <w:vAlign w:val="bottom"/>
            <w:shd w:val="clear" w:color="auto" w:fill="F2F2F2"/>
          </w:tcPr>
          <w:p>
            <w:pPr>
              <w:spacing w:after="0"/>
              <w:rPr>
                <w:sz w:val="21"/>
                <w:szCs w:val="21"/>
                <w:color w:val="auto"/>
              </w:rPr>
            </w:pPr>
          </w:p>
        </w:tc>
        <w:tc>
          <w:tcPr>
            <w:tcW w:w="300" w:type="dxa"/>
            <w:vAlign w:val="bottom"/>
            <w:shd w:val="clear" w:color="auto" w:fill="F2F2F2"/>
          </w:tcPr>
          <w:p>
            <w:pPr>
              <w:spacing w:after="0"/>
              <w:rPr>
                <w:sz w:val="21"/>
                <w:szCs w:val="21"/>
                <w:color w:val="auto"/>
              </w:rPr>
            </w:pPr>
          </w:p>
        </w:tc>
        <w:tc>
          <w:tcPr>
            <w:tcW w:w="1680" w:type="dxa"/>
            <w:vAlign w:val="bottom"/>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660" w:type="dxa"/>
            <w:vAlign w:val="bottom"/>
            <w:tcBorders>
              <w:bottom w:val="single" w:sz="8" w:color="F2F2F2"/>
            </w:tcBorders>
            <w:shd w:val="clear" w:color="auto" w:fill="F2F2F2"/>
          </w:tcPr>
          <w:p>
            <w:pPr>
              <w:spacing w:after="0"/>
              <w:rPr>
                <w:sz w:val="22"/>
                <w:szCs w:val="22"/>
                <w:color w:val="auto"/>
              </w:rPr>
            </w:pPr>
          </w:p>
        </w:tc>
        <w:tc>
          <w:tcPr>
            <w:tcW w:w="140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4"/>
                <w:szCs w:val="14"/>
                <w:color w:val="auto"/>
              </w:rPr>
              <w:t>2020-2022 PA</w:t>
            </w:r>
          </w:p>
        </w:tc>
        <w:tc>
          <w:tcPr>
            <w:tcW w:w="220" w:type="dxa"/>
            <w:vAlign w:val="bottom"/>
            <w:tcBorders>
              <w:bottom w:val="single" w:sz="8" w:color="F2F2F2"/>
            </w:tcBorders>
            <w:shd w:val="clear" w:color="auto" w:fill="F2F2F2"/>
          </w:tcPr>
          <w:p>
            <w:pPr>
              <w:spacing w:after="0"/>
              <w:rPr>
                <w:sz w:val="22"/>
                <w:szCs w:val="22"/>
                <w:color w:val="auto"/>
              </w:rPr>
            </w:pPr>
          </w:p>
        </w:tc>
        <w:tc>
          <w:tcPr>
            <w:tcW w:w="94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6,690</w:t>
            </w:r>
          </w:p>
        </w:tc>
        <w:tc>
          <w:tcPr>
            <w:tcW w:w="320" w:type="dxa"/>
            <w:vAlign w:val="bottom"/>
            <w:tcBorders>
              <w:bottom w:val="single" w:sz="8" w:color="F2F2F2"/>
            </w:tcBorders>
            <w:shd w:val="clear" w:color="auto" w:fill="F2F2F2"/>
          </w:tcPr>
          <w:p>
            <w:pPr>
              <w:jc w:val="right"/>
              <w:ind w:right="213"/>
              <w:spacing w:after="0"/>
              <w:rPr>
                <w:sz w:val="20"/>
                <w:szCs w:val="20"/>
                <w:color w:val="auto"/>
              </w:rPr>
            </w:pPr>
            <w:r>
              <w:rPr>
                <w:rFonts w:ascii="Arial" w:cs="Arial" w:eastAsia="Arial" w:hAnsi="Arial"/>
                <w:sz w:val="9"/>
                <w:szCs w:val="9"/>
                <w:color w:val="auto"/>
                <w:w w:val="78"/>
              </w:rPr>
              <w:t>7</w:t>
            </w:r>
          </w:p>
        </w:tc>
        <w:tc>
          <w:tcPr>
            <w:tcW w:w="11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$2,447,470</w:t>
            </w:r>
          </w:p>
        </w:tc>
        <w:tc>
          <w:tcPr>
            <w:tcW w:w="1400" w:type="dxa"/>
            <w:vAlign w:val="bottom"/>
            <w:tcBorders>
              <w:bottom w:val="single" w:sz="8" w:color="F2F2F2"/>
            </w:tcBorders>
            <w:shd w:val="clear" w:color="auto" w:fill="F2F2F2"/>
          </w:tcPr>
          <w:p>
            <w:pPr>
              <w:spacing w:after="0"/>
              <w:rPr>
                <w:sz w:val="22"/>
                <w:szCs w:val="22"/>
                <w:color w:val="auto"/>
              </w:rPr>
            </w:pPr>
          </w:p>
        </w:tc>
        <w:tc>
          <w:tcPr>
            <w:tcW w:w="300" w:type="dxa"/>
            <w:vAlign w:val="bottom"/>
            <w:tcBorders>
              <w:bottom w:val="single" w:sz="8" w:color="F2F2F2"/>
            </w:tcBorders>
            <w:shd w:val="clear" w:color="auto" w:fill="F2F2F2"/>
          </w:tcPr>
          <w:p>
            <w:pPr>
              <w:spacing w:after="0"/>
              <w:rPr>
                <w:sz w:val="22"/>
                <w:szCs w:val="22"/>
                <w:color w:val="auto"/>
              </w:rPr>
            </w:pPr>
          </w:p>
        </w:tc>
        <w:tc>
          <w:tcPr>
            <w:tcW w:w="1680" w:type="dxa"/>
            <w:vAlign w:val="bottom"/>
            <w:tcBorders>
              <w:bottom w:val="single" w:sz="8" w:color="F2F2F2"/>
            </w:tcBorders>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180" w:hanging="172"/>
        <w:spacing w:after="0"/>
        <w:tabs>
          <w:tab w:leader="none" w:pos="110" w:val="left"/>
        </w:tabs>
        <w:numPr>
          <w:ilvl w:val="0"/>
          <w:numId w:val="159"/>
        </w:numPr>
        <w:rPr>
          <w:rFonts w:ascii="Arial" w:cs="Arial" w:eastAsia="Arial" w:hAnsi="Arial"/>
          <w:sz w:val="19"/>
          <w:szCs w:val="19"/>
          <w:color w:val="auto"/>
          <w:vertAlign w:val="superscript"/>
        </w:rPr>
      </w:pPr>
      <w:r>
        <w:rPr>
          <w:rFonts w:ascii="Arial" w:cs="Arial" w:eastAsia="Arial" w:hAnsi="Arial"/>
          <w:sz w:val="14"/>
          <w:szCs w:val="14"/>
          <w:color w:val="auto"/>
        </w:rPr>
        <w:t>Shareholder value awards granted for the 2022-2024 performance period will vest on December 31, 2024. The number of shares reported reflects the maximum payout, which will be made if the average closing stock price in November and December 2024 exceeds $416.32. Actual payouts may vary from 0 to 175 percent of target. Net shares from any payout must be held by executive officers for a minimum of one year. Had the performance period ended December 31, 2022, the payout would have been at 125 percent of target.</w:t>
      </w:r>
    </w:p>
    <w:p>
      <w:pPr>
        <w:spacing w:after="0" w:line="41" w:lineRule="exact"/>
        <w:rPr>
          <w:sz w:val="20"/>
          <w:szCs w:val="20"/>
          <w:color w:val="auto"/>
        </w:rPr>
      </w:pPr>
    </w:p>
    <w:p>
      <w:pPr>
        <w:ind w:left="180" w:hanging="172"/>
        <w:spacing w:after="0" w:line="280" w:lineRule="auto"/>
        <w:tabs>
          <w:tab w:leader="none" w:pos="110" w:val="left"/>
        </w:tabs>
        <w:numPr>
          <w:ilvl w:val="0"/>
          <w:numId w:val="160"/>
        </w:numPr>
        <w:rPr>
          <w:rFonts w:ascii="Arial" w:cs="Arial" w:eastAsia="Arial" w:hAnsi="Arial"/>
          <w:sz w:val="9"/>
          <w:szCs w:val="9"/>
          <w:color w:val="auto"/>
        </w:rPr>
      </w:pPr>
      <w:r>
        <w:rPr>
          <w:rFonts w:ascii="Arial" w:cs="Arial" w:eastAsia="Arial" w:hAnsi="Arial"/>
          <w:sz w:val="14"/>
          <w:szCs w:val="14"/>
          <w:color w:val="auto"/>
        </w:rPr>
        <w:t>Shareholder value awards granted for the 2021-2023 performance period will vest on December 31, 2023. The number of shares reported reflects the maximum payout, which will be made if the average closing stock price in November and December 2023 exceeds $239.03. Actual payouts may vary from 0 to 175 percent of target. Net shares from any payout must be held by executive officers for a minimum of one year. Had the performance period ended December 31, 2022, the payout would have been 175 percent of target.</w:t>
      </w:r>
    </w:p>
    <w:p>
      <w:pPr>
        <w:spacing w:after="0" w:line="179" w:lineRule="exact"/>
        <w:rPr>
          <w:sz w:val="20"/>
          <w:szCs w:val="20"/>
          <w:color w:val="auto"/>
        </w:rPr>
      </w:pPr>
    </w:p>
    <w:p>
      <w:pPr>
        <w:ind w:left="180" w:right="60" w:hanging="172"/>
        <w:spacing w:after="0" w:line="283" w:lineRule="auto"/>
        <w:tabs>
          <w:tab w:leader="none" w:pos="110" w:val="left"/>
        </w:tabs>
        <w:numPr>
          <w:ilvl w:val="0"/>
          <w:numId w:val="161"/>
        </w:numPr>
        <w:rPr>
          <w:rFonts w:ascii="Arial" w:cs="Arial" w:eastAsia="Arial" w:hAnsi="Arial"/>
          <w:sz w:val="9"/>
          <w:szCs w:val="9"/>
          <w:color w:val="auto"/>
        </w:rPr>
      </w:pPr>
      <w:r>
        <w:rPr>
          <w:rFonts w:ascii="Arial" w:cs="Arial" w:eastAsia="Arial" w:hAnsi="Arial"/>
          <w:sz w:val="14"/>
          <w:szCs w:val="14"/>
          <w:color w:val="auto"/>
        </w:rPr>
        <w:t>Relative value awards granted for the 2022-2024 performance period will vest on December 31, 2024. The number of shares reported reflects the maximum payout, which will be paid if Lilly’s absolute TSR exceeds the median peer absolute TSR by 30 percentage points or more. Net shares from any payout must be held by executive officers for a minimum of one year. Had the performance period ended December 31, 2022, the payout would have been 160 percent of target.</w:t>
      </w:r>
    </w:p>
    <w:p>
      <w:pPr>
        <w:sectPr>
          <w:pgSz w:w="11900" w:h="16838" w:orient="portrait"/>
          <w:cols w:equalWidth="0" w:num="1">
            <w:col w:w="11240"/>
          </w:cols>
          <w:pgMar w:left="320" w:top="925" w:right="339"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157720" cy="42545"/>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type w:val="continuous"/>
        </w:sectPr>
      </w:pPr>
    </w:p>
    <w:bookmarkStart w:id="79" w:name="page80"/>
    <w:bookmarkEnd w:id="79"/>
    <w:p>
      <w:pPr>
        <w:ind w:left="180" w:hanging="172"/>
        <w:spacing w:after="0"/>
        <w:tabs>
          <w:tab w:leader="none" w:pos="110" w:val="left"/>
        </w:tabs>
        <w:numPr>
          <w:ilvl w:val="0"/>
          <w:numId w:val="162"/>
        </w:numPr>
        <w:rPr>
          <w:rFonts w:ascii="Arial" w:cs="Arial" w:eastAsia="Arial" w:hAnsi="Arial"/>
          <w:sz w:val="19"/>
          <w:szCs w:val="19"/>
          <w:color w:val="auto"/>
          <w:vertAlign w:val="superscript"/>
        </w:rPr>
      </w:pPr>
      <w:r>
        <w:rPr>
          <w:rFonts w:ascii="Arial" w:cs="Arial" w:eastAsia="Arial" w:hAnsi="Arial"/>
          <w:sz w:val="14"/>
          <w:szCs w:val="14"/>
          <w:color w:val="auto"/>
        </w:rPr>
        <w:t>Relative value awards granted for the 2021-2023 performance period will vest on December 31, 2023. The number of shares reported reflects the maximum payout, which will be paid if Lilly’s absolute TSR exceeds the median peer absolute TSR by 30 percentage points or more. Net shares from any payout must be held by executive officers for a minimum of one year. Had the performance period ended December 31, 2022, the payout would have been 175 percent of target.</w:t>
      </w:r>
    </w:p>
    <w:p>
      <w:pPr>
        <w:spacing w:after="0" w:line="27" w:lineRule="exact"/>
        <w:rPr>
          <w:sz w:val="20"/>
          <w:szCs w:val="20"/>
          <w:color w:val="auto"/>
        </w:rPr>
      </w:pPr>
    </w:p>
    <w:p>
      <w:pPr>
        <w:ind w:left="180" w:hanging="172"/>
        <w:spacing w:after="0" w:line="272" w:lineRule="auto"/>
        <w:tabs>
          <w:tab w:leader="none" w:pos="110" w:val="left"/>
        </w:tabs>
        <w:numPr>
          <w:ilvl w:val="0"/>
          <w:numId w:val="163"/>
        </w:numPr>
        <w:rPr>
          <w:rFonts w:ascii="Arial" w:cs="Arial" w:eastAsia="Arial" w:hAnsi="Arial"/>
          <w:sz w:val="9"/>
          <w:szCs w:val="9"/>
          <w:color w:val="auto"/>
        </w:rPr>
      </w:pPr>
      <w:r>
        <w:rPr>
          <w:rFonts w:ascii="Arial" w:cs="Arial" w:eastAsia="Arial" w:hAnsi="Arial"/>
          <w:sz w:val="14"/>
          <w:szCs w:val="14"/>
          <w:color w:val="auto"/>
        </w:rPr>
        <w:t>This number represents the maximum value of performance award shares that could pay out for the 2022-2024 performance awards, provided performance goals are met. Once the combined cumulative adjusted non-GAAP EPS result and associated payout level are determined at the end of the 2022-2023 performance period, the associated number of shares will be granted as restricted stock units, vesting in February 2025. Actual payouts may vary from 0 to 175 percent of target. The number of shares recorded in the table reflects the payout if the combined cumulative adjusted non-GAAP EPS for 2022 and 2023 is at least $21.31 under the 2022-2024 performance award grid (see “</w:t>
      </w:r>
      <w:r>
        <w:rPr>
          <w:rFonts w:ascii="Arial" w:cs="Arial" w:eastAsia="Arial" w:hAnsi="Arial"/>
          <w:sz w:val="14"/>
          <w:szCs w:val="14"/>
          <w:u w:val="single" w:color="auto"/>
          <w:color w:val="0000FF"/>
        </w:rPr>
        <w:t>Compensation Discussion and Analysis—Performance Goals for 2022 Incentive Programs—2022-2024 Performance Award</w:t>
      </w:r>
      <w:r>
        <w:rPr>
          <w:rFonts w:ascii="Arial" w:cs="Arial" w:eastAsia="Arial" w:hAnsi="Arial"/>
          <w:sz w:val="14"/>
          <w:szCs w:val="14"/>
          <w:color w:val="auto"/>
        </w:rPr>
        <w:t>”).</w:t>
      </w:r>
    </w:p>
    <w:p>
      <w:pPr>
        <w:spacing w:after="0" w:line="6" w:lineRule="exact"/>
        <w:rPr>
          <w:sz w:val="20"/>
          <w:szCs w:val="20"/>
          <w:color w:val="auto"/>
        </w:rPr>
      </w:pPr>
    </w:p>
    <w:p>
      <w:pPr>
        <w:ind w:left="180" w:right="120" w:hanging="172"/>
        <w:spacing w:after="0" w:line="290" w:lineRule="auto"/>
        <w:tabs>
          <w:tab w:leader="none" w:pos="110" w:val="left"/>
        </w:tabs>
        <w:numPr>
          <w:ilvl w:val="0"/>
          <w:numId w:val="164"/>
        </w:numPr>
        <w:rPr>
          <w:rFonts w:ascii="Arial" w:cs="Arial" w:eastAsia="Arial" w:hAnsi="Arial"/>
          <w:sz w:val="9"/>
          <w:szCs w:val="9"/>
          <w:color w:val="auto"/>
        </w:rPr>
      </w:pPr>
      <w:r>
        <w:rPr>
          <w:rFonts w:ascii="Arial" w:cs="Arial" w:eastAsia="Arial" w:hAnsi="Arial"/>
          <w:sz w:val="14"/>
          <w:szCs w:val="14"/>
          <w:color w:val="auto"/>
        </w:rPr>
        <w:t>The performance period ended December 31, 2022, for the 2021-2023 performance award, resulting in the issuance of restricted stock units for 140 percent of target shares for Mr. Ricks, Dr. Skovronsky, Ms. Hakim and Mr. Jonsson. These restricted stock units will vest in February 2024.</w:t>
      </w:r>
    </w:p>
    <w:p>
      <w:pPr>
        <w:spacing w:after="0" w:line="2" w:lineRule="exact"/>
        <w:rPr>
          <w:sz w:val="20"/>
          <w:szCs w:val="20"/>
          <w:color w:val="auto"/>
        </w:rPr>
      </w:pPr>
    </w:p>
    <w:p>
      <w:pPr>
        <w:ind w:left="180" w:right="20" w:hanging="172"/>
        <w:spacing w:after="0" w:line="222" w:lineRule="auto"/>
        <w:tabs>
          <w:tab w:leader="none" w:pos="110" w:val="left"/>
        </w:tabs>
        <w:numPr>
          <w:ilvl w:val="0"/>
          <w:numId w:val="165"/>
        </w:numPr>
        <w:rPr>
          <w:rFonts w:ascii="Arial" w:cs="Arial" w:eastAsia="Arial" w:hAnsi="Arial"/>
          <w:sz w:val="19"/>
          <w:szCs w:val="19"/>
          <w:color w:val="auto"/>
          <w:vertAlign w:val="superscript"/>
        </w:rPr>
      </w:pPr>
      <w:r>
        <w:rPr>
          <w:rFonts w:ascii="Arial" w:cs="Arial" w:eastAsia="Arial" w:hAnsi="Arial"/>
          <w:sz w:val="14"/>
          <w:szCs w:val="14"/>
          <w:color w:val="auto"/>
        </w:rPr>
        <w:t>The performance period ended December 31, 2021 for the 2020-2022 performance award, resulting in the issuance of restricted stock units for Mr. Ricks, Dr. Skovronsky, Ms. Hakim and Mr. Jonsson that vested on February 1, 2023.</w:t>
      </w:r>
    </w:p>
    <w:p>
      <w:pPr>
        <w:spacing w:after="0" w:line="12" w:lineRule="exact"/>
        <w:rPr>
          <w:sz w:val="20"/>
          <w:szCs w:val="20"/>
          <w:color w:val="auto"/>
        </w:rPr>
      </w:pPr>
    </w:p>
    <w:p>
      <w:pPr>
        <w:ind w:left="100" w:hanging="92"/>
        <w:spacing w:after="0"/>
        <w:tabs>
          <w:tab w:leader="none" w:pos="100" w:val="left"/>
        </w:tabs>
        <w:numPr>
          <w:ilvl w:val="0"/>
          <w:numId w:val="166"/>
        </w:numPr>
        <w:rPr>
          <w:rFonts w:ascii="Arial" w:cs="Arial" w:eastAsia="Arial" w:hAnsi="Arial"/>
          <w:sz w:val="19"/>
          <w:szCs w:val="19"/>
          <w:color w:val="auto"/>
          <w:vertAlign w:val="superscript"/>
        </w:rPr>
      </w:pPr>
      <w:r>
        <w:rPr>
          <w:rFonts w:ascii="Arial" w:cs="Arial" w:eastAsia="Arial" w:hAnsi="Arial"/>
          <w:sz w:val="14"/>
          <w:szCs w:val="14"/>
          <w:color w:val="auto"/>
        </w:rPr>
        <w:t>These grants were made outside of the normal annual cycle in 2020, and 4,600 units will vest on November 1, 2024, and 6,899 units will vest on November 1, 2026.</w:t>
      </w:r>
    </w:p>
    <w:p>
      <w:pPr>
        <w:spacing w:after="0" w:line="132"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Option Exercises and Stock Vested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4208780" cy="8255"/>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4208780" cy="8255"/>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40" w:type="dxa"/>
            <w:vAlign w:val="bottom"/>
          </w:tcPr>
          <w:p>
            <w:pPr>
              <w:spacing w:after="0"/>
              <w:rPr>
                <w:sz w:val="17"/>
                <w:szCs w:val="17"/>
                <w:color w:val="auto"/>
              </w:rPr>
            </w:pPr>
          </w:p>
        </w:tc>
        <w:tc>
          <w:tcPr>
            <w:tcW w:w="2340" w:type="dxa"/>
            <w:vAlign w:val="bottom"/>
            <w:gridSpan w:val="3"/>
          </w:tcPr>
          <w:p>
            <w:pPr>
              <w:jc w:val="right"/>
              <w:ind w:right="13"/>
              <w:spacing w:after="0"/>
              <w:rPr>
                <w:sz w:val="20"/>
                <w:szCs w:val="20"/>
                <w:color w:val="auto"/>
              </w:rPr>
            </w:pPr>
            <w:r>
              <w:rPr>
                <w:rFonts w:ascii="Arial" w:cs="Arial" w:eastAsia="Arial" w:hAnsi="Arial"/>
                <w:sz w:val="14"/>
                <w:szCs w:val="14"/>
                <w:b w:val="1"/>
                <w:bCs w:val="1"/>
                <w:color w:val="auto"/>
              </w:rPr>
              <w:t>Stock Awards</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3"/>
        </w:trPr>
        <w:tc>
          <w:tcPr>
            <w:tcW w:w="3040" w:type="dxa"/>
            <w:vAlign w:val="bottom"/>
          </w:tcPr>
          <w:p>
            <w:pPr>
              <w:spacing w:after="0"/>
              <w:rPr>
                <w:sz w:val="24"/>
                <w:szCs w:val="24"/>
                <w:color w:val="auto"/>
              </w:rPr>
            </w:pPr>
          </w:p>
        </w:tc>
        <w:tc>
          <w:tcPr>
            <w:tcW w:w="18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Number of Shares</w:t>
            </w:r>
          </w:p>
        </w:tc>
        <w:tc>
          <w:tcPr>
            <w:tcW w:w="480" w:type="dxa"/>
            <w:vAlign w:val="bottom"/>
          </w:tcPr>
          <w:p>
            <w:pPr>
              <w:spacing w:after="0"/>
              <w:rPr>
                <w:sz w:val="24"/>
                <w:szCs w:val="24"/>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b w:val="1"/>
                <w:bCs w:val="1"/>
                <w:color w:val="auto"/>
              </w:rPr>
              <w:t>Value Realized</w:t>
            </w:r>
          </w:p>
        </w:tc>
        <w:tc>
          <w:tcPr>
            <w:tcW w:w="0" w:type="dxa"/>
            <w:vAlign w:val="bottom"/>
          </w:tcPr>
          <w:p>
            <w:pPr>
              <w:spacing w:after="0"/>
              <w:rPr>
                <w:sz w:val="1"/>
                <w:szCs w:val="1"/>
                <w:color w:val="auto"/>
              </w:rPr>
            </w:pPr>
          </w:p>
        </w:tc>
      </w:tr>
      <w:tr>
        <w:trPr>
          <w:trHeight w:val="54"/>
        </w:trPr>
        <w:tc>
          <w:tcPr>
            <w:tcW w:w="3040" w:type="dxa"/>
            <w:vAlign w:val="bottom"/>
          </w:tcPr>
          <w:p>
            <w:pPr>
              <w:spacing w:after="0"/>
              <w:rPr>
                <w:sz w:val="4"/>
                <w:szCs w:val="4"/>
                <w:color w:val="auto"/>
              </w:rPr>
            </w:pPr>
          </w:p>
        </w:tc>
        <w:tc>
          <w:tcPr>
            <w:tcW w:w="186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2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on Vesting ($)</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142"/>
        </w:trPr>
        <w:tc>
          <w:tcPr>
            <w:tcW w:w="3040" w:type="dxa"/>
            <w:vAlign w:val="bottom"/>
            <w:vMerge w:val="restart"/>
          </w:tcPr>
          <w:p>
            <w:pPr>
              <w:ind w:left="1340"/>
              <w:spacing w:after="0"/>
              <w:rPr>
                <w:sz w:val="20"/>
                <w:szCs w:val="20"/>
                <w:color w:val="auto"/>
              </w:rPr>
            </w:pPr>
            <w:r>
              <w:rPr>
                <w:rFonts w:ascii="Arial" w:cs="Arial" w:eastAsia="Arial" w:hAnsi="Arial"/>
                <w:sz w:val="14"/>
                <w:szCs w:val="14"/>
                <w:b w:val="1"/>
                <w:bCs w:val="1"/>
                <w:color w:val="auto"/>
              </w:rPr>
              <w:t>Name</w:t>
            </w:r>
          </w:p>
        </w:tc>
        <w:tc>
          <w:tcPr>
            <w:tcW w:w="2340" w:type="dxa"/>
            <w:vAlign w:val="bottom"/>
            <w:gridSpan w:val="3"/>
            <w:vMerge w:val="restart"/>
          </w:tcPr>
          <w:p>
            <w:pPr>
              <w:jc w:val="right"/>
              <w:ind w:right="373"/>
              <w:spacing w:after="0"/>
              <w:rPr>
                <w:sz w:val="20"/>
                <w:szCs w:val="20"/>
                <w:color w:val="auto"/>
              </w:rPr>
            </w:pPr>
            <w:r>
              <w:rPr>
                <w:rFonts w:ascii="Arial" w:cs="Arial" w:eastAsia="Arial" w:hAnsi="Arial"/>
                <w:sz w:val="14"/>
                <w:szCs w:val="14"/>
                <w:b w:val="1"/>
                <w:bCs w:val="1"/>
                <w:color w:val="auto"/>
              </w:rPr>
              <w:t>Acquired on Vesting (#)</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8"/>
        </w:trPr>
        <w:tc>
          <w:tcPr>
            <w:tcW w:w="3040" w:type="dxa"/>
            <w:vAlign w:val="bottom"/>
            <w:vMerge w:val="continue"/>
          </w:tcPr>
          <w:p>
            <w:pPr>
              <w:spacing w:after="0"/>
              <w:rPr>
                <w:sz w:val="5"/>
                <w:szCs w:val="5"/>
                <w:color w:val="auto"/>
              </w:rPr>
            </w:pPr>
          </w:p>
        </w:tc>
        <w:tc>
          <w:tcPr>
            <w:tcW w:w="234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30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vMerge w:val="restart"/>
          </w:tcPr>
          <w:p>
            <w:pPr>
              <w:jc w:val="right"/>
              <w:ind w:right="353"/>
              <w:spacing w:after="0"/>
              <w:rPr>
                <w:sz w:val="20"/>
                <w:szCs w:val="20"/>
                <w:color w:val="auto"/>
              </w:rPr>
            </w:pPr>
            <w:r>
              <w:rPr>
                <w:rFonts w:ascii="Arial" w:cs="Arial" w:eastAsia="Arial" w:hAnsi="Arial"/>
                <w:sz w:val="9"/>
                <w:szCs w:val="9"/>
                <w:color w:val="auto"/>
              </w:rPr>
              <w:t>2</w:t>
            </w: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3040" w:type="dxa"/>
            <w:vAlign w:val="bottom"/>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18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56,205</w:t>
            </w:r>
          </w:p>
        </w:tc>
        <w:tc>
          <w:tcPr>
            <w:tcW w:w="4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$13,792,145</w:t>
            </w:r>
          </w:p>
        </w:tc>
        <w:tc>
          <w:tcPr>
            <w:tcW w:w="0" w:type="dxa"/>
            <w:vAlign w:val="bottom"/>
          </w:tcPr>
          <w:p>
            <w:pPr>
              <w:spacing w:after="0"/>
              <w:rPr>
                <w:sz w:val="1"/>
                <w:szCs w:val="1"/>
                <w:color w:val="auto"/>
              </w:rPr>
            </w:pPr>
          </w:p>
        </w:tc>
      </w:tr>
      <w:tr>
        <w:trPr>
          <w:trHeight w:val="39"/>
        </w:trPr>
        <w:tc>
          <w:tcPr>
            <w:tcW w:w="3040" w:type="dxa"/>
            <w:vAlign w:val="bottom"/>
            <w:shd w:val="clear" w:color="auto" w:fill="F2F2F2"/>
          </w:tcPr>
          <w:p>
            <w:pPr>
              <w:spacing w:after="0"/>
              <w:rPr>
                <w:sz w:val="3"/>
                <w:szCs w:val="3"/>
                <w:color w:val="auto"/>
              </w:rPr>
            </w:pPr>
          </w:p>
        </w:tc>
        <w:tc>
          <w:tcPr>
            <w:tcW w:w="182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59,063</w:t>
            </w:r>
          </w:p>
        </w:tc>
        <w:tc>
          <w:tcPr>
            <w:tcW w:w="40" w:type="dxa"/>
            <w:vAlign w:val="bottom"/>
          </w:tcPr>
          <w:p>
            <w:pPr>
              <w:spacing w:after="0"/>
              <w:rPr>
                <w:sz w:val="3"/>
                <w:szCs w:val="3"/>
                <w:color w:val="auto"/>
              </w:rPr>
            </w:pPr>
          </w:p>
        </w:tc>
        <w:tc>
          <w:tcPr>
            <w:tcW w:w="480" w:type="dxa"/>
            <w:vAlign w:val="bottom"/>
            <w:vMerge w:val="restart"/>
          </w:tcPr>
          <w:p>
            <w:pPr>
              <w:jc w:val="right"/>
              <w:ind w:right="353"/>
              <w:spacing w:after="0"/>
              <w:rPr>
                <w:sz w:val="20"/>
                <w:szCs w:val="20"/>
                <w:color w:val="auto"/>
              </w:rPr>
            </w:pPr>
            <w:r>
              <w:rPr>
                <w:rFonts w:ascii="Arial" w:cs="Arial" w:eastAsia="Arial" w:hAnsi="Arial"/>
                <w:sz w:val="9"/>
                <w:szCs w:val="9"/>
                <w:color w:val="auto"/>
              </w:rPr>
              <w:t>3</w:t>
            </w: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$20,383,823</w:t>
            </w:r>
          </w:p>
        </w:tc>
        <w:tc>
          <w:tcPr>
            <w:tcW w:w="0" w:type="dxa"/>
            <w:vAlign w:val="bottom"/>
          </w:tcPr>
          <w:p>
            <w:pPr>
              <w:spacing w:after="0" w:line="20" w:lineRule="exact"/>
              <w:rPr>
                <w:sz w:val="1"/>
                <w:szCs w:val="1"/>
                <w:color w:val="auto"/>
              </w:rPr>
            </w:pPr>
          </w:p>
        </w:tc>
      </w:tr>
      <w:tr>
        <w:trPr>
          <w:trHeight w:val="84"/>
        </w:trPr>
        <w:tc>
          <w:tcPr>
            <w:tcW w:w="3040" w:type="dxa"/>
            <w:vAlign w:val="bottom"/>
            <w:shd w:val="clear" w:color="auto" w:fill="F2F2F2"/>
          </w:tcPr>
          <w:p>
            <w:pPr>
              <w:spacing w:after="0"/>
              <w:rPr>
                <w:sz w:val="7"/>
                <w:szCs w:val="7"/>
                <w:color w:val="auto"/>
              </w:rPr>
            </w:pPr>
          </w:p>
        </w:tc>
        <w:tc>
          <w:tcPr>
            <w:tcW w:w="1820" w:type="dxa"/>
            <w:vAlign w:val="bottom"/>
            <w:vMerge w:val="continue"/>
            <w:shd w:val="clear" w:color="auto" w:fill="F2F2F2"/>
          </w:tcPr>
          <w:p>
            <w:pPr>
              <w:spacing w:after="0"/>
              <w:rPr>
                <w:sz w:val="7"/>
                <w:szCs w:val="7"/>
                <w:color w:val="auto"/>
              </w:rPr>
            </w:pPr>
          </w:p>
        </w:tc>
        <w:tc>
          <w:tcPr>
            <w:tcW w:w="40" w:type="dxa"/>
            <w:vAlign w:val="bottom"/>
            <w:shd w:val="clear" w:color="auto" w:fill="F2F2F2"/>
          </w:tcPr>
          <w:p>
            <w:pPr>
              <w:spacing w:after="0"/>
              <w:rPr>
                <w:sz w:val="7"/>
                <w:szCs w:val="7"/>
                <w:color w:val="auto"/>
              </w:rPr>
            </w:pPr>
          </w:p>
        </w:tc>
        <w:tc>
          <w:tcPr>
            <w:tcW w:w="48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3040" w:type="dxa"/>
            <w:vAlign w:val="bottom"/>
            <w:shd w:val="clear" w:color="auto" w:fill="F2F2F2"/>
          </w:tcPr>
          <w:p>
            <w:pPr>
              <w:spacing w:after="0"/>
              <w:rPr>
                <w:sz w:val="13"/>
                <w:szCs w:val="13"/>
                <w:color w:val="auto"/>
              </w:rPr>
            </w:pPr>
          </w:p>
        </w:tc>
        <w:tc>
          <w:tcPr>
            <w:tcW w:w="1820" w:type="dxa"/>
            <w:vAlign w:val="bottom"/>
            <w:vMerge w:val="continue"/>
            <w:shd w:val="clear" w:color="auto" w:fill="F2F2F2"/>
          </w:tcPr>
          <w:p>
            <w:pPr>
              <w:spacing w:after="0"/>
              <w:rPr>
                <w:sz w:val="13"/>
                <w:szCs w:val="13"/>
                <w:color w:val="auto"/>
              </w:rPr>
            </w:pPr>
          </w:p>
        </w:tc>
        <w:tc>
          <w:tcPr>
            <w:tcW w:w="40" w:type="dxa"/>
            <w:vAlign w:val="bottom"/>
            <w:shd w:val="clear" w:color="auto" w:fill="F2F2F2"/>
          </w:tcPr>
          <w:p>
            <w:pPr>
              <w:spacing w:after="0"/>
              <w:rPr>
                <w:sz w:val="13"/>
                <w:szCs w:val="13"/>
                <w:color w:val="auto"/>
              </w:rPr>
            </w:pPr>
          </w:p>
        </w:tc>
        <w:tc>
          <w:tcPr>
            <w:tcW w:w="480" w:type="dxa"/>
            <w:vAlign w:val="bottom"/>
            <w:vMerge w:val="restart"/>
          </w:tcPr>
          <w:p>
            <w:pPr>
              <w:jc w:val="right"/>
              <w:ind w:right="353"/>
              <w:spacing w:after="0"/>
              <w:rPr>
                <w:sz w:val="20"/>
                <w:szCs w:val="20"/>
                <w:color w:val="auto"/>
              </w:rPr>
            </w:pPr>
            <w:r>
              <w:rPr>
                <w:rFonts w:ascii="Arial" w:cs="Arial" w:eastAsia="Arial" w:hAnsi="Arial"/>
                <w:sz w:val="9"/>
                <w:szCs w:val="9"/>
                <w:color w:val="auto"/>
              </w:rPr>
              <w:t>4</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040" w:type="dxa"/>
            <w:vAlign w:val="bottom"/>
            <w:shd w:val="clear" w:color="auto" w:fill="F2F2F2"/>
          </w:tcPr>
          <w:p>
            <w:pPr>
              <w:spacing w:after="0"/>
              <w:rPr>
                <w:sz w:val="9"/>
                <w:szCs w:val="9"/>
                <w:color w:val="auto"/>
              </w:rPr>
            </w:pPr>
          </w:p>
        </w:tc>
        <w:tc>
          <w:tcPr>
            <w:tcW w:w="182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42,558</w:t>
            </w:r>
          </w:p>
        </w:tc>
        <w:tc>
          <w:tcPr>
            <w:tcW w:w="40" w:type="dxa"/>
            <w:vAlign w:val="bottom"/>
            <w:shd w:val="clear" w:color="auto" w:fill="F2F2F2"/>
          </w:tcPr>
          <w:p>
            <w:pPr>
              <w:spacing w:after="0"/>
              <w:rPr>
                <w:sz w:val="9"/>
                <w:szCs w:val="9"/>
                <w:color w:val="auto"/>
              </w:rPr>
            </w:pPr>
          </w:p>
        </w:tc>
        <w:tc>
          <w:tcPr>
            <w:tcW w:w="480" w:type="dxa"/>
            <w:vAlign w:val="bottom"/>
            <w:vMerge w:val="continue"/>
          </w:tcPr>
          <w:p>
            <w:pPr>
              <w:spacing w:after="0"/>
              <w:rPr>
                <w:sz w:val="9"/>
                <w:szCs w:val="9"/>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$14,687,617</w:t>
            </w:r>
          </w:p>
        </w:tc>
        <w:tc>
          <w:tcPr>
            <w:tcW w:w="0" w:type="dxa"/>
            <w:vAlign w:val="bottom"/>
          </w:tcPr>
          <w:p>
            <w:pPr>
              <w:spacing w:after="0"/>
              <w:rPr>
                <w:sz w:val="1"/>
                <w:szCs w:val="1"/>
                <w:color w:val="auto"/>
              </w:rPr>
            </w:pPr>
          </w:p>
        </w:tc>
      </w:tr>
      <w:tr>
        <w:trPr>
          <w:trHeight w:val="153"/>
        </w:trPr>
        <w:tc>
          <w:tcPr>
            <w:tcW w:w="3040" w:type="dxa"/>
            <w:vAlign w:val="bottom"/>
            <w:tcBorders>
              <w:bottom w:val="single" w:sz="8" w:color="F2F2F2"/>
            </w:tcBorders>
            <w:shd w:val="clear" w:color="auto" w:fill="F2F2F2"/>
          </w:tcPr>
          <w:p>
            <w:pPr>
              <w:spacing w:after="0"/>
              <w:rPr>
                <w:sz w:val="13"/>
                <w:szCs w:val="13"/>
                <w:color w:val="auto"/>
              </w:rPr>
            </w:pPr>
          </w:p>
        </w:tc>
        <w:tc>
          <w:tcPr>
            <w:tcW w:w="1820" w:type="dxa"/>
            <w:vAlign w:val="bottom"/>
            <w:tcBorders>
              <w:bottom w:val="single" w:sz="8" w:color="F2F2F2"/>
            </w:tcBorders>
            <w:vMerge w:val="continue"/>
            <w:shd w:val="clear" w:color="auto" w:fill="F2F2F2"/>
          </w:tcPr>
          <w:p>
            <w:pPr>
              <w:spacing w:after="0"/>
              <w:rPr>
                <w:sz w:val="13"/>
                <w:szCs w:val="13"/>
                <w:color w:val="auto"/>
              </w:rPr>
            </w:pPr>
          </w:p>
        </w:tc>
        <w:tc>
          <w:tcPr>
            <w:tcW w:w="40" w:type="dxa"/>
            <w:vAlign w:val="bottom"/>
            <w:tcBorders>
              <w:bottom w:val="single" w:sz="8" w:color="F2F2F2"/>
            </w:tcBorders>
            <w:shd w:val="clear" w:color="auto" w:fill="F2F2F2"/>
          </w:tcPr>
          <w:p>
            <w:pPr>
              <w:spacing w:after="0"/>
              <w:rPr>
                <w:sz w:val="13"/>
                <w:szCs w:val="13"/>
                <w:color w:val="auto"/>
              </w:rPr>
            </w:pPr>
          </w:p>
        </w:tc>
        <w:tc>
          <w:tcPr>
            <w:tcW w:w="480" w:type="dxa"/>
            <w:vAlign w:val="bottom"/>
            <w:vMerge w:val="restart"/>
          </w:tcPr>
          <w:p>
            <w:pPr>
              <w:jc w:val="right"/>
              <w:ind w:right="353"/>
              <w:spacing w:after="0"/>
              <w:rPr>
                <w:sz w:val="20"/>
                <w:szCs w:val="20"/>
                <w:color w:val="auto"/>
              </w:rPr>
            </w:pPr>
            <w:r>
              <w:rPr>
                <w:rFonts w:ascii="Arial" w:cs="Arial" w:eastAsia="Arial" w:hAnsi="Arial"/>
                <w:sz w:val="9"/>
                <w:szCs w:val="9"/>
                <w:color w:val="auto"/>
              </w:rPr>
              <w:t>3</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3040" w:type="dxa"/>
            <w:vAlign w:val="bottom"/>
            <w:vMerge w:val="restart"/>
          </w:tcPr>
          <w:p>
            <w:pPr>
              <w:ind w:left="20"/>
              <w:spacing w:after="0"/>
              <w:rPr>
                <w:sz w:val="20"/>
                <w:szCs w:val="20"/>
                <w:color w:val="auto"/>
              </w:rPr>
            </w:pPr>
            <w:r>
              <w:rPr>
                <w:rFonts w:ascii="Arial" w:cs="Arial" w:eastAsia="Arial" w:hAnsi="Arial"/>
                <w:sz w:val="14"/>
                <w:szCs w:val="14"/>
                <w:color w:val="auto"/>
              </w:rPr>
              <w:t>Ms. Ashkenazi</w:t>
            </w:r>
          </w:p>
        </w:tc>
        <w:tc>
          <w:tcPr>
            <w:tcW w:w="1820" w:type="dxa"/>
            <w:vAlign w:val="bottom"/>
            <w:vMerge w:val="restart"/>
          </w:tcPr>
          <w:p>
            <w:pPr>
              <w:jc w:val="right"/>
              <w:spacing w:after="0"/>
              <w:rPr>
                <w:sz w:val="20"/>
                <w:szCs w:val="20"/>
                <w:color w:val="auto"/>
              </w:rPr>
            </w:pPr>
            <w:r>
              <w:rPr>
                <w:rFonts w:ascii="Arial" w:cs="Arial" w:eastAsia="Arial" w:hAnsi="Arial"/>
                <w:sz w:val="14"/>
                <w:szCs w:val="14"/>
                <w:color w:val="auto"/>
              </w:rPr>
              <w:t>2,305</w:t>
            </w:r>
          </w:p>
        </w:tc>
        <w:tc>
          <w:tcPr>
            <w:tcW w:w="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$795,502</w:t>
            </w:r>
          </w:p>
        </w:tc>
        <w:tc>
          <w:tcPr>
            <w:tcW w:w="0" w:type="dxa"/>
            <w:vAlign w:val="bottom"/>
          </w:tcPr>
          <w:p>
            <w:pPr>
              <w:spacing w:after="0"/>
              <w:rPr>
                <w:sz w:val="1"/>
                <w:szCs w:val="1"/>
                <w:color w:val="auto"/>
              </w:rPr>
            </w:pPr>
          </w:p>
        </w:tc>
      </w:tr>
      <w:tr>
        <w:trPr>
          <w:trHeight w:val="151"/>
        </w:trPr>
        <w:tc>
          <w:tcPr>
            <w:tcW w:w="3040" w:type="dxa"/>
            <w:vAlign w:val="bottom"/>
            <w:vMerge w:val="continue"/>
          </w:tcPr>
          <w:p>
            <w:pPr>
              <w:spacing w:after="0"/>
              <w:rPr>
                <w:sz w:val="13"/>
                <w:szCs w:val="13"/>
                <w:color w:val="auto"/>
              </w:rPr>
            </w:pPr>
          </w:p>
        </w:tc>
        <w:tc>
          <w:tcPr>
            <w:tcW w:w="18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vMerge w:val="restart"/>
          </w:tcPr>
          <w:p>
            <w:pPr>
              <w:jc w:val="right"/>
              <w:ind w:right="353"/>
              <w:spacing w:after="0"/>
              <w:rPr>
                <w:sz w:val="20"/>
                <w:szCs w:val="20"/>
                <w:color w:val="auto"/>
              </w:rPr>
            </w:pPr>
            <w:r>
              <w:rPr>
                <w:rFonts w:ascii="Arial" w:cs="Arial" w:eastAsia="Arial" w:hAnsi="Arial"/>
                <w:sz w:val="9"/>
                <w:szCs w:val="9"/>
                <w:color w:val="auto"/>
              </w:rPr>
              <w:t>4</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040" w:type="dxa"/>
            <w:vAlign w:val="bottom"/>
          </w:tcPr>
          <w:p>
            <w:pPr>
              <w:spacing w:after="0"/>
              <w:rPr>
                <w:sz w:val="9"/>
                <w:szCs w:val="9"/>
                <w:color w:val="auto"/>
              </w:rPr>
            </w:pPr>
          </w:p>
        </w:tc>
        <w:tc>
          <w:tcPr>
            <w:tcW w:w="1820" w:type="dxa"/>
            <w:vAlign w:val="bottom"/>
            <w:vMerge w:val="restart"/>
          </w:tcPr>
          <w:p>
            <w:pPr>
              <w:jc w:val="right"/>
              <w:spacing w:after="0"/>
              <w:rPr>
                <w:sz w:val="20"/>
                <w:szCs w:val="20"/>
                <w:color w:val="auto"/>
              </w:rPr>
            </w:pPr>
            <w:r>
              <w:rPr>
                <w:rFonts w:ascii="Arial" w:cs="Arial" w:eastAsia="Arial" w:hAnsi="Arial"/>
                <w:sz w:val="14"/>
                <w:szCs w:val="14"/>
                <w:color w:val="auto"/>
              </w:rPr>
              <w:t>1,824</w:t>
            </w:r>
          </w:p>
        </w:tc>
        <w:tc>
          <w:tcPr>
            <w:tcW w:w="4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$629,499</w:t>
            </w:r>
          </w:p>
        </w:tc>
        <w:tc>
          <w:tcPr>
            <w:tcW w:w="0" w:type="dxa"/>
            <w:vAlign w:val="bottom"/>
          </w:tcPr>
          <w:p>
            <w:pPr>
              <w:spacing w:after="0"/>
              <w:rPr>
                <w:sz w:val="1"/>
                <w:szCs w:val="1"/>
                <w:color w:val="auto"/>
              </w:rPr>
            </w:pPr>
          </w:p>
        </w:tc>
      </w:tr>
      <w:tr>
        <w:trPr>
          <w:trHeight w:val="151"/>
        </w:trPr>
        <w:tc>
          <w:tcPr>
            <w:tcW w:w="3040" w:type="dxa"/>
            <w:vAlign w:val="bottom"/>
          </w:tcPr>
          <w:p>
            <w:pPr>
              <w:spacing w:after="0"/>
              <w:rPr>
                <w:sz w:val="13"/>
                <w:szCs w:val="13"/>
                <w:color w:val="auto"/>
              </w:rPr>
            </w:pPr>
          </w:p>
        </w:tc>
        <w:tc>
          <w:tcPr>
            <w:tcW w:w="18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vMerge w:val="restart"/>
          </w:tcPr>
          <w:p>
            <w:pPr>
              <w:jc w:val="right"/>
              <w:ind w:right="353"/>
              <w:spacing w:after="0"/>
              <w:rPr>
                <w:sz w:val="20"/>
                <w:szCs w:val="20"/>
                <w:color w:val="auto"/>
              </w:rPr>
            </w:pPr>
            <w:r>
              <w:rPr>
                <w:rFonts w:ascii="Arial" w:cs="Arial" w:eastAsia="Arial" w:hAnsi="Arial"/>
                <w:sz w:val="9"/>
                <w:szCs w:val="9"/>
                <w:color w:val="auto"/>
              </w:rPr>
              <w:t>5</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3040" w:type="dxa"/>
            <w:vAlign w:val="bottom"/>
          </w:tcPr>
          <w:p>
            <w:pPr>
              <w:spacing w:after="0"/>
              <w:rPr>
                <w:sz w:val="9"/>
                <w:szCs w:val="9"/>
                <w:color w:val="auto"/>
              </w:rPr>
            </w:pPr>
          </w:p>
        </w:tc>
        <w:tc>
          <w:tcPr>
            <w:tcW w:w="1820" w:type="dxa"/>
            <w:vAlign w:val="bottom"/>
            <w:vMerge w:val="restart"/>
          </w:tcPr>
          <w:p>
            <w:pPr>
              <w:jc w:val="right"/>
              <w:spacing w:after="0"/>
              <w:rPr>
                <w:sz w:val="20"/>
                <w:szCs w:val="20"/>
                <w:color w:val="auto"/>
              </w:rPr>
            </w:pPr>
            <w:r>
              <w:rPr>
                <w:rFonts w:ascii="Arial" w:cs="Arial" w:eastAsia="Arial" w:hAnsi="Arial"/>
                <w:sz w:val="14"/>
                <w:szCs w:val="14"/>
                <w:color w:val="auto"/>
              </w:rPr>
              <w:t>7,756</w:t>
            </w:r>
          </w:p>
        </w:tc>
        <w:tc>
          <w:tcPr>
            <w:tcW w:w="4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$2,676,751</w:t>
            </w:r>
          </w:p>
        </w:tc>
        <w:tc>
          <w:tcPr>
            <w:tcW w:w="0" w:type="dxa"/>
            <w:vAlign w:val="bottom"/>
          </w:tcPr>
          <w:p>
            <w:pPr>
              <w:spacing w:after="0"/>
              <w:rPr>
                <w:sz w:val="1"/>
                <w:szCs w:val="1"/>
                <w:color w:val="auto"/>
              </w:rPr>
            </w:pPr>
          </w:p>
        </w:tc>
      </w:tr>
      <w:tr>
        <w:trPr>
          <w:trHeight w:val="151"/>
        </w:trPr>
        <w:tc>
          <w:tcPr>
            <w:tcW w:w="3040" w:type="dxa"/>
            <w:vAlign w:val="bottom"/>
          </w:tcPr>
          <w:p>
            <w:pPr>
              <w:spacing w:after="0"/>
              <w:rPr>
                <w:sz w:val="13"/>
                <w:szCs w:val="13"/>
                <w:color w:val="auto"/>
              </w:rPr>
            </w:pPr>
          </w:p>
        </w:tc>
        <w:tc>
          <w:tcPr>
            <w:tcW w:w="18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vMerge w:val="restart"/>
          </w:tcPr>
          <w:p>
            <w:pPr>
              <w:jc w:val="right"/>
              <w:ind w:right="353"/>
              <w:spacing w:after="0"/>
              <w:rPr>
                <w:sz w:val="20"/>
                <w:szCs w:val="20"/>
                <w:color w:val="auto"/>
              </w:rPr>
            </w:pPr>
            <w:r>
              <w:rPr>
                <w:rFonts w:ascii="Arial" w:cs="Arial" w:eastAsia="Arial" w:hAnsi="Arial"/>
                <w:sz w:val="9"/>
                <w:szCs w:val="9"/>
                <w:color w:val="auto"/>
              </w:rPr>
              <w:t>2</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3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304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182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18,735</w:t>
            </w:r>
          </w:p>
        </w:tc>
        <w:tc>
          <w:tcPr>
            <w:tcW w:w="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$4,597,382</w:t>
            </w:r>
          </w:p>
        </w:tc>
        <w:tc>
          <w:tcPr>
            <w:tcW w:w="0" w:type="dxa"/>
            <w:vAlign w:val="bottom"/>
          </w:tcPr>
          <w:p>
            <w:pPr>
              <w:spacing w:after="0"/>
              <w:rPr>
                <w:sz w:val="1"/>
                <w:szCs w:val="1"/>
                <w:color w:val="auto"/>
              </w:rPr>
            </w:pPr>
          </w:p>
        </w:tc>
      </w:tr>
      <w:tr>
        <w:trPr>
          <w:trHeight w:val="151"/>
        </w:trPr>
        <w:tc>
          <w:tcPr>
            <w:tcW w:w="3040" w:type="dxa"/>
            <w:vAlign w:val="bottom"/>
            <w:vMerge w:val="continue"/>
            <w:shd w:val="clear" w:color="auto" w:fill="F2F2F2"/>
          </w:tcPr>
          <w:p>
            <w:pPr>
              <w:spacing w:after="0"/>
              <w:rPr>
                <w:sz w:val="13"/>
                <w:szCs w:val="13"/>
                <w:color w:val="auto"/>
              </w:rPr>
            </w:pPr>
          </w:p>
        </w:tc>
        <w:tc>
          <w:tcPr>
            <w:tcW w:w="1820" w:type="dxa"/>
            <w:vAlign w:val="bottom"/>
            <w:vMerge w:val="continue"/>
            <w:shd w:val="clear" w:color="auto" w:fill="F2F2F2"/>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vMerge w:val="restart"/>
          </w:tcPr>
          <w:p>
            <w:pPr>
              <w:jc w:val="right"/>
              <w:ind w:right="353"/>
              <w:spacing w:after="0"/>
              <w:rPr>
                <w:sz w:val="20"/>
                <w:szCs w:val="20"/>
                <w:color w:val="auto"/>
              </w:rPr>
            </w:pPr>
            <w:r>
              <w:rPr>
                <w:rFonts w:ascii="Arial" w:cs="Arial" w:eastAsia="Arial" w:hAnsi="Arial"/>
                <w:sz w:val="9"/>
                <w:szCs w:val="9"/>
                <w:color w:val="auto"/>
              </w:rPr>
              <w:t>3</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3040" w:type="dxa"/>
            <w:vAlign w:val="bottom"/>
            <w:shd w:val="clear" w:color="auto" w:fill="F2F2F2"/>
          </w:tcPr>
          <w:p>
            <w:pPr>
              <w:spacing w:after="0" w:line="20" w:lineRule="exact"/>
              <w:rPr>
                <w:sz w:val="1"/>
                <w:szCs w:val="1"/>
                <w:color w:val="auto"/>
              </w:rPr>
            </w:pPr>
          </w:p>
        </w:tc>
        <w:tc>
          <w:tcPr>
            <w:tcW w:w="182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19,373</w:t>
            </w:r>
          </w:p>
        </w:tc>
        <w:tc>
          <w:tcPr>
            <w:tcW w:w="4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$6,686,010</w:t>
            </w:r>
          </w:p>
        </w:tc>
        <w:tc>
          <w:tcPr>
            <w:tcW w:w="0" w:type="dxa"/>
            <w:vAlign w:val="bottom"/>
          </w:tcPr>
          <w:p>
            <w:pPr>
              <w:spacing w:after="0" w:line="20" w:lineRule="exact"/>
              <w:rPr>
                <w:sz w:val="1"/>
                <w:szCs w:val="1"/>
                <w:color w:val="auto"/>
              </w:rPr>
            </w:pPr>
          </w:p>
        </w:tc>
      </w:tr>
      <w:tr>
        <w:trPr>
          <w:trHeight w:val="84"/>
        </w:trPr>
        <w:tc>
          <w:tcPr>
            <w:tcW w:w="3040" w:type="dxa"/>
            <w:vAlign w:val="bottom"/>
            <w:shd w:val="clear" w:color="auto" w:fill="F2F2F2"/>
          </w:tcPr>
          <w:p>
            <w:pPr>
              <w:spacing w:after="0"/>
              <w:rPr>
                <w:sz w:val="7"/>
                <w:szCs w:val="7"/>
                <w:color w:val="auto"/>
              </w:rPr>
            </w:pPr>
          </w:p>
        </w:tc>
        <w:tc>
          <w:tcPr>
            <w:tcW w:w="1820" w:type="dxa"/>
            <w:vAlign w:val="bottom"/>
            <w:vMerge w:val="continue"/>
            <w:shd w:val="clear" w:color="auto" w:fill="F2F2F2"/>
          </w:tcPr>
          <w:p>
            <w:pPr>
              <w:spacing w:after="0"/>
              <w:rPr>
                <w:sz w:val="7"/>
                <w:szCs w:val="7"/>
                <w:color w:val="auto"/>
              </w:rPr>
            </w:pPr>
          </w:p>
        </w:tc>
        <w:tc>
          <w:tcPr>
            <w:tcW w:w="40" w:type="dxa"/>
            <w:vAlign w:val="bottom"/>
            <w:shd w:val="clear" w:color="auto" w:fill="F2F2F2"/>
          </w:tcPr>
          <w:p>
            <w:pPr>
              <w:spacing w:after="0"/>
              <w:rPr>
                <w:sz w:val="7"/>
                <w:szCs w:val="7"/>
                <w:color w:val="auto"/>
              </w:rPr>
            </w:pPr>
          </w:p>
        </w:tc>
        <w:tc>
          <w:tcPr>
            <w:tcW w:w="48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3040" w:type="dxa"/>
            <w:vAlign w:val="bottom"/>
            <w:shd w:val="clear" w:color="auto" w:fill="F2F2F2"/>
          </w:tcPr>
          <w:p>
            <w:pPr>
              <w:spacing w:after="0"/>
              <w:rPr>
                <w:sz w:val="13"/>
                <w:szCs w:val="13"/>
                <w:color w:val="auto"/>
              </w:rPr>
            </w:pPr>
          </w:p>
        </w:tc>
        <w:tc>
          <w:tcPr>
            <w:tcW w:w="1820" w:type="dxa"/>
            <w:vAlign w:val="bottom"/>
            <w:vMerge w:val="continue"/>
            <w:shd w:val="clear" w:color="auto" w:fill="F2F2F2"/>
          </w:tcPr>
          <w:p>
            <w:pPr>
              <w:spacing w:after="0"/>
              <w:rPr>
                <w:sz w:val="13"/>
                <w:szCs w:val="13"/>
                <w:color w:val="auto"/>
              </w:rPr>
            </w:pPr>
          </w:p>
        </w:tc>
        <w:tc>
          <w:tcPr>
            <w:tcW w:w="40" w:type="dxa"/>
            <w:vAlign w:val="bottom"/>
            <w:shd w:val="clear" w:color="auto" w:fill="F2F2F2"/>
          </w:tcPr>
          <w:p>
            <w:pPr>
              <w:spacing w:after="0"/>
              <w:rPr>
                <w:sz w:val="13"/>
                <w:szCs w:val="13"/>
                <w:color w:val="auto"/>
              </w:rPr>
            </w:pPr>
          </w:p>
        </w:tc>
        <w:tc>
          <w:tcPr>
            <w:tcW w:w="480" w:type="dxa"/>
            <w:vAlign w:val="bottom"/>
            <w:vMerge w:val="restart"/>
          </w:tcPr>
          <w:p>
            <w:pPr>
              <w:jc w:val="right"/>
              <w:ind w:right="353"/>
              <w:spacing w:after="0"/>
              <w:rPr>
                <w:sz w:val="20"/>
                <w:szCs w:val="20"/>
                <w:color w:val="auto"/>
              </w:rPr>
            </w:pPr>
            <w:r>
              <w:rPr>
                <w:rFonts w:ascii="Arial" w:cs="Arial" w:eastAsia="Arial" w:hAnsi="Arial"/>
                <w:sz w:val="9"/>
                <w:szCs w:val="9"/>
                <w:color w:val="auto"/>
              </w:rPr>
              <w:t>4</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3040" w:type="dxa"/>
            <w:vAlign w:val="bottom"/>
            <w:shd w:val="clear" w:color="auto" w:fill="F2F2F2"/>
          </w:tcPr>
          <w:p>
            <w:pPr>
              <w:spacing w:after="0"/>
              <w:rPr>
                <w:sz w:val="9"/>
                <w:szCs w:val="9"/>
                <w:color w:val="auto"/>
              </w:rPr>
            </w:pPr>
          </w:p>
        </w:tc>
        <w:tc>
          <w:tcPr>
            <w:tcW w:w="182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13,960</w:t>
            </w:r>
          </w:p>
        </w:tc>
        <w:tc>
          <w:tcPr>
            <w:tcW w:w="40" w:type="dxa"/>
            <w:vAlign w:val="bottom"/>
            <w:shd w:val="clear" w:color="auto" w:fill="F2F2F2"/>
          </w:tcPr>
          <w:p>
            <w:pPr>
              <w:spacing w:after="0"/>
              <w:rPr>
                <w:sz w:val="9"/>
                <w:szCs w:val="9"/>
                <w:color w:val="auto"/>
              </w:rPr>
            </w:pPr>
          </w:p>
        </w:tc>
        <w:tc>
          <w:tcPr>
            <w:tcW w:w="480" w:type="dxa"/>
            <w:vAlign w:val="bottom"/>
            <w:vMerge w:val="continue"/>
          </w:tcPr>
          <w:p>
            <w:pPr>
              <w:spacing w:after="0"/>
              <w:rPr>
                <w:sz w:val="9"/>
                <w:szCs w:val="9"/>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$4,817,875</w:t>
            </w:r>
          </w:p>
        </w:tc>
        <w:tc>
          <w:tcPr>
            <w:tcW w:w="0" w:type="dxa"/>
            <w:vAlign w:val="bottom"/>
          </w:tcPr>
          <w:p>
            <w:pPr>
              <w:spacing w:after="0"/>
              <w:rPr>
                <w:sz w:val="1"/>
                <w:szCs w:val="1"/>
                <w:color w:val="auto"/>
              </w:rPr>
            </w:pPr>
          </w:p>
        </w:tc>
      </w:tr>
      <w:tr>
        <w:trPr>
          <w:trHeight w:val="153"/>
        </w:trPr>
        <w:tc>
          <w:tcPr>
            <w:tcW w:w="3040" w:type="dxa"/>
            <w:vAlign w:val="bottom"/>
            <w:tcBorders>
              <w:bottom w:val="single" w:sz="8" w:color="F2F2F2"/>
            </w:tcBorders>
            <w:shd w:val="clear" w:color="auto" w:fill="F2F2F2"/>
          </w:tcPr>
          <w:p>
            <w:pPr>
              <w:spacing w:after="0"/>
              <w:rPr>
                <w:sz w:val="13"/>
                <w:szCs w:val="13"/>
                <w:color w:val="auto"/>
              </w:rPr>
            </w:pPr>
          </w:p>
        </w:tc>
        <w:tc>
          <w:tcPr>
            <w:tcW w:w="1820" w:type="dxa"/>
            <w:vAlign w:val="bottom"/>
            <w:tcBorders>
              <w:bottom w:val="single" w:sz="8" w:color="F2F2F2"/>
            </w:tcBorders>
            <w:vMerge w:val="continue"/>
            <w:shd w:val="clear" w:color="auto" w:fill="F2F2F2"/>
          </w:tcPr>
          <w:p>
            <w:pPr>
              <w:spacing w:after="0"/>
              <w:rPr>
                <w:sz w:val="13"/>
                <w:szCs w:val="13"/>
                <w:color w:val="auto"/>
              </w:rPr>
            </w:pPr>
          </w:p>
        </w:tc>
        <w:tc>
          <w:tcPr>
            <w:tcW w:w="40" w:type="dxa"/>
            <w:vAlign w:val="bottom"/>
            <w:tcBorders>
              <w:bottom w:val="single" w:sz="8" w:color="F2F2F2"/>
            </w:tcBorders>
            <w:shd w:val="clear" w:color="auto" w:fill="F2F2F2"/>
          </w:tcPr>
          <w:p>
            <w:pPr>
              <w:spacing w:after="0"/>
              <w:rPr>
                <w:sz w:val="13"/>
                <w:szCs w:val="13"/>
                <w:color w:val="auto"/>
              </w:rPr>
            </w:pPr>
          </w:p>
        </w:tc>
        <w:tc>
          <w:tcPr>
            <w:tcW w:w="480" w:type="dxa"/>
            <w:vAlign w:val="bottom"/>
            <w:vMerge w:val="restart"/>
          </w:tcPr>
          <w:p>
            <w:pPr>
              <w:jc w:val="right"/>
              <w:ind w:right="353"/>
              <w:spacing w:after="0"/>
              <w:rPr>
                <w:sz w:val="20"/>
                <w:szCs w:val="20"/>
                <w:color w:val="auto"/>
              </w:rPr>
            </w:pPr>
            <w:r>
              <w:rPr>
                <w:rFonts w:ascii="Arial" w:cs="Arial" w:eastAsia="Arial" w:hAnsi="Arial"/>
                <w:sz w:val="9"/>
                <w:szCs w:val="9"/>
                <w:color w:val="auto"/>
              </w:rPr>
              <w:t>3</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3040" w:type="dxa"/>
            <w:vAlign w:val="bottom"/>
            <w:vMerge w:val="restart"/>
          </w:tcPr>
          <w:p>
            <w:pPr>
              <w:ind w:left="20"/>
              <w:spacing w:after="0"/>
              <w:rPr>
                <w:sz w:val="20"/>
                <w:szCs w:val="20"/>
                <w:color w:val="auto"/>
              </w:rPr>
            </w:pPr>
            <w:r>
              <w:rPr>
                <w:rFonts w:ascii="Arial" w:cs="Arial" w:eastAsia="Arial" w:hAnsi="Arial"/>
                <w:sz w:val="14"/>
                <w:szCs w:val="14"/>
                <w:color w:val="auto"/>
              </w:rPr>
              <w:t>Ms. Hakim</w:t>
            </w:r>
          </w:p>
        </w:tc>
        <w:tc>
          <w:tcPr>
            <w:tcW w:w="1820" w:type="dxa"/>
            <w:vAlign w:val="bottom"/>
            <w:vMerge w:val="restart"/>
          </w:tcPr>
          <w:p>
            <w:pPr>
              <w:jc w:val="right"/>
              <w:spacing w:after="0"/>
              <w:rPr>
                <w:sz w:val="20"/>
                <w:szCs w:val="20"/>
                <w:color w:val="auto"/>
              </w:rPr>
            </w:pPr>
            <w:r>
              <w:rPr>
                <w:rFonts w:ascii="Arial" w:cs="Arial" w:eastAsia="Arial" w:hAnsi="Arial"/>
                <w:sz w:val="14"/>
                <w:szCs w:val="14"/>
                <w:color w:val="auto"/>
              </w:rPr>
              <w:t>9,450</w:t>
            </w:r>
          </w:p>
        </w:tc>
        <w:tc>
          <w:tcPr>
            <w:tcW w:w="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$3,261,384</w:t>
            </w:r>
          </w:p>
        </w:tc>
        <w:tc>
          <w:tcPr>
            <w:tcW w:w="0" w:type="dxa"/>
            <w:vAlign w:val="bottom"/>
          </w:tcPr>
          <w:p>
            <w:pPr>
              <w:spacing w:after="0"/>
              <w:rPr>
                <w:sz w:val="1"/>
                <w:szCs w:val="1"/>
                <w:color w:val="auto"/>
              </w:rPr>
            </w:pPr>
          </w:p>
        </w:tc>
      </w:tr>
      <w:tr>
        <w:trPr>
          <w:trHeight w:val="151"/>
        </w:trPr>
        <w:tc>
          <w:tcPr>
            <w:tcW w:w="3040" w:type="dxa"/>
            <w:vAlign w:val="bottom"/>
            <w:vMerge w:val="continue"/>
          </w:tcPr>
          <w:p>
            <w:pPr>
              <w:spacing w:after="0"/>
              <w:rPr>
                <w:sz w:val="13"/>
                <w:szCs w:val="13"/>
                <w:color w:val="auto"/>
              </w:rPr>
            </w:pPr>
          </w:p>
        </w:tc>
        <w:tc>
          <w:tcPr>
            <w:tcW w:w="18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vMerge w:val="restart"/>
          </w:tcPr>
          <w:p>
            <w:pPr>
              <w:jc w:val="right"/>
              <w:ind w:right="353"/>
              <w:spacing w:after="0"/>
              <w:rPr>
                <w:sz w:val="20"/>
                <w:szCs w:val="20"/>
                <w:color w:val="auto"/>
              </w:rPr>
            </w:pPr>
            <w:r>
              <w:rPr>
                <w:rFonts w:ascii="Arial" w:cs="Arial" w:eastAsia="Arial" w:hAnsi="Arial"/>
                <w:sz w:val="9"/>
                <w:szCs w:val="9"/>
                <w:color w:val="auto"/>
              </w:rPr>
              <w:t>4</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3040" w:type="dxa"/>
            <w:vAlign w:val="bottom"/>
          </w:tcPr>
          <w:p>
            <w:pPr>
              <w:spacing w:after="0"/>
              <w:rPr>
                <w:sz w:val="9"/>
                <w:szCs w:val="9"/>
                <w:color w:val="auto"/>
              </w:rPr>
            </w:pPr>
          </w:p>
        </w:tc>
        <w:tc>
          <w:tcPr>
            <w:tcW w:w="1820" w:type="dxa"/>
            <w:vAlign w:val="bottom"/>
            <w:vMerge w:val="restart"/>
          </w:tcPr>
          <w:p>
            <w:pPr>
              <w:jc w:val="right"/>
              <w:spacing w:after="0"/>
              <w:rPr>
                <w:sz w:val="20"/>
                <w:szCs w:val="20"/>
                <w:color w:val="auto"/>
              </w:rPr>
            </w:pPr>
            <w:r>
              <w:rPr>
                <w:rFonts w:ascii="Arial" w:cs="Arial" w:eastAsia="Arial" w:hAnsi="Arial"/>
                <w:sz w:val="14"/>
                <w:szCs w:val="14"/>
                <w:color w:val="auto"/>
              </w:rPr>
              <w:t>6,809</w:t>
            </w:r>
          </w:p>
        </w:tc>
        <w:tc>
          <w:tcPr>
            <w:tcW w:w="4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$2,349,922</w:t>
            </w:r>
          </w:p>
        </w:tc>
        <w:tc>
          <w:tcPr>
            <w:tcW w:w="0" w:type="dxa"/>
            <w:vAlign w:val="bottom"/>
          </w:tcPr>
          <w:p>
            <w:pPr>
              <w:spacing w:after="0"/>
              <w:rPr>
                <w:sz w:val="1"/>
                <w:szCs w:val="1"/>
                <w:color w:val="auto"/>
              </w:rPr>
            </w:pPr>
          </w:p>
        </w:tc>
      </w:tr>
      <w:tr>
        <w:trPr>
          <w:trHeight w:val="151"/>
        </w:trPr>
        <w:tc>
          <w:tcPr>
            <w:tcW w:w="3040" w:type="dxa"/>
            <w:vAlign w:val="bottom"/>
          </w:tcPr>
          <w:p>
            <w:pPr>
              <w:spacing w:after="0"/>
              <w:rPr>
                <w:sz w:val="13"/>
                <w:szCs w:val="13"/>
                <w:color w:val="auto"/>
              </w:rPr>
            </w:pPr>
          </w:p>
        </w:tc>
        <w:tc>
          <w:tcPr>
            <w:tcW w:w="18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vMerge w:val="restart"/>
          </w:tcPr>
          <w:p>
            <w:pPr>
              <w:jc w:val="right"/>
              <w:ind w:right="353"/>
              <w:spacing w:after="0"/>
              <w:rPr>
                <w:sz w:val="20"/>
                <w:szCs w:val="20"/>
                <w:color w:val="auto"/>
              </w:rPr>
            </w:pPr>
            <w:r>
              <w:rPr>
                <w:rFonts w:ascii="Arial" w:cs="Arial" w:eastAsia="Arial" w:hAnsi="Arial"/>
                <w:sz w:val="9"/>
                <w:szCs w:val="9"/>
                <w:color w:val="auto"/>
              </w:rPr>
              <w:t>6</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040" w:type="dxa"/>
            <w:vAlign w:val="bottom"/>
          </w:tcPr>
          <w:p>
            <w:pPr>
              <w:spacing w:after="0"/>
              <w:rPr>
                <w:sz w:val="9"/>
                <w:szCs w:val="9"/>
                <w:color w:val="auto"/>
              </w:rPr>
            </w:pPr>
          </w:p>
        </w:tc>
        <w:tc>
          <w:tcPr>
            <w:tcW w:w="1820" w:type="dxa"/>
            <w:vAlign w:val="bottom"/>
            <w:vMerge w:val="restart"/>
          </w:tcPr>
          <w:p>
            <w:pPr>
              <w:jc w:val="right"/>
              <w:spacing w:after="0"/>
              <w:rPr>
                <w:sz w:val="20"/>
                <w:szCs w:val="20"/>
                <w:color w:val="auto"/>
              </w:rPr>
            </w:pPr>
            <w:r>
              <w:rPr>
                <w:rFonts w:ascii="Arial" w:cs="Arial" w:eastAsia="Arial" w:hAnsi="Arial"/>
                <w:sz w:val="14"/>
                <w:szCs w:val="14"/>
                <w:color w:val="auto"/>
              </w:rPr>
              <w:t>7,929</w:t>
            </w:r>
          </w:p>
        </w:tc>
        <w:tc>
          <w:tcPr>
            <w:tcW w:w="4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$1,981,854</w:t>
            </w:r>
          </w:p>
        </w:tc>
        <w:tc>
          <w:tcPr>
            <w:tcW w:w="0" w:type="dxa"/>
            <w:vAlign w:val="bottom"/>
          </w:tcPr>
          <w:p>
            <w:pPr>
              <w:spacing w:after="0"/>
              <w:rPr>
                <w:sz w:val="1"/>
                <w:szCs w:val="1"/>
                <w:color w:val="auto"/>
              </w:rPr>
            </w:pPr>
          </w:p>
        </w:tc>
      </w:tr>
      <w:tr>
        <w:trPr>
          <w:trHeight w:val="151"/>
        </w:trPr>
        <w:tc>
          <w:tcPr>
            <w:tcW w:w="3040" w:type="dxa"/>
            <w:vAlign w:val="bottom"/>
          </w:tcPr>
          <w:p>
            <w:pPr>
              <w:spacing w:after="0"/>
              <w:rPr>
                <w:sz w:val="13"/>
                <w:szCs w:val="13"/>
                <w:color w:val="auto"/>
              </w:rPr>
            </w:pPr>
          </w:p>
        </w:tc>
        <w:tc>
          <w:tcPr>
            <w:tcW w:w="18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vMerge w:val="restart"/>
          </w:tcPr>
          <w:p>
            <w:pPr>
              <w:jc w:val="right"/>
              <w:ind w:right="353"/>
              <w:spacing w:after="0"/>
              <w:rPr>
                <w:sz w:val="20"/>
                <w:szCs w:val="20"/>
                <w:color w:val="auto"/>
              </w:rPr>
            </w:pPr>
            <w:r>
              <w:rPr>
                <w:rFonts w:ascii="Arial" w:cs="Arial" w:eastAsia="Arial" w:hAnsi="Arial"/>
                <w:sz w:val="9"/>
                <w:szCs w:val="9"/>
                <w:color w:val="auto"/>
              </w:rPr>
              <w:t>3</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3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304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Mr. Jonsson</w:t>
            </w:r>
          </w:p>
        </w:tc>
        <w:tc>
          <w:tcPr>
            <w:tcW w:w="1860" w:type="dxa"/>
            <w:vAlign w:val="bottom"/>
            <w:gridSpan w:val="2"/>
            <w:vMerge w:val="restart"/>
            <w:shd w:val="clear" w:color="auto" w:fill="F2F2F2"/>
          </w:tcPr>
          <w:p>
            <w:pPr>
              <w:jc w:val="right"/>
              <w:spacing w:after="0"/>
              <w:rPr>
                <w:sz w:val="20"/>
                <w:szCs w:val="20"/>
                <w:color w:val="auto"/>
              </w:rPr>
            </w:pPr>
            <w:r>
              <w:rPr>
                <w:rFonts w:ascii="Arial" w:cs="Arial" w:eastAsia="Arial" w:hAnsi="Arial"/>
                <w:sz w:val="14"/>
                <w:szCs w:val="14"/>
                <w:color w:val="auto"/>
              </w:rPr>
              <w:t>8,269</w:t>
            </w:r>
          </w:p>
        </w:tc>
        <w:tc>
          <w:tcPr>
            <w:tcW w:w="480" w:type="dxa"/>
            <w:vAlign w:val="bottom"/>
            <w:vMerge w:val="continue"/>
          </w:tcPr>
          <w:p>
            <w:pPr>
              <w:spacing w:after="0"/>
              <w:rPr>
                <w:sz w:val="7"/>
                <w:szCs w:val="7"/>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$2,853,797</w:t>
            </w:r>
          </w:p>
        </w:tc>
        <w:tc>
          <w:tcPr>
            <w:tcW w:w="0" w:type="dxa"/>
            <w:vAlign w:val="bottom"/>
          </w:tcPr>
          <w:p>
            <w:pPr>
              <w:spacing w:after="0"/>
              <w:rPr>
                <w:sz w:val="1"/>
                <w:szCs w:val="1"/>
                <w:color w:val="auto"/>
              </w:rPr>
            </w:pPr>
          </w:p>
        </w:tc>
      </w:tr>
      <w:tr>
        <w:trPr>
          <w:trHeight w:val="151"/>
        </w:trPr>
        <w:tc>
          <w:tcPr>
            <w:tcW w:w="3040" w:type="dxa"/>
            <w:vAlign w:val="bottom"/>
            <w:vMerge w:val="continue"/>
            <w:shd w:val="clear" w:color="auto" w:fill="F2F2F2"/>
          </w:tcPr>
          <w:p>
            <w:pPr>
              <w:spacing w:after="0"/>
              <w:rPr>
                <w:sz w:val="13"/>
                <w:szCs w:val="13"/>
                <w:color w:val="auto"/>
              </w:rPr>
            </w:pPr>
          </w:p>
        </w:tc>
        <w:tc>
          <w:tcPr>
            <w:tcW w:w="1860" w:type="dxa"/>
            <w:vAlign w:val="bottom"/>
            <w:gridSpan w:val="2"/>
            <w:vMerge w:val="continue"/>
            <w:shd w:val="clear" w:color="auto" w:fill="F2F2F2"/>
          </w:tcPr>
          <w:p>
            <w:pPr>
              <w:spacing w:after="0"/>
              <w:rPr>
                <w:sz w:val="13"/>
                <w:szCs w:val="13"/>
                <w:color w:val="auto"/>
              </w:rPr>
            </w:pPr>
          </w:p>
        </w:tc>
        <w:tc>
          <w:tcPr>
            <w:tcW w:w="480" w:type="dxa"/>
            <w:vAlign w:val="bottom"/>
            <w:vMerge w:val="restart"/>
          </w:tcPr>
          <w:p>
            <w:pPr>
              <w:jc w:val="right"/>
              <w:ind w:right="353"/>
              <w:spacing w:after="0"/>
              <w:rPr>
                <w:sz w:val="20"/>
                <w:szCs w:val="20"/>
                <w:color w:val="auto"/>
              </w:rPr>
            </w:pPr>
            <w:r>
              <w:rPr>
                <w:rFonts w:ascii="Arial" w:cs="Arial" w:eastAsia="Arial" w:hAnsi="Arial"/>
                <w:sz w:val="9"/>
                <w:szCs w:val="9"/>
                <w:color w:val="auto"/>
              </w:rPr>
              <w:t>4</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3040" w:type="dxa"/>
            <w:vAlign w:val="bottom"/>
            <w:shd w:val="clear" w:color="auto" w:fill="F2F2F2"/>
          </w:tcPr>
          <w:p>
            <w:pPr>
              <w:spacing w:after="0"/>
              <w:rPr>
                <w:sz w:val="9"/>
                <w:szCs w:val="9"/>
                <w:color w:val="auto"/>
              </w:rPr>
            </w:pPr>
          </w:p>
        </w:tc>
        <w:tc>
          <w:tcPr>
            <w:tcW w:w="1860" w:type="dxa"/>
            <w:vAlign w:val="bottom"/>
            <w:gridSpan w:val="2"/>
            <w:vMerge w:val="restart"/>
            <w:shd w:val="clear" w:color="auto" w:fill="F2F2F2"/>
          </w:tcPr>
          <w:p>
            <w:pPr>
              <w:jc w:val="right"/>
              <w:spacing w:after="0"/>
              <w:rPr>
                <w:sz w:val="20"/>
                <w:szCs w:val="20"/>
                <w:color w:val="auto"/>
              </w:rPr>
            </w:pPr>
            <w:r>
              <w:rPr>
                <w:rFonts w:ascii="Arial" w:cs="Arial" w:eastAsia="Arial" w:hAnsi="Arial"/>
                <w:sz w:val="14"/>
                <w:szCs w:val="14"/>
                <w:color w:val="auto"/>
              </w:rPr>
              <w:t>5,959</w:t>
            </w:r>
          </w:p>
        </w:tc>
        <w:tc>
          <w:tcPr>
            <w:tcW w:w="480" w:type="dxa"/>
            <w:vAlign w:val="bottom"/>
            <w:vMerge w:val="continue"/>
          </w:tcPr>
          <w:p>
            <w:pPr>
              <w:spacing w:after="0"/>
              <w:rPr>
                <w:sz w:val="9"/>
                <w:szCs w:val="9"/>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$2,056,570</w:t>
            </w:r>
          </w:p>
        </w:tc>
        <w:tc>
          <w:tcPr>
            <w:tcW w:w="0" w:type="dxa"/>
            <w:vAlign w:val="bottom"/>
          </w:tcPr>
          <w:p>
            <w:pPr>
              <w:spacing w:after="0"/>
              <w:rPr>
                <w:sz w:val="1"/>
                <w:szCs w:val="1"/>
                <w:color w:val="auto"/>
              </w:rPr>
            </w:pPr>
          </w:p>
        </w:tc>
      </w:tr>
      <w:tr>
        <w:trPr>
          <w:trHeight w:val="151"/>
        </w:trPr>
        <w:tc>
          <w:tcPr>
            <w:tcW w:w="3040" w:type="dxa"/>
            <w:vAlign w:val="bottom"/>
            <w:shd w:val="clear" w:color="auto" w:fill="F2F2F2"/>
          </w:tcPr>
          <w:p>
            <w:pPr>
              <w:spacing w:after="0"/>
              <w:rPr>
                <w:sz w:val="13"/>
                <w:szCs w:val="13"/>
                <w:color w:val="auto"/>
              </w:rPr>
            </w:pPr>
          </w:p>
        </w:tc>
        <w:tc>
          <w:tcPr>
            <w:tcW w:w="1860" w:type="dxa"/>
            <w:vAlign w:val="bottom"/>
            <w:gridSpan w:val="2"/>
            <w:vMerge w:val="continue"/>
            <w:shd w:val="clear" w:color="auto" w:fill="F2F2F2"/>
          </w:tcPr>
          <w:p>
            <w:pPr>
              <w:spacing w:after="0"/>
              <w:rPr>
                <w:sz w:val="13"/>
                <w:szCs w:val="13"/>
                <w:color w:val="auto"/>
              </w:rPr>
            </w:pPr>
          </w:p>
        </w:tc>
        <w:tc>
          <w:tcPr>
            <w:tcW w:w="48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3040" w:type="dxa"/>
            <w:vAlign w:val="bottom"/>
            <w:shd w:val="clear" w:color="auto" w:fill="F2F2F2"/>
          </w:tcPr>
          <w:p>
            <w:pPr>
              <w:spacing w:after="0" w:line="20" w:lineRule="exact"/>
              <w:rPr>
                <w:sz w:val="1"/>
                <w:szCs w:val="1"/>
                <w:color w:val="auto"/>
              </w:rPr>
            </w:pPr>
          </w:p>
        </w:tc>
        <w:tc>
          <w:tcPr>
            <w:tcW w:w="1820" w:type="dxa"/>
            <w:vAlign w:val="bottom"/>
            <w:shd w:val="clear" w:color="auto" w:fill="F2F2F2"/>
          </w:tcPr>
          <w:p>
            <w:pPr>
              <w:spacing w:after="0" w:line="20" w:lineRule="exact"/>
              <w:rPr>
                <w:sz w:val="1"/>
                <w:szCs w:val="1"/>
                <w:color w:val="auto"/>
              </w:rPr>
            </w:pPr>
          </w:p>
        </w:tc>
        <w:tc>
          <w:tcPr>
            <w:tcW w:w="40" w:type="dxa"/>
            <w:vAlign w:val="bottom"/>
            <w:shd w:val="clear" w:color="auto" w:fill="F2F2F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-2279650</wp:posOffset>
            </wp:positionV>
            <wp:extent cx="4208780" cy="2280285"/>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4208780" cy="2280285"/>
                    </a:xfrm>
                    <a:prstGeom prst="rect">
                      <a:avLst/>
                    </a:prstGeom>
                    <a:noFill/>
                  </pic:spPr>
                </pic:pic>
              </a:graphicData>
            </a:graphic>
          </wp:anchor>
        </w:drawing>
      </w:r>
    </w:p>
    <w:p>
      <w:pPr>
        <w:spacing w:after="0" w:line="160" w:lineRule="exact"/>
        <w:rPr>
          <w:sz w:val="20"/>
          <w:szCs w:val="20"/>
          <w:color w:val="auto"/>
        </w:rPr>
      </w:pPr>
    </w:p>
    <w:p>
      <w:pPr>
        <w:ind w:left="100" w:hanging="92"/>
        <w:spacing w:after="0"/>
        <w:tabs>
          <w:tab w:leader="none" w:pos="100" w:val="left"/>
        </w:tabs>
        <w:numPr>
          <w:ilvl w:val="0"/>
          <w:numId w:val="167"/>
        </w:numPr>
        <w:rPr>
          <w:rFonts w:ascii="Arial" w:cs="Arial" w:eastAsia="Arial" w:hAnsi="Arial"/>
          <w:sz w:val="9"/>
          <w:szCs w:val="9"/>
          <w:color w:val="auto"/>
        </w:rPr>
      </w:pPr>
      <w:r>
        <w:rPr>
          <w:rFonts w:ascii="Arial" w:cs="Arial" w:eastAsia="Arial" w:hAnsi="Arial"/>
          <w:sz w:val="14"/>
          <w:szCs w:val="14"/>
          <w:color w:val="auto"/>
        </w:rPr>
        <w:t>Amounts reflect the market value of Lilly stock on the day value is realized.</w:t>
      </w:r>
    </w:p>
    <w:p>
      <w:pPr>
        <w:spacing w:after="0" w:line="40" w:lineRule="exact"/>
        <w:rPr>
          <w:sz w:val="20"/>
          <w:szCs w:val="20"/>
          <w:color w:val="auto"/>
        </w:rPr>
      </w:pPr>
    </w:p>
    <w:p>
      <w:pPr>
        <w:ind w:left="100" w:hanging="92"/>
        <w:spacing w:after="0"/>
        <w:tabs>
          <w:tab w:leader="none" w:pos="100" w:val="left"/>
        </w:tabs>
        <w:numPr>
          <w:ilvl w:val="0"/>
          <w:numId w:val="168"/>
        </w:numPr>
        <w:rPr>
          <w:rFonts w:ascii="Arial" w:cs="Arial" w:eastAsia="Arial" w:hAnsi="Arial"/>
          <w:sz w:val="19"/>
          <w:szCs w:val="19"/>
          <w:color w:val="auto"/>
          <w:vertAlign w:val="superscript"/>
        </w:rPr>
      </w:pPr>
      <w:r>
        <w:rPr>
          <w:rFonts w:ascii="Arial" w:cs="Arial" w:eastAsia="Arial" w:hAnsi="Arial"/>
          <w:sz w:val="14"/>
          <w:szCs w:val="14"/>
          <w:color w:val="auto"/>
        </w:rPr>
        <w:t>Restricted stock units resulting from the 2019-2021 performance award that vested in February 2022.</w:t>
      </w:r>
    </w:p>
    <w:p>
      <w:pPr>
        <w:spacing w:after="0" w:line="53" w:lineRule="exact"/>
        <w:rPr>
          <w:rFonts w:ascii="Arial" w:cs="Arial" w:eastAsia="Arial" w:hAnsi="Arial"/>
          <w:sz w:val="19"/>
          <w:szCs w:val="19"/>
          <w:color w:val="auto"/>
          <w:vertAlign w:val="superscript"/>
        </w:rPr>
      </w:pPr>
    </w:p>
    <w:p>
      <w:pPr>
        <w:ind w:right="6320"/>
        <w:spacing w:after="0" w:line="293"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Payout of the 2020-2022 shareholder value award at 175 percent of target. </w:t>
      </w:r>
      <w:r>
        <w:rPr>
          <w:rFonts w:ascii="Arial" w:cs="Arial" w:eastAsia="Arial" w:hAnsi="Arial"/>
          <w:sz w:val="18"/>
          <w:szCs w:val="18"/>
          <w:color w:val="auto"/>
          <w:vertAlign w:val="superscript"/>
        </w:rPr>
        <w:t>4</w:t>
      </w:r>
      <w:r>
        <w:rPr>
          <w:rFonts w:ascii="Arial" w:cs="Arial" w:eastAsia="Arial" w:hAnsi="Arial"/>
          <w:sz w:val="14"/>
          <w:szCs w:val="14"/>
          <w:color w:val="auto"/>
        </w:rPr>
        <w:t xml:space="preserve"> Payout of the 2020-2022 relative value award at 175 percent of target.</w:t>
      </w:r>
    </w:p>
    <w:p>
      <w:pPr>
        <w:spacing w:after="0" w:line="1" w:lineRule="exact"/>
        <w:rPr>
          <w:sz w:val="20"/>
          <w:szCs w:val="20"/>
          <w:color w:val="auto"/>
        </w:rPr>
      </w:pPr>
    </w:p>
    <w:p>
      <w:pPr>
        <w:ind w:left="180" w:right="60" w:hanging="172"/>
        <w:spacing w:after="0" w:line="219" w:lineRule="auto"/>
        <w:tabs>
          <w:tab w:leader="none" w:pos="110" w:val="left"/>
        </w:tabs>
        <w:numPr>
          <w:ilvl w:val="0"/>
          <w:numId w:val="169"/>
        </w:numPr>
        <w:rPr>
          <w:rFonts w:ascii="Arial" w:cs="Arial" w:eastAsia="Arial" w:hAnsi="Arial"/>
          <w:sz w:val="19"/>
          <w:szCs w:val="19"/>
          <w:color w:val="auto"/>
          <w:vertAlign w:val="superscript"/>
        </w:rPr>
      </w:pPr>
      <w:r>
        <w:rPr>
          <w:rFonts w:ascii="Arial" w:cs="Arial" w:eastAsia="Arial" w:hAnsi="Arial"/>
          <w:sz w:val="14"/>
          <w:szCs w:val="14"/>
          <w:color w:val="auto"/>
        </w:rPr>
        <w:t>Payout of the 2021-2023 performance award at 140 percent of target for Ms. Ashkenazi. She was not an executive officer in 2021 at the time of grant; therefore, no additional 13-month service-vesting period applied.</w:t>
      </w:r>
    </w:p>
    <w:p>
      <w:pPr>
        <w:spacing w:after="0" w:line="11" w:lineRule="exact"/>
        <w:rPr>
          <w:sz w:val="20"/>
          <w:szCs w:val="20"/>
          <w:color w:val="auto"/>
        </w:rPr>
      </w:pPr>
    </w:p>
    <w:p>
      <w:pPr>
        <w:ind w:left="100" w:hanging="92"/>
        <w:spacing w:after="0"/>
        <w:tabs>
          <w:tab w:leader="none" w:pos="100" w:val="left"/>
        </w:tabs>
        <w:numPr>
          <w:ilvl w:val="0"/>
          <w:numId w:val="170"/>
        </w:numPr>
        <w:rPr>
          <w:rFonts w:ascii="Arial" w:cs="Arial" w:eastAsia="Arial" w:hAnsi="Arial"/>
          <w:sz w:val="19"/>
          <w:szCs w:val="19"/>
          <w:color w:val="auto"/>
          <w:vertAlign w:val="superscript"/>
        </w:rPr>
      </w:pPr>
      <w:r>
        <w:rPr>
          <w:rFonts w:ascii="Arial" w:cs="Arial" w:eastAsia="Arial" w:hAnsi="Arial"/>
          <w:sz w:val="14"/>
          <w:szCs w:val="14"/>
          <w:color w:val="auto"/>
        </w:rPr>
        <w:t>This grant was made outside of the normal annual cycle in 2020 when Ms. Hakim joined Lilly.</w:t>
      </w:r>
    </w:p>
    <w:p>
      <w:pPr>
        <w:spacing w:after="0" w:line="132"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Retirement Benefits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We provide retirement income to eligible U.S. employees, including executive officers, through the following plans:</w:t>
      </w:r>
    </w:p>
    <w:p>
      <w:pPr>
        <w:spacing w:after="0" w:line="171" w:lineRule="exact"/>
        <w:rPr>
          <w:sz w:val="20"/>
          <w:szCs w:val="20"/>
          <w:color w:val="auto"/>
        </w:rPr>
      </w:pPr>
    </w:p>
    <w:p>
      <w:pPr>
        <w:ind w:left="340" w:right="20" w:hanging="332"/>
        <w:spacing w:after="0" w:line="278" w:lineRule="auto"/>
        <w:tabs>
          <w:tab w:leader="none" w:pos="329" w:val="left"/>
        </w:tabs>
        <w:numPr>
          <w:ilvl w:val="0"/>
          <w:numId w:val="171"/>
        </w:numPr>
        <w:rPr>
          <w:rFonts w:ascii="Arial" w:cs="Arial" w:eastAsia="Arial" w:hAnsi="Arial"/>
          <w:sz w:val="15"/>
          <w:szCs w:val="15"/>
          <w:color w:val="auto"/>
        </w:rPr>
      </w:pPr>
      <w:r>
        <w:rPr>
          <w:rFonts w:ascii="Arial" w:cs="Arial" w:eastAsia="Arial" w:hAnsi="Arial"/>
          <w:sz w:val="17"/>
          <w:szCs w:val="17"/>
          <w:color w:val="auto"/>
        </w:rPr>
        <w:t>The 401(k) Plan, a defined contribution plan qualified under Sections 401(a) and 401(k) of the Internal Revenue Code. Participants may elect to contribute a portion of their base salary to the plan, and the company provides matching contributions on employees’ contributions up to 6 percent of base salary up to IRS limits. The employee contributions, company contributions, and earnings thereon are paid out in accordance with elections made by the participant and the terms of the plan. See the “</w:t>
      </w:r>
      <w:r>
        <w:rPr>
          <w:rFonts w:ascii="Arial" w:cs="Arial" w:eastAsia="Arial" w:hAnsi="Arial"/>
          <w:sz w:val="17"/>
          <w:szCs w:val="17"/>
          <w:u w:val="single" w:color="auto"/>
          <w:color w:val="0000FF"/>
        </w:rPr>
        <w:t>All Other Compensation</w:t>
      </w:r>
      <w:r>
        <w:rPr>
          <w:rFonts w:ascii="Arial" w:cs="Arial" w:eastAsia="Arial" w:hAnsi="Arial"/>
          <w:sz w:val="17"/>
          <w:szCs w:val="17"/>
          <w:color w:val="auto"/>
        </w:rPr>
        <w:t>” column in the Summary Compensation Table for information about company contributions under the 401(k) Plan for the named executive officers.</w:t>
      </w:r>
    </w:p>
    <w:p>
      <w:pPr>
        <w:spacing w:after="0" w:line="109" w:lineRule="exact"/>
        <w:rPr>
          <w:rFonts w:ascii="Arial" w:cs="Arial" w:eastAsia="Arial" w:hAnsi="Arial"/>
          <w:sz w:val="15"/>
          <w:szCs w:val="15"/>
          <w:color w:val="auto"/>
        </w:rPr>
      </w:pPr>
    </w:p>
    <w:p>
      <w:pPr>
        <w:ind w:left="340" w:right="320" w:hanging="332"/>
        <w:spacing w:after="0" w:line="287" w:lineRule="auto"/>
        <w:tabs>
          <w:tab w:leader="none" w:pos="329" w:val="left"/>
        </w:tabs>
        <w:numPr>
          <w:ilvl w:val="0"/>
          <w:numId w:val="171"/>
        </w:numPr>
        <w:rPr>
          <w:rFonts w:ascii="Arial" w:cs="Arial" w:eastAsia="Arial" w:hAnsi="Arial"/>
          <w:sz w:val="16"/>
          <w:szCs w:val="16"/>
          <w:color w:val="auto"/>
        </w:rPr>
      </w:pPr>
      <w:r>
        <w:rPr>
          <w:rFonts w:ascii="Arial" w:cs="Arial" w:eastAsia="Arial" w:hAnsi="Arial"/>
          <w:sz w:val="18"/>
          <w:szCs w:val="18"/>
          <w:color w:val="auto"/>
        </w:rPr>
        <w:t>The Retirement Plan, a tax-qualified defined benefit plan that provides monthly benefits to retirees. See the Pension Benefits in 2021 table below for additional information about the value of these pension benefits.</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8" w:right="399" w:bottom="1440" w:gutter="0" w:footer="0" w:header="0"/>
        </w:sectPr>
      </w:pPr>
    </w:p>
    <w:bookmarkStart w:id="80" w:name="page81"/>
    <w:bookmarkEnd w:id="80"/>
    <w:p>
      <w:pPr>
        <w:ind w:right="180"/>
        <w:spacing w:after="0" w:line="260" w:lineRule="auto"/>
        <w:rPr>
          <w:sz w:val="20"/>
          <w:szCs w:val="20"/>
          <w:color w:val="auto"/>
        </w:rPr>
      </w:pPr>
      <w:r>
        <w:rPr>
          <w:rFonts w:ascii="Arial" w:cs="Arial" w:eastAsia="Arial" w:hAnsi="Arial"/>
          <w:sz w:val="18"/>
          <w:szCs w:val="18"/>
          <w:color w:val="auto"/>
        </w:rPr>
        <w:t>Sections 401 and 415 of the Internal Revenue Code generally limit the amount of annual pension that can be paid from a tax-qualified plan ($245,000 in 2022 and $265,000 in 2023) as well as the amount of annual earnings that can be used to calculate a pension benefit</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($305,000 in 2022 and $330,000 in 2023). However, since 1975 the company has maintained a nonqualified pension plan that pays eligible retirees the difference between the amount payable under the Retirement Plan and the amount they would have received without the Internal Revenue Code limits. The nonqualified pension plan is unfunded and subject to forfeiture in the event of bankruptcy. Likewise, the company maintains a nonqualified savings plan that allows participants to contribute up to 6 percent of base salary exceeding the IRS limit. The company matches these contributions in the same manner as described in the 401(k) Plan. For more information, see footnote 2 to the “</w:t>
      </w:r>
      <w:r>
        <w:rPr>
          <w:rFonts w:ascii="Arial" w:cs="Arial" w:eastAsia="Arial" w:hAnsi="Arial"/>
          <w:sz w:val="18"/>
          <w:szCs w:val="18"/>
          <w:u w:val="single" w:color="auto"/>
          <w:color w:val="0000FF"/>
        </w:rPr>
        <w:t>Nonqualified Deferred Compensation in 2022</w:t>
      </w:r>
      <w:r>
        <w:rPr>
          <w:rFonts w:ascii="Arial" w:cs="Arial" w:eastAsia="Arial" w:hAnsi="Arial"/>
          <w:sz w:val="18"/>
          <w:szCs w:val="18"/>
          <w:color w:val="auto"/>
        </w:rPr>
        <w:t>” table.</w:t>
      </w:r>
    </w:p>
    <w:p>
      <w:pPr>
        <w:spacing w:after="0" w:line="13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following table shows benefits that the named executive officers have accrued under the Retirement Plan and the nonqualified pension plan.</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Pension Benefits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5528945" cy="8255"/>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5528945" cy="825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 of Years Credited</w:t>
            </w:r>
          </w:p>
        </w:tc>
        <w:tc>
          <w:tcPr>
            <w:tcW w:w="1920" w:type="dxa"/>
            <w:vAlign w:val="bottom"/>
          </w:tcPr>
          <w:p>
            <w:pPr>
              <w:jc w:val="right"/>
              <w:ind w:right="328"/>
              <w:spacing w:after="0"/>
              <w:rPr>
                <w:sz w:val="20"/>
                <w:szCs w:val="20"/>
                <w:color w:val="auto"/>
              </w:rPr>
            </w:pPr>
            <w:r>
              <w:rPr>
                <w:rFonts w:ascii="Arial" w:cs="Arial" w:eastAsia="Arial" w:hAnsi="Arial"/>
                <w:sz w:val="14"/>
                <w:szCs w:val="14"/>
                <w:b w:val="1"/>
                <w:bCs w:val="1"/>
                <w:color w:val="auto"/>
              </w:rPr>
              <w:t>Present Value of</w:t>
            </w:r>
          </w:p>
        </w:tc>
        <w:tc>
          <w:tcPr>
            <w:tcW w:w="14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Payments During</w:t>
            </w:r>
          </w:p>
        </w:tc>
        <w:tc>
          <w:tcPr>
            <w:tcW w:w="0" w:type="dxa"/>
            <w:vAlign w:val="bottom"/>
          </w:tcPr>
          <w:p>
            <w:pPr>
              <w:spacing w:after="0"/>
              <w:rPr>
                <w:sz w:val="1"/>
                <w:szCs w:val="1"/>
                <w:color w:val="auto"/>
              </w:rPr>
            </w:pPr>
          </w:p>
        </w:tc>
      </w:tr>
      <w:tr>
        <w:trPr>
          <w:trHeight w:val="147"/>
        </w:trPr>
        <w:tc>
          <w:tcPr>
            <w:tcW w:w="1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92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Plan Name</w:t>
            </w:r>
          </w:p>
        </w:tc>
        <w:tc>
          <w:tcPr>
            <w:tcW w:w="32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920" w:type="dxa"/>
            <w:vAlign w:val="bottom"/>
          </w:tcPr>
          <w:p>
            <w:pPr>
              <w:jc w:val="right"/>
              <w:ind w:right="8"/>
              <w:spacing w:after="0" w:line="147" w:lineRule="exact"/>
              <w:rPr>
                <w:sz w:val="20"/>
                <w:szCs w:val="20"/>
                <w:color w:val="auto"/>
              </w:rPr>
            </w:pPr>
            <w:r>
              <w:rPr>
                <w:rFonts w:ascii="Arial" w:cs="Arial" w:eastAsia="Arial" w:hAnsi="Arial"/>
                <w:sz w:val="14"/>
                <w:szCs w:val="14"/>
                <w:b w:val="1"/>
                <w:bCs w:val="1"/>
                <w:color w:val="auto"/>
              </w:rPr>
              <w:t xml:space="preserve">Accumulated Benefit ($) </w:t>
            </w:r>
            <w:r>
              <w:rPr>
                <w:rFonts w:ascii="Arial" w:cs="Arial" w:eastAsia="Arial" w:hAnsi="Arial"/>
                <w:sz w:val="17"/>
                <w:szCs w:val="17"/>
                <w:b w:val="1"/>
                <w:bCs w:val="1"/>
                <w:color w:val="auto"/>
                <w:vertAlign w:val="superscript"/>
              </w:rPr>
              <w:t>1</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280" w:type="dxa"/>
            <w:vAlign w:val="bottom"/>
            <w:tcBorders>
              <w:bottom w:val="single" w:sz="8" w:color="6D6D6D"/>
            </w:tcBorders>
            <w:vMerge w:val="continue"/>
          </w:tcPr>
          <w:p>
            <w:pPr>
              <w:spacing w:after="0"/>
              <w:rPr>
                <w:sz w:val="10"/>
                <w:szCs w:val="10"/>
                <w:color w:val="auto"/>
              </w:rPr>
            </w:pPr>
          </w:p>
        </w:tc>
        <w:tc>
          <w:tcPr>
            <w:tcW w:w="1920" w:type="dxa"/>
            <w:vAlign w:val="bottom"/>
            <w:tcBorders>
              <w:bottom w:val="single" w:sz="8" w:color="6D6D6D"/>
            </w:tcBorders>
            <w:vMerge w:val="continue"/>
          </w:tcPr>
          <w:p>
            <w:pPr>
              <w:spacing w:after="0"/>
              <w:rPr>
                <w:sz w:val="10"/>
                <w:szCs w:val="10"/>
                <w:color w:val="auto"/>
              </w:rPr>
            </w:pPr>
          </w:p>
        </w:tc>
        <w:tc>
          <w:tcPr>
            <w:tcW w:w="320" w:type="dxa"/>
            <w:vAlign w:val="bottom"/>
            <w:tcBorders>
              <w:bottom w:val="single" w:sz="8" w:color="6D6D6D"/>
            </w:tcBorders>
          </w:tcPr>
          <w:p>
            <w:pPr>
              <w:spacing w:after="0"/>
              <w:rPr>
                <w:sz w:val="10"/>
                <w:szCs w:val="10"/>
                <w:color w:val="auto"/>
              </w:rPr>
            </w:pPr>
          </w:p>
        </w:tc>
        <w:tc>
          <w:tcPr>
            <w:tcW w:w="1800" w:type="dxa"/>
            <w:vAlign w:val="bottom"/>
            <w:tcBorders>
              <w:bottom w:val="single" w:sz="8" w:color="6D6D6D"/>
            </w:tcBorders>
          </w:tcPr>
          <w:p>
            <w:pPr>
              <w:jc w:val="center"/>
              <w:spacing w:after="0" w:line="122" w:lineRule="exact"/>
              <w:rPr>
                <w:sz w:val="20"/>
                <w:szCs w:val="20"/>
                <w:color w:val="auto"/>
              </w:rPr>
            </w:pPr>
            <w:r>
              <w:rPr>
                <w:rFonts w:ascii="Arial" w:cs="Arial" w:eastAsia="Arial" w:hAnsi="Arial"/>
                <w:sz w:val="14"/>
                <w:szCs w:val="14"/>
                <w:b w:val="1"/>
                <w:bCs w:val="1"/>
                <w:color w:val="auto"/>
              </w:rPr>
              <w:t>Service</w:t>
            </w:r>
          </w:p>
        </w:tc>
        <w:tc>
          <w:tcPr>
            <w:tcW w:w="1920" w:type="dxa"/>
            <w:vAlign w:val="bottom"/>
            <w:tcBorders>
              <w:bottom w:val="single" w:sz="8" w:color="6D6D6D"/>
            </w:tcBorders>
          </w:tcPr>
          <w:p>
            <w:pPr>
              <w:spacing w:after="0"/>
              <w:rPr>
                <w:sz w:val="10"/>
                <w:szCs w:val="10"/>
                <w:color w:val="auto"/>
              </w:rPr>
            </w:pPr>
          </w:p>
        </w:tc>
        <w:tc>
          <w:tcPr>
            <w:tcW w:w="1480" w:type="dxa"/>
            <w:vAlign w:val="bottom"/>
            <w:tcBorders>
              <w:bottom w:val="single" w:sz="8" w:color="6D6D6D"/>
            </w:tcBorders>
          </w:tcPr>
          <w:p>
            <w:pPr>
              <w:jc w:val="right"/>
              <w:ind w:right="8"/>
              <w:spacing w:after="0" w:line="122" w:lineRule="exact"/>
              <w:rPr>
                <w:sz w:val="20"/>
                <w:szCs w:val="20"/>
                <w:color w:val="auto"/>
              </w:rPr>
            </w:pPr>
            <w:r>
              <w:rPr>
                <w:rFonts w:ascii="Arial" w:cs="Arial" w:eastAsia="Arial" w:hAnsi="Arial"/>
                <w:sz w:val="14"/>
                <w:szCs w:val="14"/>
                <w:b w:val="1"/>
                <w:bCs w:val="1"/>
                <w:color w:val="auto"/>
              </w:rPr>
              <w:t>Last Fiscal Year ($)</w:t>
            </w:r>
          </w:p>
        </w:tc>
        <w:tc>
          <w:tcPr>
            <w:tcW w:w="0" w:type="dxa"/>
            <w:vAlign w:val="bottom"/>
          </w:tcPr>
          <w:p>
            <w:pPr>
              <w:spacing w:after="0"/>
              <w:rPr>
                <w:sz w:val="1"/>
                <w:szCs w:val="1"/>
                <w:color w:val="auto"/>
              </w:rPr>
            </w:pPr>
          </w:p>
        </w:tc>
      </w:tr>
      <w:tr>
        <w:trPr>
          <w:trHeight w:val="215"/>
        </w:trPr>
        <w:tc>
          <w:tcPr>
            <w:tcW w:w="1280" w:type="dxa"/>
            <w:vAlign w:val="bottom"/>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1920" w:type="dxa"/>
            <w:vAlign w:val="bottom"/>
            <w:shd w:val="clear" w:color="auto" w:fill="F2F2F2"/>
          </w:tcPr>
          <w:p>
            <w:pPr>
              <w:ind w:left="20"/>
              <w:spacing w:after="0"/>
              <w:rPr>
                <w:sz w:val="20"/>
                <w:szCs w:val="20"/>
                <w:color w:val="auto"/>
              </w:rPr>
            </w:pPr>
            <w:r>
              <w:rPr>
                <w:rFonts w:ascii="Arial" w:cs="Arial" w:eastAsia="Arial" w:hAnsi="Arial"/>
                <w:sz w:val="14"/>
                <w:szCs w:val="14"/>
                <w:color w:val="auto"/>
              </w:rPr>
              <w:t>retirement plan (pre-2010)</w:t>
            </w:r>
          </w:p>
        </w:tc>
        <w:tc>
          <w:tcPr>
            <w:tcW w:w="2120" w:type="dxa"/>
            <w:vAlign w:val="bottom"/>
            <w:gridSpan w:val="2"/>
            <w:shd w:val="clear" w:color="auto" w:fill="F2F2F2"/>
          </w:tcPr>
          <w:p>
            <w:pPr>
              <w:jc w:val="center"/>
              <w:ind w:left="248"/>
              <w:spacing w:after="0"/>
              <w:rPr>
                <w:sz w:val="20"/>
                <w:szCs w:val="20"/>
                <w:color w:val="auto"/>
              </w:rPr>
            </w:pPr>
            <w:r>
              <w:rPr>
                <w:rFonts w:ascii="Arial" w:cs="Arial" w:eastAsia="Arial" w:hAnsi="Arial"/>
                <w:sz w:val="14"/>
                <w:szCs w:val="14"/>
                <w:color w:val="auto"/>
              </w:rPr>
              <w:t>14</w:t>
            </w:r>
          </w:p>
        </w:tc>
        <w:tc>
          <w:tcPr>
            <w:tcW w:w="1920" w:type="dxa"/>
            <w:vAlign w:val="bottom"/>
            <w:shd w:val="clear" w:color="auto" w:fill="F2F2F2"/>
          </w:tcPr>
          <w:p>
            <w:pPr>
              <w:jc w:val="right"/>
              <w:ind w:right="448"/>
              <w:spacing w:after="0"/>
              <w:rPr>
                <w:sz w:val="20"/>
                <w:szCs w:val="20"/>
                <w:color w:val="auto"/>
              </w:rPr>
            </w:pPr>
            <w:r>
              <w:rPr>
                <w:rFonts w:ascii="Arial" w:cs="Arial" w:eastAsia="Arial" w:hAnsi="Arial"/>
                <w:sz w:val="14"/>
                <w:szCs w:val="14"/>
                <w:color w:val="auto"/>
              </w:rPr>
              <w:t>$630,082</w:t>
            </w:r>
          </w:p>
        </w:tc>
        <w:tc>
          <w:tcPr>
            <w:tcW w:w="148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280" w:type="dxa"/>
            <w:vAlign w:val="bottom"/>
            <w:shd w:val="clear" w:color="auto" w:fill="F2F2F2"/>
          </w:tcPr>
          <w:p>
            <w:pPr>
              <w:spacing w:after="0"/>
              <w:rPr>
                <w:sz w:val="22"/>
                <w:szCs w:val="22"/>
                <w:color w:val="auto"/>
              </w:rPr>
            </w:pPr>
          </w:p>
        </w:tc>
        <w:tc>
          <w:tcPr>
            <w:tcW w:w="1920" w:type="dxa"/>
            <w:vAlign w:val="bottom"/>
            <w:shd w:val="clear" w:color="auto" w:fill="F2F2F2"/>
          </w:tcPr>
          <w:p>
            <w:pPr>
              <w:ind w:left="20"/>
              <w:spacing w:after="0"/>
              <w:rPr>
                <w:sz w:val="20"/>
                <w:szCs w:val="20"/>
                <w:color w:val="auto"/>
              </w:rPr>
            </w:pPr>
            <w:r>
              <w:rPr>
                <w:rFonts w:ascii="Arial" w:cs="Arial" w:eastAsia="Arial" w:hAnsi="Arial"/>
                <w:sz w:val="14"/>
                <w:szCs w:val="14"/>
                <w:color w:val="auto"/>
              </w:rPr>
              <w:t>retirement plan (post-2009)</w:t>
            </w:r>
          </w:p>
        </w:tc>
        <w:tc>
          <w:tcPr>
            <w:tcW w:w="320" w:type="dxa"/>
            <w:vAlign w:val="bottom"/>
            <w:shd w:val="clear" w:color="auto" w:fill="F2F2F2"/>
          </w:tcPr>
          <w:p>
            <w:pPr>
              <w:spacing w:after="0"/>
              <w:rPr>
                <w:sz w:val="22"/>
                <w:szCs w:val="22"/>
                <w:color w:val="auto"/>
              </w:rPr>
            </w:pPr>
          </w:p>
        </w:tc>
        <w:tc>
          <w:tcPr>
            <w:tcW w:w="18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13</w:t>
            </w:r>
          </w:p>
        </w:tc>
        <w:tc>
          <w:tcPr>
            <w:tcW w:w="1920" w:type="dxa"/>
            <w:vAlign w:val="bottom"/>
            <w:shd w:val="clear" w:color="auto" w:fill="F2F2F2"/>
          </w:tcPr>
          <w:p>
            <w:pPr>
              <w:jc w:val="right"/>
              <w:ind w:right="448"/>
              <w:spacing w:after="0"/>
              <w:rPr>
                <w:sz w:val="20"/>
                <w:szCs w:val="20"/>
                <w:color w:val="auto"/>
              </w:rPr>
            </w:pPr>
            <w:r>
              <w:rPr>
                <w:rFonts w:ascii="Arial" w:cs="Arial" w:eastAsia="Arial" w:hAnsi="Arial"/>
                <w:sz w:val="14"/>
                <w:szCs w:val="14"/>
                <w:color w:val="auto"/>
              </w:rPr>
              <w:t>$351,957</w:t>
            </w:r>
          </w:p>
        </w:tc>
        <w:tc>
          <w:tcPr>
            <w:tcW w:w="1480" w:type="dxa"/>
            <w:vAlign w:val="bottom"/>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80" w:type="dxa"/>
            <w:vAlign w:val="bottom"/>
            <w:shd w:val="clear" w:color="auto" w:fill="F2F2F2"/>
          </w:tcPr>
          <w:p>
            <w:pPr>
              <w:spacing w:after="0"/>
              <w:rPr>
                <w:sz w:val="22"/>
                <w:szCs w:val="22"/>
                <w:color w:val="auto"/>
              </w:rPr>
            </w:pPr>
          </w:p>
        </w:tc>
        <w:tc>
          <w:tcPr>
            <w:tcW w:w="1920" w:type="dxa"/>
            <w:vAlign w:val="bottom"/>
            <w:shd w:val="clear" w:color="auto" w:fill="F2F2F2"/>
          </w:tcPr>
          <w:p>
            <w:pPr>
              <w:ind w:left="20"/>
              <w:spacing w:after="0"/>
              <w:rPr>
                <w:sz w:val="20"/>
                <w:szCs w:val="20"/>
                <w:color w:val="auto"/>
              </w:rPr>
            </w:pPr>
            <w:r>
              <w:rPr>
                <w:rFonts w:ascii="Arial" w:cs="Arial" w:eastAsia="Arial" w:hAnsi="Arial"/>
                <w:sz w:val="14"/>
                <w:szCs w:val="14"/>
                <w:color w:val="auto"/>
              </w:rPr>
              <w:t>nonqualified plan (pre-2010)</w:t>
            </w:r>
          </w:p>
        </w:tc>
        <w:tc>
          <w:tcPr>
            <w:tcW w:w="320" w:type="dxa"/>
            <w:vAlign w:val="bottom"/>
            <w:shd w:val="clear" w:color="auto" w:fill="F2F2F2"/>
          </w:tcPr>
          <w:p>
            <w:pPr>
              <w:spacing w:after="0"/>
              <w:rPr>
                <w:sz w:val="22"/>
                <w:szCs w:val="22"/>
                <w:color w:val="auto"/>
              </w:rPr>
            </w:pPr>
          </w:p>
        </w:tc>
        <w:tc>
          <w:tcPr>
            <w:tcW w:w="18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14</w:t>
            </w:r>
          </w:p>
        </w:tc>
        <w:tc>
          <w:tcPr>
            <w:tcW w:w="1920" w:type="dxa"/>
            <w:vAlign w:val="bottom"/>
            <w:shd w:val="clear" w:color="auto" w:fill="F2F2F2"/>
          </w:tcPr>
          <w:p>
            <w:pPr>
              <w:jc w:val="right"/>
              <w:ind w:right="448"/>
              <w:spacing w:after="0"/>
              <w:rPr>
                <w:sz w:val="20"/>
                <w:szCs w:val="20"/>
                <w:color w:val="auto"/>
              </w:rPr>
            </w:pPr>
            <w:r>
              <w:rPr>
                <w:rFonts w:ascii="Arial" w:cs="Arial" w:eastAsia="Arial" w:hAnsi="Arial"/>
                <w:sz w:val="14"/>
                <w:szCs w:val="14"/>
                <w:color w:val="auto"/>
              </w:rPr>
              <w:t>$9,226,014</w:t>
            </w:r>
          </w:p>
        </w:tc>
        <w:tc>
          <w:tcPr>
            <w:tcW w:w="1480" w:type="dxa"/>
            <w:vAlign w:val="bottom"/>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80" w:type="dxa"/>
            <w:vAlign w:val="bottom"/>
            <w:shd w:val="clear" w:color="auto" w:fill="F2F2F2"/>
          </w:tcPr>
          <w:p>
            <w:pPr>
              <w:spacing w:after="0"/>
              <w:rPr>
                <w:sz w:val="22"/>
                <w:szCs w:val="22"/>
                <w:color w:val="auto"/>
              </w:rPr>
            </w:pPr>
          </w:p>
        </w:tc>
        <w:tc>
          <w:tcPr>
            <w:tcW w:w="1920" w:type="dxa"/>
            <w:vAlign w:val="bottom"/>
            <w:shd w:val="clear" w:color="auto" w:fill="F2F2F2"/>
          </w:tcPr>
          <w:p>
            <w:pPr>
              <w:ind w:left="20"/>
              <w:spacing w:after="0"/>
              <w:rPr>
                <w:sz w:val="20"/>
                <w:szCs w:val="20"/>
                <w:color w:val="auto"/>
              </w:rPr>
            </w:pPr>
            <w:r>
              <w:rPr>
                <w:rFonts w:ascii="Arial" w:cs="Arial" w:eastAsia="Arial" w:hAnsi="Arial"/>
                <w:sz w:val="14"/>
                <w:szCs w:val="14"/>
                <w:color w:val="auto"/>
              </w:rPr>
              <w:t>nonqualified plan (post-2009)</w:t>
            </w:r>
          </w:p>
        </w:tc>
        <w:tc>
          <w:tcPr>
            <w:tcW w:w="320" w:type="dxa"/>
            <w:vAlign w:val="bottom"/>
            <w:shd w:val="clear" w:color="auto" w:fill="F2F2F2"/>
          </w:tcPr>
          <w:p>
            <w:pPr>
              <w:spacing w:after="0"/>
              <w:rPr>
                <w:sz w:val="22"/>
                <w:szCs w:val="22"/>
                <w:color w:val="auto"/>
              </w:rPr>
            </w:pPr>
          </w:p>
        </w:tc>
        <w:tc>
          <w:tcPr>
            <w:tcW w:w="18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13</w:t>
            </w:r>
          </w:p>
        </w:tc>
        <w:tc>
          <w:tcPr>
            <w:tcW w:w="1920" w:type="dxa"/>
            <w:vAlign w:val="bottom"/>
            <w:shd w:val="clear" w:color="auto" w:fill="F2F2F2"/>
          </w:tcPr>
          <w:p>
            <w:pPr>
              <w:jc w:val="right"/>
              <w:ind w:right="448"/>
              <w:spacing w:after="0"/>
              <w:rPr>
                <w:sz w:val="20"/>
                <w:szCs w:val="20"/>
                <w:color w:val="auto"/>
              </w:rPr>
            </w:pPr>
            <w:r>
              <w:rPr>
                <w:rFonts w:ascii="Arial" w:cs="Arial" w:eastAsia="Arial" w:hAnsi="Arial"/>
                <w:sz w:val="14"/>
                <w:szCs w:val="14"/>
                <w:color w:val="auto"/>
              </w:rPr>
              <w:t>$5,041,161</w:t>
            </w:r>
          </w:p>
        </w:tc>
        <w:tc>
          <w:tcPr>
            <w:tcW w:w="1480" w:type="dxa"/>
            <w:vAlign w:val="bottom"/>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280" w:type="dxa"/>
            <w:vAlign w:val="bottom"/>
            <w:tcBorders>
              <w:bottom w:val="single" w:sz="8" w:color="F2F2F2"/>
            </w:tcBorders>
            <w:shd w:val="clear" w:color="auto" w:fill="F2F2F2"/>
          </w:tcPr>
          <w:p>
            <w:pPr>
              <w:spacing w:after="0"/>
              <w:rPr>
                <w:sz w:val="22"/>
                <w:szCs w:val="22"/>
                <w:color w:val="auto"/>
              </w:rPr>
            </w:pPr>
          </w:p>
        </w:tc>
        <w:tc>
          <w:tcPr>
            <w:tcW w:w="1920" w:type="dxa"/>
            <w:vAlign w:val="bottom"/>
            <w:tcBorders>
              <w:bottom w:val="single" w:sz="8" w:color="F2F2F2"/>
            </w:tcBorders>
            <w:shd w:val="clear" w:color="auto" w:fill="F2F2F2"/>
          </w:tcPr>
          <w:p>
            <w:pPr>
              <w:spacing w:after="0"/>
              <w:rPr>
                <w:sz w:val="22"/>
                <w:szCs w:val="22"/>
                <w:color w:val="auto"/>
              </w:rPr>
            </w:pPr>
          </w:p>
        </w:tc>
        <w:tc>
          <w:tcPr>
            <w:tcW w:w="3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total</w:t>
            </w:r>
          </w:p>
        </w:tc>
        <w:tc>
          <w:tcPr>
            <w:tcW w:w="1800" w:type="dxa"/>
            <w:vAlign w:val="bottom"/>
            <w:tcBorders>
              <w:bottom w:val="single" w:sz="8" w:color="F2F2F2"/>
            </w:tcBorders>
            <w:shd w:val="clear" w:color="auto" w:fill="F2F2F2"/>
          </w:tcPr>
          <w:p>
            <w:pPr>
              <w:spacing w:after="0"/>
              <w:rPr>
                <w:sz w:val="22"/>
                <w:szCs w:val="22"/>
                <w:color w:val="auto"/>
              </w:rPr>
            </w:pPr>
          </w:p>
        </w:tc>
        <w:tc>
          <w:tcPr>
            <w:tcW w:w="1920" w:type="dxa"/>
            <w:vAlign w:val="bottom"/>
            <w:tcBorders>
              <w:bottom w:val="single" w:sz="8" w:color="F2F2F2"/>
            </w:tcBorders>
            <w:shd w:val="clear" w:color="auto" w:fill="F2F2F2"/>
          </w:tcPr>
          <w:p>
            <w:pPr>
              <w:jc w:val="right"/>
              <w:ind w:right="448"/>
              <w:spacing w:after="0"/>
              <w:rPr>
                <w:sz w:val="20"/>
                <w:szCs w:val="20"/>
                <w:color w:val="auto"/>
              </w:rPr>
            </w:pPr>
            <w:r>
              <w:rPr>
                <w:rFonts w:ascii="Arial" w:cs="Arial" w:eastAsia="Arial" w:hAnsi="Arial"/>
                <w:sz w:val="14"/>
                <w:szCs w:val="14"/>
                <w:color w:val="auto"/>
              </w:rPr>
              <w:t>$15,249,214</w:t>
            </w:r>
          </w:p>
        </w:tc>
        <w:tc>
          <w:tcPr>
            <w:tcW w:w="14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35"/>
        </w:trPr>
        <w:tc>
          <w:tcPr>
            <w:tcW w:w="1280" w:type="dxa"/>
            <w:vAlign w:val="bottom"/>
          </w:tcPr>
          <w:p>
            <w:pPr>
              <w:ind w:left="20"/>
              <w:spacing w:after="0"/>
              <w:rPr>
                <w:sz w:val="20"/>
                <w:szCs w:val="20"/>
                <w:color w:val="auto"/>
              </w:rPr>
            </w:pPr>
            <w:r>
              <w:rPr>
                <w:rFonts w:ascii="Arial" w:cs="Arial" w:eastAsia="Arial" w:hAnsi="Arial"/>
                <w:sz w:val="14"/>
                <w:szCs w:val="14"/>
                <w:color w:val="auto"/>
              </w:rPr>
              <w:t>Ms. Ashkenazi</w:t>
            </w:r>
          </w:p>
        </w:tc>
        <w:tc>
          <w:tcPr>
            <w:tcW w:w="1920" w:type="dxa"/>
            <w:vAlign w:val="bottom"/>
          </w:tcPr>
          <w:p>
            <w:pPr>
              <w:ind w:left="20"/>
              <w:spacing w:after="0"/>
              <w:rPr>
                <w:sz w:val="20"/>
                <w:szCs w:val="20"/>
                <w:color w:val="auto"/>
              </w:rPr>
            </w:pPr>
            <w:r>
              <w:rPr>
                <w:rFonts w:ascii="Arial" w:cs="Arial" w:eastAsia="Arial" w:hAnsi="Arial"/>
                <w:sz w:val="14"/>
                <w:szCs w:val="14"/>
                <w:color w:val="auto"/>
              </w:rPr>
              <w:t>retirement plan (pre-2010)</w:t>
            </w:r>
          </w:p>
        </w:tc>
        <w:tc>
          <w:tcPr>
            <w:tcW w:w="2120" w:type="dxa"/>
            <w:vAlign w:val="bottom"/>
            <w:gridSpan w:val="2"/>
          </w:tcPr>
          <w:p>
            <w:pPr>
              <w:jc w:val="center"/>
              <w:ind w:left="248"/>
              <w:spacing w:after="0"/>
              <w:rPr>
                <w:sz w:val="20"/>
                <w:szCs w:val="20"/>
                <w:color w:val="auto"/>
              </w:rPr>
            </w:pPr>
            <w:r>
              <w:rPr>
                <w:rFonts w:ascii="Arial" w:cs="Arial" w:eastAsia="Arial" w:hAnsi="Arial"/>
                <w:sz w:val="14"/>
                <w:szCs w:val="14"/>
                <w:color w:val="auto"/>
              </w:rPr>
              <w:t>9</w:t>
            </w:r>
          </w:p>
        </w:tc>
        <w:tc>
          <w:tcPr>
            <w:tcW w:w="1920" w:type="dxa"/>
            <w:vAlign w:val="bottom"/>
          </w:tcPr>
          <w:p>
            <w:pPr>
              <w:jc w:val="right"/>
              <w:ind w:right="448"/>
              <w:spacing w:after="0"/>
              <w:rPr>
                <w:sz w:val="20"/>
                <w:szCs w:val="20"/>
                <w:color w:val="auto"/>
              </w:rPr>
            </w:pPr>
            <w:r>
              <w:rPr>
                <w:rFonts w:ascii="Arial" w:cs="Arial" w:eastAsia="Arial" w:hAnsi="Arial"/>
                <w:sz w:val="14"/>
                <w:szCs w:val="14"/>
                <w:color w:val="auto"/>
              </w:rPr>
              <w:t>$321,129</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280" w:type="dxa"/>
            <w:vAlign w:val="bottom"/>
          </w:tcPr>
          <w:p>
            <w:pPr>
              <w:spacing w:after="0"/>
              <w:rPr>
                <w:sz w:val="22"/>
                <w:szCs w:val="22"/>
                <w:color w:val="auto"/>
              </w:rPr>
            </w:pPr>
          </w:p>
        </w:tc>
        <w:tc>
          <w:tcPr>
            <w:tcW w:w="1920" w:type="dxa"/>
            <w:vAlign w:val="bottom"/>
          </w:tcPr>
          <w:p>
            <w:pPr>
              <w:ind w:left="20"/>
              <w:spacing w:after="0"/>
              <w:rPr>
                <w:sz w:val="20"/>
                <w:szCs w:val="20"/>
                <w:color w:val="auto"/>
              </w:rPr>
            </w:pPr>
            <w:r>
              <w:rPr>
                <w:rFonts w:ascii="Arial" w:cs="Arial" w:eastAsia="Arial" w:hAnsi="Arial"/>
                <w:sz w:val="14"/>
                <w:szCs w:val="14"/>
                <w:color w:val="auto"/>
              </w:rPr>
              <w:t>retirement plan (post-2009)</w:t>
            </w:r>
          </w:p>
        </w:tc>
        <w:tc>
          <w:tcPr>
            <w:tcW w:w="2120" w:type="dxa"/>
            <w:vAlign w:val="bottom"/>
            <w:gridSpan w:val="2"/>
          </w:tcPr>
          <w:p>
            <w:pPr>
              <w:jc w:val="center"/>
              <w:ind w:left="248"/>
              <w:spacing w:after="0"/>
              <w:rPr>
                <w:sz w:val="20"/>
                <w:szCs w:val="20"/>
                <w:color w:val="auto"/>
              </w:rPr>
            </w:pPr>
            <w:r>
              <w:rPr>
                <w:rFonts w:ascii="Arial" w:cs="Arial" w:eastAsia="Arial" w:hAnsi="Arial"/>
                <w:sz w:val="14"/>
                <w:szCs w:val="14"/>
                <w:color w:val="auto"/>
              </w:rPr>
              <w:t>13</w:t>
            </w:r>
          </w:p>
        </w:tc>
        <w:tc>
          <w:tcPr>
            <w:tcW w:w="1920" w:type="dxa"/>
            <w:vAlign w:val="bottom"/>
          </w:tcPr>
          <w:p>
            <w:pPr>
              <w:jc w:val="right"/>
              <w:ind w:right="448"/>
              <w:spacing w:after="0"/>
              <w:rPr>
                <w:sz w:val="20"/>
                <w:szCs w:val="20"/>
                <w:color w:val="auto"/>
              </w:rPr>
            </w:pPr>
            <w:r>
              <w:rPr>
                <w:rFonts w:ascii="Arial" w:cs="Arial" w:eastAsia="Arial" w:hAnsi="Arial"/>
                <w:sz w:val="14"/>
                <w:szCs w:val="14"/>
                <w:color w:val="auto"/>
              </w:rPr>
              <w:t>$267,432</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80" w:type="dxa"/>
            <w:vAlign w:val="bottom"/>
          </w:tcPr>
          <w:p>
            <w:pPr>
              <w:spacing w:after="0"/>
              <w:rPr>
                <w:sz w:val="22"/>
                <w:szCs w:val="22"/>
                <w:color w:val="auto"/>
              </w:rPr>
            </w:pPr>
          </w:p>
        </w:tc>
        <w:tc>
          <w:tcPr>
            <w:tcW w:w="1920" w:type="dxa"/>
            <w:vAlign w:val="bottom"/>
          </w:tcPr>
          <w:p>
            <w:pPr>
              <w:ind w:left="20"/>
              <w:spacing w:after="0"/>
              <w:rPr>
                <w:sz w:val="20"/>
                <w:szCs w:val="20"/>
                <w:color w:val="auto"/>
              </w:rPr>
            </w:pPr>
            <w:r>
              <w:rPr>
                <w:rFonts w:ascii="Arial" w:cs="Arial" w:eastAsia="Arial" w:hAnsi="Arial"/>
                <w:sz w:val="14"/>
                <w:szCs w:val="14"/>
                <w:color w:val="auto"/>
              </w:rPr>
              <w:t>retirement plan (post-2009)</w:t>
            </w:r>
          </w:p>
        </w:tc>
        <w:tc>
          <w:tcPr>
            <w:tcW w:w="2120" w:type="dxa"/>
            <w:vAlign w:val="bottom"/>
            <w:gridSpan w:val="2"/>
          </w:tcPr>
          <w:p>
            <w:pPr>
              <w:jc w:val="center"/>
              <w:ind w:left="248"/>
              <w:spacing w:after="0"/>
              <w:rPr>
                <w:sz w:val="20"/>
                <w:szCs w:val="20"/>
                <w:color w:val="auto"/>
              </w:rPr>
            </w:pPr>
            <w:r>
              <w:rPr>
                <w:rFonts w:ascii="Arial" w:cs="Arial" w:eastAsia="Arial" w:hAnsi="Arial"/>
                <w:sz w:val="14"/>
                <w:szCs w:val="14"/>
                <w:color w:val="auto"/>
              </w:rPr>
              <w:t>9</w:t>
            </w:r>
          </w:p>
        </w:tc>
        <w:tc>
          <w:tcPr>
            <w:tcW w:w="1920" w:type="dxa"/>
            <w:vAlign w:val="bottom"/>
          </w:tcPr>
          <w:p>
            <w:pPr>
              <w:jc w:val="right"/>
              <w:ind w:right="448"/>
              <w:spacing w:after="0"/>
              <w:rPr>
                <w:sz w:val="20"/>
                <w:szCs w:val="20"/>
                <w:color w:val="auto"/>
              </w:rPr>
            </w:pPr>
            <w:r>
              <w:rPr>
                <w:rFonts w:ascii="Arial" w:cs="Arial" w:eastAsia="Arial" w:hAnsi="Arial"/>
                <w:sz w:val="14"/>
                <w:szCs w:val="14"/>
                <w:color w:val="auto"/>
              </w:rPr>
              <w:t>$922,919</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80" w:type="dxa"/>
            <w:vAlign w:val="bottom"/>
          </w:tcPr>
          <w:p>
            <w:pPr>
              <w:spacing w:after="0"/>
              <w:rPr>
                <w:sz w:val="22"/>
                <w:szCs w:val="22"/>
                <w:color w:val="auto"/>
              </w:rPr>
            </w:pPr>
          </w:p>
        </w:tc>
        <w:tc>
          <w:tcPr>
            <w:tcW w:w="1920" w:type="dxa"/>
            <w:vAlign w:val="bottom"/>
          </w:tcPr>
          <w:p>
            <w:pPr>
              <w:ind w:left="20"/>
              <w:spacing w:after="0"/>
              <w:rPr>
                <w:sz w:val="20"/>
                <w:szCs w:val="20"/>
                <w:color w:val="auto"/>
              </w:rPr>
            </w:pPr>
            <w:r>
              <w:rPr>
                <w:rFonts w:ascii="Arial" w:cs="Arial" w:eastAsia="Arial" w:hAnsi="Arial"/>
                <w:sz w:val="14"/>
                <w:szCs w:val="14"/>
                <w:color w:val="auto"/>
              </w:rPr>
              <w:t>nonqualified plan (post-2009)</w:t>
            </w:r>
          </w:p>
        </w:tc>
        <w:tc>
          <w:tcPr>
            <w:tcW w:w="2120" w:type="dxa"/>
            <w:vAlign w:val="bottom"/>
            <w:gridSpan w:val="2"/>
          </w:tcPr>
          <w:p>
            <w:pPr>
              <w:jc w:val="center"/>
              <w:ind w:left="248"/>
              <w:spacing w:after="0"/>
              <w:rPr>
                <w:sz w:val="20"/>
                <w:szCs w:val="20"/>
                <w:color w:val="auto"/>
              </w:rPr>
            </w:pPr>
            <w:r>
              <w:rPr>
                <w:rFonts w:ascii="Arial" w:cs="Arial" w:eastAsia="Arial" w:hAnsi="Arial"/>
                <w:sz w:val="14"/>
                <w:szCs w:val="14"/>
                <w:color w:val="auto"/>
              </w:rPr>
              <w:t>13</w:t>
            </w:r>
          </w:p>
        </w:tc>
        <w:tc>
          <w:tcPr>
            <w:tcW w:w="1920" w:type="dxa"/>
            <w:vAlign w:val="bottom"/>
          </w:tcPr>
          <w:p>
            <w:pPr>
              <w:jc w:val="right"/>
              <w:ind w:right="448"/>
              <w:spacing w:after="0"/>
              <w:rPr>
                <w:sz w:val="20"/>
                <w:szCs w:val="20"/>
                <w:color w:val="auto"/>
              </w:rPr>
            </w:pPr>
            <w:r>
              <w:rPr>
                <w:rFonts w:ascii="Arial" w:cs="Arial" w:eastAsia="Arial" w:hAnsi="Arial"/>
                <w:sz w:val="14"/>
                <w:szCs w:val="14"/>
                <w:color w:val="auto"/>
              </w:rPr>
              <w:t>$770,780</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8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12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920" w:type="dxa"/>
            <w:vAlign w:val="bottom"/>
          </w:tcPr>
          <w:p>
            <w:pPr>
              <w:jc w:val="right"/>
              <w:ind w:right="448"/>
              <w:spacing w:after="0"/>
              <w:rPr>
                <w:sz w:val="20"/>
                <w:szCs w:val="20"/>
                <w:color w:val="auto"/>
              </w:rPr>
            </w:pPr>
            <w:r>
              <w:rPr>
                <w:rFonts w:ascii="Arial" w:cs="Arial" w:eastAsia="Arial" w:hAnsi="Arial"/>
                <w:sz w:val="14"/>
                <w:szCs w:val="14"/>
                <w:color w:val="auto"/>
              </w:rPr>
              <w:t>$2,282,260</w:t>
            </w:r>
          </w:p>
        </w:tc>
        <w:tc>
          <w:tcPr>
            <w:tcW w:w="148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2"/>
        </w:trPr>
        <w:tc>
          <w:tcPr>
            <w:tcW w:w="1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280" w:type="dxa"/>
            <w:vAlign w:val="bottom"/>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1920" w:type="dxa"/>
            <w:vAlign w:val="bottom"/>
            <w:shd w:val="clear" w:color="auto" w:fill="F2F2F2"/>
          </w:tcPr>
          <w:p>
            <w:pPr>
              <w:ind w:left="20"/>
              <w:spacing w:after="0"/>
              <w:rPr>
                <w:sz w:val="20"/>
                <w:szCs w:val="20"/>
                <w:color w:val="auto"/>
              </w:rPr>
            </w:pPr>
            <w:r>
              <w:rPr>
                <w:rFonts w:ascii="Arial" w:cs="Arial" w:eastAsia="Arial" w:hAnsi="Arial"/>
                <w:sz w:val="14"/>
                <w:szCs w:val="14"/>
                <w:color w:val="auto"/>
              </w:rPr>
              <w:t>retirement plan (post-2009)</w:t>
            </w:r>
          </w:p>
        </w:tc>
        <w:tc>
          <w:tcPr>
            <w:tcW w:w="2120" w:type="dxa"/>
            <w:vAlign w:val="bottom"/>
            <w:gridSpan w:val="2"/>
            <w:shd w:val="clear" w:color="auto" w:fill="F2F2F2"/>
          </w:tcPr>
          <w:p>
            <w:pPr>
              <w:jc w:val="center"/>
              <w:ind w:left="248"/>
              <w:spacing w:after="0"/>
              <w:rPr>
                <w:sz w:val="20"/>
                <w:szCs w:val="20"/>
                <w:color w:val="auto"/>
              </w:rPr>
            </w:pPr>
            <w:r>
              <w:rPr>
                <w:rFonts w:ascii="Arial" w:cs="Arial" w:eastAsia="Arial" w:hAnsi="Arial"/>
                <w:sz w:val="14"/>
                <w:szCs w:val="14"/>
                <w:color w:val="auto"/>
              </w:rPr>
              <w:t>10</w:t>
            </w:r>
          </w:p>
        </w:tc>
        <w:tc>
          <w:tcPr>
            <w:tcW w:w="1920" w:type="dxa"/>
            <w:vAlign w:val="bottom"/>
            <w:shd w:val="clear" w:color="auto" w:fill="F2F2F2"/>
          </w:tcPr>
          <w:p>
            <w:pPr>
              <w:jc w:val="right"/>
              <w:ind w:right="448"/>
              <w:spacing w:after="0"/>
              <w:rPr>
                <w:sz w:val="20"/>
                <w:szCs w:val="20"/>
                <w:color w:val="auto"/>
              </w:rPr>
            </w:pPr>
            <w:r>
              <w:rPr>
                <w:rFonts w:ascii="Arial" w:cs="Arial" w:eastAsia="Arial" w:hAnsi="Arial"/>
                <w:sz w:val="14"/>
                <w:szCs w:val="14"/>
                <w:color w:val="auto"/>
              </w:rPr>
              <w:t>$205,453</w:t>
            </w:r>
          </w:p>
        </w:tc>
        <w:tc>
          <w:tcPr>
            <w:tcW w:w="148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280" w:type="dxa"/>
            <w:vAlign w:val="bottom"/>
            <w:shd w:val="clear" w:color="auto" w:fill="F2F2F2"/>
          </w:tcPr>
          <w:p>
            <w:pPr>
              <w:spacing w:after="0"/>
              <w:rPr>
                <w:sz w:val="22"/>
                <w:szCs w:val="22"/>
                <w:color w:val="auto"/>
              </w:rPr>
            </w:pPr>
          </w:p>
        </w:tc>
        <w:tc>
          <w:tcPr>
            <w:tcW w:w="1920" w:type="dxa"/>
            <w:vAlign w:val="bottom"/>
            <w:shd w:val="clear" w:color="auto" w:fill="F2F2F2"/>
          </w:tcPr>
          <w:p>
            <w:pPr>
              <w:ind w:left="20"/>
              <w:spacing w:after="0"/>
              <w:rPr>
                <w:sz w:val="20"/>
                <w:szCs w:val="20"/>
                <w:color w:val="auto"/>
              </w:rPr>
            </w:pPr>
            <w:r>
              <w:rPr>
                <w:rFonts w:ascii="Arial" w:cs="Arial" w:eastAsia="Arial" w:hAnsi="Arial"/>
                <w:sz w:val="14"/>
                <w:szCs w:val="14"/>
                <w:color w:val="auto"/>
              </w:rPr>
              <w:t>nonqualified plan (post-2009)</w:t>
            </w:r>
          </w:p>
        </w:tc>
        <w:tc>
          <w:tcPr>
            <w:tcW w:w="320" w:type="dxa"/>
            <w:vAlign w:val="bottom"/>
            <w:shd w:val="clear" w:color="auto" w:fill="F2F2F2"/>
          </w:tcPr>
          <w:p>
            <w:pPr>
              <w:spacing w:after="0"/>
              <w:rPr>
                <w:sz w:val="22"/>
                <w:szCs w:val="22"/>
                <w:color w:val="auto"/>
              </w:rPr>
            </w:pPr>
          </w:p>
        </w:tc>
        <w:tc>
          <w:tcPr>
            <w:tcW w:w="18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10</w:t>
            </w:r>
          </w:p>
        </w:tc>
        <w:tc>
          <w:tcPr>
            <w:tcW w:w="1920" w:type="dxa"/>
            <w:vAlign w:val="bottom"/>
            <w:shd w:val="clear" w:color="auto" w:fill="F2F2F2"/>
          </w:tcPr>
          <w:p>
            <w:pPr>
              <w:jc w:val="right"/>
              <w:ind w:right="448"/>
              <w:spacing w:after="0"/>
              <w:rPr>
                <w:sz w:val="20"/>
                <w:szCs w:val="20"/>
                <w:color w:val="auto"/>
              </w:rPr>
            </w:pPr>
            <w:r>
              <w:rPr>
                <w:rFonts w:ascii="Arial" w:cs="Arial" w:eastAsia="Arial" w:hAnsi="Arial"/>
                <w:sz w:val="14"/>
                <w:szCs w:val="14"/>
                <w:color w:val="auto"/>
              </w:rPr>
              <w:t>$1,269,986</w:t>
            </w:r>
          </w:p>
        </w:tc>
        <w:tc>
          <w:tcPr>
            <w:tcW w:w="1480" w:type="dxa"/>
            <w:vAlign w:val="bottom"/>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280" w:type="dxa"/>
            <w:vAlign w:val="bottom"/>
            <w:tcBorders>
              <w:bottom w:val="single" w:sz="8" w:color="F2F2F2"/>
            </w:tcBorders>
            <w:shd w:val="clear" w:color="auto" w:fill="F2F2F2"/>
          </w:tcPr>
          <w:p>
            <w:pPr>
              <w:spacing w:after="0"/>
              <w:rPr>
                <w:sz w:val="22"/>
                <w:szCs w:val="22"/>
                <w:color w:val="auto"/>
              </w:rPr>
            </w:pPr>
          </w:p>
        </w:tc>
        <w:tc>
          <w:tcPr>
            <w:tcW w:w="1920" w:type="dxa"/>
            <w:vAlign w:val="bottom"/>
            <w:tcBorders>
              <w:bottom w:val="single" w:sz="8" w:color="F2F2F2"/>
            </w:tcBorders>
            <w:shd w:val="clear" w:color="auto" w:fill="F2F2F2"/>
          </w:tcPr>
          <w:p>
            <w:pPr>
              <w:spacing w:after="0"/>
              <w:rPr>
                <w:sz w:val="22"/>
                <w:szCs w:val="22"/>
                <w:color w:val="auto"/>
              </w:rPr>
            </w:pPr>
          </w:p>
        </w:tc>
        <w:tc>
          <w:tcPr>
            <w:tcW w:w="3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total</w:t>
            </w:r>
          </w:p>
        </w:tc>
        <w:tc>
          <w:tcPr>
            <w:tcW w:w="1800" w:type="dxa"/>
            <w:vAlign w:val="bottom"/>
            <w:tcBorders>
              <w:bottom w:val="single" w:sz="8" w:color="F2F2F2"/>
            </w:tcBorders>
            <w:shd w:val="clear" w:color="auto" w:fill="F2F2F2"/>
          </w:tcPr>
          <w:p>
            <w:pPr>
              <w:spacing w:after="0"/>
              <w:rPr>
                <w:sz w:val="22"/>
                <w:szCs w:val="22"/>
                <w:color w:val="auto"/>
              </w:rPr>
            </w:pPr>
          </w:p>
        </w:tc>
        <w:tc>
          <w:tcPr>
            <w:tcW w:w="1920" w:type="dxa"/>
            <w:vAlign w:val="bottom"/>
            <w:tcBorders>
              <w:bottom w:val="single" w:sz="8" w:color="F2F2F2"/>
            </w:tcBorders>
            <w:shd w:val="clear" w:color="auto" w:fill="F2F2F2"/>
          </w:tcPr>
          <w:p>
            <w:pPr>
              <w:jc w:val="right"/>
              <w:ind w:right="448"/>
              <w:spacing w:after="0"/>
              <w:rPr>
                <w:sz w:val="20"/>
                <w:szCs w:val="20"/>
                <w:color w:val="auto"/>
              </w:rPr>
            </w:pPr>
            <w:r>
              <w:rPr>
                <w:rFonts w:ascii="Arial" w:cs="Arial" w:eastAsia="Arial" w:hAnsi="Arial"/>
                <w:sz w:val="14"/>
                <w:szCs w:val="14"/>
                <w:color w:val="auto"/>
              </w:rPr>
              <w:t>$1,475,439</w:t>
            </w:r>
          </w:p>
        </w:tc>
        <w:tc>
          <w:tcPr>
            <w:tcW w:w="14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35"/>
        </w:trPr>
        <w:tc>
          <w:tcPr>
            <w:tcW w:w="1280" w:type="dxa"/>
            <w:vAlign w:val="bottom"/>
          </w:tcPr>
          <w:p>
            <w:pPr>
              <w:ind w:left="20"/>
              <w:spacing w:after="0"/>
              <w:rPr>
                <w:sz w:val="20"/>
                <w:szCs w:val="20"/>
                <w:color w:val="auto"/>
              </w:rPr>
            </w:pPr>
            <w:r>
              <w:rPr>
                <w:rFonts w:ascii="Arial" w:cs="Arial" w:eastAsia="Arial" w:hAnsi="Arial"/>
                <w:sz w:val="14"/>
                <w:szCs w:val="14"/>
                <w:color w:val="auto"/>
              </w:rPr>
              <w:t>Ms. Hakim</w:t>
            </w:r>
          </w:p>
        </w:tc>
        <w:tc>
          <w:tcPr>
            <w:tcW w:w="1920" w:type="dxa"/>
            <w:vAlign w:val="bottom"/>
          </w:tcPr>
          <w:p>
            <w:pPr>
              <w:ind w:left="20"/>
              <w:spacing w:after="0"/>
              <w:rPr>
                <w:sz w:val="20"/>
                <w:szCs w:val="20"/>
                <w:color w:val="auto"/>
              </w:rPr>
            </w:pPr>
            <w:r>
              <w:rPr>
                <w:rFonts w:ascii="Arial" w:cs="Arial" w:eastAsia="Arial" w:hAnsi="Arial"/>
                <w:sz w:val="14"/>
                <w:szCs w:val="14"/>
                <w:color w:val="auto"/>
              </w:rPr>
              <w:t>retirement plan (post-2009)</w:t>
            </w:r>
          </w:p>
        </w:tc>
        <w:tc>
          <w:tcPr>
            <w:tcW w:w="2120" w:type="dxa"/>
            <w:vAlign w:val="bottom"/>
            <w:gridSpan w:val="2"/>
          </w:tcPr>
          <w:p>
            <w:pPr>
              <w:jc w:val="center"/>
              <w:ind w:left="248"/>
              <w:spacing w:after="0"/>
              <w:rPr>
                <w:sz w:val="20"/>
                <w:szCs w:val="20"/>
                <w:color w:val="auto"/>
              </w:rPr>
            </w:pPr>
            <w:r>
              <w:rPr>
                <w:rFonts w:ascii="Arial" w:cs="Arial" w:eastAsia="Arial" w:hAnsi="Arial"/>
                <w:sz w:val="14"/>
                <w:szCs w:val="14"/>
                <w:color w:val="auto"/>
              </w:rPr>
              <w:t>3</w:t>
            </w:r>
          </w:p>
        </w:tc>
        <w:tc>
          <w:tcPr>
            <w:tcW w:w="1920" w:type="dxa"/>
            <w:vAlign w:val="bottom"/>
          </w:tcPr>
          <w:p>
            <w:pPr>
              <w:jc w:val="right"/>
              <w:ind w:right="448"/>
              <w:spacing w:after="0"/>
              <w:rPr>
                <w:sz w:val="20"/>
                <w:szCs w:val="20"/>
                <w:color w:val="auto"/>
              </w:rPr>
            </w:pPr>
            <w:r>
              <w:rPr>
                <w:rFonts w:ascii="Arial" w:cs="Arial" w:eastAsia="Arial" w:hAnsi="Arial"/>
                <w:sz w:val="14"/>
                <w:szCs w:val="14"/>
                <w:color w:val="auto"/>
              </w:rPr>
              <w:t>$75,341</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280" w:type="dxa"/>
            <w:vAlign w:val="bottom"/>
          </w:tcPr>
          <w:p>
            <w:pPr>
              <w:spacing w:after="0"/>
              <w:rPr>
                <w:sz w:val="22"/>
                <w:szCs w:val="22"/>
                <w:color w:val="auto"/>
              </w:rPr>
            </w:pPr>
          </w:p>
        </w:tc>
        <w:tc>
          <w:tcPr>
            <w:tcW w:w="1920" w:type="dxa"/>
            <w:vAlign w:val="bottom"/>
          </w:tcPr>
          <w:p>
            <w:pPr>
              <w:ind w:left="20"/>
              <w:spacing w:after="0"/>
              <w:rPr>
                <w:sz w:val="20"/>
                <w:szCs w:val="20"/>
                <w:color w:val="auto"/>
              </w:rPr>
            </w:pPr>
            <w:r>
              <w:rPr>
                <w:rFonts w:ascii="Arial" w:cs="Arial" w:eastAsia="Arial" w:hAnsi="Arial"/>
                <w:sz w:val="14"/>
                <w:szCs w:val="14"/>
                <w:color w:val="auto"/>
              </w:rPr>
              <w:t>nonqualified plan (post-2009)</w:t>
            </w:r>
          </w:p>
        </w:tc>
        <w:tc>
          <w:tcPr>
            <w:tcW w:w="2120" w:type="dxa"/>
            <w:vAlign w:val="bottom"/>
            <w:gridSpan w:val="2"/>
          </w:tcPr>
          <w:p>
            <w:pPr>
              <w:jc w:val="center"/>
              <w:ind w:left="248"/>
              <w:spacing w:after="0"/>
              <w:rPr>
                <w:sz w:val="20"/>
                <w:szCs w:val="20"/>
                <w:color w:val="auto"/>
              </w:rPr>
            </w:pPr>
            <w:r>
              <w:rPr>
                <w:rFonts w:ascii="Arial" w:cs="Arial" w:eastAsia="Arial" w:hAnsi="Arial"/>
                <w:sz w:val="14"/>
                <w:szCs w:val="14"/>
                <w:color w:val="auto"/>
              </w:rPr>
              <w:t>3</w:t>
            </w:r>
          </w:p>
        </w:tc>
        <w:tc>
          <w:tcPr>
            <w:tcW w:w="1920" w:type="dxa"/>
            <w:vAlign w:val="bottom"/>
          </w:tcPr>
          <w:p>
            <w:pPr>
              <w:jc w:val="right"/>
              <w:ind w:right="448"/>
              <w:spacing w:after="0"/>
              <w:rPr>
                <w:sz w:val="20"/>
                <w:szCs w:val="20"/>
                <w:color w:val="auto"/>
              </w:rPr>
            </w:pPr>
            <w:r>
              <w:rPr>
                <w:rFonts w:ascii="Arial" w:cs="Arial" w:eastAsia="Arial" w:hAnsi="Arial"/>
                <w:sz w:val="14"/>
                <w:szCs w:val="14"/>
                <w:color w:val="auto"/>
              </w:rPr>
              <w:t>$428,649</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8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12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920" w:type="dxa"/>
            <w:vAlign w:val="bottom"/>
          </w:tcPr>
          <w:p>
            <w:pPr>
              <w:jc w:val="right"/>
              <w:ind w:right="448"/>
              <w:spacing w:after="0"/>
              <w:rPr>
                <w:sz w:val="20"/>
                <w:szCs w:val="20"/>
                <w:color w:val="auto"/>
              </w:rPr>
            </w:pPr>
            <w:r>
              <w:rPr>
                <w:rFonts w:ascii="Arial" w:cs="Arial" w:eastAsia="Arial" w:hAnsi="Arial"/>
                <w:sz w:val="14"/>
                <w:szCs w:val="14"/>
                <w:color w:val="auto"/>
              </w:rPr>
              <w:t>$503,990</w:t>
            </w:r>
          </w:p>
        </w:tc>
        <w:tc>
          <w:tcPr>
            <w:tcW w:w="148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2"/>
        </w:trPr>
        <w:tc>
          <w:tcPr>
            <w:tcW w:w="1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280" w:type="dxa"/>
            <w:vAlign w:val="bottom"/>
            <w:shd w:val="clear" w:color="auto" w:fill="F2F2F2"/>
          </w:tcPr>
          <w:p>
            <w:pPr>
              <w:ind w:left="20"/>
              <w:spacing w:after="0"/>
              <w:rPr>
                <w:sz w:val="20"/>
                <w:szCs w:val="20"/>
                <w:color w:val="auto"/>
              </w:rPr>
            </w:pPr>
            <w:r>
              <w:rPr>
                <w:rFonts w:ascii="Arial" w:cs="Arial" w:eastAsia="Arial" w:hAnsi="Arial"/>
                <w:sz w:val="14"/>
                <w:szCs w:val="14"/>
                <w:color w:val="auto"/>
              </w:rPr>
              <w:t>Mr. Jonsson</w:t>
            </w:r>
          </w:p>
        </w:tc>
        <w:tc>
          <w:tcPr>
            <w:tcW w:w="1920" w:type="dxa"/>
            <w:vAlign w:val="bottom"/>
            <w:shd w:val="clear" w:color="auto" w:fill="F2F2F2"/>
          </w:tcPr>
          <w:p>
            <w:pPr>
              <w:ind w:left="20"/>
              <w:spacing w:after="0"/>
              <w:rPr>
                <w:sz w:val="20"/>
                <w:szCs w:val="20"/>
                <w:color w:val="auto"/>
              </w:rPr>
            </w:pPr>
            <w:r>
              <w:rPr>
                <w:rFonts w:ascii="Arial" w:cs="Arial" w:eastAsia="Arial" w:hAnsi="Arial"/>
                <w:sz w:val="14"/>
                <w:szCs w:val="14"/>
                <w:color w:val="auto"/>
              </w:rPr>
              <w:t>retirement plan (post-2009)</w:t>
            </w:r>
          </w:p>
        </w:tc>
        <w:tc>
          <w:tcPr>
            <w:tcW w:w="2120" w:type="dxa"/>
            <w:vAlign w:val="bottom"/>
            <w:gridSpan w:val="2"/>
            <w:shd w:val="clear" w:color="auto" w:fill="F2F2F2"/>
          </w:tcPr>
          <w:p>
            <w:pPr>
              <w:jc w:val="center"/>
              <w:ind w:left="248"/>
              <w:spacing w:after="0"/>
              <w:rPr>
                <w:sz w:val="20"/>
                <w:szCs w:val="20"/>
                <w:color w:val="auto"/>
              </w:rPr>
            </w:pPr>
            <w:r>
              <w:rPr>
                <w:rFonts w:ascii="Arial" w:cs="Arial" w:eastAsia="Arial" w:hAnsi="Arial"/>
                <w:sz w:val="14"/>
                <w:szCs w:val="14"/>
                <w:color w:val="auto"/>
              </w:rPr>
              <w:t>3</w:t>
            </w:r>
          </w:p>
        </w:tc>
        <w:tc>
          <w:tcPr>
            <w:tcW w:w="1920" w:type="dxa"/>
            <w:vAlign w:val="bottom"/>
            <w:shd w:val="clear" w:color="auto" w:fill="F2F2F2"/>
          </w:tcPr>
          <w:p>
            <w:pPr>
              <w:jc w:val="right"/>
              <w:ind w:right="448"/>
              <w:spacing w:after="0"/>
              <w:rPr>
                <w:sz w:val="20"/>
                <w:szCs w:val="20"/>
                <w:color w:val="auto"/>
              </w:rPr>
            </w:pPr>
            <w:r>
              <w:rPr>
                <w:rFonts w:ascii="Arial" w:cs="Arial" w:eastAsia="Arial" w:hAnsi="Arial"/>
                <w:sz w:val="14"/>
                <w:szCs w:val="14"/>
                <w:color w:val="auto"/>
              </w:rPr>
              <w:t>$95,010</w:t>
            </w:r>
          </w:p>
        </w:tc>
        <w:tc>
          <w:tcPr>
            <w:tcW w:w="148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80" w:type="dxa"/>
            <w:vAlign w:val="bottom"/>
            <w:shd w:val="clear" w:color="auto" w:fill="F2F2F2"/>
          </w:tcPr>
          <w:p>
            <w:pPr>
              <w:spacing w:after="0"/>
              <w:rPr>
                <w:sz w:val="22"/>
                <w:szCs w:val="22"/>
                <w:color w:val="auto"/>
              </w:rPr>
            </w:pPr>
          </w:p>
        </w:tc>
        <w:tc>
          <w:tcPr>
            <w:tcW w:w="1920" w:type="dxa"/>
            <w:vAlign w:val="bottom"/>
            <w:shd w:val="clear" w:color="auto" w:fill="F2F2F2"/>
          </w:tcPr>
          <w:p>
            <w:pPr>
              <w:ind w:left="20"/>
              <w:spacing w:after="0"/>
              <w:rPr>
                <w:sz w:val="20"/>
                <w:szCs w:val="20"/>
                <w:color w:val="auto"/>
              </w:rPr>
            </w:pPr>
            <w:r>
              <w:rPr>
                <w:rFonts w:ascii="Arial" w:cs="Arial" w:eastAsia="Arial" w:hAnsi="Arial"/>
                <w:sz w:val="14"/>
                <w:szCs w:val="14"/>
                <w:color w:val="auto"/>
              </w:rPr>
              <w:t>nonqualified plan (post-2009)</w:t>
            </w:r>
          </w:p>
        </w:tc>
        <w:tc>
          <w:tcPr>
            <w:tcW w:w="320" w:type="dxa"/>
            <w:vAlign w:val="bottom"/>
            <w:shd w:val="clear" w:color="auto" w:fill="F2F2F2"/>
          </w:tcPr>
          <w:p>
            <w:pPr>
              <w:spacing w:after="0"/>
              <w:rPr>
                <w:sz w:val="22"/>
                <w:szCs w:val="22"/>
                <w:color w:val="auto"/>
              </w:rPr>
            </w:pPr>
          </w:p>
        </w:tc>
        <w:tc>
          <w:tcPr>
            <w:tcW w:w="18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3</w:t>
            </w:r>
          </w:p>
        </w:tc>
        <w:tc>
          <w:tcPr>
            <w:tcW w:w="1920" w:type="dxa"/>
            <w:vAlign w:val="bottom"/>
            <w:shd w:val="clear" w:color="auto" w:fill="F2F2F2"/>
          </w:tcPr>
          <w:p>
            <w:pPr>
              <w:jc w:val="right"/>
              <w:ind w:right="448"/>
              <w:spacing w:after="0"/>
              <w:rPr>
                <w:sz w:val="20"/>
                <w:szCs w:val="20"/>
                <w:color w:val="auto"/>
              </w:rPr>
            </w:pPr>
            <w:r>
              <w:rPr>
                <w:rFonts w:ascii="Arial" w:cs="Arial" w:eastAsia="Arial" w:hAnsi="Arial"/>
                <w:sz w:val="14"/>
                <w:szCs w:val="14"/>
                <w:color w:val="auto"/>
              </w:rPr>
              <w:t>$255,493</w:t>
            </w:r>
          </w:p>
        </w:tc>
        <w:tc>
          <w:tcPr>
            <w:tcW w:w="1480" w:type="dxa"/>
            <w:vAlign w:val="bottom"/>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280" w:type="dxa"/>
            <w:vAlign w:val="bottom"/>
            <w:tcBorders>
              <w:bottom w:val="single" w:sz="8" w:color="F2F2F2"/>
            </w:tcBorders>
            <w:shd w:val="clear" w:color="auto" w:fill="F2F2F2"/>
          </w:tcPr>
          <w:p>
            <w:pPr>
              <w:spacing w:after="0"/>
              <w:rPr>
                <w:sz w:val="22"/>
                <w:szCs w:val="22"/>
                <w:color w:val="auto"/>
              </w:rPr>
            </w:pPr>
          </w:p>
        </w:tc>
        <w:tc>
          <w:tcPr>
            <w:tcW w:w="1920" w:type="dxa"/>
            <w:vAlign w:val="bottom"/>
            <w:tcBorders>
              <w:bottom w:val="single" w:sz="8" w:color="F2F2F2"/>
            </w:tcBorders>
            <w:shd w:val="clear" w:color="auto" w:fill="F2F2F2"/>
          </w:tcPr>
          <w:p>
            <w:pPr>
              <w:spacing w:after="0"/>
              <w:rPr>
                <w:sz w:val="22"/>
                <w:szCs w:val="22"/>
                <w:color w:val="auto"/>
              </w:rPr>
            </w:pPr>
          </w:p>
        </w:tc>
        <w:tc>
          <w:tcPr>
            <w:tcW w:w="3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total</w:t>
            </w:r>
          </w:p>
        </w:tc>
        <w:tc>
          <w:tcPr>
            <w:tcW w:w="1800" w:type="dxa"/>
            <w:vAlign w:val="bottom"/>
            <w:tcBorders>
              <w:bottom w:val="single" w:sz="8" w:color="F2F2F2"/>
            </w:tcBorders>
            <w:shd w:val="clear" w:color="auto" w:fill="F2F2F2"/>
          </w:tcPr>
          <w:p>
            <w:pPr>
              <w:spacing w:after="0"/>
              <w:rPr>
                <w:sz w:val="22"/>
                <w:szCs w:val="22"/>
                <w:color w:val="auto"/>
              </w:rPr>
            </w:pPr>
          </w:p>
        </w:tc>
        <w:tc>
          <w:tcPr>
            <w:tcW w:w="1920" w:type="dxa"/>
            <w:vAlign w:val="bottom"/>
            <w:tcBorders>
              <w:bottom w:val="single" w:sz="8" w:color="F2F2F2"/>
            </w:tcBorders>
            <w:shd w:val="clear" w:color="auto" w:fill="F2F2F2"/>
          </w:tcPr>
          <w:p>
            <w:pPr>
              <w:jc w:val="right"/>
              <w:ind w:right="448"/>
              <w:spacing w:after="0"/>
              <w:rPr>
                <w:sz w:val="20"/>
                <w:szCs w:val="20"/>
                <w:color w:val="auto"/>
              </w:rPr>
            </w:pPr>
            <w:r>
              <w:rPr>
                <w:rFonts w:ascii="Arial" w:cs="Arial" w:eastAsia="Arial" w:hAnsi="Arial"/>
                <w:sz w:val="14"/>
                <w:szCs w:val="14"/>
                <w:color w:val="auto"/>
              </w:rPr>
              <w:t>$350,503</w:t>
            </w:r>
          </w:p>
        </w:tc>
        <w:tc>
          <w:tcPr>
            <w:tcW w:w="14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0"/>
        </w:trPr>
        <w:tc>
          <w:tcPr>
            <w:tcW w:w="1280" w:type="dxa"/>
            <w:vAlign w:val="bottom"/>
            <w:shd w:val="clear" w:color="auto" w:fill="6D6D6D"/>
          </w:tcPr>
          <w:p>
            <w:pPr>
              <w:spacing w:after="0" w:line="20" w:lineRule="exact"/>
              <w:rPr>
                <w:sz w:val="1"/>
                <w:szCs w:val="1"/>
                <w:color w:val="auto"/>
              </w:rPr>
            </w:pPr>
          </w:p>
        </w:tc>
        <w:tc>
          <w:tcPr>
            <w:tcW w:w="1920" w:type="dxa"/>
            <w:vAlign w:val="bottom"/>
            <w:shd w:val="clear" w:color="auto" w:fill="6D6D6D"/>
          </w:tcPr>
          <w:p>
            <w:pPr>
              <w:spacing w:after="0" w:line="20" w:lineRule="exact"/>
              <w:rPr>
                <w:sz w:val="1"/>
                <w:szCs w:val="1"/>
                <w:color w:val="auto"/>
              </w:rPr>
            </w:pPr>
          </w:p>
        </w:tc>
        <w:tc>
          <w:tcPr>
            <w:tcW w:w="320" w:type="dxa"/>
            <w:vAlign w:val="bottom"/>
            <w:shd w:val="clear" w:color="auto" w:fill="6D6D6D"/>
          </w:tcPr>
          <w:p>
            <w:pPr>
              <w:spacing w:after="0" w:line="20" w:lineRule="exact"/>
              <w:rPr>
                <w:sz w:val="1"/>
                <w:szCs w:val="1"/>
                <w:color w:val="auto"/>
              </w:rPr>
            </w:pPr>
          </w:p>
        </w:tc>
        <w:tc>
          <w:tcPr>
            <w:tcW w:w="1800" w:type="dxa"/>
            <w:vAlign w:val="bottom"/>
            <w:shd w:val="clear" w:color="auto" w:fill="6D6D6D"/>
          </w:tcPr>
          <w:p>
            <w:pPr>
              <w:spacing w:after="0" w:line="20" w:lineRule="exact"/>
              <w:rPr>
                <w:sz w:val="1"/>
                <w:szCs w:val="1"/>
                <w:color w:val="auto"/>
              </w:rPr>
            </w:pPr>
          </w:p>
        </w:tc>
        <w:tc>
          <w:tcPr>
            <w:tcW w:w="1920" w:type="dxa"/>
            <w:vAlign w:val="bottom"/>
            <w:shd w:val="clear" w:color="auto" w:fill="6D6D6D"/>
          </w:tcPr>
          <w:p>
            <w:pPr>
              <w:spacing w:after="0" w:line="20" w:lineRule="exact"/>
              <w:rPr>
                <w:sz w:val="1"/>
                <w:szCs w:val="1"/>
                <w:color w:val="auto"/>
              </w:rPr>
            </w:pPr>
          </w:p>
        </w:tc>
        <w:tc>
          <w:tcPr>
            <w:tcW w:w="1480" w:type="dxa"/>
            <w:vAlign w:val="bottom"/>
            <w:shd w:val="clear" w:color="auto" w:fill="6D6D6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left="100" w:hanging="92"/>
        <w:spacing w:after="0"/>
        <w:tabs>
          <w:tab w:leader="none" w:pos="100" w:val="left"/>
        </w:tabs>
        <w:numPr>
          <w:ilvl w:val="0"/>
          <w:numId w:val="172"/>
        </w:numPr>
        <w:rPr>
          <w:rFonts w:ascii="Arial" w:cs="Arial" w:eastAsia="Arial" w:hAnsi="Arial"/>
          <w:sz w:val="19"/>
          <w:szCs w:val="19"/>
          <w:color w:val="auto"/>
          <w:vertAlign w:val="superscript"/>
        </w:rPr>
      </w:pPr>
      <w:r>
        <w:rPr>
          <w:rFonts w:ascii="Arial" w:cs="Arial" w:eastAsia="Arial" w:hAnsi="Arial"/>
          <w:sz w:val="14"/>
          <w:szCs w:val="14"/>
          <w:color w:val="auto"/>
        </w:rPr>
        <w:t>The following standard actuarial assumptions were used to calculate the present value of each individual’s accumulated pension benefit:</w:t>
      </w:r>
    </w:p>
    <w:p>
      <w:pPr>
        <w:sectPr>
          <w:pgSz w:w="11900" w:h="16838" w:orient="portrait"/>
          <w:cols w:equalWidth="0" w:num="1">
            <w:col w:w="11200"/>
          </w:cols>
          <w:pgMar w:left="320" w:top="769" w:right="379" w:bottom="1440" w:gutter="0" w:footer="0" w:header="0"/>
        </w:sectPr>
      </w:pPr>
    </w:p>
    <w:p>
      <w:pPr>
        <w:spacing w:after="0" w:line="120"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A1DE"/>
        </w:rPr>
        <w:t>Discount rate:</w:t>
      </w:r>
    </w:p>
    <w:p>
      <w:pPr>
        <w:spacing w:after="0" w:line="96" w:lineRule="exact"/>
        <w:rPr>
          <w:sz w:val="20"/>
          <w:szCs w:val="20"/>
          <w:color w:val="auto"/>
        </w:rPr>
      </w:pPr>
    </w:p>
    <w:p>
      <w:pPr>
        <w:jc w:val="center"/>
        <w:ind w:left="100"/>
        <w:spacing w:after="0"/>
        <w:rPr>
          <w:sz w:val="20"/>
          <w:szCs w:val="20"/>
          <w:color w:val="auto"/>
        </w:rPr>
      </w:pPr>
      <w:r>
        <w:rPr>
          <w:rFonts w:ascii="Arial" w:cs="Arial" w:eastAsia="Arial" w:hAnsi="Arial"/>
          <w:sz w:val="14"/>
          <w:szCs w:val="14"/>
          <w:b w:val="1"/>
          <w:bCs w:val="1"/>
          <w:color w:val="00A1DE"/>
        </w:rPr>
        <w:t>Mortality (post-retirement decrement only):</w:t>
      </w:r>
    </w:p>
    <w:p>
      <w:pPr>
        <w:spacing w:after="0" w:line="200" w:lineRule="exact"/>
        <w:rPr>
          <w:sz w:val="20"/>
          <w:szCs w:val="20"/>
          <w:color w:val="auto"/>
        </w:rPr>
      </w:pPr>
    </w:p>
    <w:p>
      <w:pPr>
        <w:spacing w:after="0" w:line="247"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A1DE"/>
        </w:rPr>
        <w:t>Pre-2010 joint and survivor benefit (% of pension):</w:t>
      </w:r>
    </w:p>
    <w:p>
      <w:pPr>
        <w:spacing w:after="0" w:line="96"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A1DE"/>
        </w:rPr>
        <w:t>Post-2009 benefit payment form:</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5.28 percent for the qualified plan and 5.21 percent for nonqualified plan</w:t>
      </w:r>
    </w:p>
    <w:p>
      <w:pPr>
        <w:spacing w:after="0" w:line="82" w:lineRule="exact"/>
        <w:rPr>
          <w:sz w:val="20"/>
          <w:szCs w:val="20"/>
          <w:color w:val="auto"/>
        </w:rPr>
      </w:pPr>
    </w:p>
    <w:p>
      <w:pPr>
        <w:ind w:right="2300"/>
        <w:spacing w:after="0" w:line="305" w:lineRule="auto"/>
        <w:rPr>
          <w:sz w:val="20"/>
          <w:szCs w:val="20"/>
          <w:color w:val="auto"/>
        </w:rPr>
      </w:pPr>
      <w:r>
        <w:rPr>
          <w:rFonts w:ascii="Arial" w:cs="Arial" w:eastAsia="Arial" w:hAnsi="Arial"/>
          <w:sz w:val="14"/>
          <w:szCs w:val="14"/>
          <w:color w:val="auto"/>
        </w:rPr>
        <w:t>Private 2012 white collar table with generational projection using Scale MP-2021</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50 percent until age 62; 25 percent thereafter</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Life annuity</w:t>
      </w:r>
    </w:p>
    <w:p>
      <w:pPr>
        <w:spacing w:after="0" w:line="200" w:lineRule="exact"/>
        <w:rPr>
          <w:sz w:val="20"/>
          <w:szCs w:val="20"/>
          <w:color w:val="auto"/>
        </w:rPr>
      </w:pPr>
    </w:p>
    <w:p>
      <w:pPr>
        <w:sectPr>
          <w:pgSz w:w="11900" w:h="16838" w:orient="portrait"/>
          <w:cols w:equalWidth="0" w:num="2">
            <w:col w:w="4040" w:space="60"/>
            <w:col w:w="7100"/>
          </w:cols>
          <w:pgMar w:left="320" w:top="769" w:right="379" w:bottom="1440" w:gutter="0" w:footer="0" w:header="0"/>
          <w:type w:val="continuous"/>
        </w:sectPr>
      </w:pPr>
    </w:p>
    <w:p>
      <w:pPr>
        <w:spacing w:after="0" w:line="3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Retirement Plan benefits shown in the table are net present values. The benefits are not payable as a lump sum; they are generally paid as a monthly annuity for the life of the retiree and, if elected, any qualifying survivor. The annual benefit under the Retirement Plan is calculated using years of service and the average of the annual earnings (salary plus bonus) for the highest five out of the last ten calendar years of service (final average earnings).</w:t>
      </w:r>
    </w:p>
    <w:p>
      <w:pPr>
        <w:spacing w:after="0" w:line="198" w:lineRule="exact"/>
        <w:rPr>
          <w:sz w:val="20"/>
          <w:szCs w:val="20"/>
          <w:color w:val="auto"/>
        </w:rPr>
      </w:pPr>
    </w:p>
    <w:p>
      <w:pPr>
        <w:ind w:right="60"/>
        <w:spacing w:after="0" w:line="279" w:lineRule="auto"/>
        <w:rPr>
          <w:sz w:val="20"/>
          <w:szCs w:val="20"/>
          <w:color w:val="auto"/>
        </w:rPr>
      </w:pPr>
      <w:r>
        <w:rPr>
          <w:rFonts w:ascii="Arial" w:cs="Arial" w:eastAsia="Arial" w:hAnsi="Arial"/>
          <w:sz w:val="20"/>
          <w:szCs w:val="20"/>
          <w:b w:val="1"/>
          <w:bCs w:val="1"/>
          <w:color w:val="D52B1E"/>
        </w:rPr>
        <w:t xml:space="preserve">Post-2009 Plan Information: </w:t>
      </w:r>
      <w:r>
        <w:rPr>
          <w:rFonts w:ascii="Arial" w:cs="Arial" w:eastAsia="Arial" w:hAnsi="Arial"/>
          <w:sz w:val="17"/>
          <w:szCs w:val="17"/>
          <w:color w:val="000000"/>
        </w:rPr>
        <w:t>Following amendment of our Retirement Plan formulas, employees first hired on or after February 1, 2008,</w:t>
      </w:r>
      <w:r>
        <w:rPr>
          <w:rFonts w:ascii="Arial" w:cs="Arial" w:eastAsia="Arial" w:hAnsi="Arial"/>
          <w:sz w:val="20"/>
          <w:szCs w:val="20"/>
          <w:b w:val="1"/>
          <w:bCs w:val="1"/>
          <w:color w:val="D52B1E"/>
        </w:rPr>
        <w:t xml:space="preserve"> </w:t>
      </w:r>
      <w:r>
        <w:rPr>
          <w:rFonts w:ascii="Arial" w:cs="Arial" w:eastAsia="Arial" w:hAnsi="Arial"/>
          <w:sz w:val="17"/>
          <w:szCs w:val="17"/>
          <w:color w:val="000000"/>
        </w:rPr>
        <w:t>have accrued retirement benefits only under the new plan formula. Employees hired before that date have accrued benefits under both the old and new plan formulas. All eligible employees, including those hired on or after February 1, 2008, can currently retire at age 65 with at least five years of service and receive an unreduced benefit. The annual benefit under the new plan formula is equal to 1.2 percent of final</w:t>
      </w:r>
    </w:p>
    <w:p>
      <w:pPr>
        <w:sectPr>
          <w:pgSz w:w="11900" w:h="16838" w:orient="portrait"/>
          <w:cols w:equalWidth="0" w:num="1">
            <w:col w:w="11200"/>
          </w:cols>
          <w:pgMar w:left="320" w:top="769" w:right="379" w:bottom="1440" w:gutter="0" w:footer="0" w:header="0"/>
          <w:type w:val="continuous"/>
        </w:sect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157720" cy="42545"/>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type w:val="continuous"/>
        </w:sectPr>
      </w:pPr>
    </w:p>
    <w:bookmarkStart w:id="81" w:name="page82"/>
    <w:bookmarkEnd w:id="81"/>
    <w:p>
      <w:pPr>
        <w:ind w:right="20"/>
        <w:spacing w:after="0" w:line="259" w:lineRule="auto"/>
        <w:rPr>
          <w:sz w:val="20"/>
          <w:szCs w:val="20"/>
          <w:color w:val="auto"/>
        </w:rPr>
      </w:pPr>
      <w:r>
        <w:rPr>
          <w:rFonts w:ascii="Arial" w:cs="Arial" w:eastAsia="Arial" w:hAnsi="Arial"/>
          <w:sz w:val="18"/>
          <w:szCs w:val="18"/>
          <w:color w:val="auto"/>
        </w:rPr>
        <w:t>average earnings multiplied by years of service. Early retirement benefits under this plan formula are reduced six percent for each year under age 65. Transition benefits were afforded to employees with 50 points (age plus service) or more as of December 31, 2009. These benefits were intended to ease the transition to the new retirement formula for those employees who were closer to retirement or had been with the company longer at the time the plan was changed. For the transition group, early retirement benefits are reduced three percent for each year from age 65 to age 60 and six percent for each year under age 60. Mr. Ricks and Ms. Ashkenazi are in this transition group.</w:t>
      </w:r>
    </w:p>
    <w:p>
      <w:pPr>
        <w:spacing w:after="0" w:line="228" w:lineRule="exact"/>
        <w:rPr>
          <w:sz w:val="20"/>
          <w:szCs w:val="20"/>
          <w:color w:val="auto"/>
        </w:rPr>
      </w:pPr>
    </w:p>
    <w:p>
      <w:pPr>
        <w:spacing w:after="0" w:line="264" w:lineRule="auto"/>
        <w:rPr>
          <w:sz w:val="20"/>
          <w:szCs w:val="20"/>
          <w:color w:val="auto"/>
        </w:rPr>
      </w:pPr>
      <w:r>
        <w:rPr>
          <w:rFonts w:ascii="Arial" w:cs="Arial" w:eastAsia="Arial" w:hAnsi="Arial"/>
          <w:sz w:val="20"/>
          <w:szCs w:val="20"/>
          <w:b w:val="1"/>
          <w:bCs w:val="1"/>
          <w:color w:val="D52B1E"/>
        </w:rPr>
        <w:t xml:space="preserve">Pre-2010 Plan Information: </w:t>
      </w:r>
      <w:r>
        <w:rPr>
          <w:rFonts w:ascii="Arial" w:cs="Arial" w:eastAsia="Arial" w:hAnsi="Arial"/>
          <w:sz w:val="17"/>
          <w:szCs w:val="17"/>
          <w:color w:val="000000"/>
        </w:rPr>
        <w:t>Employees hired prior to February 1, 2008 accrued benefits under both plan formulas. For these employees,</w:t>
      </w:r>
      <w:r>
        <w:rPr>
          <w:rFonts w:ascii="Arial" w:cs="Arial" w:eastAsia="Arial" w:hAnsi="Arial"/>
          <w:sz w:val="20"/>
          <w:szCs w:val="20"/>
          <w:b w:val="1"/>
          <w:bCs w:val="1"/>
          <w:color w:val="D52B1E"/>
        </w:rPr>
        <w:t xml:space="preserve"> </w:t>
      </w:r>
      <w:r>
        <w:rPr>
          <w:rFonts w:ascii="Arial" w:cs="Arial" w:eastAsia="Arial" w:hAnsi="Arial"/>
          <w:sz w:val="17"/>
          <w:szCs w:val="17"/>
          <w:color w:val="000000"/>
        </w:rPr>
        <w:t>benefits that accrued before January 1, 2010 were calculated under the old plan formula. The amount of the benefit is calculated using actual years of service through December 31, 2009, while total years of service are used to determine eligibility and early retirement reductions. The benefit amount is increased (but not decreased) proportionately based on final average earnings at termination compared to final average earnings at December 31, 2009. Full retirement benefits are earned by employees with 90 or more points (the sum of his or her age plus years of service). Employees electing early retirement receive reduced benefits as described below:</w:t>
      </w:r>
    </w:p>
    <w:p>
      <w:pPr>
        <w:spacing w:after="0" w:line="16" w:lineRule="exact"/>
        <w:rPr>
          <w:sz w:val="20"/>
          <w:szCs w:val="20"/>
          <w:color w:val="auto"/>
        </w:rPr>
      </w:pPr>
    </w:p>
    <w:p>
      <w:pPr>
        <w:ind w:left="340" w:right="80" w:hanging="332"/>
        <w:spacing w:after="0" w:line="287" w:lineRule="auto"/>
        <w:tabs>
          <w:tab w:leader="none" w:pos="329" w:val="left"/>
        </w:tabs>
        <w:numPr>
          <w:ilvl w:val="0"/>
          <w:numId w:val="173"/>
        </w:numPr>
        <w:rPr>
          <w:rFonts w:ascii="Arial" w:cs="Arial" w:eastAsia="Arial" w:hAnsi="Arial"/>
          <w:sz w:val="16"/>
          <w:szCs w:val="16"/>
          <w:color w:val="auto"/>
        </w:rPr>
      </w:pPr>
      <w:r>
        <w:rPr>
          <w:rFonts w:ascii="Arial" w:cs="Arial" w:eastAsia="Arial" w:hAnsi="Arial"/>
          <w:sz w:val="18"/>
          <w:szCs w:val="18"/>
          <w:color w:val="auto"/>
        </w:rPr>
        <w:t>The benefit for employees with between 80 and 90 points is reduced by three percent for each year before the earlier of 90 points or age 62.</w:t>
      </w:r>
    </w:p>
    <w:p>
      <w:pPr>
        <w:spacing w:after="0" w:line="98" w:lineRule="exact"/>
        <w:rPr>
          <w:rFonts w:ascii="Arial" w:cs="Arial" w:eastAsia="Arial" w:hAnsi="Arial"/>
          <w:sz w:val="16"/>
          <w:szCs w:val="16"/>
          <w:color w:val="auto"/>
        </w:rPr>
      </w:pPr>
    </w:p>
    <w:p>
      <w:pPr>
        <w:ind w:left="340" w:right="120" w:hanging="332"/>
        <w:spacing w:after="0" w:line="287" w:lineRule="auto"/>
        <w:tabs>
          <w:tab w:leader="none" w:pos="329" w:val="left"/>
        </w:tabs>
        <w:numPr>
          <w:ilvl w:val="0"/>
          <w:numId w:val="173"/>
        </w:numPr>
        <w:rPr>
          <w:rFonts w:ascii="Arial" w:cs="Arial" w:eastAsia="Arial" w:hAnsi="Arial"/>
          <w:sz w:val="16"/>
          <w:szCs w:val="16"/>
          <w:color w:val="auto"/>
        </w:rPr>
      </w:pPr>
      <w:r>
        <w:rPr>
          <w:rFonts w:ascii="Arial" w:cs="Arial" w:eastAsia="Arial" w:hAnsi="Arial"/>
          <w:sz w:val="18"/>
          <w:szCs w:val="18"/>
          <w:color w:val="auto"/>
        </w:rPr>
        <w:t>The benefit for employees who have fewer than 80 points, but who reached age 55 and have at least ten years of service, is reduced as described above and is further reduced by six percent for each year before the earlier of 80 points or age 65.</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Nonqualified Deferred Compensation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5700395" cy="8255"/>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Executive</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Registrant</w:t>
            </w:r>
          </w:p>
        </w:tc>
        <w:tc>
          <w:tcPr>
            <w:tcW w:w="12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126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Aggregate</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Withdrawals/</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0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Contributions in</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Contributions in</w:t>
            </w:r>
          </w:p>
        </w:tc>
        <w:tc>
          <w:tcPr>
            <w:tcW w:w="122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126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Balance at Last</w:t>
            </w:r>
          </w:p>
        </w:tc>
        <w:tc>
          <w:tcPr>
            <w:tcW w:w="0" w:type="dxa"/>
            <w:vAlign w:val="bottom"/>
          </w:tcPr>
          <w:p>
            <w:pPr>
              <w:spacing w:after="0"/>
              <w:rPr>
                <w:sz w:val="1"/>
                <w:szCs w:val="1"/>
                <w:color w:val="auto"/>
              </w:rPr>
            </w:pPr>
          </w:p>
        </w:tc>
      </w:tr>
      <w:tr>
        <w:trPr>
          <w:trHeight w:val="144"/>
        </w:trPr>
        <w:tc>
          <w:tcPr>
            <w:tcW w:w="10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12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Earnings in</w:t>
            </w:r>
          </w:p>
        </w:tc>
        <w:tc>
          <w:tcPr>
            <w:tcW w:w="12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Distributions in</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0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Last Fiscal Year</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Last Fiscal Year</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Last Fiscal Year</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Last Fiscal Year</w:t>
            </w:r>
          </w:p>
        </w:tc>
        <w:tc>
          <w:tcPr>
            <w:tcW w:w="1260" w:type="dxa"/>
            <w:vAlign w:val="bottom"/>
          </w:tcPr>
          <w:p>
            <w:pPr>
              <w:jc w:val="center"/>
              <w:ind w:right="8"/>
              <w:spacing w:after="0"/>
              <w:rPr>
                <w:sz w:val="20"/>
                <w:szCs w:val="20"/>
                <w:color w:val="auto"/>
              </w:rPr>
            </w:pPr>
            <w:r>
              <w:rPr>
                <w:rFonts w:ascii="Arial" w:cs="Arial" w:eastAsia="Arial" w:hAnsi="Arial"/>
                <w:sz w:val="14"/>
                <w:szCs w:val="14"/>
                <w:b w:val="1"/>
                <w:bCs w:val="1"/>
                <w:color w:val="auto"/>
              </w:rPr>
              <w:t>Fiscal Year End</w:t>
            </w:r>
          </w:p>
        </w:tc>
        <w:tc>
          <w:tcPr>
            <w:tcW w:w="0" w:type="dxa"/>
            <w:vAlign w:val="bottom"/>
          </w:tcPr>
          <w:p>
            <w:pPr>
              <w:spacing w:after="0"/>
              <w:rPr>
                <w:sz w:val="1"/>
                <w:szCs w:val="1"/>
                <w:color w:val="auto"/>
              </w:rPr>
            </w:pPr>
          </w:p>
        </w:tc>
      </w:tr>
      <w:tr>
        <w:trPr>
          <w:trHeight w:val="230"/>
        </w:trPr>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62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Plan</w:t>
            </w:r>
          </w:p>
        </w:tc>
        <w:tc>
          <w:tcPr>
            <w:tcW w:w="12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1</w:t>
            </w:r>
          </w:p>
        </w:tc>
        <w:tc>
          <w:tcPr>
            <w:tcW w:w="13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2</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w:t>
            </w:r>
            <w:r>
              <w:rPr>
                <w:rFonts w:ascii="Arial" w:cs="Arial" w:eastAsia="Arial" w:hAnsi="Arial"/>
                <w:sz w:val="18"/>
                <w:szCs w:val="18"/>
                <w:b w:val="1"/>
                <w:bCs w:val="1"/>
                <w:color w:val="auto"/>
                <w:w w:val="92"/>
                <w:vertAlign w:val="superscript"/>
              </w:rPr>
              <w:t>3</w:t>
            </w:r>
          </w:p>
        </w:tc>
        <w:tc>
          <w:tcPr>
            <w:tcW w:w="0" w:type="dxa"/>
            <w:vAlign w:val="bottom"/>
          </w:tcPr>
          <w:p>
            <w:pPr>
              <w:spacing w:after="0"/>
              <w:rPr>
                <w:sz w:val="1"/>
                <w:szCs w:val="1"/>
                <w:color w:val="auto"/>
              </w:rPr>
            </w:pPr>
          </w:p>
        </w:tc>
      </w:tr>
      <w:tr>
        <w:trPr>
          <w:trHeight w:val="215"/>
        </w:trPr>
        <w:tc>
          <w:tcPr>
            <w:tcW w:w="1060" w:type="dxa"/>
            <w:vAlign w:val="bottom"/>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1620" w:type="dxa"/>
            <w:vAlign w:val="bottom"/>
            <w:shd w:val="clear" w:color="auto" w:fill="F2F2F2"/>
          </w:tcPr>
          <w:p>
            <w:pPr>
              <w:ind w:left="20"/>
              <w:spacing w:after="0"/>
              <w:rPr>
                <w:sz w:val="20"/>
                <w:szCs w:val="20"/>
                <w:color w:val="auto"/>
              </w:rPr>
            </w:pPr>
            <w:r>
              <w:rPr>
                <w:rFonts w:ascii="Arial" w:cs="Arial" w:eastAsia="Arial" w:hAnsi="Arial"/>
                <w:sz w:val="14"/>
                <w:szCs w:val="14"/>
                <w:color w:val="auto"/>
              </w:rPr>
              <w:t>nonqualified savings</w:t>
            </w:r>
          </w:p>
        </w:tc>
        <w:tc>
          <w:tcPr>
            <w:tcW w:w="1280" w:type="dxa"/>
            <w:vAlign w:val="bottom"/>
            <w:shd w:val="clear" w:color="auto" w:fill="F2F2F2"/>
          </w:tcPr>
          <w:p>
            <w:pPr>
              <w:jc w:val="right"/>
              <w:ind w:right="228"/>
              <w:spacing w:after="0"/>
              <w:rPr>
                <w:sz w:val="20"/>
                <w:szCs w:val="20"/>
                <w:color w:val="auto"/>
              </w:rPr>
            </w:pPr>
            <w:r>
              <w:rPr>
                <w:rFonts w:ascii="Arial" w:cs="Arial" w:eastAsia="Arial" w:hAnsi="Arial"/>
                <w:sz w:val="14"/>
                <w:szCs w:val="14"/>
                <w:color w:val="auto"/>
              </w:rPr>
              <w:t>$71,700</w:t>
            </w:r>
          </w:p>
        </w:tc>
        <w:tc>
          <w:tcPr>
            <w:tcW w:w="132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$71,700</w:t>
            </w:r>
          </w:p>
        </w:tc>
        <w:tc>
          <w:tcPr>
            <w:tcW w:w="1220" w:type="dxa"/>
            <w:vAlign w:val="bottom"/>
            <w:shd w:val="clear" w:color="auto" w:fill="F2F2F2"/>
          </w:tcPr>
          <w:p>
            <w:pPr>
              <w:jc w:val="right"/>
              <w:ind w:right="248"/>
              <w:spacing w:after="0"/>
              <w:rPr>
                <w:sz w:val="20"/>
                <w:szCs w:val="20"/>
                <w:color w:val="auto"/>
              </w:rPr>
            </w:pPr>
            <w:r>
              <w:rPr>
                <w:rFonts w:ascii="Arial" w:cs="Arial" w:eastAsia="Arial" w:hAnsi="Arial"/>
                <w:sz w:val="14"/>
                <w:szCs w:val="14"/>
                <w:color w:val="auto"/>
              </w:rPr>
              <w:t>$841,242</w:t>
            </w:r>
          </w:p>
        </w:tc>
        <w:tc>
          <w:tcPr>
            <w:tcW w:w="122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shd w:val="clear" w:color="auto" w:fill="F2F2F2"/>
          </w:tcPr>
          <w:p>
            <w:pPr>
              <w:jc w:val="right"/>
              <w:ind w:right="268"/>
              <w:spacing w:after="0"/>
              <w:rPr>
                <w:sz w:val="20"/>
                <w:szCs w:val="20"/>
                <w:color w:val="auto"/>
              </w:rPr>
            </w:pPr>
            <w:r>
              <w:rPr>
                <w:rFonts w:ascii="Arial" w:cs="Arial" w:eastAsia="Arial" w:hAnsi="Arial"/>
                <w:sz w:val="14"/>
                <w:szCs w:val="14"/>
                <w:color w:val="auto"/>
              </w:rPr>
              <w:t>$4,116,026</w:t>
            </w:r>
          </w:p>
        </w:tc>
        <w:tc>
          <w:tcPr>
            <w:tcW w:w="0" w:type="dxa"/>
            <w:vAlign w:val="bottom"/>
          </w:tcPr>
          <w:p>
            <w:pPr>
              <w:spacing w:after="0"/>
              <w:rPr>
                <w:sz w:val="1"/>
                <w:szCs w:val="1"/>
                <w:color w:val="auto"/>
              </w:rPr>
            </w:pPr>
          </w:p>
        </w:tc>
      </w:tr>
      <w:tr>
        <w:trPr>
          <w:trHeight w:val="256"/>
        </w:trPr>
        <w:tc>
          <w:tcPr>
            <w:tcW w:w="1060" w:type="dxa"/>
            <w:vAlign w:val="bottom"/>
            <w:shd w:val="clear" w:color="auto" w:fill="F2F2F2"/>
          </w:tcPr>
          <w:p>
            <w:pPr>
              <w:spacing w:after="0"/>
              <w:rPr>
                <w:sz w:val="22"/>
                <w:szCs w:val="22"/>
                <w:color w:val="auto"/>
              </w:rPr>
            </w:pPr>
          </w:p>
        </w:tc>
        <w:tc>
          <w:tcPr>
            <w:tcW w:w="1620" w:type="dxa"/>
            <w:vAlign w:val="bottom"/>
            <w:shd w:val="clear" w:color="auto" w:fill="F2F2F2"/>
          </w:tcPr>
          <w:p>
            <w:pPr>
              <w:ind w:left="20"/>
              <w:spacing w:after="0"/>
              <w:rPr>
                <w:sz w:val="20"/>
                <w:szCs w:val="20"/>
                <w:color w:val="auto"/>
              </w:rPr>
            </w:pPr>
            <w:r>
              <w:rPr>
                <w:rFonts w:ascii="Arial" w:cs="Arial" w:eastAsia="Arial" w:hAnsi="Arial"/>
                <w:sz w:val="14"/>
                <w:szCs w:val="14"/>
                <w:color w:val="auto"/>
              </w:rPr>
              <w:t>deferred compensation</w:t>
            </w:r>
          </w:p>
        </w:tc>
        <w:tc>
          <w:tcPr>
            <w:tcW w:w="1280" w:type="dxa"/>
            <w:vAlign w:val="bottom"/>
            <w:shd w:val="clear" w:color="auto" w:fill="F2F2F2"/>
          </w:tcPr>
          <w:p>
            <w:pPr>
              <w:jc w:val="right"/>
              <w:ind w:right="228"/>
              <w:spacing w:after="0"/>
              <w:rPr>
                <w:sz w:val="20"/>
                <w:szCs w:val="20"/>
                <w:color w:val="auto"/>
              </w:rPr>
            </w:pPr>
            <w:r>
              <w:rPr>
                <w:rFonts w:ascii="Arial" w:cs="Arial" w:eastAsia="Arial" w:hAnsi="Arial"/>
                <w:sz w:val="14"/>
                <w:szCs w:val="14"/>
                <w:color w:val="auto"/>
              </w:rPr>
              <w:t>$0</w:t>
            </w:r>
          </w:p>
        </w:tc>
        <w:tc>
          <w:tcPr>
            <w:tcW w:w="132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$0</w:t>
            </w:r>
          </w:p>
        </w:tc>
        <w:tc>
          <w:tcPr>
            <w:tcW w:w="1220" w:type="dxa"/>
            <w:vAlign w:val="bottom"/>
            <w:shd w:val="clear" w:color="auto" w:fill="F2F2F2"/>
          </w:tcPr>
          <w:p>
            <w:pPr>
              <w:jc w:val="right"/>
              <w:ind w:right="248"/>
              <w:spacing w:after="0"/>
              <w:rPr>
                <w:sz w:val="20"/>
                <w:szCs w:val="20"/>
                <w:color w:val="auto"/>
              </w:rPr>
            </w:pPr>
            <w:r>
              <w:rPr>
                <w:rFonts w:ascii="Arial" w:cs="Arial" w:eastAsia="Arial" w:hAnsi="Arial"/>
                <w:sz w:val="14"/>
                <w:szCs w:val="14"/>
                <w:color w:val="auto"/>
              </w:rPr>
              <w:t>$0</w:t>
            </w:r>
          </w:p>
        </w:tc>
        <w:tc>
          <w:tcPr>
            <w:tcW w:w="122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shd w:val="clear" w:color="auto" w:fill="F2F2F2"/>
          </w:tcPr>
          <w:p>
            <w:pPr>
              <w:jc w:val="right"/>
              <w:ind w:right="26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58"/>
        </w:trPr>
        <w:tc>
          <w:tcPr>
            <w:tcW w:w="1060" w:type="dxa"/>
            <w:vAlign w:val="bottom"/>
            <w:tcBorders>
              <w:bottom w:val="single" w:sz="8" w:color="F2F2F2"/>
            </w:tcBorders>
            <w:shd w:val="clear" w:color="auto" w:fill="F2F2F2"/>
          </w:tcPr>
          <w:p>
            <w:pPr>
              <w:spacing w:after="0"/>
              <w:rPr>
                <w:sz w:val="22"/>
                <w:szCs w:val="22"/>
                <w:color w:val="auto"/>
              </w:rPr>
            </w:pPr>
          </w:p>
        </w:tc>
        <w:tc>
          <w:tcPr>
            <w:tcW w:w="1620" w:type="dxa"/>
            <w:vAlign w:val="bottom"/>
            <w:tcBorders>
              <w:bottom w:val="single" w:sz="8" w:color="F2F2F2"/>
            </w:tcBorders>
            <w:shd w:val="clear" w:color="auto" w:fill="F2F2F2"/>
          </w:tcPr>
          <w:p>
            <w:pPr>
              <w:ind w:left="1340"/>
              <w:spacing w:after="0"/>
              <w:rPr>
                <w:sz w:val="20"/>
                <w:szCs w:val="20"/>
                <w:color w:val="auto"/>
              </w:rPr>
            </w:pPr>
            <w:r>
              <w:rPr>
                <w:rFonts w:ascii="Arial" w:cs="Arial" w:eastAsia="Arial" w:hAnsi="Arial"/>
                <w:sz w:val="14"/>
                <w:szCs w:val="14"/>
                <w:color w:val="auto"/>
                <w:w w:val="98"/>
              </w:rPr>
              <w:t>total</w:t>
            </w:r>
          </w:p>
        </w:tc>
        <w:tc>
          <w:tcPr>
            <w:tcW w:w="1280" w:type="dxa"/>
            <w:vAlign w:val="bottom"/>
            <w:tcBorders>
              <w:bottom w:val="single" w:sz="8" w:color="F2F2F2"/>
            </w:tcBorders>
            <w:shd w:val="clear" w:color="auto" w:fill="F2F2F2"/>
          </w:tcPr>
          <w:p>
            <w:pPr>
              <w:jc w:val="right"/>
              <w:ind w:right="228"/>
              <w:spacing w:after="0"/>
              <w:rPr>
                <w:sz w:val="20"/>
                <w:szCs w:val="20"/>
                <w:color w:val="auto"/>
              </w:rPr>
            </w:pPr>
            <w:r>
              <w:rPr>
                <w:rFonts w:ascii="Arial" w:cs="Arial" w:eastAsia="Arial" w:hAnsi="Arial"/>
                <w:sz w:val="14"/>
                <w:szCs w:val="14"/>
                <w:color w:val="auto"/>
              </w:rPr>
              <w:t>$71,700</w:t>
            </w:r>
          </w:p>
        </w:tc>
        <w:tc>
          <w:tcPr>
            <w:tcW w:w="1320" w:type="dxa"/>
            <w:vAlign w:val="bottom"/>
            <w:tcBorders>
              <w:bottom w:val="single" w:sz="8" w:color="F2F2F2"/>
            </w:tcBorders>
            <w:shd w:val="clear" w:color="auto" w:fill="F2F2F2"/>
          </w:tcPr>
          <w:p>
            <w:pPr>
              <w:jc w:val="right"/>
              <w:ind w:right="48"/>
              <w:spacing w:after="0"/>
              <w:rPr>
                <w:sz w:val="20"/>
                <w:szCs w:val="20"/>
                <w:color w:val="auto"/>
              </w:rPr>
            </w:pPr>
            <w:r>
              <w:rPr>
                <w:rFonts w:ascii="Arial" w:cs="Arial" w:eastAsia="Arial" w:hAnsi="Arial"/>
                <w:sz w:val="14"/>
                <w:szCs w:val="14"/>
                <w:color w:val="auto"/>
              </w:rPr>
              <w:t>$71,700</w:t>
            </w:r>
          </w:p>
        </w:tc>
        <w:tc>
          <w:tcPr>
            <w:tcW w:w="1220" w:type="dxa"/>
            <w:vAlign w:val="bottom"/>
            <w:tcBorders>
              <w:bottom w:val="single" w:sz="8" w:color="F2F2F2"/>
            </w:tcBorders>
            <w:shd w:val="clear" w:color="auto" w:fill="F2F2F2"/>
          </w:tcPr>
          <w:p>
            <w:pPr>
              <w:jc w:val="right"/>
              <w:ind w:right="248"/>
              <w:spacing w:after="0"/>
              <w:rPr>
                <w:sz w:val="20"/>
                <w:szCs w:val="20"/>
                <w:color w:val="auto"/>
              </w:rPr>
            </w:pPr>
            <w:r>
              <w:rPr>
                <w:rFonts w:ascii="Arial" w:cs="Arial" w:eastAsia="Arial" w:hAnsi="Arial"/>
                <w:sz w:val="14"/>
                <w:szCs w:val="14"/>
                <w:color w:val="auto"/>
              </w:rPr>
              <w:t>$841,242</w:t>
            </w:r>
          </w:p>
        </w:tc>
        <w:tc>
          <w:tcPr>
            <w:tcW w:w="1220" w:type="dxa"/>
            <w:vAlign w:val="bottom"/>
            <w:tcBorders>
              <w:bottom w:val="single" w:sz="8" w:color="F2F2F2"/>
            </w:tcBorders>
            <w:shd w:val="clear" w:color="auto" w:fill="F2F2F2"/>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tcBorders>
              <w:bottom w:val="single" w:sz="8" w:color="F2F2F2"/>
            </w:tcBorders>
            <w:shd w:val="clear" w:color="auto" w:fill="F2F2F2"/>
          </w:tcPr>
          <w:p>
            <w:pPr>
              <w:jc w:val="right"/>
              <w:ind w:right="268"/>
              <w:spacing w:after="0"/>
              <w:rPr>
                <w:sz w:val="20"/>
                <w:szCs w:val="20"/>
                <w:color w:val="auto"/>
              </w:rPr>
            </w:pPr>
            <w:r>
              <w:rPr>
                <w:rFonts w:ascii="Arial" w:cs="Arial" w:eastAsia="Arial" w:hAnsi="Arial"/>
                <w:sz w:val="14"/>
                <w:szCs w:val="14"/>
                <w:color w:val="auto"/>
              </w:rPr>
              <w:t>$4,116,026</w:t>
            </w:r>
          </w:p>
        </w:tc>
        <w:tc>
          <w:tcPr>
            <w:tcW w:w="0" w:type="dxa"/>
            <w:vAlign w:val="bottom"/>
          </w:tcPr>
          <w:p>
            <w:pPr>
              <w:spacing w:after="0"/>
              <w:rPr>
                <w:sz w:val="1"/>
                <w:szCs w:val="1"/>
                <w:color w:val="auto"/>
              </w:rPr>
            </w:pPr>
          </w:p>
        </w:tc>
      </w:tr>
      <w:tr>
        <w:trPr>
          <w:trHeight w:val="235"/>
        </w:trPr>
        <w:tc>
          <w:tcPr>
            <w:tcW w:w="1060" w:type="dxa"/>
            <w:vAlign w:val="bottom"/>
          </w:tcPr>
          <w:p>
            <w:pPr>
              <w:ind w:left="20"/>
              <w:spacing w:after="0"/>
              <w:rPr>
                <w:sz w:val="20"/>
                <w:szCs w:val="20"/>
                <w:color w:val="auto"/>
              </w:rPr>
            </w:pPr>
            <w:r>
              <w:rPr>
                <w:rFonts w:ascii="Arial" w:cs="Arial" w:eastAsia="Arial" w:hAnsi="Arial"/>
                <w:sz w:val="14"/>
                <w:szCs w:val="14"/>
                <w:color w:val="auto"/>
              </w:rPr>
              <w:t>Ms. Ashkenazi</w:t>
            </w:r>
          </w:p>
        </w:tc>
        <w:tc>
          <w:tcPr>
            <w:tcW w:w="1620" w:type="dxa"/>
            <w:vAlign w:val="bottom"/>
          </w:tcPr>
          <w:p>
            <w:pPr>
              <w:ind w:left="20"/>
              <w:spacing w:after="0"/>
              <w:rPr>
                <w:sz w:val="20"/>
                <w:szCs w:val="20"/>
                <w:color w:val="auto"/>
              </w:rPr>
            </w:pPr>
            <w:r>
              <w:rPr>
                <w:rFonts w:ascii="Arial" w:cs="Arial" w:eastAsia="Arial" w:hAnsi="Arial"/>
                <w:sz w:val="14"/>
                <w:szCs w:val="14"/>
                <w:color w:val="auto"/>
              </w:rPr>
              <w:t>nonqualified savings</w:t>
            </w: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$38,123</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$38,123</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($24,643)</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$264,160</w:t>
            </w:r>
          </w:p>
        </w:tc>
        <w:tc>
          <w:tcPr>
            <w:tcW w:w="0" w:type="dxa"/>
            <w:vAlign w:val="bottom"/>
          </w:tcPr>
          <w:p>
            <w:pPr>
              <w:spacing w:after="0"/>
              <w:rPr>
                <w:sz w:val="1"/>
                <w:szCs w:val="1"/>
                <w:color w:val="auto"/>
              </w:rPr>
            </w:pPr>
          </w:p>
        </w:tc>
      </w:tr>
      <w:tr>
        <w:trPr>
          <w:trHeight w:val="256"/>
        </w:trPr>
        <w:tc>
          <w:tcPr>
            <w:tcW w:w="1060" w:type="dxa"/>
            <w:vAlign w:val="bottom"/>
          </w:tcPr>
          <w:p>
            <w:pPr>
              <w:spacing w:after="0"/>
              <w:rPr>
                <w:sz w:val="22"/>
                <w:szCs w:val="22"/>
                <w:color w:val="auto"/>
              </w:rPr>
            </w:pPr>
          </w:p>
        </w:tc>
        <w:tc>
          <w:tcPr>
            <w:tcW w:w="1620" w:type="dxa"/>
            <w:vAlign w:val="bottom"/>
          </w:tcPr>
          <w:p>
            <w:pPr>
              <w:ind w:left="20"/>
              <w:spacing w:after="0"/>
              <w:rPr>
                <w:sz w:val="20"/>
                <w:szCs w:val="20"/>
                <w:color w:val="auto"/>
              </w:rPr>
            </w:pPr>
            <w:r>
              <w:rPr>
                <w:rFonts w:ascii="Arial" w:cs="Arial" w:eastAsia="Arial" w:hAnsi="Arial"/>
                <w:sz w:val="14"/>
                <w:szCs w:val="14"/>
                <w:color w:val="auto"/>
              </w:rPr>
              <w:t>deferred compensation</w:t>
            </w: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$871,457</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248"/>
              <w:spacing w:after="0"/>
              <w:rPr>
                <w:sz w:val="20"/>
                <w:szCs w:val="20"/>
                <w:color w:val="auto"/>
              </w:rPr>
            </w:pPr>
            <w:r>
              <w:rPr>
                <w:rFonts w:ascii="Arial" w:cs="Arial" w:eastAsia="Arial" w:hAnsi="Arial"/>
                <w:sz w:val="14"/>
                <w:szCs w:val="14"/>
                <w:color w:val="auto"/>
              </w:rPr>
              <w:t>$15,182</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$886,639</w:t>
            </w:r>
          </w:p>
        </w:tc>
        <w:tc>
          <w:tcPr>
            <w:tcW w:w="0" w:type="dxa"/>
            <w:vAlign w:val="bottom"/>
          </w:tcPr>
          <w:p>
            <w:pPr>
              <w:spacing w:after="0"/>
              <w:rPr>
                <w:sz w:val="1"/>
                <w:szCs w:val="1"/>
                <w:color w:val="auto"/>
              </w:rPr>
            </w:pPr>
          </w:p>
        </w:tc>
      </w:tr>
      <w:tr>
        <w:trPr>
          <w:trHeight w:val="257"/>
        </w:trPr>
        <w:tc>
          <w:tcPr>
            <w:tcW w:w="1060" w:type="dxa"/>
            <w:vAlign w:val="bottom"/>
          </w:tcPr>
          <w:p>
            <w:pPr>
              <w:spacing w:after="0"/>
              <w:rPr>
                <w:sz w:val="22"/>
                <w:szCs w:val="22"/>
                <w:color w:val="auto"/>
              </w:rPr>
            </w:pPr>
          </w:p>
        </w:tc>
        <w:tc>
          <w:tcPr>
            <w:tcW w:w="1620" w:type="dxa"/>
            <w:vAlign w:val="bottom"/>
          </w:tcPr>
          <w:p>
            <w:pPr>
              <w:ind w:left="1340"/>
              <w:spacing w:after="0"/>
              <w:rPr>
                <w:sz w:val="20"/>
                <w:szCs w:val="20"/>
                <w:color w:val="auto"/>
              </w:rPr>
            </w:pPr>
            <w:r>
              <w:rPr>
                <w:rFonts w:ascii="Arial" w:cs="Arial" w:eastAsia="Arial" w:hAnsi="Arial"/>
                <w:sz w:val="14"/>
                <w:szCs w:val="14"/>
                <w:color w:val="auto"/>
                <w:w w:val="98"/>
              </w:rPr>
              <w:t>total</w:t>
            </w: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$909,580</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$38,123</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($9,460)</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$1,150,799</w:t>
            </w:r>
          </w:p>
        </w:tc>
        <w:tc>
          <w:tcPr>
            <w:tcW w:w="0" w:type="dxa"/>
            <w:vAlign w:val="bottom"/>
          </w:tcPr>
          <w:p>
            <w:pPr>
              <w:spacing w:after="0"/>
              <w:rPr>
                <w:sz w:val="1"/>
                <w:szCs w:val="1"/>
                <w:color w:val="auto"/>
              </w:rPr>
            </w:pPr>
          </w:p>
        </w:tc>
      </w:tr>
      <w:tr>
        <w:trPr>
          <w:trHeight w:val="22"/>
        </w:trPr>
        <w:tc>
          <w:tcPr>
            <w:tcW w:w="1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060" w:type="dxa"/>
            <w:vAlign w:val="bottom"/>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1620" w:type="dxa"/>
            <w:vAlign w:val="bottom"/>
            <w:shd w:val="clear" w:color="auto" w:fill="F2F2F2"/>
          </w:tcPr>
          <w:p>
            <w:pPr>
              <w:ind w:left="20"/>
              <w:spacing w:after="0"/>
              <w:rPr>
                <w:sz w:val="20"/>
                <w:szCs w:val="20"/>
                <w:color w:val="auto"/>
              </w:rPr>
            </w:pPr>
            <w:r>
              <w:rPr>
                <w:rFonts w:ascii="Arial" w:cs="Arial" w:eastAsia="Arial" w:hAnsi="Arial"/>
                <w:sz w:val="14"/>
                <w:szCs w:val="14"/>
                <w:color w:val="auto"/>
              </w:rPr>
              <w:t>nonqualified savings</w:t>
            </w:r>
          </w:p>
        </w:tc>
        <w:tc>
          <w:tcPr>
            <w:tcW w:w="1280" w:type="dxa"/>
            <w:vAlign w:val="bottom"/>
            <w:shd w:val="clear" w:color="auto" w:fill="F2F2F2"/>
          </w:tcPr>
          <w:p>
            <w:pPr>
              <w:jc w:val="right"/>
              <w:ind w:right="228"/>
              <w:spacing w:after="0"/>
              <w:rPr>
                <w:sz w:val="20"/>
                <w:szCs w:val="20"/>
                <w:color w:val="auto"/>
              </w:rPr>
            </w:pPr>
            <w:r>
              <w:rPr>
                <w:rFonts w:ascii="Arial" w:cs="Arial" w:eastAsia="Arial" w:hAnsi="Arial"/>
                <w:sz w:val="14"/>
                <w:szCs w:val="14"/>
                <w:color w:val="auto"/>
              </w:rPr>
              <w:t>$53,816</w:t>
            </w:r>
          </w:p>
        </w:tc>
        <w:tc>
          <w:tcPr>
            <w:tcW w:w="132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$53,816</w:t>
            </w:r>
          </w:p>
        </w:tc>
        <w:tc>
          <w:tcPr>
            <w:tcW w:w="1220" w:type="dxa"/>
            <w:vAlign w:val="bottom"/>
            <w:shd w:val="clear" w:color="auto" w:fill="F2F2F2"/>
          </w:tcPr>
          <w:p>
            <w:pPr>
              <w:jc w:val="right"/>
              <w:ind w:right="208"/>
              <w:spacing w:after="0"/>
              <w:rPr>
                <w:sz w:val="20"/>
                <w:szCs w:val="20"/>
                <w:color w:val="auto"/>
              </w:rPr>
            </w:pPr>
            <w:r>
              <w:rPr>
                <w:rFonts w:ascii="Arial" w:cs="Arial" w:eastAsia="Arial" w:hAnsi="Arial"/>
                <w:sz w:val="14"/>
                <w:szCs w:val="14"/>
                <w:color w:val="auto"/>
              </w:rPr>
              <w:t>($178,790)</w:t>
            </w:r>
          </w:p>
        </w:tc>
        <w:tc>
          <w:tcPr>
            <w:tcW w:w="122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shd w:val="clear" w:color="auto" w:fill="F2F2F2"/>
          </w:tcPr>
          <w:p>
            <w:pPr>
              <w:jc w:val="right"/>
              <w:ind w:right="268"/>
              <w:spacing w:after="0"/>
              <w:rPr>
                <w:sz w:val="20"/>
                <w:szCs w:val="20"/>
                <w:color w:val="auto"/>
              </w:rPr>
            </w:pPr>
            <w:r>
              <w:rPr>
                <w:rFonts w:ascii="Arial" w:cs="Arial" w:eastAsia="Arial" w:hAnsi="Arial"/>
                <w:sz w:val="14"/>
                <w:szCs w:val="14"/>
                <w:color w:val="auto"/>
              </w:rPr>
              <w:t>$849,488</w:t>
            </w:r>
          </w:p>
        </w:tc>
        <w:tc>
          <w:tcPr>
            <w:tcW w:w="0" w:type="dxa"/>
            <w:vAlign w:val="bottom"/>
          </w:tcPr>
          <w:p>
            <w:pPr>
              <w:spacing w:after="0"/>
              <w:rPr>
                <w:sz w:val="1"/>
                <w:szCs w:val="1"/>
                <w:color w:val="auto"/>
              </w:rPr>
            </w:pPr>
          </w:p>
        </w:tc>
      </w:tr>
      <w:tr>
        <w:trPr>
          <w:trHeight w:val="257"/>
        </w:trPr>
        <w:tc>
          <w:tcPr>
            <w:tcW w:w="1060" w:type="dxa"/>
            <w:vAlign w:val="bottom"/>
            <w:shd w:val="clear" w:color="auto" w:fill="F2F2F2"/>
          </w:tcPr>
          <w:p>
            <w:pPr>
              <w:spacing w:after="0"/>
              <w:rPr>
                <w:sz w:val="22"/>
                <w:szCs w:val="22"/>
                <w:color w:val="auto"/>
              </w:rPr>
            </w:pPr>
          </w:p>
        </w:tc>
        <w:tc>
          <w:tcPr>
            <w:tcW w:w="1620" w:type="dxa"/>
            <w:vAlign w:val="bottom"/>
            <w:shd w:val="clear" w:color="auto" w:fill="F2F2F2"/>
          </w:tcPr>
          <w:p>
            <w:pPr>
              <w:ind w:left="20"/>
              <w:spacing w:after="0"/>
              <w:rPr>
                <w:sz w:val="20"/>
                <w:szCs w:val="20"/>
                <w:color w:val="auto"/>
              </w:rPr>
            </w:pPr>
            <w:r>
              <w:rPr>
                <w:rFonts w:ascii="Arial" w:cs="Arial" w:eastAsia="Arial" w:hAnsi="Arial"/>
                <w:sz w:val="14"/>
                <w:szCs w:val="14"/>
                <w:color w:val="auto"/>
              </w:rPr>
              <w:t>deferred compensation</w:t>
            </w:r>
          </w:p>
        </w:tc>
        <w:tc>
          <w:tcPr>
            <w:tcW w:w="1280" w:type="dxa"/>
            <w:vAlign w:val="bottom"/>
            <w:shd w:val="clear" w:color="auto" w:fill="F2F2F2"/>
          </w:tcPr>
          <w:p>
            <w:pPr>
              <w:jc w:val="right"/>
              <w:ind w:right="228"/>
              <w:spacing w:after="0"/>
              <w:rPr>
                <w:sz w:val="20"/>
                <w:szCs w:val="20"/>
                <w:color w:val="auto"/>
              </w:rPr>
            </w:pPr>
            <w:r>
              <w:rPr>
                <w:rFonts w:ascii="Arial" w:cs="Arial" w:eastAsia="Arial" w:hAnsi="Arial"/>
                <w:sz w:val="14"/>
                <w:szCs w:val="14"/>
                <w:color w:val="auto"/>
              </w:rPr>
              <w:t>$0</w:t>
            </w:r>
          </w:p>
        </w:tc>
        <w:tc>
          <w:tcPr>
            <w:tcW w:w="132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$0</w:t>
            </w:r>
          </w:p>
        </w:tc>
        <w:tc>
          <w:tcPr>
            <w:tcW w:w="1220" w:type="dxa"/>
            <w:vAlign w:val="bottom"/>
            <w:shd w:val="clear" w:color="auto" w:fill="F2F2F2"/>
          </w:tcPr>
          <w:p>
            <w:pPr>
              <w:jc w:val="right"/>
              <w:ind w:right="248"/>
              <w:spacing w:after="0"/>
              <w:rPr>
                <w:sz w:val="20"/>
                <w:szCs w:val="20"/>
                <w:color w:val="auto"/>
              </w:rPr>
            </w:pPr>
            <w:r>
              <w:rPr>
                <w:rFonts w:ascii="Arial" w:cs="Arial" w:eastAsia="Arial" w:hAnsi="Arial"/>
                <w:sz w:val="14"/>
                <w:szCs w:val="14"/>
                <w:color w:val="auto"/>
              </w:rPr>
              <w:t>$0</w:t>
            </w:r>
          </w:p>
        </w:tc>
        <w:tc>
          <w:tcPr>
            <w:tcW w:w="122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shd w:val="clear" w:color="auto" w:fill="F2F2F2"/>
          </w:tcPr>
          <w:p>
            <w:pPr>
              <w:jc w:val="right"/>
              <w:ind w:right="26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58"/>
        </w:trPr>
        <w:tc>
          <w:tcPr>
            <w:tcW w:w="1060" w:type="dxa"/>
            <w:vAlign w:val="bottom"/>
            <w:tcBorders>
              <w:bottom w:val="single" w:sz="8" w:color="F2F2F2"/>
            </w:tcBorders>
            <w:shd w:val="clear" w:color="auto" w:fill="F2F2F2"/>
          </w:tcPr>
          <w:p>
            <w:pPr>
              <w:spacing w:after="0"/>
              <w:rPr>
                <w:sz w:val="22"/>
                <w:szCs w:val="22"/>
                <w:color w:val="auto"/>
              </w:rPr>
            </w:pPr>
          </w:p>
        </w:tc>
        <w:tc>
          <w:tcPr>
            <w:tcW w:w="1620" w:type="dxa"/>
            <w:vAlign w:val="bottom"/>
            <w:tcBorders>
              <w:bottom w:val="single" w:sz="8" w:color="F2F2F2"/>
            </w:tcBorders>
            <w:shd w:val="clear" w:color="auto" w:fill="F2F2F2"/>
          </w:tcPr>
          <w:p>
            <w:pPr>
              <w:ind w:left="1340"/>
              <w:spacing w:after="0"/>
              <w:rPr>
                <w:sz w:val="20"/>
                <w:szCs w:val="20"/>
                <w:color w:val="auto"/>
              </w:rPr>
            </w:pPr>
            <w:r>
              <w:rPr>
                <w:rFonts w:ascii="Arial" w:cs="Arial" w:eastAsia="Arial" w:hAnsi="Arial"/>
                <w:sz w:val="14"/>
                <w:szCs w:val="14"/>
                <w:color w:val="auto"/>
                <w:w w:val="98"/>
              </w:rPr>
              <w:t>total</w:t>
            </w:r>
          </w:p>
        </w:tc>
        <w:tc>
          <w:tcPr>
            <w:tcW w:w="1280" w:type="dxa"/>
            <w:vAlign w:val="bottom"/>
            <w:tcBorders>
              <w:bottom w:val="single" w:sz="8" w:color="F2F2F2"/>
            </w:tcBorders>
            <w:shd w:val="clear" w:color="auto" w:fill="F2F2F2"/>
          </w:tcPr>
          <w:p>
            <w:pPr>
              <w:jc w:val="right"/>
              <w:ind w:right="228"/>
              <w:spacing w:after="0"/>
              <w:rPr>
                <w:sz w:val="20"/>
                <w:szCs w:val="20"/>
                <w:color w:val="auto"/>
              </w:rPr>
            </w:pPr>
            <w:r>
              <w:rPr>
                <w:rFonts w:ascii="Arial" w:cs="Arial" w:eastAsia="Arial" w:hAnsi="Arial"/>
                <w:sz w:val="14"/>
                <w:szCs w:val="14"/>
                <w:color w:val="auto"/>
              </w:rPr>
              <w:t>$53,816</w:t>
            </w:r>
          </w:p>
        </w:tc>
        <w:tc>
          <w:tcPr>
            <w:tcW w:w="1320" w:type="dxa"/>
            <w:vAlign w:val="bottom"/>
            <w:tcBorders>
              <w:bottom w:val="single" w:sz="8" w:color="F2F2F2"/>
            </w:tcBorders>
            <w:shd w:val="clear" w:color="auto" w:fill="F2F2F2"/>
          </w:tcPr>
          <w:p>
            <w:pPr>
              <w:jc w:val="right"/>
              <w:ind w:right="48"/>
              <w:spacing w:after="0"/>
              <w:rPr>
                <w:sz w:val="20"/>
                <w:szCs w:val="20"/>
                <w:color w:val="auto"/>
              </w:rPr>
            </w:pPr>
            <w:r>
              <w:rPr>
                <w:rFonts w:ascii="Arial" w:cs="Arial" w:eastAsia="Arial" w:hAnsi="Arial"/>
                <w:sz w:val="14"/>
                <w:szCs w:val="14"/>
                <w:color w:val="auto"/>
              </w:rPr>
              <w:t>$53,816</w:t>
            </w:r>
          </w:p>
        </w:tc>
        <w:tc>
          <w:tcPr>
            <w:tcW w:w="1220" w:type="dxa"/>
            <w:vAlign w:val="bottom"/>
            <w:tcBorders>
              <w:bottom w:val="single" w:sz="8" w:color="F2F2F2"/>
            </w:tcBorders>
            <w:shd w:val="clear" w:color="auto" w:fill="F2F2F2"/>
          </w:tcPr>
          <w:p>
            <w:pPr>
              <w:jc w:val="right"/>
              <w:ind w:right="208"/>
              <w:spacing w:after="0"/>
              <w:rPr>
                <w:sz w:val="20"/>
                <w:szCs w:val="20"/>
                <w:color w:val="auto"/>
              </w:rPr>
            </w:pPr>
            <w:r>
              <w:rPr>
                <w:rFonts w:ascii="Arial" w:cs="Arial" w:eastAsia="Arial" w:hAnsi="Arial"/>
                <w:sz w:val="14"/>
                <w:szCs w:val="14"/>
                <w:color w:val="auto"/>
              </w:rPr>
              <w:t>($178,790)</w:t>
            </w:r>
          </w:p>
        </w:tc>
        <w:tc>
          <w:tcPr>
            <w:tcW w:w="1220" w:type="dxa"/>
            <w:vAlign w:val="bottom"/>
            <w:tcBorders>
              <w:bottom w:val="single" w:sz="8" w:color="F2F2F2"/>
            </w:tcBorders>
            <w:shd w:val="clear" w:color="auto" w:fill="F2F2F2"/>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tcBorders>
              <w:bottom w:val="single" w:sz="8" w:color="F2F2F2"/>
            </w:tcBorders>
            <w:shd w:val="clear" w:color="auto" w:fill="F2F2F2"/>
          </w:tcPr>
          <w:p>
            <w:pPr>
              <w:jc w:val="right"/>
              <w:ind w:right="268"/>
              <w:spacing w:after="0"/>
              <w:rPr>
                <w:sz w:val="20"/>
                <w:szCs w:val="20"/>
                <w:color w:val="auto"/>
              </w:rPr>
            </w:pPr>
            <w:r>
              <w:rPr>
                <w:rFonts w:ascii="Arial" w:cs="Arial" w:eastAsia="Arial" w:hAnsi="Arial"/>
                <w:sz w:val="14"/>
                <w:szCs w:val="14"/>
                <w:color w:val="auto"/>
              </w:rPr>
              <w:t>$849,488</w:t>
            </w:r>
          </w:p>
        </w:tc>
        <w:tc>
          <w:tcPr>
            <w:tcW w:w="0" w:type="dxa"/>
            <w:vAlign w:val="bottom"/>
          </w:tcPr>
          <w:p>
            <w:pPr>
              <w:spacing w:after="0"/>
              <w:rPr>
                <w:sz w:val="1"/>
                <w:szCs w:val="1"/>
                <w:color w:val="auto"/>
              </w:rPr>
            </w:pPr>
          </w:p>
        </w:tc>
      </w:tr>
      <w:tr>
        <w:trPr>
          <w:trHeight w:val="235"/>
        </w:trPr>
        <w:tc>
          <w:tcPr>
            <w:tcW w:w="1060" w:type="dxa"/>
            <w:vAlign w:val="bottom"/>
          </w:tcPr>
          <w:p>
            <w:pPr>
              <w:ind w:left="20"/>
              <w:spacing w:after="0"/>
              <w:rPr>
                <w:sz w:val="20"/>
                <w:szCs w:val="20"/>
                <w:color w:val="auto"/>
              </w:rPr>
            </w:pPr>
            <w:r>
              <w:rPr>
                <w:rFonts w:ascii="Arial" w:cs="Arial" w:eastAsia="Arial" w:hAnsi="Arial"/>
                <w:sz w:val="14"/>
                <w:szCs w:val="14"/>
                <w:color w:val="auto"/>
              </w:rPr>
              <w:t>Ms. Hakim</w:t>
            </w:r>
          </w:p>
        </w:tc>
        <w:tc>
          <w:tcPr>
            <w:tcW w:w="1620" w:type="dxa"/>
            <w:vAlign w:val="bottom"/>
          </w:tcPr>
          <w:p>
            <w:pPr>
              <w:ind w:left="20"/>
              <w:spacing w:after="0"/>
              <w:rPr>
                <w:sz w:val="20"/>
                <w:szCs w:val="20"/>
                <w:color w:val="auto"/>
              </w:rPr>
            </w:pPr>
            <w:r>
              <w:rPr>
                <w:rFonts w:ascii="Arial" w:cs="Arial" w:eastAsia="Arial" w:hAnsi="Arial"/>
                <w:sz w:val="14"/>
                <w:szCs w:val="14"/>
                <w:color w:val="auto"/>
              </w:rPr>
              <w:t>nonqualified savings</w:t>
            </w: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$34,258</w:t>
            </w:r>
          </w:p>
        </w:tc>
        <w:tc>
          <w:tcPr>
            <w:tcW w:w="1320" w:type="dxa"/>
            <w:vAlign w:val="bottom"/>
          </w:tcPr>
          <w:p>
            <w:pPr>
              <w:jc w:val="right"/>
              <w:spacing w:after="0"/>
              <w:rPr>
                <w:sz w:val="20"/>
                <w:szCs w:val="20"/>
                <w:color w:val="auto"/>
              </w:rPr>
            </w:pPr>
            <w:r>
              <w:rPr>
                <w:rFonts w:ascii="Arial" w:cs="Arial" w:eastAsia="Arial" w:hAnsi="Arial"/>
                <w:sz w:val="14"/>
                <w:szCs w:val="14"/>
                <w:color w:val="auto"/>
              </w:rPr>
              <w:t>$34,258</w:t>
            </w: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($26,208)</w:t>
            </w:r>
          </w:p>
        </w:tc>
        <w:tc>
          <w:tcPr>
            <w:tcW w:w="1220" w:type="dxa"/>
            <w:vAlign w:val="bottom"/>
          </w:tcPr>
          <w:p>
            <w:pPr>
              <w:jc w:val="right"/>
              <w:spacing w:after="0"/>
              <w:rPr>
                <w:sz w:val="20"/>
                <w:szCs w:val="20"/>
                <w:color w:val="auto"/>
              </w:rPr>
            </w:pPr>
            <w:r>
              <w:rPr>
                <w:rFonts w:ascii="Arial" w:cs="Arial" w:eastAsia="Arial" w:hAnsi="Arial"/>
                <w:sz w:val="14"/>
                <w:szCs w:val="14"/>
                <w:color w:val="auto"/>
              </w:rPr>
              <w:t>$0</w:t>
            </w: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$174,143</w:t>
            </w:r>
          </w:p>
        </w:tc>
        <w:tc>
          <w:tcPr>
            <w:tcW w:w="0" w:type="dxa"/>
            <w:vAlign w:val="bottom"/>
          </w:tcPr>
          <w:p>
            <w:pPr>
              <w:spacing w:after="0"/>
              <w:rPr>
                <w:sz w:val="1"/>
                <w:szCs w:val="1"/>
                <w:color w:val="auto"/>
              </w:rPr>
            </w:pPr>
          </w:p>
        </w:tc>
      </w:tr>
      <w:tr>
        <w:trPr>
          <w:trHeight w:val="257"/>
        </w:trPr>
        <w:tc>
          <w:tcPr>
            <w:tcW w:w="1060" w:type="dxa"/>
            <w:vAlign w:val="bottom"/>
          </w:tcPr>
          <w:p>
            <w:pPr>
              <w:spacing w:after="0"/>
              <w:rPr>
                <w:sz w:val="22"/>
                <w:szCs w:val="22"/>
                <w:color w:val="auto"/>
              </w:rPr>
            </w:pPr>
          </w:p>
        </w:tc>
        <w:tc>
          <w:tcPr>
            <w:tcW w:w="1620" w:type="dxa"/>
            <w:vAlign w:val="bottom"/>
          </w:tcPr>
          <w:p>
            <w:pPr>
              <w:ind w:left="20"/>
              <w:spacing w:after="0"/>
              <w:rPr>
                <w:sz w:val="20"/>
                <w:szCs w:val="20"/>
                <w:color w:val="auto"/>
              </w:rPr>
            </w:pPr>
            <w:r>
              <w:rPr>
                <w:rFonts w:ascii="Arial" w:cs="Arial" w:eastAsia="Arial" w:hAnsi="Arial"/>
                <w:sz w:val="14"/>
                <w:szCs w:val="14"/>
                <w:color w:val="auto"/>
              </w:rPr>
              <w:t>deferred compensation</w:t>
            </w: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$0</w:t>
            </w:r>
          </w:p>
        </w:tc>
        <w:tc>
          <w:tcPr>
            <w:tcW w:w="1320" w:type="dxa"/>
            <w:vAlign w:val="bottom"/>
          </w:tcPr>
          <w:p>
            <w:pPr>
              <w:jc w:val="right"/>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$0</w:t>
            </w:r>
          </w:p>
        </w:tc>
        <w:tc>
          <w:tcPr>
            <w:tcW w:w="1220" w:type="dxa"/>
            <w:vAlign w:val="bottom"/>
          </w:tcPr>
          <w:p>
            <w:pPr>
              <w:jc w:val="right"/>
              <w:spacing w:after="0"/>
              <w:rPr>
                <w:sz w:val="20"/>
                <w:szCs w:val="20"/>
                <w:color w:val="auto"/>
              </w:rPr>
            </w:pPr>
            <w:r>
              <w:rPr>
                <w:rFonts w:ascii="Arial" w:cs="Arial" w:eastAsia="Arial" w:hAnsi="Arial"/>
                <w:sz w:val="14"/>
                <w:szCs w:val="14"/>
                <w:color w:val="auto"/>
              </w:rPr>
              <w:t>$0</w:t>
            </w: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56"/>
        </w:trPr>
        <w:tc>
          <w:tcPr>
            <w:tcW w:w="1060" w:type="dxa"/>
            <w:vAlign w:val="bottom"/>
          </w:tcPr>
          <w:p>
            <w:pPr>
              <w:spacing w:after="0"/>
              <w:rPr>
                <w:sz w:val="22"/>
                <w:szCs w:val="22"/>
                <w:color w:val="auto"/>
              </w:rPr>
            </w:pPr>
          </w:p>
        </w:tc>
        <w:tc>
          <w:tcPr>
            <w:tcW w:w="1620" w:type="dxa"/>
            <w:vAlign w:val="bottom"/>
          </w:tcPr>
          <w:p>
            <w:pPr>
              <w:ind w:left="1340"/>
              <w:spacing w:after="0"/>
              <w:rPr>
                <w:sz w:val="20"/>
                <w:szCs w:val="20"/>
                <w:color w:val="auto"/>
              </w:rPr>
            </w:pPr>
            <w:r>
              <w:rPr>
                <w:rFonts w:ascii="Arial" w:cs="Arial" w:eastAsia="Arial" w:hAnsi="Arial"/>
                <w:sz w:val="14"/>
                <w:szCs w:val="14"/>
                <w:color w:val="auto"/>
                <w:w w:val="98"/>
              </w:rPr>
              <w:t>total</w:t>
            </w: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$34,258</w:t>
            </w:r>
          </w:p>
        </w:tc>
        <w:tc>
          <w:tcPr>
            <w:tcW w:w="1320" w:type="dxa"/>
            <w:vAlign w:val="bottom"/>
          </w:tcPr>
          <w:p>
            <w:pPr>
              <w:jc w:val="right"/>
              <w:spacing w:after="0"/>
              <w:rPr>
                <w:sz w:val="20"/>
                <w:szCs w:val="20"/>
                <w:color w:val="auto"/>
              </w:rPr>
            </w:pPr>
            <w:r>
              <w:rPr>
                <w:rFonts w:ascii="Arial" w:cs="Arial" w:eastAsia="Arial" w:hAnsi="Arial"/>
                <w:sz w:val="14"/>
                <w:szCs w:val="14"/>
                <w:color w:val="auto"/>
              </w:rPr>
              <w:t>$34,258</w:t>
            </w: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($26,208)</w:t>
            </w:r>
          </w:p>
        </w:tc>
        <w:tc>
          <w:tcPr>
            <w:tcW w:w="1220" w:type="dxa"/>
            <w:vAlign w:val="bottom"/>
          </w:tcPr>
          <w:p>
            <w:pPr>
              <w:jc w:val="right"/>
              <w:spacing w:after="0"/>
              <w:rPr>
                <w:sz w:val="20"/>
                <w:szCs w:val="20"/>
                <w:color w:val="auto"/>
              </w:rPr>
            </w:pPr>
            <w:r>
              <w:rPr>
                <w:rFonts w:ascii="Arial" w:cs="Arial" w:eastAsia="Arial" w:hAnsi="Arial"/>
                <w:sz w:val="14"/>
                <w:szCs w:val="14"/>
                <w:color w:val="auto"/>
              </w:rPr>
              <w:t>$0</w:t>
            </w: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$174,143</w:t>
            </w:r>
          </w:p>
        </w:tc>
        <w:tc>
          <w:tcPr>
            <w:tcW w:w="0" w:type="dxa"/>
            <w:vAlign w:val="bottom"/>
          </w:tcPr>
          <w:p>
            <w:pPr>
              <w:spacing w:after="0"/>
              <w:rPr>
                <w:sz w:val="1"/>
                <w:szCs w:val="1"/>
                <w:color w:val="auto"/>
              </w:rPr>
            </w:pPr>
          </w:p>
        </w:tc>
      </w:tr>
      <w:tr>
        <w:trPr>
          <w:trHeight w:val="22"/>
        </w:trPr>
        <w:tc>
          <w:tcPr>
            <w:tcW w:w="1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060" w:type="dxa"/>
            <w:vAlign w:val="bottom"/>
            <w:shd w:val="clear" w:color="auto" w:fill="F2F2F2"/>
          </w:tcPr>
          <w:p>
            <w:pPr>
              <w:ind w:left="20"/>
              <w:spacing w:after="0"/>
              <w:rPr>
                <w:sz w:val="20"/>
                <w:szCs w:val="20"/>
                <w:color w:val="auto"/>
              </w:rPr>
            </w:pPr>
            <w:r>
              <w:rPr>
                <w:rFonts w:ascii="Arial" w:cs="Arial" w:eastAsia="Arial" w:hAnsi="Arial"/>
                <w:sz w:val="14"/>
                <w:szCs w:val="14"/>
                <w:color w:val="auto"/>
              </w:rPr>
              <w:t>Mr. Jonsson</w:t>
            </w:r>
          </w:p>
        </w:tc>
        <w:tc>
          <w:tcPr>
            <w:tcW w:w="1620" w:type="dxa"/>
            <w:vAlign w:val="bottom"/>
            <w:shd w:val="clear" w:color="auto" w:fill="F2F2F2"/>
          </w:tcPr>
          <w:p>
            <w:pPr>
              <w:ind w:left="20"/>
              <w:spacing w:after="0"/>
              <w:rPr>
                <w:sz w:val="20"/>
                <w:szCs w:val="20"/>
                <w:color w:val="auto"/>
              </w:rPr>
            </w:pPr>
            <w:r>
              <w:rPr>
                <w:rFonts w:ascii="Arial" w:cs="Arial" w:eastAsia="Arial" w:hAnsi="Arial"/>
                <w:sz w:val="14"/>
                <w:szCs w:val="14"/>
                <w:color w:val="auto"/>
              </w:rPr>
              <w:t>nonqualified savings</w:t>
            </w:r>
          </w:p>
        </w:tc>
        <w:tc>
          <w:tcPr>
            <w:tcW w:w="1280" w:type="dxa"/>
            <w:vAlign w:val="bottom"/>
            <w:shd w:val="clear" w:color="auto" w:fill="F2F2F2"/>
          </w:tcPr>
          <w:p>
            <w:pPr>
              <w:jc w:val="right"/>
              <w:ind w:right="168"/>
              <w:spacing w:after="0"/>
              <w:rPr>
                <w:sz w:val="20"/>
                <w:szCs w:val="20"/>
                <w:color w:val="auto"/>
              </w:rPr>
            </w:pPr>
            <w:r>
              <w:rPr>
                <w:rFonts w:ascii="Arial" w:cs="Arial" w:eastAsia="Arial" w:hAnsi="Arial"/>
                <w:sz w:val="14"/>
                <w:szCs w:val="14"/>
                <w:color w:val="auto"/>
              </w:rPr>
              <w:t>$26,123</w:t>
            </w:r>
          </w:p>
        </w:tc>
        <w:tc>
          <w:tcPr>
            <w:tcW w:w="13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$26,123</w:t>
            </w:r>
          </w:p>
        </w:tc>
        <w:tc>
          <w:tcPr>
            <w:tcW w:w="1220" w:type="dxa"/>
            <w:vAlign w:val="bottom"/>
            <w:shd w:val="clear" w:color="auto" w:fill="F2F2F2"/>
          </w:tcPr>
          <w:p>
            <w:pPr>
              <w:jc w:val="right"/>
              <w:ind w:right="188"/>
              <w:spacing w:after="0"/>
              <w:rPr>
                <w:sz w:val="20"/>
                <w:szCs w:val="20"/>
                <w:color w:val="auto"/>
              </w:rPr>
            </w:pPr>
            <w:r>
              <w:rPr>
                <w:rFonts w:ascii="Arial" w:cs="Arial" w:eastAsia="Arial" w:hAnsi="Arial"/>
                <w:sz w:val="14"/>
                <w:szCs w:val="14"/>
                <w:color w:val="auto"/>
              </w:rPr>
              <w:t>($19,191)</w:t>
            </w:r>
          </w:p>
        </w:tc>
        <w:tc>
          <w:tcPr>
            <w:tcW w:w="12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$0</w:t>
            </w:r>
          </w:p>
        </w:tc>
        <w:tc>
          <w:tcPr>
            <w:tcW w:w="1260" w:type="dxa"/>
            <w:vAlign w:val="bottom"/>
            <w:shd w:val="clear" w:color="auto" w:fill="F2F2F2"/>
          </w:tcPr>
          <w:p>
            <w:pPr>
              <w:jc w:val="right"/>
              <w:ind w:right="208"/>
              <w:spacing w:after="0"/>
              <w:rPr>
                <w:sz w:val="20"/>
                <w:szCs w:val="20"/>
                <w:color w:val="auto"/>
              </w:rPr>
            </w:pPr>
            <w:r>
              <w:rPr>
                <w:rFonts w:ascii="Arial" w:cs="Arial" w:eastAsia="Arial" w:hAnsi="Arial"/>
                <w:sz w:val="14"/>
                <w:szCs w:val="14"/>
                <w:color w:val="auto"/>
              </w:rPr>
              <w:t>$138,719</w:t>
            </w:r>
          </w:p>
        </w:tc>
        <w:tc>
          <w:tcPr>
            <w:tcW w:w="0" w:type="dxa"/>
            <w:vAlign w:val="bottom"/>
          </w:tcPr>
          <w:p>
            <w:pPr>
              <w:spacing w:after="0"/>
              <w:rPr>
                <w:sz w:val="1"/>
                <w:szCs w:val="1"/>
                <w:color w:val="auto"/>
              </w:rPr>
            </w:pPr>
          </w:p>
        </w:tc>
      </w:tr>
      <w:tr>
        <w:trPr>
          <w:trHeight w:val="256"/>
        </w:trPr>
        <w:tc>
          <w:tcPr>
            <w:tcW w:w="1060" w:type="dxa"/>
            <w:vAlign w:val="bottom"/>
            <w:shd w:val="clear" w:color="auto" w:fill="F2F2F2"/>
          </w:tcPr>
          <w:p>
            <w:pPr>
              <w:spacing w:after="0"/>
              <w:rPr>
                <w:sz w:val="22"/>
                <w:szCs w:val="22"/>
                <w:color w:val="auto"/>
              </w:rPr>
            </w:pPr>
          </w:p>
        </w:tc>
        <w:tc>
          <w:tcPr>
            <w:tcW w:w="1620" w:type="dxa"/>
            <w:vAlign w:val="bottom"/>
            <w:shd w:val="clear" w:color="auto" w:fill="F2F2F2"/>
          </w:tcPr>
          <w:p>
            <w:pPr>
              <w:ind w:left="20"/>
              <w:spacing w:after="0"/>
              <w:rPr>
                <w:sz w:val="20"/>
                <w:szCs w:val="20"/>
                <w:color w:val="auto"/>
              </w:rPr>
            </w:pPr>
            <w:r>
              <w:rPr>
                <w:rFonts w:ascii="Arial" w:cs="Arial" w:eastAsia="Arial" w:hAnsi="Arial"/>
                <w:sz w:val="14"/>
                <w:szCs w:val="14"/>
                <w:color w:val="auto"/>
              </w:rPr>
              <w:t>deferred compensation</w:t>
            </w:r>
          </w:p>
        </w:tc>
        <w:tc>
          <w:tcPr>
            <w:tcW w:w="1280" w:type="dxa"/>
            <w:vAlign w:val="bottom"/>
            <w:shd w:val="clear" w:color="auto" w:fill="F2F2F2"/>
          </w:tcPr>
          <w:p>
            <w:pPr>
              <w:jc w:val="right"/>
              <w:ind w:right="168"/>
              <w:spacing w:after="0"/>
              <w:rPr>
                <w:sz w:val="20"/>
                <w:szCs w:val="20"/>
                <w:color w:val="auto"/>
              </w:rPr>
            </w:pPr>
            <w:r>
              <w:rPr>
                <w:rFonts w:ascii="Arial" w:cs="Arial" w:eastAsia="Arial" w:hAnsi="Arial"/>
                <w:sz w:val="14"/>
                <w:szCs w:val="14"/>
                <w:color w:val="auto"/>
              </w:rPr>
              <w:t>$0</w:t>
            </w:r>
          </w:p>
        </w:tc>
        <w:tc>
          <w:tcPr>
            <w:tcW w:w="13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$0</w:t>
            </w:r>
          </w:p>
        </w:tc>
        <w:tc>
          <w:tcPr>
            <w:tcW w:w="1220" w:type="dxa"/>
            <w:vAlign w:val="bottom"/>
            <w:shd w:val="clear" w:color="auto" w:fill="F2F2F2"/>
          </w:tcPr>
          <w:p>
            <w:pPr>
              <w:jc w:val="right"/>
              <w:ind w:right="188"/>
              <w:spacing w:after="0"/>
              <w:rPr>
                <w:sz w:val="20"/>
                <w:szCs w:val="20"/>
                <w:color w:val="auto"/>
              </w:rPr>
            </w:pPr>
            <w:r>
              <w:rPr>
                <w:rFonts w:ascii="Arial" w:cs="Arial" w:eastAsia="Arial" w:hAnsi="Arial"/>
                <w:sz w:val="14"/>
                <w:szCs w:val="14"/>
                <w:color w:val="auto"/>
              </w:rPr>
              <w:t>$0</w:t>
            </w:r>
          </w:p>
        </w:tc>
        <w:tc>
          <w:tcPr>
            <w:tcW w:w="12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$0</w:t>
            </w:r>
          </w:p>
        </w:tc>
        <w:tc>
          <w:tcPr>
            <w:tcW w:w="1260" w:type="dxa"/>
            <w:vAlign w:val="bottom"/>
            <w:shd w:val="clear" w:color="auto" w:fill="F2F2F2"/>
          </w:tcPr>
          <w:p>
            <w:pPr>
              <w:jc w:val="right"/>
              <w:ind w:right="20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58"/>
        </w:trPr>
        <w:tc>
          <w:tcPr>
            <w:tcW w:w="1060" w:type="dxa"/>
            <w:vAlign w:val="bottom"/>
            <w:tcBorders>
              <w:bottom w:val="single" w:sz="8" w:color="F2F2F2"/>
            </w:tcBorders>
            <w:shd w:val="clear" w:color="auto" w:fill="F2F2F2"/>
          </w:tcPr>
          <w:p>
            <w:pPr>
              <w:spacing w:after="0"/>
              <w:rPr>
                <w:sz w:val="22"/>
                <w:szCs w:val="22"/>
                <w:color w:val="auto"/>
              </w:rPr>
            </w:pPr>
          </w:p>
        </w:tc>
        <w:tc>
          <w:tcPr>
            <w:tcW w:w="1620" w:type="dxa"/>
            <w:vAlign w:val="bottom"/>
            <w:tcBorders>
              <w:bottom w:val="single" w:sz="8" w:color="F2F2F2"/>
            </w:tcBorders>
            <w:shd w:val="clear" w:color="auto" w:fill="F2F2F2"/>
          </w:tcPr>
          <w:p>
            <w:pPr>
              <w:ind w:left="1340"/>
              <w:spacing w:after="0"/>
              <w:rPr>
                <w:sz w:val="20"/>
                <w:szCs w:val="20"/>
                <w:color w:val="auto"/>
              </w:rPr>
            </w:pPr>
            <w:r>
              <w:rPr>
                <w:rFonts w:ascii="Arial" w:cs="Arial" w:eastAsia="Arial" w:hAnsi="Arial"/>
                <w:sz w:val="14"/>
                <w:szCs w:val="14"/>
                <w:color w:val="auto"/>
                <w:w w:val="98"/>
              </w:rPr>
              <w:t>total</w:t>
            </w:r>
          </w:p>
        </w:tc>
        <w:tc>
          <w:tcPr>
            <w:tcW w:w="1280" w:type="dxa"/>
            <w:vAlign w:val="bottom"/>
            <w:tcBorders>
              <w:bottom w:val="single" w:sz="8" w:color="F2F2F2"/>
            </w:tcBorders>
            <w:shd w:val="clear" w:color="auto" w:fill="F2F2F2"/>
          </w:tcPr>
          <w:p>
            <w:pPr>
              <w:jc w:val="right"/>
              <w:ind w:right="168"/>
              <w:spacing w:after="0"/>
              <w:rPr>
                <w:sz w:val="20"/>
                <w:szCs w:val="20"/>
                <w:color w:val="auto"/>
              </w:rPr>
            </w:pPr>
            <w:r>
              <w:rPr>
                <w:rFonts w:ascii="Arial" w:cs="Arial" w:eastAsia="Arial" w:hAnsi="Arial"/>
                <w:sz w:val="14"/>
                <w:szCs w:val="14"/>
                <w:color w:val="auto"/>
              </w:rPr>
              <w:t>$26,123</w:t>
            </w:r>
          </w:p>
        </w:tc>
        <w:tc>
          <w:tcPr>
            <w:tcW w:w="132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$26,123</w:t>
            </w:r>
          </w:p>
        </w:tc>
        <w:tc>
          <w:tcPr>
            <w:tcW w:w="1220" w:type="dxa"/>
            <w:vAlign w:val="bottom"/>
            <w:tcBorders>
              <w:bottom w:val="single" w:sz="8" w:color="F2F2F2"/>
            </w:tcBorders>
            <w:shd w:val="clear" w:color="auto" w:fill="F2F2F2"/>
          </w:tcPr>
          <w:p>
            <w:pPr>
              <w:jc w:val="right"/>
              <w:ind w:right="188"/>
              <w:spacing w:after="0"/>
              <w:rPr>
                <w:sz w:val="20"/>
                <w:szCs w:val="20"/>
                <w:color w:val="auto"/>
              </w:rPr>
            </w:pPr>
            <w:r>
              <w:rPr>
                <w:rFonts w:ascii="Arial" w:cs="Arial" w:eastAsia="Arial" w:hAnsi="Arial"/>
                <w:sz w:val="14"/>
                <w:szCs w:val="14"/>
                <w:color w:val="auto"/>
              </w:rPr>
              <w:t>($19,191)</w:t>
            </w:r>
          </w:p>
        </w:tc>
        <w:tc>
          <w:tcPr>
            <w:tcW w:w="122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$0</w:t>
            </w:r>
          </w:p>
        </w:tc>
        <w:tc>
          <w:tcPr>
            <w:tcW w:w="1260" w:type="dxa"/>
            <w:vAlign w:val="bottom"/>
            <w:tcBorders>
              <w:bottom w:val="single" w:sz="8" w:color="F2F2F2"/>
            </w:tcBorders>
            <w:shd w:val="clear" w:color="auto" w:fill="F2F2F2"/>
          </w:tcPr>
          <w:p>
            <w:pPr>
              <w:jc w:val="right"/>
              <w:ind w:right="208"/>
              <w:spacing w:after="0"/>
              <w:rPr>
                <w:sz w:val="20"/>
                <w:szCs w:val="20"/>
                <w:color w:val="auto"/>
              </w:rPr>
            </w:pPr>
            <w:r>
              <w:rPr>
                <w:rFonts w:ascii="Arial" w:cs="Arial" w:eastAsia="Arial" w:hAnsi="Arial"/>
                <w:sz w:val="14"/>
                <w:szCs w:val="14"/>
                <w:color w:val="auto"/>
              </w:rPr>
              <w:t>$138,719</w:t>
            </w:r>
          </w:p>
        </w:tc>
        <w:tc>
          <w:tcPr>
            <w:tcW w:w="0" w:type="dxa"/>
            <w:vAlign w:val="bottom"/>
          </w:tcPr>
          <w:p>
            <w:pPr>
              <w:spacing w:after="0"/>
              <w:rPr>
                <w:sz w:val="1"/>
                <w:szCs w:val="1"/>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180" w:right="820" w:hanging="172"/>
        <w:spacing w:after="0" w:line="231" w:lineRule="auto"/>
        <w:tabs>
          <w:tab w:leader="none" w:pos="110" w:val="left"/>
        </w:tabs>
        <w:numPr>
          <w:ilvl w:val="0"/>
          <w:numId w:val="174"/>
        </w:numPr>
        <w:rPr>
          <w:rFonts w:ascii="Arial" w:cs="Arial" w:eastAsia="Arial" w:hAnsi="Arial"/>
          <w:sz w:val="19"/>
          <w:szCs w:val="19"/>
          <w:color w:val="auto"/>
          <w:vertAlign w:val="superscript"/>
        </w:rPr>
      </w:pPr>
      <w:r>
        <w:rPr>
          <w:rFonts w:ascii="Arial" w:cs="Arial" w:eastAsia="Arial" w:hAnsi="Arial"/>
          <w:sz w:val="14"/>
          <w:szCs w:val="14"/>
          <w:color w:val="auto"/>
        </w:rPr>
        <w:t>The amounts in this column are also included in the Summary Compensation Table in the “Salary” column (nonqualified savings) or the “Non-Equity Incentive Plan Compensation” column (deferred compensation).</w:t>
      </w:r>
    </w:p>
    <w:p>
      <w:pPr>
        <w:spacing w:after="0" w:line="12" w:lineRule="exact"/>
        <w:rPr>
          <w:sz w:val="20"/>
          <w:szCs w:val="20"/>
          <w:color w:val="auto"/>
        </w:rPr>
      </w:pPr>
    </w:p>
    <w:p>
      <w:pPr>
        <w:ind w:left="100" w:hanging="92"/>
        <w:spacing w:after="0"/>
        <w:tabs>
          <w:tab w:leader="none" w:pos="100" w:val="left"/>
        </w:tabs>
        <w:numPr>
          <w:ilvl w:val="0"/>
          <w:numId w:val="175"/>
        </w:numPr>
        <w:rPr>
          <w:rFonts w:ascii="Arial" w:cs="Arial" w:eastAsia="Arial" w:hAnsi="Arial"/>
          <w:sz w:val="19"/>
          <w:szCs w:val="19"/>
          <w:color w:val="auto"/>
          <w:vertAlign w:val="superscript"/>
        </w:rPr>
      </w:pPr>
      <w:r>
        <w:rPr>
          <w:rFonts w:ascii="Arial" w:cs="Arial" w:eastAsia="Arial" w:hAnsi="Arial"/>
          <w:sz w:val="14"/>
          <w:szCs w:val="14"/>
          <w:color w:val="auto"/>
        </w:rPr>
        <w:t>The amounts in this column are also included in the Summary Compensation Table in the “All Other Compensation” column as a portion of the savings plan match.</w:t>
      </w:r>
    </w:p>
    <w:p>
      <w:pPr>
        <w:spacing w:after="0" w:line="39"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9"/>
          <w:szCs w:val="9"/>
          <w:color w:val="auto"/>
        </w:rPr>
        <w:t xml:space="preserve">3 </w:t>
      </w:r>
      <w:r>
        <w:rPr>
          <w:rFonts w:ascii="Arial" w:cs="Arial" w:eastAsia="Arial" w:hAnsi="Arial"/>
          <w:sz w:val="14"/>
          <w:szCs w:val="14"/>
          <w:color w:val="auto"/>
        </w:rPr>
        <w:t>Of the totals in this column, the following amounts have previously been reported in the Summary Compensation Table for this year and for previous years: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2" w:name="page83"/>
    <w:bookmarkEnd w:id="82"/>
    <w:tbl>
      <w:tblPr>
        <w:tblLayout w:type="fixed"/>
        <w:tblInd w:w="660" w:type="dxa"/>
        <w:tblCellMar>
          <w:top w:w="0" w:type="dxa"/>
          <w:left w:w="0" w:type="dxa"/>
          <w:bottom w:w="0" w:type="dxa"/>
          <w:right w:w="0" w:type="dxa"/>
        </w:tblCellMar>
      </w:tblPr>
      <w:tr>
        <w:trPr>
          <w:trHeight w:val="205"/>
        </w:trPr>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8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2022 ($)</w:t>
            </w:r>
          </w:p>
        </w:tc>
        <w:tc>
          <w:tcPr>
            <w:tcW w:w="17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Previous Years ($)</w:t>
            </w:r>
          </w:p>
        </w:tc>
        <w:tc>
          <w:tcPr>
            <w:tcW w:w="12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Total ($)</w:t>
            </w:r>
          </w:p>
        </w:tc>
      </w:tr>
      <w:tr>
        <w:trPr>
          <w:trHeight w:val="223"/>
        </w:trPr>
        <w:tc>
          <w:tcPr>
            <w:tcW w:w="19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1800" w:type="dxa"/>
            <w:vAlign w:val="bottom"/>
            <w:tcBorders>
              <w:bottom w:val="single" w:sz="8" w:color="F2F2F2"/>
            </w:tcBorders>
            <w:shd w:val="clear" w:color="auto" w:fill="F2F2F2"/>
          </w:tcPr>
          <w:p>
            <w:pPr>
              <w:jc w:val="right"/>
              <w:ind w:right="188"/>
              <w:spacing w:after="0"/>
              <w:rPr>
                <w:sz w:val="20"/>
                <w:szCs w:val="20"/>
                <w:color w:val="auto"/>
              </w:rPr>
            </w:pPr>
            <w:r>
              <w:rPr>
                <w:rFonts w:ascii="Arial" w:cs="Arial" w:eastAsia="Arial" w:hAnsi="Arial"/>
                <w:sz w:val="14"/>
                <w:szCs w:val="14"/>
                <w:color w:val="auto"/>
              </w:rPr>
              <w:t>$143,400</w:t>
            </w:r>
          </w:p>
        </w:tc>
        <w:tc>
          <w:tcPr>
            <w:tcW w:w="1780" w:type="dxa"/>
            <w:vAlign w:val="bottom"/>
            <w:tcBorders>
              <w:bottom w:val="single" w:sz="8" w:color="F2F2F2"/>
            </w:tcBorders>
            <w:shd w:val="clear" w:color="auto" w:fill="F2F2F2"/>
          </w:tcPr>
          <w:p>
            <w:pPr>
              <w:jc w:val="right"/>
              <w:ind w:right="88"/>
              <w:spacing w:after="0"/>
              <w:rPr>
                <w:sz w:val="20"/>
                <w:szCs w:val="20"/>
                <w:color w:val="auto"/>
              </w:rPr>
            </w:pPr>
            <w:r>
              <w:rPr>
                <w:rFonts w:ascii="Arial" w:cs="Arial" w:eastAsia="Arial" w:hAnsi="Arial"/>
                <w:sz w:val="14"/>
                <w:szCs w:val="14"/>
                <w:color w:val="auto"/>
              </w:rPr>
              <w:t>$692,615</w:t>
            </w:r>
          </w:p>
        </w:tc>
        <w:tc>
          <w:tcPr>
            <w:tcW w:w="1240" w:type="dxa"/>
            <w:vAlign w:val="bottom"/>
            <w:tcBorders>
              <w:bottom w:val="single" w:sz="8" w:color="F2F2F2"/>
            </w:tcBorders>
            <w:shd w:val="clear" w:color="auto" w:fill="F2F2F2"/>
          </w:tcPr>
          <w:p>
            <w:pPr>
              <w:jc w:val="right"/>
              <w:ind w:right="268"/>
              <w:spacing w:after="0"/>
              <w:rPr>
                <w:sz w:val="20"/>
                <w:szCs w:val="20"/>
                <w:color w:val="auto"/>
              </w:rPr>
            </w:pPr>
            <w:r>
              <w:rPr>
                <w:rFonts w:ascii="Arial" w:cs="Arial" w:eastAsia="Arial" w:hAnsi="Arial"/>
                <w:sz w:val="14"/>
                <w:szCs w:val="14"/>
                <w:color w:val="auto"/>
              </w:rPr>
              <w:t>$836,015</w:t>
            </w:r>
          </w:p>
        </w:tc>
      </w:tr>
      <w:tr>
        <w:trPr>
          <w:trHeight w:val="235"/>
        </w:trPr>
        <w:tc>
          <w:tcPr>
            <w:tcW w:w="1920" w:type="dxa"/>
            <w:vAlign w:val="bottom"/>
          </w:tcPr>
          <w:p>
            <w:pPr>
              <w:ind w:left="20"/>
              <w:spacing w:after="0"/>
              <w:rPr>
                <w:sz w:val="20"/>
                <w:szCs w:val="20"/>
                <w:color w:val="auto"/>
              </w:rPr>
            </w:pPr>
            <w:r>
              <w:rPr>
                <w:rFonts w:ascii="Arial" w:cs="Arial" w:eastAsia="Arial" w:hAnsi="Arial"/>
                <w:sz w:val="14"/>
                <w:szCs w:val="14"/>
                <w:color w:val="auto"/>
              </w:rPr>
              <w:t>Ms. Ashkenazi</w:t>
            </w:r>
          </w:p>
        </w:tc>
        <w:tc>
          <w:tcPr>
            <w:tcW w:w="1800" w:type="dxa"/>
            <w:vAlign w:val="bottom"/>
          </w:tcPr>
          <w:p>
            <w:pPr>
              <w:jc w:val="right"/>
              <w:ind w:right="188"/>
              <w:spacing w:after="0"/>
              <w:rPr>
                <w:sz w:val="20"/>
                <w:szCs w:val="20"/>
                <w:color w:val="auto"/>
              </w:rPr>
            </w:pPr>
            <w:r>
              <w:rPr>
                <w:rFonts w:ascii="Arial" w:cs="Arial" w:eastAsia="Arial" w:hAnsi="Arial"/>
                <w:sz w:val="14"/>
                <w:szCs w:val="14"/>
                <w:color w:val="auto"/>
              </w:rPr>
              <w:t>$947,703</w:t>
            </w:r>
          </w:p>
        </w:tc>
        <w:tc>
          <w:tcPr>
            <w:tcW w:w="1780" w:type="dxa"/>
            <w:vAlign w:val="bottom"/>
          </w:tcPr>
          <w:p>
            <w:pPr>
              <w:jc w:val="right"/>
              <w:ind w:right="88"/>
              <w:spacing w:after="0"/>
              <w:rPr>
                <w:sz w:val="20"/>
                <w:szCs w:val="20"/>
                <w:color w:val="auto"/>
              </w:rPr>
            </w:pPr>
            <w:r>
              <w:rPr>
                <w:rFonts w:ascii="Arial" w:cs="Arial" w:eastAsia="Arial" w:hAnsi="Arial"/>
                <w:sz w:val="14"/>
                <w:szCs w:val="14"/>
                <w:color w:val="auto"/>
              </w:rPr>
              <w:t>$67,252</w:t>
            </w:r>
          </w:p>
        </w:tc>
        <w:tc>
          <w:tcPr>
            <w:tcW w:w="1240" w:type="dxa"/>
            <w:vAlign w:val="bottom"/>
          </w:tcPr>
          <w:p>
            <w:pPr>
              <w:jc w:val="right"/>
              <w:ind w:right="268"/>
              <w:spacing w:after="0"/>
              <w:rPr>
                <w:sz w:val="20"/>
                <w:szCs w:val="20"/>
                <w:color w:val="auto"/>
              </w:rPr>
            </w:pPr>
            <w:r>
              <w:rPr>
                <w:rFonts w:ascii="Arial" w:cs="Arial" w:eastAsia="Arial" w:hAnsi="Arial"/>
                <w:sz w:val="14"/>
                <w:szCs w:val="14"/>
                <w:color w:val="auto"/>
              </w:rPr>
              <w:t>$1,014,955</w:t>
            </w:r>
          </w:p>
        </w:tc>
      </w:tr>
      <w:tr>
        <w:trPr>
          <w:trHeight w:val="22"/>
        </w:trPr>
        <w:tc>
          <w:tcPr>
            <w:tcW w:w="1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7"/>
        </w:trPr>
        <w:tc>
          <w:tcPr>
            <w:tcW w:w="19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1800" w:type="dxa"/>
            <w:vAlign w:val="bottom"/>
            <w:tcBorders>
              <w:bottom w:val="single" w:sz="8" w:color="F2F2F2"/>
            </w:tcBorders>
            <w:shd w:val="clear" w:color="auto" w:fill="F2F2F2"/>
          </w:tcPr>
          <w:p>
            <w:pPr>
              <w:jc w:val="right"/>
              <w:ind w:right="188"/>
              <w:spacing w:after="0"/>
              <w:rPr>
                <w:sz w:val="20"/>
                <w:szCs w:val="20"/>
                <w:color w:val="auto"/>
              </w:rPr>
            </w:pPr>
            <w:r>
              <w:rPr>
                <w:rFonts w:ascii="Arial" w:cs="Arial" w:eastAsia="Arial" w:hAnsi="Arial"/>
                <w:sz w:val="14"/>
                <w:szCs w:val="14"/>
                <w:color w:val="auto"/>
              </w:rPr>
              <w:t>$107,631</w:t>
            </w:r>
          </w:p>
        </w:tc>
        <w:tc>
          <w:tcPr>
            <w:tcW w:w="1780" w:type="dxa"/>
            <w:vAlign w:val="bottom"/>
            <w:tcBorders>
              <w:bottom w:val="single" w:sz="8" w:color="F2F2F2"/>
            </w:tcBorders>
            <w:shd w:val="clear" w:color="auto" w:fill="F2F2F2"/>
          </w:tcPr>
          <w:p>
            <w:pPr>
              <w:jc w:val="right"/>
              <w:ind w:right="88"/>
              <w:spacing w:after="0"/>
              <w:rPr>
                <w:sz w:val="20"/>
                <w:szCs w:val="20"/>
                <w:color w:val="auto"/>
              </w:rPr>
            </w:pPr>
            <w:r>
              <w:rPr>
                <w:rFonts w:ascii="Arial" w:cs="Arial" w:eastAsia="Arial" w:hAnsi="Arial"/>
                <w:sz w:val="14"/>
                <w:szCs w:val="14"/>
                <w:color w:val="auto"/>
              </w:rPr>
              <w:t>$309,977</w:t>
            </w:r>
          </w:p>
        </w:tc>
        <w:tc>
          <w:tcPr>
            <w:tcW w:w="1240" w:type="dxa"/>
            <w:vAlign w:val="bottom"/>
            <w:tcBorders>
              <w:bottom w:val="single" w:sz="8" w:color="F2F2F2"/>
            </w:tcBorders>
            <w:shd w:val="clear" w:color="auto" w:fill="F2F2F2"/>
          </w:tcPr>
          <w:p>
            <w:pPr>
              <w:jc w:val="right"/>
              <w:ind w:right="268"/>
              <w:spacing w:after="0"/>
              <w:rPr>
                <w:sz w:val="20"/>
                <w:szCs w:val="20"/>
                <w:color w:val="auto"/>
              </w:rPr>
            </w:pPr>
            <w:r>
              <w:rPr>
                <w:rFonts w:ascii="Arial" w:cs="Arial" w:eastAsia="Arial" w:hAnsi="Arial"/>
                <w:sz w:val="14"/>
                <w:szCs w:val="14"/>
                <w:color w:val="auto"/>
              </w:rPr>
              <w:t>$417,608</w:t>
            </w:r>
          </w:p>
        </w:tc>
      </w:tr>
      <w:tr>
        <w:trPr>
          <w:trHeight w:val="235"/>
        </w:trPr>
        <w:tc>
          <w:tcPr>
            <w:tcW w:w="1920" w:type="dxa"/>
            <w:vAlign w:val="bottom"/>
          </w:tcPr>
          <w:p>
            <w:pPr>
              <w:ind w:left="20"/>
              <w:spacing w:after="0"/>
              <w:rPr>
                <w:sz w:val="20"/>
                <w:szCs w:val="20"/>
                <w:color w:val="auto"/>
              </w:rPr>
            </w:pPr>
            <w:r>
              <w:rPr>
                <w:rFonts w:ascii="Arial" w:cs="Arial" w:eastAsia="Arial" w:hAnsi="Arial"/>
                <w:sz w:val="14"/>
                <w:szCs w:val="14"/>
                <w:color w:val="auto"/>
              </w:rPr>
              <w:t>Ms. Hakim</w:t>
            </w:r>
          </w:p>
        </w:tc>
        <w:tc>
          <w:tcPr>
            <w:tcW w:w="1800" w:type="dxa"/>
            <w:vAlign w:val="bottom"/>
          </w:tcPr>
          <w:p>
            <w:pPr>
              <w:jc w:val="right"/>
              <w:ind w:right="188"/>
              <w:spacing w:after="0"/>
              <w:rPr>
                <w:sz w:val="20"/>
                <w:szCs w:val="20"/>
                <w:color w:val="auto"/>
              </w:rPr>
            </w:pPr>
            <w:r>
              <w:rPr>
                <w:rFonts w:ascii="Arial" w:cs="Arial" w:eastAsia="Arial" w:hAnsi="Arial"/>
                <w:sz w:val="14"/>
                <w:szCs w:val="14"/>
                <w:color w:val="auto"/>
              </w:rPr>
              <w:t>$68,516</w:t>
            </w:r>
          </w:p>
        </w:tc>
        <w:tc>
          <w:tcPr>
            <w:tcW w:w="1780" w:type="dxa"/>
            <w:vAlign w:val="bottom"/>
          </w:tcPr>
          <w:p>
            <w:pPr>
              <w:jc w:val="right"/>
              <w:ind w:right="88"/>
              <w:spacing w:after="0"/>
              <w:rPr>
                <w:sz w:val="20"/>
                <w:szCs w:val="20"/>
                <w:color w:val="auto"/>
              </w:rPr>
            </w:pPr>
            <w:r>
              <w:rPr>
                <w:rFonts w:ascii="Arial" w:cs="Arial" w:eastAsia="Arial" w:hAnsi="Arial"/>
                <w:sz w:val="14"/>
                <w:szCs w:val="14"/>
                <w:color w:val="auto"/>
              </w:rPr>
              <w:t>N/A</w:t>
            </w:r>
          </w:p>
        </w:tc>
        <w:tc>
          <w:tcPr>
            <w:tcW w:w="1240" w:type="dxa"/>
            <w:vAlign w:val="bottom"/>
          </w:tcPr>
          <w:p>
            <w:pPr>
              <w:jc w:val="right"/>
              <w:ind w:right="268"/>
              <w:spacing w:after="0"/>
              <w:rPr>
                <w:sz w:val="20"/>
                <w:szCs w:val="20"/>
                <w:color w:val="auto"/>
              </w:rPr>
            </w:pPr>
            <w:r>
              <w:rPr>
                <w:rFonts w:ascii="Arial" w:cs="Arial" w:eastAsia="Arial" w:hAnsi="Arial"/>
                <w:sz w:val="14"/>
                <w:szCs w:val="14"/>
                <w:color w:val="auto"/>
              </w:rPr>
              <w:t>$68,516</w:t>
            </w:r>
          </w:p>
        </w:tc>
      </w:tr>
      <w:tr>
        <w:trPr>
          <w:trHeight w:val="22"/>
        </w:trPr>
        <w:tc>
          <w:tcPr>
            <w:tcW w:w="1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7"/>
        </w:trPr>
        <w:tc>
          <w:tcPr>
            <w:tcW w:w="19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Mr. Jonsson</w:t>
            </w:r>
          </w:p>
        </w:tc>
        <w:tc>
          <w:tcPr>
            <w:tcW w:w="1800" w:type="dxa"/>
            <w:vAlign w:val="bottom"/>
            <w:tcBorders>
              <w:bottom w:val="single" w:sz="8" w:color="F2F2F2"/>
            </w:tcBorders>
            <w:shd w:val="clear" w:color="auto" w:fill="F2F2F2"/>
          </w:tcPr>
          <w:p>
            <w:pPr>
              <w:jc w:val="right"/>
              <w:ind w:right="188"/>
              <w:spacing w:after="0"/>
              <w:rPr>
                <w:sz w:val="20"/>
                <w:szCs w:val="20"/>
                <w:color w:val="auto"/>
              </w:rPr>
            </w:pPr>
            <w:r>
              <w:rPr>
                <w:rFonts w:ascii="Arial" w:cs="Arial" w:eastAsia="Arial" w:hAnsi="Arial"/>
                <w:sz w:val="14"/>
                <w:szCs w:val="14"/>
                <w:color w:val="auto"/>
              </w:rPr>
              <w:t>$52,246</w:t>
            </w:r>
          </w:p>
        </w:tc>
        <w:tc>
          <w:tcPr>
            <w:tcW w:w="1780" w:type="dxa"/>
            <w:vAlign w:val="bottom"/>
            <w:tcBorders>
              <w:bottom w:val="single" w:sz="8" w:color="F2F2F2"/>
            </w:tcBorders>
            <w:shd w:val="clear" w:color="auto" w:fill="F2F2F2"/>
          </w:tcPr>
          <w:p>
            <w:pPr>
              <w:jc w:val="right"/>
              <w:ind w:right="88"/>
              <w:spacing w:after="0"/>
              <w:rPr>
                <w:sz w:val="20"/>
                <w:szCs w:val="20"/>
                <w:color w:val="auto"/>
              </w:rPr>
            </w:pPr>
            <w:r>
              <w:rPr>
                <w:rFonts w:ascii="Arial" w:cs="Arial" w:eastAsia="Arial" w:hAnsi="Arial"/>
                <w:sz w:val="14"/>
                <w:szCs w:val="14"/>
                <w:color w:val="auto"/>
              </w:rPr>
              <w:t>N/A</w:t>
            </w:r>
          </w:p>
        </w:tc>
        <w:tc>
          <w:tcPr>
            <w:tcW w:w="1240" w:type="dxa"/>
            <w:vAlign w:val="bottom"/>
            <w:tcBorders>
              <w:bottom w:val="single" w:sz="8" w:color="F2F2F2"/>
            </w:tcBorders>
            <w:shd w:val="clear" w:color="auto" w:fill="F2F2F2"/>
          </w:tcPr>
          <w:p>
            <w:pPr>
              <w:jc w:val="right"/>
              <w:ind w:right="268"/>
              <w:spacing w:after="0"/>
              <w:rPr>
                <w:sz w:val="20"/>
                <w:szCs w:val="20"/>
                <w:color w:val="auto"/>
              </w:rPr>
            </w:pPr>
            <w:r>
              <w:rPr>
                <w:rFonts w:ascii="Arial" w:cs="Arial" w:eastAsia="Arial" w:hAnsi="Arial"/>
                <w:sz w:val="14"/>
                <w:szCs w:val="14"/>
                <w:color w:val="auto"/>
              </w:rPr>
              <w:t>$52,246</w:t>
            </w:r>
          </w:p>
        </w:tc>
      </w:tr>
      <w:tr>
        <w:trPr>
          <w:trHeight w:val="20"/>
        </w:trPr>
        <w:tc>
          <w:tcPr>
            <w:tcW w:w="192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619760</wp:posOffset>
            </wp:positionH>
            <wp:positionV relativeFrom="page">
              <wp:posOffset>586105</wp:posOffset>
            </wp:positionV>
            <wp:extent cx="4277360" cy="8255"/>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254" w:lineRule="auto"/>
        <w:rPr>
          <w:sz w:val="20"/>
          <w:szCs w:val="20"/>
          <w:color w:val="auto"/>
        </w:rPr>
      </w:pPr>
      <w:r>
        <w:rPr>
          <w:rFonts w:ascii="Arial" w:cs="Arial" w:eastAsia="Arial" w:hAnsi="Arial"/>
          <w:sz w:val="18"/>
          <w:szCs w:val="18"/>
          <w:color w:val="auto"/>
        </w:rPr>
        <w:t>The Nonqualified Deferred Compensation in 2022 table above shows information about two company programs: the nonqualified savings plan and the Deferred Compensation Plan. The nonqualified savings plan is designed to allow each employee to contribute up to 6 percent of his or her base salary and receive a company match, beyond the contribution limits prescribed by the IRS with regards to 401(k) plans. This plan is administered in the same manner as the 401(k) Plan, with the same participation and investment elections. Executive officers and other U.S. executives may also defer receipt of all or part of their cash compensation under the Deferred Compensation Plan. Amounts deferred by executives under this plan are credited with interest at 120 percent of the applicable federal long-term rate as established the preceding December by the U.S. Treasury Department under Section 1274(d) of the Internal Revenue Code with monthly compounding, which was 2.3 percent for 2022 and is 5.1 percent for 2023. Participants may elect to receive the funds in a lump sum or in up to 10 annual installments following termination of employment but may not make withdrawals while employed by the company, except in the event of hardship as approved by the Talent and Compensation Committee. All deferral elections and associated distribution schedules are irrevocable. Both plans are unfunded and subject to forfeiture in the event of company bankruptcy.</w:t>
      </w:r>
    </w:p>
    <w:p>
      <w:pPr>
        <w:spacing w:after="0" w:line="123"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Payments upon Termination or Change in Control (as of December 31, 2022)</w:t>
      </w:r>
    </w:p>
    <w:p>
      <w:pPr>
        <w:spacing w:after="0" w:line="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following table describes the potential payments and benefits under the company’s compensation and benefit plans and arrangements to which the named executive officers would be eligible upon qualifying termination of employment. Except for certain terminations following a change in control of the company, as described below, there are no agreements, arrangements, or plans that entitle named executive officers to severance, perquisites, or other enhanced benefits upon termination of their employment. Any agreement to provide such payments or benefits to a terminating executive officer (other than following a change in control) would be at the discretion of the Talent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5760720" cy="8255"/>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Continuation of</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Acceleration and</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4040" w:type="dxa"/>
            <w:vAlign w:val="bottom"/>
          </w:tcPr>
          <w:p>
            <w:pPr>
              <w:spacing w:after="0"/>
              <w:rPr>
                <w:sz w:val="4"/>
                <w:szCs w:val="4"/>
                <w:color w:val="auto"/>
              </w:rPr>
            </w:pPr>
          </w:p>
        </w:tc>
        <w:tc>
          <w:tcPr>
            <w:tcW w:w="100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Cash</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Medical / Welfare</w:t>
            </w:r>
          </w:p>
        </w:tc>
        <w:tc>
          <w:tcPr>
            <w:tcW w:w="140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Continuation of</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4040" w:type="dxa"/>
            <w:vAlign w:val="bottom"/>
          </w:tcPr>
          <w:p>
            <w:pPr>
              <w:spacing w:after="0"/>
              <w:rPr>
                <w:sz w:val="4"/>
                <w:szCs w:val="4"/>
                <w:color w:val="auto"/>
              </w:rPr>
            </w:pPr>
          </w:p>
        </w:tc>
        <w:tc>
          <w:tcPr>
            <w:tcW w:w="100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Severance</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Benefits (present</w:t>
            </w:r>
          </w:p>
        </w:tc>
        <w:tc>
          <w:tcPr>
            <w:tcW w:w="140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Equity Awards as</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Termination</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4040" w:type="dxa"/>
            <w:vAlign w:val="bottom"/>
          </w:tcPr>
          <w:p>
            <w:pPr>
              <w:spacing w:after="0"/>
              <w:rPr>
                <w:sz w:val="4"/>
                <w:szCs w:val="4"/>
                <w:color w:val="auto"/>
              </w:rPr>
            </w:pPr>
          </w:p>
        </w:tc>
        <w:tc>
          <w:tcPr>
            <w:tcW w:w="100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8"/>
              </w:rPr>
              <w:t xml:space="preserve">Payment </w:t>
            </w:r>
            <w:r>
              <w:rPr>
                <w:rFonts w:ascii="Arial" w:cs="Arial" w:eastAsia="Arial" w:hAnsi="Arial"/>
                <w:sz w:val="18"/>
                <w:szCs w:val="18"/>
                <w:b w:val="1"/>
                <w:bCs w:val="1"/>
                <w:color w:val="auto"/>
                <w:w w:val="98"/>
                <w:vertAlign w:val="superscript"/>
              </w:rPr>
              <w:t>1</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9"/>
                <w:szCs w:val="9"/>
                <w:b w:val="1"/>
                <w:bCs w:val="1"/>
                <w:color w:val="auto"/>
              </w:rPr>
              <w:t>2</w:t>
            </w:r>
          </w:p>
        </w:tc>
        <w:tc>
          <w:tcPr>
            <w:tcW w:w="140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4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of 12/31/2021</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53"/>
        </w:trPr>
        <w:tc>
          <w:tcPr>
            <w:tcW w:w="4260" w:type="dxa"/>
            <w:vAlign w:val="bottom"/>
            <w:tcBorders>
              <w:bottom w:val="single" w:sz="8" w:color="auto"/>
            </w:tcBorders>
            <w:gridSpan w:val="2"/>
            <w:vMerge w:val="continue"/>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vMerge w:val="continue"/>
          </w:tcPr>
          <w:p>
            <w:pPr>
              <w:spacing w:after="0"/>
              <w:rPr>
                <w:sz w:val="4"/>
                <w:szCs w:val="4"/>
                <w:color w:val="auto"/>
              </w:rPr>
            </w:pPr>
          </w:p>
        </w:tc>
        <w:tc>
          <w:tcPr>
            <w:tcW w:w="110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1000" w:type="dxa"/>
            <w:vAlign w:val="bottom"/>
            <w:shd w:val="clear" w:color="auto" w:fill="F2F2F2"/>
          </w:tcPr>
          <w:p>
            <w:pPr>
              <w:spacing w:after="0"/>
              <w:rPr>
                <w:sz w:val="18"/>
                <w:szCs w:val="18"/>
                <w:color w:val="auto"/>
              </w:rPr>
            </w:pPr>
          </w:p>
        </w:tc>
        <w:tc>
          <w:tcPr>
            <w:tcW w:w="1320" w:type="dxa"/>
            <w:vAlign w:val="bottom"/>
            <w:shd w:val="clear" w:color="auto" w:fill="F2F2F2"/>
          </w:tcPr>
          <w:p>
            <w:pPr>
              <w:spacing w:after="0"/>
              <w:rPr>
                <w:sz w:val="18"/>
                <w:szCs w:val="18"/>
                <w:color w:val="auto"/>
              </w:rPr>
            </w:pPr>
          </w:p>
        </w:tc>
        <w:tc>
          <w:tcPr>
            <w:tcW w:w="1400" w:type="dxa"/>
            <w:vAlign w:val="bottom"/>
            <w:shd w:val="clear" w:color="auto" w:fill="F2F2F2"/>
          </w:tcPr>
          <w:p>
            <w:pPr>
              <w:spacing w:after="0"/>
              <w:rPr>
                <w:sz w:val="18"/>
                <w:szCs w:val="18"/>
                <w:color w:val="auto"/>
              </w:rPr>
            </w:pPr>
          </w:p>
        </w:tc>
        <w:tc>
          <w:tcPr>
            <w:tcW w:w="110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20" w:type="dxa"/>
            <w:vAlign w:val="bottom"/>
            <w:shd w:val="clear" w:color="auto" w:fill="F2F2F2"/>
          </w:tcPr>
          <w:p>
            <w:pPr>
              <w:ind w:left="20"/>
              <w:spacing w:after="0"/>
              <w:rPr>
                <w:sz w:val="20"/>
                <w:szCs w:val="20"/>
                <w:color w:val="auto"/>
              </w:rPr>
            </w:pPr>
            <w:r>
              <w:rPr>
                <w:rFonts w:ascii="Arial" w:cs="Arial" w:eastAsia="Arial" w:hAnsi="Arial"/>
                <w:sz w:val="14"/>
                <w:szCs w:val="14"/>
                <w:color w:val="auto"/>
              </w:rPr>
              <w:t>•</w:t>
            </w:r>
          </w:p>
        </w:tc>
        <w:tc>
          <w:tcPr>
            <w:tcW w:w="4040" w:type="dxa"/>
            <w:vAlign w:val="bottom"/>
            <w:shd w:val="clear" w:color="auto" w:fill="F2F2F2"/>
          </w:tcPr>
          <w:p>
            <w:pPr>
              <w:ind w:left="20"/>
              <w:spacing w:after="0"/>
              <w:rPr>
                <w:sz w:val="20"/>
                <w:szCs w:val="20"/>
                <w:color w:val="auto"/>
              </w:rPr>
            </w:pPr>
            <w:r>
              <w:rPr>
                <w:rFonts w:ascii="Arial" w:cs="Arial" w:eastAsia="Arial" w:hAnsi="Arial"/>
                <w:sz w:val="14"/>
                <w:szCs w:val="14"/>
                <w:color w:val="auto"/>
              </w:rPr>
              <w:t>Involuntary retirement or termination</w:t>
            </w:r>
          </w:p>
        </w:tc>
        <w:tc>
          <w:tcPr>
            <w:tcW w:w="10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$0</w:t>
            </w:r>
          </w:p>
        </w:tc>
        <w:tc>
          <w:tcPr>
            <w:tcW w:w="1320" w:type="dxa"/>
            <w:vAlign w:val="bottom"/>
            <w:shd w:val="clear" w:color="auto" w:fill="F2F2F2"/>
          </w:tcPr>
          <w:p>
            <w:pPr>
              <w:jc w:val="right"/>
              <w:ind w:right="128"/>
              <w:spacing w:after="0"/>
              <w:rPr>
                <w:sz w:val="20"/>
                <w:szCs w:val="20"/>
                <w:color w:val="auto"/>
              </w:rPr>
            </w:pPr>
            <w:r>
              <w:rPr>
                <w:rFonts w:ascii="Arial" w:cs="Arial" w:eastAsia="Arial" w:hAnsi="Arial"/>
                <w:sz w:val="14"/>
                <w:szCs w:val="14"/>
                <w:color w:val="auto"/>
              </w:rPr>
              <w:t>$0</w:t>
            </w:r>
          </w:p>
        </w:tc>
        <w:tc>
          <w:tcPr>
            <w:tcW w:w="1400" w:type="dxa"/>
            <w:vAlign w:val="bottom"/>
            <w:shd w:val="clear" w:color="auto" w:fill="F2F2F2"/>
          </w:tcPr>
          <w:p>
            <w:pPr>
              <w:jc w:val="right"/>
              <w:ind w:right="308"/>
              <w:spacing w:after="0"/>
              <w:rPr>
                <w:sz w:val="20"/>
                <w:szCs w:val="20"/>
                <w:color w:val="auto"/>
              </w:rPr>
            </w:pPr>
            <w:r>
              <w:rPr>
                <w:rFonts w:ascii="Arial" w:cs="Arial" w:eastAsia="Arial" w:hAnsi="Arial"/>
                <w:sz w:val="14"/>
                <w:szCs w:val="14"/>
                <w:color w:val="auto"/>
              </w:rPr>
              <w:t>$28,315,065</w:t>
            </w:r>
          </w:p>
        </w:tc>
        <w:tc>
          <w:tcPr>
            <w:tcW w:w="11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$28,315,065</w:t>
            </w:r>
          </w:p>
        </w:tc>
        <w:tc>
          <w:tcPr>
            <w:tcW w:w="0" w:type="dxa"/>
            <w:vAlign w:val="bottom"/>
          </w:tcPr>
          <w:p>
            <w:pPr>
              <w:spacing w:after="0"/>
              <w:rPr>
                <w:sz w:val="1"/>
                <w:szCs w:val="1"/>
                <w:color w:val="auto"/>
              </w:rPr>
            </w:pPr>
          </w:p>
        </w:tc>
      </w:tr>
      <w:tr>
        <w:trPr>
          <w:trHeight w:val="258"/>
        </w:trPr>
        <w:tc>
          <w:tcPr>
            <w:tcW w:w="2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w:t>
            </w:r>
          </w:p>
        </w:tc>
        <w:tc>
          <w:tcPr>
            <w:tcW w:w="40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Involuntary or good-reason termination after change in control</w:t>
            </w:r>
          </w:p>
        </w:tc>
        <w:tc>
          <w:tcPr>
            <w:tcW w:w="10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$7,500,000</w:t>
            </w:r>
          </w:p>
        </w:tc>
        <w:tc>
          <w:tcPr>
            <w:tcW w:w="1320" w:type="dxa"/>
            <w:vAlign w:val="bottom"/>
            <w:tcBorders>
              <w:bottom w:val="single" w:sz="8" w:color="F2F2F2"/>
            </w:tcBorders>
            <w:shd w:val="clear" w:color="auto" w:fill="F2F2F2"/>
          </w:tcPr>
          <w:p>
            <w:pPr>
              <w:jc w:val="right"/>
              <w:ind w:right="128"/>
              <w:spacing w:after="0"/>
              <w:rPr>
                <w:sz w:val="20"/>
                <w:szCs w:val="20"/>
                <w:color w:val="auto"/>
              </w:rPr>
            </w:pPr>
            <w:r>
              <w:rPr>
                <w:rFonts w:ascii="Arial" w:cs="Arial" w:eastAsia="Arial" w:hAnsi="Arial"/>
                <w:sz w:val="14"/>
                <w:szCs w:val="14"/>
                <w:color w:val="auto"/>
              </w:rPr>
              <w:t>$48,219</w:t>
            </w:r>
          </w:p>
        </w:tc>
        <w:tc>
          <w:tcPr>
            <w:tcW w:w="1400" w:type="dxa"/>
            <w:vAlign w:val="bottom"/>
            <w:tcBorders>
              <w:bottom w:val="single" w:sz="8" w:color="F2F2F2"/>
            </w:tcBorders>
            <w:shd w:val="clear" w:color="auto" w:fill="F2F2F2"/>
          </w:tcPr>
          <w:p>
            <w:pPr>
              <w:jc w:val="right"/>
              <w:ind w:right="308"/>
              <w:spacing w:after="0"/>
              <w:rPr>
                <w:sz w:val="20"/>
                <w:szCs w:val="20"/>
                <w:color w:val="auto"/>
              </w:rPr>
            </w:pPr>
            <w:r>
              <w:rPr>
                <w:rFonts w:ascii="Arial" w:cs="Arial" w:eastAsia="Arial" w:hAnsi="Arial"/>
                <w:sz w:val="14"/>
                <w:szCs w:val="14"/>
                <w:color w:val="auto"/>
              </w:rPr>
              <w:t>$89,798,117</w:t>
            </w:r>
          </w:p>
        </w:tc>
        <w:tc>
          <w:tcPr>
            <w:tcW w:w="11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$97,346,336</w:t>
            </w:r>
          </w:p>
        </w:tc>
        <w:tc>
          <w:tcPr>
            <w:tcW w:w="0" w:type="dxa"/>
            <w:vAlign w:val="bottom"/>
          </w:tcPr>
          <w:p>
            <w:pPr>
              <w:spacing w:after="0"/>
              <w:rPr>
                <w:sz w:val="1"/>
                <w:szCs w:val="1"/>
                <w:color w:val="auto"/>
              </w:rPr>
            </w:pPr>
          </w:p>
        </w:tc>
      </w:tr>
      <w:tr>
        <w:trPr>
          <w:trHeight w:val="235"/>
        </w:trPr>
        <w:tc>
          <w:tcPr>
            <w:tcW w:w="4260" w:type="dxa"/>
            <w:vAlign w:val="bottom"/>
            <w:gridSpan w:val="2"/>
          </w:tcPr>
          <w:p>
            <w:pPr>
              <w:ind w:left="20"/>
              <w:spacing w:after="0"/>
              <w:rPr>
                <w:sz w:val="20"/>
                <w:szCs w:val="20"/>
                <w:color w:val="auto"/>
              </w:rPr>
            </w:pPr>
            <w:r>
              <w:rPr>
                <w:rFonts w:ascii="Arial" w:cs="Arial" w:eastAsia="Arial" w:hAnsi="Arial"/>
                <w:sz w:val="14"/>
                <w:szCs w:val="14"/>
                <w:color w:val="auto"/>
              </w:rPr>
              <w:t>Ms. Ashkenazi</w:t>
            </w:r>
          </w:p>
        </w:tc>
        <w:tc>
          <w:tcPr>
            <w:tcW w:w="1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260" w:type="dxa"/>
            <w:vAlign w:val="bottom"/>
            <w:gridSpan w:val="2"/>
          </w:tcPr>
          <w:p>
            <w:pPr>
              <w:ind w:left="20"/>
              <w:spacing w:after="0"/>
              <w:rPr>
                <w:sz w:val="20"/>
                <w:szCs w:val="20"/>
                <w:color w:val="auto"/>
              </w:rPr>
            </w:pPr>
            <w:r>
              <w:rPr>
                <w:rFonts w:ascii="Arial" w:cs="Arial" w:eastAsia="Arial" w:hAnsi="Arial"/>
                <w:sz w:val="14"/>
                <w:szCs w:val="14"/>
                <w:color w:val="auto"/>
              </w:rPr>
              <w:t>•  Involuntary retirement or termination</w:t>
            </w:r>
          </w:p>
        </w:tc>
        <w:tc>
          <w:tcPr>
            <w:tcW w:w="1000" w:type="dxa"/>
            <w:vAlign w:val="bottom"/>
          </w:tcPr>
          <w:p>
            <w:pPr>
              <w:jc w:val="right"/>
              <w:spacing w:after="0"/>
              <w:rPr>
                <w:sz w:val="20"/>
                <w:szCs w:val="20"/>
                <w:color w:val="auto"/>
              </w:rPr>
            </w:pPr>
            <w:r>
              <w:rPr>
                <w:rFonts w:ascii="Arial" w:cs="Arial" w:eastAsia="Arial" w:hAnsi="Arial"/>
                <w:sz w:val="14"/>
                <w:szCs w:val="14"/>
                <w:color w:val="auto"/>
              </w:rPr>
              <w:t>$0</w:t>
            </w: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$0</w:t>
            </w:r>
          </w:p>
        </w:tc>
        <w:tc>
          <w:tcPr>
            <w:tcW w:w="1400" w:type="dxa"/>
            <w:vAlign w:val="bottom"/>
          </w:tcPr>
          <w:p>
            <w:pPr>
              <w:jc w:val="right"/>
              <w:ind w:right="308"/>
              <w:spacing w:after="0"/>
              <w:rPr>
                <w:sz w:val="20"/>
                <w:szCs w:val="20"/>
                <w:color w:val="auto"/>
              </w:rPr>
            </w:pPr>
            <w:r>
              <w:rPr>
                <w:rFonts w:ascii="Arial" w:cs="Arial" w:eastAsia="Arial" w:hAnsi="Arial"/>
                <w:sz w:val="14"/>
                <w:szCs w:val="14"/>
                <w:color w:val="auto"/>
              </w:rPr>
              <w:t>$7,044,249</w:t>
            </w:r>
          </w:p>
        </w:tc>
        <w:tc>
          <w:tcPr>
            <w:tcW w:w="1100" w:type="dxa"/>
            <w:vAlign w:val="bottom"/>
          </w:tcPr>
          <w:p>
            <w:pPr>
              <w:jc w:val="right"/>
              <w:spacing w:after="0"/>
              <w:rPr>
                <w:sz w:val="20"/>
                <w:szCs w:val="20"/>
                <w:color w:val="auto"/>
              </w:rPr>
            </w:pPr>
            <w:r>
              <w:rPr>
                <w:rFonts w:ascii="Arial" w:cs="Arial" w:eastAsia="Arial" w:hAnsi="Arial"/>
                <w:sz w:val="14"/>
                <w:szCs w:val="14"/>
                <w:color w:val="auto"/>
              </w:rPr>
              <w:t>$7,044,249</w:t>
            </w:r>
          </w:p>
        </w:tc>
        <w:tc>
          <w:tcPr>
            <w:tcW w:w="0" w:type="dxa"/>
            <w:vAlign w:val="bottom"/>
          </w:tcPr>
          <w:p>
            <w:pPr>
              <w:spacing w:after="0"/>
              <w:rPr>
                <w:sz w:val="1"/>
                <w:szCs w:val="1"/>
                <w:color w:val="auto"/>
              </w:rPr>
            </w:pPr>
          </w:p>
        </w:tc>
      </w:tr>
      <w:tr>
        <w:trPr>
          <w:trHeight w:val="256"/>
        </w:trPr>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4040" w:type="dxa"/>
            <w:vAlign w:val="bottom"/>
          </w:tcPr>
          <w:p>
            <w:pPr>
              <w:ind w:left="20"/>
              <w:spacing w:after="0"/>
              <w:rPr>
                <w:sz w:val="20"/>
                <w:szCs w:val="20"/>
                <w:color w:val="auto"/>
              </w:rPr>
            </w:pPr>
            <w:r>
              <w:rPr>
                <w:rFonts w:ascii="Arial" w:cs="Arial" w:eastAsia="Arial" w:hAnsi="Arial"/>
                <w:sz w:val="14"/>
                <w:szCs w:val="14"/>
                <w:color w:val="auto"/>
              </w:rPr>
              <w:t>Involuntary or good-reason termination after change in control</w:t>
            </w:r>
          </w:p>
        </w:tc>
        <w:tc>
          <w:tcPr>
            <w:tcW w:w="1000" w:type="dxa"/>
            <w:vAlign w:val="bottom"/>
          </w:tcPr>
          <w:p>
            <w:pPr>
              <w:jc w:val="right"/>
              <w:spacing w:after="0"/>
              <w:rPr>
                <w:sz w:val="20"/>
                <w:szCs w:val="20"/>
                <w:color w:val="auto"/>
              </w:rPr>
            </w:pPr>
            <w:r>
              <w:rPr>
                <w:rFonts w:ascii="Arial" w:cs="Arial" w:eastAsia="Arial" w:hAnsi="Arial"/>
                <w:sz w:val="14"/>
                <w:szCs w:val="14"/>
                <w:color w:val="auto"/>
              </w:rPr>
              <w:t>$3,800,000</w:t>
            </w: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$57,473</w:t>
            </w:r>
          </w:p>
        </w:tc>
        <w:tc>
          <w:tcPr>
            <w:tcW w:w="1400" w:type="dxa"/>
            <w:vAlign w:val="bottom"/>
          </w:tcPr>
          <w:p>
            <w:pPr>
              <w:jc w:val="right"/>
              <w:ind w:right="308"/>
              <w:spacing w:after="0"/>
              <w:rPr>
                <w:sz w:val="20"/>
                <w:szCs w:val="20"/>
                <w:color w:val="auto"/>
              </w:rPr>
            </w:pPr>
            <w:r>
              <w:rPr>
                <w:rFonts w:ascii="Arial" w:cs="Arial" w:eastAsia="Arial" w:hAnsi="Arial"/>
                <w:sz w:val="14"/>
                <w:szCs w:val="14"/>
                <w:color w:val="auto"/>
              </w:rPr>
              <w:t>$16,443,648</w:t>
            </w:r>
          </w:p>
        </w:tc>
        <w:tc>
          <w:tcPr>
            <w:tcW w:w="1100" w:type="dxa"/>
            <w:vAlign w:val="bottom"/>
          </w:tcPr>
          <w:p>
            <w:pPr>
              <w:jc w:val="right"/>
              <w:spacing w:after="0"/>
              <w:rPr>
                <w:sz w:val="20"/>
                <w:szCs w:val="20"/>
                <w:color w:val="auto"/>
              </w:rPr>
            </w:pPr>
            <w:r>
              <w:rPr>
                <w:rFonts w:ascii="Arial" w:cs="Arial" w:eastAsia="Arial" w:hAnsi="Arial"/>
                <w:sz w:val="14"/>
                <w:szCs w:val="14"/>
                <w:color w:val="auto"/>
              </w:rPr>
              <w:t>$20,301,121</w:t>
            </w:r>
          </w:p>
        </w:tc>
        <w:tc>
          <w:tcPr>
            <w:tcW w:w="0" w:type="dxa"/>
            <w:vAlign w:val="bottom"/>
          </w:tcPr>
          <w:p>
            <w:pPr>
              <w:spacing w:after="0"/>
              <w:rPr>
                <w:sz w:val="1"/>
                <w:szCs w:val="1"/>
                <w:color w:val="auto"/>
              </w:rPr>
            </w:pPr>
          </w:p>
        </w:tc>
      </w:tr>
      <w:tr>
        <w:trPr>
          <w:trHeight w:val="22"/>
        </w:trPr>
        <w:tc>
          <w:tcPr>
            <w:tcW w:w="42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260" w:type="dxa"/>
            <w:vAlign w:val="bottom"/>
            <w:gridSpan w:val="2"/>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1000" w:type="dxa"/>
            <w:vAlign w:val="bottom"/>
            <w:shd w:val="clear" w:color="auto" w:fill="F2F2F2"/>
          </w:tcPr>
          <w:p>
            <w:pPr>
              <w:spacing w:after="0"/>
              <w:rPr>
                <w:sz w:val="20"/>
                <w:szCs w:val="20"/>
                <w:color w:val="auto"/>
              </w:rPr>
            </w:pPr>
          </w:p>
        </w:tc>
        <w:tc>
          <w:tcPr>
            <w:tcW w:w="1320" w:type="dxa"/>
            <w:vAlign w:val="bottom"/>
            <w:shd w:val="clear" w:color="auto" w:fill="F2F2F2"/>
          </w:tcPr>
          <w:p>
            <w:pPr>
              <w:spacing w:after="0"/>
              <w:rPr>
                <w:sz w:val="20"/>
                <w:szCs w:val="20"/>
                <w:color w:val="auto"/>
              </w:rPr>
            </w:pPr>
          </w:p>
        </w:tc>
        <w:tc>
          <w:tcPr>
            <w:tcW w:w="1400" w:type="dxa"/>
            <w:vAlign w:val="bottom"/>
            <w:shd w:val="clear" w:color="auto" w:fill="F2F2F2"/>
          </w:tcPr>
          <w:p>
            <w:pPr>
              <w:spacing w:after="0"/>
              <w:rPr>
                <w:sz w:val="20"/>
                <w:szCs w:val="20"/>
                <w:color w:val="auto"/>
              </w:rPr>
            </w:pPr>
          </w:p>
        </w:tc>
        <w:tc>
          <w:tcPr>
            <w:tcW w:w="110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20" w:type="dxa"/>
            <w:vAlign w:val="bottom"/>
            <w:shd w:val="clear" w:color="auto" w:fill="F2F2F2"/>
          </w:tcPr>
          <w:p>
            <w:pPr>
              <w:ind w:left="20"/>
              <w:spacing w:after="0"/>
              <w:rPr>
                <w:sz w:val="20"/>
                <w:szCs w:val="20"/>
                <w:color w:val="auto"/>
              </w:rPr>
            </w:pPr>
            <w:r>
              <w:rPr>
                <w:rFonts w:ascii="Arial" w:cs="Arial" w:eastAsia="Arial" w:hAnsi="Arial"/>
                <w:sz w:val="14"/>
                <w:szCs w:val="14"/>
                <w:color w:val="auto"/>
              </w:rPr>
              <w:t>•</w:t>
            </w:r>
          </w:p>
        </w:tc>
        <w:tc>
          <w:tcPr>
            <w:tcW w:w="4040" w:type="dxa"/>
            <w:vAlign w:val="bottom"/>
            <w:shd w:val="clear" w:color="auto" w:fill="F2F2F2"/>
          </w:tcPr>
          <w:p>
            <w:pPr>
              <w:ind w:left="20"/>
              <w:spacing w:after="0"/>
              <w:rPr>
                <w:sz w:val="20"/>
                <w:szCs w:val="20"/>
                <w:color w:val="auto"/>
              </w:rPr>
            </w:pPr>
            <w:r>
              <w:rPr>
                <w:rFonts w:ascii="Arial" w:cs="Arial" w:eastAsia="Arial" w:hAnsi="Arial"/>
                <w:sz w:val="14"/>
                <w:szCs w:val="14"/>
                <w:color w:val="auto"/>
              </w:rPr>
              <w:t>Involuntary retirement or termination</w:t>
            </w:r>
          </w:p>
        </w:tc>
        <w:tc>
          <w:tcPr>
            <w:tcW w:w="10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$0</w:t>
            </w:r>
          </w:p>
        </w:tc>
        <w:tc>
          <w:tcPr>
            <w:tcW w:w="1320" w:type="dxa"/>
            <w:vAlign w:val="bottom"/>
            <w:shd w:val="clear" w:color="auto" w:fill="F2F2F2"/>
          </w:tcPr>
          <w:p>
            <w:pPr>
              <w:jc w:val="right"/>
              <w:ind w:right="128"/>
              <w:spacing w:after="0"/>
              <w:rPr>
                <w:sz w:val="20"/>
                <w:szCs w:val="20"/>
                <w:color w:val="auto"/>
              </w:rPr>
            </w:pPr>
            <w:r>
              <w:rPr>
                <w:rFonts w:ascii="Arial" w:cs="Arial" w:eastAsia="Arial" w:hAnsi="Arial"/>
                <w:sz w:val="14"/>
                <w:szCs w:val="14"/>
                <w:color w:val="auto"/>
              </w:rPr>
              <w:t>$0</w:t>
            </w:r>
          </w:p>
        </w:tc>
        <w:tc>
          <w:tcPr>
            <w:tcW w:w="1400" w:type="dxa"/>
            <w:vAlign w:val="bottom"/>
            <w:shd w:val="clear" w:color="auto" w:fill="F2F2F2"/>
          </w:tcPr>
          <w:p>
            <w:pPr>
              <w:jc w:val="right"/>
              <w:ind w:right="228"/>
              <w:spacing w:after="0"/>
              <w:rPr>
                <w:sz w:val="20"/>
                <w:szCs w:val="20"/>
                <w:color w:val="auto"/>
              </w:rPr>
            </w:pPr>
            <w:r>
              <w:rPr>
                <w:rFonts w:ascii="Arial" w:cs="Arial" w:eastAsia="Arial" w:hAnsi="Arial"/>
                <w:sz w:val="14"/>
                <w:szCs w:val="14"/>
                <w:color w:val="auto"/>
              </w:rPr>
              <w:t>$9,371,504</w:t>
            </w:r>
          </w:p>
        </w:tc>
        <w:tc>
          <w:tcPr>
            <w:tcW w:w="11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$9,371,504</w:t>
            </w:r>
          </w:p>
        </w:tc>
        <w:tc>
          <w:tcPr>
            <w:tcW w:w="0" w:type="dxa"/>
            <w:vAlign w:val="bottom"/>
          </w:tcPr>
          <w:p>
            <w:pPr>
              <w:spacing w:after="0"/>
              <w:rPr>
                <w:sz w:val="1"/>
                <w:szCs w:val="1"/>
                <w:color w:val="auto"/>
              </w:rPr>
            </w:pPr>
          </w:p>
        </w:tc>
      </w:tr>
      <w:tr>
        <w:trPr>
          <w:trHeight w:val="258"/>
        </w:trPr>
        <w:tc>
          <w:tcPr>
            <w:tcW w:w="2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w:t>
            </w:r>
          </w:p>
        </w:tc>
        <w:tc>
          <w:tcPr>
            <w:tcW w:w="40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Involuntary or good-reason termination after change in control</w:t>
            </w:r>
          </w:p>
        </w:tc>
        <w:tc>
          <w:tcPr>
            <w:tcW w:w="10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$5,000,000</w:t>
            </w:r>
          </w:p>
        </w:tc>
        <w:tc>
          <w:tcPr>
            <w:tcW w:w="1320" w:type="dxa"/>
            <w:vAlign w:val="bottom"/>
            <w:tcBorders>
              <w:bottom w:val="single" w:sz="8" w:color="F2F2F2"/>
            </w:tcBorders>
            <w:shd w:val="clear" w:color="auto" w:fill="F2F2F2"/>
          </w:tcPr>
          <w:p>
            <w:pPr>
              <w:jc w:val="right"/>
              <w:ind w:right="128"/>
              <w:spacing w:after="0"/>
              <w:rPr>
                <w:sz w:val="20"/>
                <w:szCs w:val="20"/>
                <w:color w:val="auto"/>
              </w:rPr>
            </w:pPr>
            <w:r>
              <w:rPr>
                <w:rFonts w:ascii="Arial" w:cs="Arial" w:eastAsia="Arial" w:hAnsi="Arial"/>
                <w:sz w:val="14"/>
                <w:szCs w:val="14"/>
                <w:color w:val="auto"/>
              </w:rPr>
              <w:t>$48,408</w:t>
            </w:r>
          </w:p>
        </w:tc>
        <w:tc>
          <w:tcPr>
            <w:tcW w:w="1400" w:type="dxa"/>
            <w:vAlign w:val="bottom"/>
            <w:tcBorders>
              <w:bottom w:val="single" w:sz="8" w:color="F2F2F2"/>
            </w:tcBorders>
            <w:shd w:val="clear" w:color="auto" w:fill="F2F2F2"/>
          </w:tcPr>
          <w:p>
            <w:pPr>
              <w:jc w:val="right"/>
              <w:ind w:right="228"/>
              <w:spacing w:after="0"/>
              <w:rPr>
                <w:sz w:val="20"/>
                <w:szCs w:val="20"/>
                <w:color w:val="auto"/>
              </w:rPr>
            </w:pPr>
            <w:r>
              <w:rPr>
                <w:rFonts w:ascii="Arial" w:cs="Arial" w:eastAsia="Arial" w:hAnsi="Arial"/>
                <w:sz w:val="14"/>
                <w:szCs w:val="14"/>
                <w:color w:val="auto"/>
              </w:rPr>
              <w:t>$30,374,451</w:t>
            </w:r>
          </w:p>
        </w:tc>
        <w:tc>
          <w:tcPr>
            <w:tcW w:w="11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$35,422,859</w:t>
            </w:r>
          </w:p>
        </w:tc>
        <w:tc>
          <w:tcPr>
            <w:tcW w:w="0" w:type="dxa"/>
            <w:vAlign w:val="bottom"/>
          </w:tcPr>
          <w:p>
            <w:pPr>
              <w:spacing w:after="0"/>
              <w:rPr>
                <w:sz w:val="1"/>
                <w:szCs w:val="1"/>
                <w:color w:val="auto"/>
              </w:rPr>
            </w:pPr>
          </w:p>
        </w:tc>
      </w:tr>
      <w:tr>
        <w:trPr>
          <w:trHeight w:val="235"/>
        </w:trPr>
        <w:tc>
          <w:tcPr>
            <w:tcW w:w="4260" w:type="dxa"/>
            <w:vAlign w:val="bottom"/>
            <w:gridSpan w:val="2"/>
          </w:tcPr>
          <w:p>
            <w:pPr>
              <w:ind w:left="20"/>
              <w:spacing w:after="0"/>
              <w:rPr>
                <w:sz w:val="20"/>
                <w:szCs w:val="20"/>
                <w:color w:val="auto"/>
              </w:rPr>
            </w:pPr>
            <w:r>
              <w:rPr>
                <w:rFonts w:ascii="Arial" w:cs="Arial" w:eastAsia="Arial" w:hAnsi="Arial"/>
                <w:sz w:val="14"/>
                <w:szCs w:val="14"/>
                <w:color w:val="auto"/>
              </w:rPr>
              <w:t>Ms. Hakim</w:t>
            </w:r>
          </w:p>
        </w:tc>
        <w:tc>
          <w:tcPr>
            <w:tcW w:w="1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260" w:type="dxa"/>
            <w:vAlign w:val="bottom"/>
            <w:gridSpan w:val="2"/>
          </w:tcPr>
          <w:p>
            <w:pPr>
              <w:ind w:left="20"/>
              <w:spacing w:after="0"/>
              <w:rPr>
                <w:sz w:val="20"/>
                <w:szCs w:val="20"/>
                <w:color w:val="auto"/>
              </w:rPr>
            </w:pPr>
            <w:r>
              <w:rPr>
                <w:rFonts w:ascii="Arial" w:cs="Arial" w:eastAsia="Arial" w:hAnsi="Arial"/>
                <w:sz w:val="14"/>
                <w:szCs w:val="14"/>
                <w:color w:val="auto"/>
              </w:rPr>
              <w:t>•  Involuntary retirement or termination</w:t>
            </w:r>
          </w:p>
        </w:tc>
        <w:tc>
          <w:tcPr>
            <w:tcW w:w="1000" w:type="dxa"/>
            <w:vAlign w:val="bottom"/>
          </w:tcPr>
          <w:p>
            <w:pPr>
              <w:jc w:val="right"/>
              <w:spacing w:after="0"/>
              <w:rPr>
                <w:sz w:val="20"/>
                <w:szCs w:val="20"/>
                <w:color w:val="auto"/>
              </w:rPr>
            </w:pPr>
            <w:r>
              <w:rPr>
                <w:rFonts w:ascii="Arial" w:cs="Arial" w:eastAsia="Arial" w:hAnsi="Arial"/>
                <w:sz w:val="14"/>
                <w:szCs w:val="14"/>
                <w:color w:val="auto"/>
              </w:rPr>
              <w:t>$0</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$0</w:t>
            </w:r>
          </w:p>
        </w:tc>
        <w:tc>
          <w:tcPr>
            <w:tcW w:w="1400" w:type="dxa"/>
            <w:vAlign w:val="bottom"/>
          </w:tcPr>
          <w:p>
            <w:pPr>
              <w:jc w:val="right"/>
              <w:ind w:right="308"/>
              <w:spacing w:after="0"/>
              <w:rPr>
                <w:sz w:val="20"/>
                <w:szCs w:val="20"/>
                <w:color w:val="auto"/>
              </w:rPr>
            </w:pPr>
            <w:r>
              <w:rPr>
                <w:rFonts w:ascii="Arial" w:cs="Arial" w:eastAsia="Arial" w:hAnsi="Arial"/>
                <w:sz w:val="14"/>
                <w:szCs w:val="14"/>
                <w:color w:val="auto"/>
              </w:rPr>
              <w:t>$4,422,347</w:t>
            </w:r>
          </w:p>
        </w:tc>
        <w:tc>
          <w:tcPr>
            <w:tcW w:w="1100" w:type="dxa"/>
            <w:vAlign w:val="bottom"/>
          </w:tcPr>
          <w:p>
            <w:pPr>
              <w:jc w:val="right"/>
              <w:spacing w:after="0"/>
              <w:rPr>
                <w:sz w:val="20"/>
                <w:szCs w:val="20"/>
                <w:color w:val="auto"/>
              </w:rPr>
            </w:pPr>
            <w:r>
              <w:rPr>
                <w:rFonts w:ascii="Arial" w:cs="Arial" w:eastAsia="Arial" w:hAnsi="Arial"/>
                <w:sz w:val="14"/>
                <w:szCs w:val="14"/>
                <w:color w:val="auto"/>
              </w:rPr>
              <w:t>$4,422,347</w:t>
            </w:r>
          </w:p>
        </w:tc>
        <w:tc>
          <w:tcPr>
            <w:tcW w:w="0" w:type="dxa"/>
            <w:vAlign w:val="bottom"/>
          </w:tcPr>
          <w:p>
            <w:pPr>
              <w:spacing w:after="0"/>
              <w:rPr>
                <w:sz w:val="1"/>
                <w:szCs w:val="1"/>
                <w:color w:val="auto"/>
              </w:rPr>
            </w:pPr>
          </w:p>
        </w:tc>
      </w:tr>
      <w:tr>
        <w:trPr>
          <w:trHeight w:val="256"/>
        </w:trPr>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4040" w:type="dxa"/>
            <w:vAlign w:val="bottom"/>
          </w:tcPr>
          <w:p>
            <w:pPr>
              <w:ind w:left="20"/>
              <w:spacing w:after="0"/>
              <w:rPr>
                <w:sz w:val="20"/>
                <w:szCs w:val="20"/>
                <w:color w:val="auto"/>
              </w:rPr>
            </w:pPr>
            <w:r>
              <w:rPr>
                <w:rFonts w:ascii="Arial" w:cs="Arial" w:eastAsia="Arial" w:hAnsi="Arial"/>
                <w:sz w:val="14"/>
                <w:szCs w:val="14"/>
                <w:color w:val="auto"/>
              </w:rPr>
              <w:t>Involuntary or good-reason termination after change in control</w:t>
            </w:r>
          </w:p>
        </w:tc>
        <w:tc>
          <w:tcPr>
            <w:tcW w:w="1000" w:type="dxa"/>
            <w:vAlign w:val="bottom"/>
          </w:tcPr>
          <w:p>
            <w:pPr>
              <w:jc w:val="right"/>
              <w:spacing w:after="0"/>
              <w:rPr>
                <w:sz w:val="20"/>
                <w:szCs w:val="20"/>
                <w:color w:val="auto"/>
              </w:rPr>
            </w:pPr>
            <w:r>
              <w:rPr>
                <w:rFonts w:ascii="Arial" w:cs="Arial" w:eastAsia="Arial" w:hAnsi="Arial"/>
                <w:sz w:val="14"/>
                <w:szCs w:val="14"/>
                <w:color w:val="auto"/>
              </w:rPr>
              <w:t>$3,600,000</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$57,638</w:t>
            </w:r>
          </w:p>
        </w:tc>
        <w:tc>
          <w:tcPr>
            <w:tcW w:w="1400" w:type="dxa"/>
            <w:vAlign w:val="bottom"/>
          </w:tcPr>
          <w:p>
            <w:pPr>
              <w:jc w:val="right"/>
              <w:ind w:right="308"/>
              <w:spacing w:after="0"/>
              <w:rPr>
                <w:sz w:val="20"/>
                <w:szCs w:val="20"/>
                <w:color w:val="auto"/>
              </w:rPr>
            </w:pPr>
            <w:r>
              <w:rPr>
                <w:rFonts w:ascii="Arial" w:cs="Arial" w:eastAsia="Arial" w:hAnsi="Arial"/>
                <w:sz w:val="14"/>
                <w:szCs w:val="14"/>
                <w:color w:val="auto"/>
              </w:rPr>
              <w:t>$14,894,755</w:t>
            </w:r>
          </w:p>
        </w:tc>
        <w:tc>
          <w:tcPr>
            <w:tcW w:w="1100" w:type="dxa"/>
            <w:vAlign w:val="bottom"/>
          </w:tcPr>
          <w:p>
            <w:pPr>
              <w:jc w:val="right"/>
              <w:spacing w:after="0"/>
              <w:rPr>
                <w:sz w:val="20"/>
                <w:szCs w:val="20"/>
                <w:color w:val="auto"/>
              </w:rPr>
            </w:pPr>
            <w:r>
              <w:rPr>
                <w:rFonts w:ascii="Arial" w:cs="Arial" w:eastAsia="Arial" w:hAnsi="Arial"/>
                <w:sz w:val="14"/>
                <w:szCs w:val="14"/>
                <w:color w:val="auto"/>
              </w:rPr>
              <w:t>$18,552,393</w:t>
            </w:r>
          </w:p>
        </w:tc>
        <w:tc>
          <w:tcPr>
            <w:tcW w:w="0" w:type="dxa"/>
            <w:vAlign w:val="bottom"/>
          </w:tcPr>
          <w:p>
            <w:pPr>
              <w:spacing w:after="0"/>
              <w:rPr>
                <w:sz w:val="1"/>
                <w:szCs w:val="1"/>
                <w:color w:val="auto"/>
              </w:rPr>
            </w:pPr>
          </w:p>
        </w:tc>
      </w:tr>
      <w:tr>
        <w:trPr>
          <w:trHeight w:val="22"/>
        </w:trPr>
        <w:tc>
          <w:tcPr>
            <w:tcW w:w="42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260" w:type="dxa"/>
            <w:vAlign w:val="bottom"/>
            <w:gridSpan w:val="2"/>
            <w:shd w:val="clear" w:color="auto" w:fill="F2F2F2"/>
          </w:tcPr>
          <w:p>
            <w:pPr>
              <w:ind w:left="20"/>
              <w:spacing w:after="0"/>
              <w:rPr>
                <w:sz w:val="20"/>
                <w:szCs w:val="20"/>
                <w:color w:val="auto"/>
              </w:rPr>
            </w:pPr>
            <w:r>
              <w:rPr>
                <w:rFonts w:ascii="Arial" w:cs="Arial" w:eastAsia="Arial" w:hAnsi="Arial"/>
                <w:sz w:val="14"/>
                <w:szCs w:val="14"/>
                <w:color w:val="auto"/>
              </w:rPr>
              <w:t>Mr. Jonsson</w:t>
            </w:r>
          </w:p>
        </w:tc>
        <w:tc>
          <w:tcPr>
            <w:tcW w:w="1000" w:type="dxa"/>
            <w:vAlign w:val="bottom"/>
            <w:shd w:val="clear" w:color="auto" w:fill="F2F2F2"/>
          </w:tcPr>
          <w:p>
            <w:pPr>
              <w:spacing w:after="0"/>
              <w:rPr>
                <w:sz w:val="20"/>
                <w:szCs w:val="20"/>
                <w:color w:val="auto"/>
              </w:rPr>
            </w:pPr>
          </w:p>
        </w:tc>
        <w:tc>
          <w:tcPr>
            <w:tcW w:w="1320" w:type="dxa"/>
            <w:vAlign w:val="bottom"/>
            <w:shd w:val="clear" w:color="auto" w:fill="F2F2F2"/>
          </w:tcPr>
          <w:p>
            <w:pPr>
              <w:spacing w:after="0"/>
              <w:rPr>
                <w:sz w:val="20"/>
                <w:szCs w:val="20"/>
                <w:color w:val="auto"/>
              </w:rPr>
            </w:pPr>
          </w:p>
        </w:tc>
        <w:tc>
          <w:tcPr>
            <w:tcW w:w="1400" w:type="dxa"/>
            <w:vAlign w:val="bottom"/>
            <w:shd w:val="clear" w:color="auto" w:fill="F2F2F2"/>
          </w:tcPr>
          <w:p>
            <w:pPr>
              <w:spacing w:after="0"/>
              <w:rPr>
                <w:sz w:val="20"/>
                <w:szCs w:val="20"/>
                <w:color w:val="auto"/>
              </w:rPr>
            </w:pPr>
          </w:p>
        </w:tc>
        <w:tc>
          <w:tcPr>
            <w:tcW w:w="110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20" w:type="dxa"/>
            <w:vAlign w:val="bottom"/>
            <w:shd w:val="clear" w:color="auto" w:fill="F2F2F2"/>
          </w:tcPr>
          <w:p>
            <w:pPr>
              <w:ind w:left="20"/>
              <w:spacing w:after="0"/>
              <w:rPr>
                <w:sz w:val="20"/>
                <w:szCs w:val="20"/>
                <w:color w:val="auto"/>
              </w:rPr>
            </w:pPr>
            <w:r>
              <w:rPr>
                <w:rFonts w:ascii="Arial" w:cs="Arial" w:eastAsia="Arial" w:hAnsi="Arial"/>
                <w:sz w:val="14"/>
                <w:szCs w:val="14"/>
                <w:color w:val="auto"/>
              </w:rPr>
              <w:t>•</w:t>
            </w:r>
          </w:p>
        </w:tc>
        <w:tc>
          <w:tcPr>
            <w:tcW w:w="4040" w:type="dxa"/>
            <w:vAlign w:val="bottom"/>
            <w:shd w:val="clear" w:color="auto" w:fill="F2F2F2"/>
          </w:tcPr>
          <w:p>
            <w:pPr>
              <w:ind w:left="20"/>
              <w:spacing w:after="0"/>
              <w:rPr>
                <w:sz w:val="20"/>
                <w:szCs w:val="20"/>
                <w:color w:val="auto"/>
              </w:rPr>
            </w:pPr>
            <w:r>
              <w:rPr>
                <w:rFonts w:ascii="Arial" w:cs="Arial" w:eastAsia="Arial" w:hAnsi="Arial"/>
                <w:sz w:val="14"/>
                <w:szCs w:val="14"/>
                <w:color w:val="auto"/>
              </w:rPr>
              <w:t>Involuntary retirement or termination</w:t>
            </w:r>
          </w:p>
        </w:tc>
        <w:tc>
          <w:tcPr>
            <w:tcW w:w="10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$0</w:t>
            </w:r>
          </w:p>
        </w:tc>
        <w:tc>
          <w:tcPr>
            <w:tcW w:w="1320" w:type="dxa"/>
            <w:vAlign w:val="bottom"/>
            <w:shd w:val="clear" w:color="auto" w:fill="F2F2F2"/>
          </w:tcPr>
          <w:p>
            <w:pPr>
              <w:jc w:val="right"/>
              <w:ind w:right="128"/>
              <w:spacing w:after="0"/>
              <w:rPr>
                <w:sz w:val="20"/>
                <w:szCs w:val="20"/>
                <w:color w:val="auto"/>
              </w:rPr>
            </w:pPr>
            <w:r>
              <w:rPr>
                <w:rFonts w:ascii="Arial" w:cs="Arial" w:eastAsia="Arial" w:hAnsi="Arial"/>
                <w:sz w:val="14"/>
                <w:szCs w:val="14"/>
                <w:color w:val="auto"/>
              </w:rPr>
              <w:t>$0</w:t>
            </w:r>
          </w:p>
        </w:tc>
        <w:tc>
          <w:tcPr>
            <w:tcW w:w="1400" w:type="dxa"/>
            <w:vAlign w:val="bottom"/>
            <w:shd w:val="clear" w:color="auto" w:fill="F2F2F2"/>
          </w:tcPr>
          <w:p>
            <w:pPr>
              <w:jc w:val="right"/>
              <w:ind w:right="228"/>
              <w:spacing w:after="0"/>
              <w:rPr>
                <w:sz w:val="20"/>
                <w:szCs w:val="20"/>
                <w:color w:val="auto"/>
              </w:rPr>
            </w:pPr>
            <w:r>
              <w:rPr>
                <w:rFonts w:ascii="Arial" w:cs="Arial" w:eastAsia="Arial" w:hAnsi="Arial"/>
                <w:sz w:val="14"/>
                <w:szCs w:val="14"/>
                <w:color w:val="auto"/>
              </w:rPr>
              <w:t>$3,956,340</w:t>
            </w:r>
          </w:p>
        </w:tc>
        <w:tc>
          <w:tcPr>
            <w:tcW w:w="11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$3,956,340</w:t>
            </w:r>
          </w:p>
        </w:tc>
        <w:tc>
          <w:tcPr>
            <w:tcW w:w="0" w:type="dxa"/>
            <w:vAlign w:val="bottom"/>
          </w:tcPr>
          <w:p>
            <w:pPr>
              <w:spacing w:after="0"/>
              <w:rPr>
                <w:sz w:val="1"/>
                <w:szCs w:val="1"/>
                <w:color w:val="auto"/>
              </w:rPr>
            </w:pPr>
          </w:p>
        </w:tc>
      </w:tr>
      <w:tr>
        <w:trPr>
          <w:trHeight w:val="272"/>
        </w:trPr>
        <w:tc>
          <w:tcPr>
            <w:tcW w:w="2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w:t>
            </w:r>
          </w:p>
        </w:tc>
        <w:tc>
          <w:tcPr>
            <w:tcW w:w="40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Involuntary or good-reason termination after change in control</w:t>
            </w:r>
          </w:p>
        </w:tc>
        <w:tc>
          <w:tcPr>
            <w:tcW w:w="10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$3,000,000</w:t>
            </w:r>
          </w:p>
        </w:tc>
        <w:tc>
          <w:tcPr>
            <w:tcW w:w="1320" w:type="dxa"/>
            <w:vAlign w:val="bottom"/>
            <w:tcBorders>
              <w:bottom w:val="single" w:sz="8" w:color="F2F2F2"/>
            </w:tcBorders>
            <w:shd w:val="clear" w:color="auto" w:fill="F2F2F2"/>
          </w:tcPr>
          <w:p>
            <w:pPr>
              <w:jc w:val="right"/>
              <w:ind w:right="128"/>
              <w:spacing w:after="0"/>
              <w:rPr>
                <w:sz w:val="20"/>
                <w:szCs w:val="20"/>
                <w:color w:val="auto"/>
              </w:rPr>
            </w:pPr>
            <w:r>
              <w:rPr>
                <w:rFonts w:ascii="Arial" w:cs="Arial" w:eastAsia="Arial" w:hAnsi="Arial"/>
                <w:sz w:val="14"/>
                <w:szCs w:val="14"/>
                <w:color w:val="auto"/>
              </w:rPr>
              <w:t>$59,558</w:t>
            </w:r>
          </w:p>
        </w:tc>
        <w:tc>
          <w:tcPr>
            <w:tcW w:w="1400" w:type="dxa"/>
            <w:vAlign w:val="bottom"/>
            <w:tcBorders>
              <w:bottom w:val="single" w:sz="8" w:color="F2F2F2"/>
            </w:tcBorders>
            <w:shd w:val="clear" w:color="auto" w:fill="F2F2F2"/>
          </w:tcPr>
          <w:p>
            <w:pPr>
              <w:jc w:val="right"/>
              <w:ind w:right="228"/>
              <w:spacing w:after="0"/>
              <w:rPr>
                <w:sz w:val="20"/>
                <w:szCs w:val="20"/>
                <w:color w:val="auto"/>
              </w:rPr>
            </w:pPr>
            <w:r>
              <w:rPr>
                <w:rFonts w:ascii="Arial" w:cs="Arial" w:eastAsia="Arial" w:hAnsi="Arial"/>
                <w:sz w:val="14"/>
                <w:szCs w:val="14"/>
                <w:color w:val="auto"/>
              </w:rPr>
              <w:t>$12,157,522</w:t>
            </w:r>
          </w:p>
        </w:tc>
        <w:tc>
          <w:tcPr>
            <w:tcW w:w="11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$15,217,080</w:t>
            </w:r>
          </w:p>
        </w:tc>
        <w:tc>
          <w:tcPr>
            <w:tcW w:w="0" w:type="dxa"/>
            <w:vAlign w:val="bottom"/>
          </w:tcPr>
          <w:p>
            <w:pPr>
              <w:spacing w:after="0"/>
              <w:rPr>
                <w:sz w:val="1"/>
                <w:szCs w:val="1"/>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100" w:hanging="92"/>
        <w:spacing w:after="0"/>
        <w:tabs>
          <w:tab w:leader="none" w:pos="100" w:val="left"/>
        </w:tabs>
        <w:numPr>
          <w:ilvl w:val="0"/>
          <w:numId w:val="176"/>
        </w:numPr>
        <w:rPr>
          <w:rFonts w:ascii="Arial" w:cs="Arial" w:eastAsia="Arial" w:hAnsi="Arial"/>
          <w:sz w:val="19"/>
          <w:szCs w:val="19"/>
          <w:color w:val="auto"/>
          <w:vertAlign w:val="superscript"/>
        </w:rPr>
      </w:pPr>
      <w:r>
        <w:rPr>
          <w:rFonts w:ascii="Arial" w:cs="Arial" w:eastAsia="Arial" w:hAnsi="Arial"/>
          <w:sz w:val="14"/>
          <w:szCs w:val="14"/>
          <w:color w:val="auto"/>
        </w:rPr>
        <w:t>See “</w:t>
      </w:r>
      <w:r>
        <w:rPr>
          <w:rFonts w:ascii="Arial" w:cs="Arial" w:eastAsia="Arial" w:hAnsi="Arial"/>
          <w:sz w:val="14"/>
          <w:szCs w:val="14"/>
          <w:u w:val="single" w:color="auto"/>
          <w:color w:val="0000FF"/>
        </w:rPr>
        <w:t>Change-in-Control Severance Pay Plan—Cash Severance Payment</w:t>
      </w:r>
      <w:r>
        <w:rPr>
          <w:rFonts w:ascii="Arial" w:cs="Arial" w:eastAsia="Arial" w:hAnsi="Arial"/>
          <w:sz w:val="14"/>
          <w:szCs w:val="14"/>
          <w:color w:val="auto"/>
        </w:rPr>
        <w:t>” below.</w:t>
      </w:r>
    </w:p>
    <w:p>
      <w:pPr>
        <w:spacing w:after="0" w:line="11" w:lineRule="exact"/>
        <w:rPr>
          <w:sz w:val="20"/>
          <w:szCs w:val="20"/>
          <w:color w:val="auto"/>
        </w:rPr>
      </w:pPr>
    </w:p>
    <w:p>
      <w:pPr>
        <w:ind w:left="100" w:hanging="92"/>
        <w:spacing w:after="0"/>
        <w:tabs>
          <w:tab w:leader="none" w:pos="100" w:val="left"/>
        </w:tabs>
        <w:numPr>
          <w:ilvl w:val="0"/>
          <w:numId w:val="177"/>
        </w:numPr>
        <w:rPr>
          <w:rFonts w:ascii="Arial" w:cs="Arial" w:eastAsia="Arial" w:hAnsi="Arial"/>
          <w:sz w:val="19"/>
          <w:szCs w:val="19"/>
          <w:color w:val="auto"/>
          <w:vertAlign w:val="superscript"/>
        </w:rPr>
      </w:pPr>
      <w:r>
        <w:rPr>
          <w:rFonts w:ascii="Arial" w:cs="Arial" w:eastAsia="Arial" w:hAnsi="Arial"/>
          <w:sz w:val="14"/>
          <w:szCs w:val="14"/>
          <w:color w:val="auto"/>
        </w:rPr>
        <w:t>See “</w:t>
      </w:r>
      <w:r>
        <w:rPr>
          <w:rFonts w:ascii="Arial" w:cs="Arial" w:eastAsia="Arial" w:hAnsi="Arial"/>
          <w:sz w:val="14"/>
          <w:szCs w:val="14"/>
          <w:u w:val="single" w:color="auto"/>
          <w:color w:val="0000FF"/>
        </w:rPr>
        <w:t>Accrued Pay and Regular Retirement Benefits</w:t>
      </w:r>
      <w:r>
        <w:rPr>
          <w:rFonts w:ascii="Arial" w:cs="Arial" w:eastAsia="Arial" w:hAnsi="Arial"/>
          <w:sz w:val="14"/>
          <w:szCs w:val="14"/>
          <w:color w:val="auto"/>
        </w:rPr>
        <w:t>” and “</w:t>
      </w:r>
      <w:r>
        <w:rPr>
          <w:rFonts w:ascii="Arial" w:cs="Arial" w:eastAsia="Arial" w:hAnsi="Arial"/>
          <w:sz w:val="14"/>
          <w:szCs w:val="14"/>
          <w:u w:val="single" w:color="auto"/>
          <w:color w:val="0000FF"/>
        </w:rPr>
        <w:t>Change-in-Control Severance Pay Plan—Continuation of Medical and Welfare Benefits</w:t>
      </w:r>
      <w:r>
        <w:rPr>
          <w:rFonts w:ascii="Arial" w:cs="Arial" w:eastAsia="Arial" w:hAnsi="Arial"/>
          <w:sz w:val="14"/>
          <w:szCs w:val="14"/>
          <w:color w:val="auto"/>
        </w:rPr>
        <w:t>” below.</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83" w:name="page84"/>
    <w:bookmarkEnd w:id="83"/>
    <w:p>
      <w:pPr>
        <w:ind w:right="280"/>
        <w:spacing w:after="0" w:line="250" w:lineRule="auto"/>
        <w:rPr>
          <w:sz w:val="20"/>
          <w:szCs w:val="20"/>
          <w:color w:val="auto"/>
        </w:rPr>
      </w:pPr>
      <w:r>
        <w:rPr>
          <w:rFonts w:ascii="Arial" w:cs="Arial" w:eastAsia="Arial" w:hAnsi="Arial"/>
          <w:sz w:val="22"/>
          <w:szCs w:val="22"/>
          <w:b w:val="1"/>
          <w:bCs w:val="1"/>
          <w:color w:val="auto"/>
        </w:rPr>
        <w:t xml:space="preserve">Accrued Pay and Regular Retirement Benefits: </w:t>
      </w:r>
      <w:r>
        <w:rPr>
          <w:rFonts w:ascii="Arial" w:cs="Arial" w:eastAsia="Arial" w:hAnsi="Arial"/>
          <w:sz w:val="17"/>
          <w:szCs w:val="17"/>
          <w:color w:val="auto"/>
        </w:rPr>
        <w:t>The amounts shown in the table above do not include certain payments and</w:t>
      </w:r>
      <w:r>
        <w:rPr>
          <w:rFonts w:ascii="Arial" w:cs="Arial" w:eastAsia="Arial" w:hAnsi="Arial"/>
          <w:sz w:val="22"/>
          <w:szCs w:val="22"/>
          <w:b w:val="1"/>
          <w:bCs w:val="1"/>
          <w:color w:val="auto"/>
        </w:rPr>
        <w:t xml:space="preserve"> </w:t>
      </w:r>
      <w:r>
        <w:rPr>
          <w:rFonts w:ascii="Arial" w:cs="Arial" w:eastAsia="Arial" w:hAnsi="Arial"/>
          <w:sz w:val="17"/>
          <w:szCs w:val="17"/>
          <w:color w:val="auto"/>
        </w:rPr>
        <w:t>benefits to the extent they are provided on a non-discriminatory basis to salaried employees generally upon termination of employment. These include:</w:t>
      </w:r>
    </w:p>
    <w:p>
      <w:pPr>
        <w:spacing w:after="0" w:line="75" w:lineRule="exact"/>
        <w:rPr>
          <w:sz w:val="20"/>
          <w:szCs w:val="20"/>
          <w:color w:val="auto"/>
        </w:rPr>
      </w:pPr>
    </w:p>
    <w:p>
      <w:pPr>
        <w:ind w:left="980" w:right="60" w:hanging="324"/>
        <w:spacing w:after="0" w:line="287" w:lineRule="auto"/>
        <w:tabs>
          <w:tab w:leader="none" w:pos="969" w:val="left"/>
        </w:tabs>
        <w:numPr>
          <w:ilvl w:val="0"/>
          <w:numId w:val="178"/>
        </w:numPr>
        <w:rPr>
          <w:rFonts w:ascii="Arial" w:cs="Arial" w:eastAsia="Arial" w:hAnsi="Arial"/>
          <w:sz w:val="16"/>
          <w:szCs w:val="16"/>
          <w:color w:val="auto"/>
        </w:rPr>
      </w:pPr>
      <w:r>
        <w:rPr>
          <w:rFonts w:ascii="Arial" w:cs="Arial" w:eastAsia="Arial" w:hAnsi="Arial"/>
          <w:sz w:val="18"/>
          <w:szCs w:val="18"/>
          <w:color w:val="auto"/>
        </w:rPr>
        <w:t>accrued salary, vacation pay, and, if applicable, equity payouts prorated for time worked in the performance period and adjusted for company performance;</w:t>
      </w:r>
    </w:p>
    <w:p>
      <w:pPr>
        <w:spacing w:after="0" w:line="44" w:lineRule="exact"/>
        <w:rPr>
          <w:rFonts w:ascii="Arial" w:cs="Arial" w:eastAsia="Arial" w:hAnsi="Arial"/>
          <w:sz w:val="16"/>
          <w:szCs w:val="16"/>
          <w:color w:val="auto"/>
        </w:rPr>
      </w:pPr>
    </w:p>
    <w:p>
      <w:pPr>
        <w:ind w:left="960" w:hanging="304"/>
        <w:spacing w:after="0"/>
        <w:tabs>
          <w:tab w:leader="none" w:pos="960" w:val="left"/>
        </w:tabs>
        <w:numPr>
          <w:ilvl w:val="0"/>
          <w:numId w:val="178"/>
        </w:numPr>
        <w:rPr>
          <w:rFonts w:ascii="Arial" w:cs="Arial" w:eastAsia="Arial" w:hAnsi="Arial"/>
          <w:sz w:val="16"/>
          <w:szCs w:val="16"/>
          <w:color w:val="auto"/>
        </w:rPr>
      </w:pPr>
      <w:r>
        <w:rPr>
          <w:rFonts w:ascii="Arial" w:cs="Arial" w:eastAsia="Arial" w:hAnsi="Arial"/>
          <w:sz w:val="18"/>
          <w:szCs w:val="18"/>
          <w:color w:val="auto"/>
        </w:rPr>
        <w:t>regular pension benefits under the Retirement Plan and the nonqualified pension plan. See “</w:t>
      </w:r>
      <w:r>
        <w:rPr>
          <w:rFonts w:ascii="Arial" w:cs="Arial" w:eastAsia="Arial" w:hAnsi="Arial"/>
          <w:sz w:val="18"/>
          <w:szCs w:val="18"/>
          <w:u w:val="single" w:color="auto"/>
          <w:color w:val="0000FF"/>
        </w:rPr>
        <w:t>Retirement Benefits</w:t>
      </w:r>
      <w:r>
        <w:rPr>
          <w:rFonts w:ascii="Arial" w:cs="Arial" w:eastAsia="Arial" w:hAnsi="Arial"/>
          <w:sz w:val="18"/>
          <w:szCs w:val="18"/>
          <w:color w:val="auto"/>
        </w:rPr>
        <w:t>” above;</w:t>
      </w:r>
    </w:p>
    <w:p>
      <w:pPr>
        <w:spacing w:after="0" w:line="117" w:lineRule="exact"/>
        <w:rPr>
          <w:rFonts w:ascii="Arial" w:cs="Arial" w:eastAsia="Arial" w:hAnsi="Arial"/>
          <w:sz w:val="16"/>
          <w:szCs w:val="16"/>
          <w:color w:val="auto"/>
        </w:rPr>
      </w:pPr>
    </w:p>
    <w:p>
      <w:pPr>
        <w:ind w:left="980" w:right="380" w:hanging="324"/>
        <w:spacing w:after="0" w:line="287" w:lineRule="auto"/>
        <w:tabs>
          <w:tab w:leader="none" w:pos="969" w:val="left"/>
        </w:tabs>
        <w:numPr>
          <w:ilvl w:val="0"/>
          <w:numId w:val="178"/>
        </w:numPr>
        <w:rPr>
          <w:rFonts w:ascii="Arial" w:cs="Arial" w:eastAsia="Arial" w:hAnsi="Arial"/>
          <w:sz w:val="16"/>
          <w:szCs w:val="16"/>
          <w:color w:val="auto"/>
        </w:rPr>
      </w:pPr>
      <w:r>
        <w:rPr>
          <w:rFonts w:ascii="Arial" w:cs="Arial" w:eastAsia="Arial" w:hAnsi="Arial"/>
          <w:sz w:val="18"/>
          <w:szCs w:val="18"/>
          <w:color w:val="auto"/>
        </w:rPr>
        <w:t>welfare benefits provided to eligible U.S. retirees, including retiree medical and dental insurance. The amounts shown in the table above as “Continuation of Medical/Welfare Benefits” are explained below; and</w:t>
      </w:r>
    </w:p>
    <w:p>
      <w:pPr>
        <w:spacing w:after="0" w:line="44" w:lineRule="exact"/>
        <w:rPr>
          <w:rFonts w:ascii="Arial" w:cs="Arial" w:eastAsia="Arial" w:hAnsi="Arial"/>
          <w:sz w:val="16"/>
          <w:szCs w:val="16"/>
          <w:color w:val="auto"/>
        </w:rPr>
      </w:pPr>
    </w:p>
    <w:p>
      <w:pPr>
        <w:ind w:left="980" w:right="200" w:hanging="324"/>
        <w:spacing w:after="0" w:line="287" w:lineRule="auto"/>
        <w:tabs>
          <w:tab w:leader="none" w:pos="969" w:val="left"/>
        </w:tabs>
        <w:numPr>
          <w:ilvl w:val="0"/>
          <w:numId w:val="178"/>
        </w:numPr>
        <w:rPr>
          <w:rFonts w:ascii="Arial" w:cs="Arial" w:eastAsia="Arial" w:hAnsi="Arial"/>
          <w:sz w:val="16"/>
          <w:szCs w:val="16"/>
          <w:color w:val="auto"/>
        </w:rPr>
      </w:pPr>
      <w:r>
        <w:rPr>
          <w:rFonts w:ascii="Arial" w:cs="Arial" w:eastAsia="Arial" w:hAnsi="Arial"/>
          <w:sz w:val="18"/>
          <w:szCs w:val="18"/>
          <w:color w:val="auto"/>
        </w:rPr>
        <w:t>distributions of plan balances under the 401(k) Plan, the nonqualified savings plan, and the Deferred Compensation Plan. See the narrative following the Nonqualified Deferred Compensation in 2022 table for information about these plans.</w:t>
      </w:r>
    </w:p>
    <w:p>
      <w:pPr>
        <w:spacing w:after="0" w:line="157" w:lineRule="exact"/>
        <w:rPr>
          <w:sz w:val="20"/>
          <w:szCs w:val="20"/>
          <w:color w:val="auto"/>
        </w:rPr>
      </w:pPr>
    </w:p>
    <w:p>
      <w:pPr>
        <w:spacing w:after="0" w:line="309" w:lineRule="auto"/>
        <w:rPr>
          <w:sz w:val="20"/>
          <w:szCs w:val="20"/>
          <w:color w:val="auto"/>
        </w:rPr>
      </w:pPr>
      <w:r>
        <w:rPr>
          <w:rFonts w:ascii="Arial" w:cs="Arial" w:eastAsia="Arial" w:hAnsi="Arial"/>
          <w:sz w:val="22"/>
          <w:szCs w:val="22"/>
          <w:b w:val="1"/>
          <w:bCs w:val="1"/>
          <w:color w:val="auto"/>
        </w:rPr>
        <w:t xml:space="preserve">Death and Disability: </w:t>
      </w:r>
      <w:r>
        <w:rPr>
          <w:rFonts w:ascii="Arial" w:cs="Arial" w:eastAsia="Arial" w:hAnsi="Arial"/>
          <w:sz w:val="17"/>
          <w:szCs w:val="17"/>
          <w:color w:val="auto"/>
        </w:rPr>
        <w:t>A termination of employment due to death or disability does not entitle named executive officers to any payments</w:t>
      </w:r>
      <w:r>
        <w:rPr>
          <w:rFonts w:ascii="Arial" w:cs="Arial" w:eastAsia="Arial" w:hAnsi="Arial"/>
          <w:sz w:val="22"/>
          <w:szCs w:val="22"/>
          <w:b w:val="1"/>
          <w:bCs w:val="1"/>
          <w:color w:val="auto"/>
        </w:rPr>
        <w:t xml:space="preserve"> </w:t>
      </w:r>
      <w:r>
        <w:rPr>
          <w:rFonts w:ascii="Arial" w:cs="Arial" w:eastAsia="Arial" w:hAnsi="Arial"/>
          <w:sz w:val="17"/>
          <w:szCs w:val="17"/>
          <w:color w:val="auto"/>
        </w:rPr>
        <w:t>or benefits that are not available to U.S. employees generally.</w:t>
      </w:r>
    </w:p>
    <w:p>
      <w:pPr>
        <w:spacing w:after="0" w:line="125" w:lineRule="exact"/>
        <w:rPr>
          <w:sz w:val="20"/>
          <w:szCs w:val="20"/>
          <w:color w:val="auto"/>
        </w:rPr>
      </w:pPr>
    </w:p>
    <w:p>
      <w:pPr>
        <w:ind w:right="220"/>
        <w:spacing w:after="0" w:line="233" w:lineRule="auto"/>
        <w:rPr>
          <w:sz w:val="20"/>
          <w:szCs w:val="20"/>
          <w:color w:val="auto"/>
        </w:rPr>
      </w:pPr>
      <w:r>
        <w:rPr>
          <w:rFonts w:ascii="Arial" w:cs="Arial" w:eastAsia="Arial" w:hAnsi="Arial"/>
          <w:sz w:val="22"/>
          <w:szCs w:val="22"/>
          <w:b w:val="1"/>
          <w:bCs w:val="1"/>
          <w:color w:val="auto"/>
        </w:rPr>
        <w:t xml:space="preserve">Termination for Cause: </w:t>
      </w:r>
      <w:r>
        <w:rPr>
          <w:rFonts w:ascii="Arial" w:cs="Arial" w:eastAsia="Arial" w:hAnsi="Arial"/>
          <w:sz w:val="17"/>
          <w:szCs w:val="17"/>
          <w:color w:val="auto"/>
        </w:rPr>
        <w:t>Executives terminated for cause receive no severance or enhanced benefits and forfeit any unvested equity</w:t>
      </w:r>
      <w:r>
        <w:rPr>
          <w:rFonts w:ascii="Arial" w:cs="Arial" w:eastAsia="Arial" w:hAnsi="Arial"/>
          <w:sz w:val="22"/>
          <w:szCs w:val="22"/>
          <w:b w:val="1"/>
          <w:bCs w:val="1"/>
          <w:color w:val="auto"/>
        </w:rPr>
        <w:t xml:space="preserve"> </w:t>
      </w:r>
      <w:r>
        <w:rPr>
          <w:rFonts w:ascii="Arial" w:cs="Arial" w:eastAsia="Arial" w:hAnsi="Arial"/>
          <w:sz w:val="17"/>
          <w:szCs w:val="17"/>
          <w:color w:val="auto"/>
        </w:rPr>
        <w:t>grants.</w:t>
      </w:r>
    </w:p>
    <w:p>
      <w:pPr>
        <w:spacing w:after="0" w:line="197" w:lineRule="exact"/>
        <w:rPr>
          <w:sz w:val="20"/>
          <w:szCs w:val="20"/>
          <w:color w:val="auto"/>
        </w:rPr>
      </w:pPr>
    </w:p>
    <w:p>
      <w:pPr>
        <w:ind w:right="80"/>
        <w:spacing w:after="0" w:line="256" w:lineRule="auto"/>
        <w:rPr>
          <w:sz w:val="20"/>
          <w:szCs w:val="20"/>
          <w:color w:val="auto"/>
        </w:rPr>
      </w:pPr>
      <w:r>
        <w:rPr>
          <w:rFonts w:ascii="Arial" w:cs="Arial" w:eastAsia="Arial" w:hAnsi="Arial"/>
          <w:sz w:val="22"/>
          <w:szCs w:val="22"/>
          <w:b w:val="1"/>
          <w:bCs w:val="1"/>
          <w:color w:val="auto"/>
        </w:rPr>
        <w:t xml:space="preserve">Change-in-Control Severance Pay Plan: </w:t>
      </w:r>
      <w:r>
        <w:rPr>
          <w:rFonts w:ascii="Arial" w:cs="Arial" w:eastAsia="Arial" w:hAnsi="Arial"/>
          <w:sz w:val="17"/>
          <w:szCs w:val="17"/>
          <w:color w:val="auto"/>
        </w:rPr>
        <w:t>As described in the CD&amp;A under “</w:t>
      </w:r>
      <w:r>
        <w:rPr>
          <w:rFonts w:ascii="Arial" w:cs="Arial" w:eastAsia="Arial" w:hAnsi="Arial"/>
          <w:sz w:val="17"/>
          <w:szCs w:val="17"/>
          <w:u w:val="single" w:color="auto"/>
          <w:color w:val="0000FF"/>
        </w:rPr>
        <w:t>Other Compensation Practices and Information—</w:t>
      </w:r>
      <w:r>
        <w:rPr>
          <w:rFonts w:ascii="Arial" w:cs="Arial" w:eastAsia="Arial" w:hAnsi="Arial"/>
          <w:sz w:val="22"/>
          <w:szCs w:val="22"/>
          <w:b w:val="1"/>
          <w:bCs w:val="1"/>
          <w:color w:val="auto"/>
        </w:rPr>
        <w:t xml:space="preserve"> </w:t>
      </w:r>
      <w:r>
        <w:rPr>
          <w:rFonts w:ascii="Arial" w:cs="Arial" w:eastAsia="Arial" w:hAnsi="Arial"/>
          <w:sz w:val="17"/>
          <w:szCs w:val="17"/>
          <w:u w:val="single" w:color="auto"/>
          <w:color w:val="0000FF"/>
        </w:rPr>
        <w:t>Severance Benefits</w:t>
      </w:r>
      <w:r>
        <w:rPr>
          <w:rFonts w:ascii="Arial" w:cs="Arial" w:eastAsia="Arial" w:hAnsi="Arial"/>
          <w:sz w:val="17"/>
          <w:szCs w:val="17"/>
          <w:color w:val="000000"/>
        </w:rPr>
        <w:t>,” the company maintains a change-in-control severance pay plan for nearly all employees, including the named</w:t>
      </w:r>
      <w:r>
        <w:rPr>
          <w:rFonts w:ascii="Arial" w:cs="Arial" w:eastAsia="Arial" w:hAnsi="Arial"/>
          <w:sz w:val="17"/>
          <w:szCs w:val="17"/>
          <w:color w:val="0000FF"/>
        </w:rPr>
        <w:t xml:space="preserve"> </w:t>
      </w:r>
      <w:r>
        <w:rPr>
          <w:rFonts w:ascii="Arial" w:cs="Arial" w:eastAsia="Arial" w:hAnsi="Arial"/>
          <w:sz w:val="17"/>
          <w:szCs w:val="17"/>
          <w:color w:val="000000"/>
        </w:rPr>
        <w:t>executive officers. The change-in-control plan for executive officers defines a change in control specifically, but generally the terms include the occurrence of one of the following: (i) acquisition by any person of 20 percent or more of the company’s stock; (ii) replacement by the shareholders of one-half or more of the board of directors; (iii) consummation of a merger, share exchange, or consolidation of the company (other than a transaction that results in the Lilly shareholders prior to the transaction continuing to hold more than 60 percent of the voting stock of the combined entity); or (iv) complete liquidation of the company or sale or disposition of all or substantially all of its assets. The amounts shown in the table for “involuntary or good-reason termination after change in control” are based on the following assumptions and plan provisions:</w:t>
      </w:r>
    </w:p>
    <w:p>
      <w:pPr>
        <w:spacing w:after="0" w:line="320" w:lineRule="exact"/>
        <w:rPr>
          <w:sz w:val="20"/>
          <w:szCs w:val="20"/>
          <w:color w:val="auto"/>
        </w:rPr>
      </w:pPr>
    </w:p>
    <w:p>
      <w:pPr>
        <w:ind w:left="340" w:right="120" w:hanging="332"/>
        <w:spacing w:after="0" w:line="279" w:lineRule="auto"/>
        <w:tabs>
          <w:tab w:leader="none" w:pos="329" w:val="left"/>
        </w:tabs>
        <w:numPr>
          <w:ilvl w:val="0"/>
          <w:numId w:val="179"/>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Covered terminations. </w:t>
      </w:r>
      <w:r>
        <w:rPr>
          <w:rFonts w:ascii="Arial" w:cs="Arial" w:eastAsia="Arial" w:hAnsi="Arial"/>
          <w:sz w:val="17"/>
          <w:szCs w:val="17"/>
          <w:color w:val="000000"/>
        </w:rPr>
        <w:t>The table assumes a termination of employment that is eligible for severance under the terms of the plan,</w:t>
      </w:r>
      <w:r>
        <w:rPr>
          <w:rFonts w:ascii="Arial" w:cs="Arial" w:eastAsia="Arial" w:hAnsi="Arial"/>
          <w:sz w:val="20"/>
          <w:szCs w:val="20"/>
          <w:b w:val="1"/>
          <w:bCs w:val="1"/>
          <w:color w:val="D52B1E"/>
        </w:rPr>
        <w:t xml:space="preserve"> </w:t>
      </w:r>
      <w:r>
        <w:rPr>
          <w:rFonts w:ascii="Arial" w:cs="Arial" w:eastAsia="Arial" w:hAnsi="Arial"/>
          <w:sz w:val="17"/>
          <w:szCs w:val="17"/>
          <w:color w:val="000000"/>
        </w:rPr>
        <w:t>based on the named executive officer’s compensation, benefits, age, and service credit at December 31, 2022. Eligible terminations include an involuntary termination for reasons other than “cause” or a voluntary termination by the executive for “good reason,” each as defined in the plan, within two years following the change in control.</w:t>
      </w:r>
    </w:p>
    <w:p>
      <w:pPr>
        <w:spacing w:after="0" w:line="54" w:lineRule="exact"/>
        <w:rPr>
          <w:rFonts w:ascii="Arial" w:cs="Arial" w:eastAsia="Arial" w:hAnsi="Arial"/>
          <w:sz w:val="16"/>
          <w:szCs w:val="16"/>
          <w:b w:val="1"/>
          <w:bCs w:val="1"/>
          <w:color w:val="D52B1E"/>
        </w:rPr>
      </w:pPr>
    </w:p>
    <w:p>
      <w:pPr>
        <w:ind w:left="660" w:hanging="166"/>
        <w:spacing w:after="0" w:line="257" w:lineRule="auto"/>
        <w:tabs>
          <w:tab w:leader="none" w:pos="649" w:val="left"/>
        </w:tabs>
        <w:numPr>
          <w:ilvl w:val="1"/>
          <w:numId w:val="179"/>
        </w:numPr>
        <w:rPr>
          <w:rFonts w:ascii="Arial" w:cs="Arial" w:eastAsia="Arial" w:hAnsi="Arial"/>
          <w:sz w:val="16"/>
          <w:szCs w:val="16"/>
          <w:color w:val="auto"/>
        </w:rPr>
      </w:pPr>
      <w:r>
        <w:rPr>
          <w:rFonts w:ascii="Arial" w:cs="Arial" w:eastAsia="Arial" w:hAnsi="Arial"/>
          <w:sz w:val="18"/>
          <w:szCs w:val="18"/>
          <w:color w:val="auto"/>
        </w:rPr>
        <w:t>A termination of an executive officer by the company is for “cause,” in general, if it is for any of the following reasons: (i) the employee’s willful refusal to perform, without legal cause, his or her material duties, resulting in demonstrable economic harm to the company or participating employers; (ii) any act of fraud, dishonesty, or gross misconduct resulting in significant economic harm or other significant harm to the company or participating employers or to the business reputation of the company or participating employers; or (iii) conviction by a court of competent jurisdiction of any crime (or the entering of a plea of guilty or nolo contendere to a charge of any crime) constituting a felony.</w:t>
      </w:r>
    </w:p>
    <w:p>
      <w:pPr>
        <w:spacing w:after="0" w:line="74" w:lineRule="exact"/>
        <w:rPr>
          <w:rFonts w:ascii="Arial" w:cs="Arial" w:eastAsia="Arial" w:hAnsi="Arial"/>
          <w:sz w:val="16"/>
          <w:szCs w:val="16"/>
          <w:color w:val="auto"/>
        </w:rPr>
      </w:pPr>
    </w:p>
    <w:p>
      <w:pPr>
        <w:ind w:left="660" w:hanging="166"/>
        <w:spacing w:after="0" w:line="254" w:lineRule="auto"/>
        <w:tabs>
          <w:tab w:leader="none" w:pos="649" w:val="left"/>
        </w:tabs>
        <w:numPr>
          <w:ilvl w:val="1"/>
          <w:numId w:val="179"/>
        </w:numPr>
        <w:rPr>
          <w:rFonts w:ascii="Arial" w:cs="Arial" w:eastAsia="Arial" w:hAnsi="Arial"/>
          <w:sz w:val="16"/>
          <w:szCs w:val="16"/>
          <w:color w:val="auto"/>
        </w:rPr>
      </w:pPr>
      <w:r>
        <w:rPr>
          <w:rFonts w:ascii="Arial" w:cs="Arial" w:eastAsia="Arial" w:hAnsi="Arial"/>
          <w:sz w:val="18"/>
          <w:szCs w:val="18"/>
          <w:color w:val="auto"/>
        </w:rPr>
        <w:t>A termination by the executive officer is for “good reason,” in general, if it results from: (i) a material diminution in the nature or status of the executive’s position, title, reporting relationship, duties, responsibilities, or authority, or the assignment to him or her of additional responsibilities that materially increase his or her workload; (ii) any reduction in the executive’s then-current base salary; (iii) a material reduction in the executive’s opportunities to earn incentive bonuses below those in effect for the year prior to the change in control; (iv) a material reduction in the executive’s employee benefits from the benefit levels in effect immediately prior to the change in control; (v) the failure to grant to the executive stock options, stock units, performance shares, or similar incentive rights during each 12-month period following the change in control on the basis of a number of shares or units and all other material terms at least as favorable to the executive as those rights granted to him or her on an annualized average basis for the three-year period immediately prior to the change in control; (vi) relocation of the executive by more than 50 miles from his or her regularly assigned workplace in effect immediately prior to the change in control; or (vii) any failure by a successor entity to the company in connection with a change in control to assume</w:t>
      </w: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16" w:right="399" w:bottom="1440" w:gutter="0" w:footer="0" w:header="0"/>
        </w:sectPr>
      </w:pPr>
    </w:p>
    <w:bookmarkStart w:id="84" w:name="page85"/>
    <w:bookmarkEnd w:id="84"/>
    <w:p>
      <w:pPr>
        <w:ind w:left="660" w:right="780"/>
        <w:spacing w:after="0" w:line="287" w:lineRule="auto"/>
        <w:rPr>
          <w:sz w:val="20"/>
          <w:szCs w:val="20"/>
          <w:color w:val="auto"/>
        </w:rPr>
      </w:pPr>
      <w:r>
        <w:rPr>
          <w:rFonts w:ascii="Arial" w:cs="Arial" w:eastAsia="Arial" w:hAnsi="Arial"/>
          <w:sz w:val="18"/>
          <w:szCs w:val="18"/>
          <w:color w:val="auto"/>
        </w:rPr>
        <w:t>the obligations of the company under the plan, or any attempted amendment, termination or repudiation of the plan by such successor entity.</w:t>
      </w:r>
    </w:p>
    <w:p>
      <w:pPr>
        <w:spacing w:after="0" w:line="67" w:lineRule="exact"/>
        <w:rPr>
          <w:sz w:val="20"/>
          <w:szCs w:val="20"/>
          <w:color w:val="auto"/>
        </w:rPr>
      </w:pPr>
    </w:p>
    <w:p>
      <w:pPr>
        <w:ind w:left="340" w:right="20" w:hanging="332"/>
        <w:spacing w:after="0" w:line="315" w:lineRule="auto"/>
        <w:tabs>
          <w:tab w:leader="none" w:pos="329" w:val="left"/>
        </w:tabs>
        <w:numPr>
          <w:ilvl w:val="0"/>
          <w:numId w:val="180"/>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Cash severance payment. </w:t>
      </w:r>
      <w:r>
        <w:rPr>
          <w:rFonts w:ascii="Arial" w:cs="Arial" w:eastAsia="Arial" w:hAnsi="Arial"/>
          <w:sz w:val="17"/>
          <w:szCs w:val="17"/>
          <w:color w:val="000000"/>
        </w:rPr>
        <w:t>The cash severance payment amounts, in general, to two times the executive officer's annual base salary</w:t>
      </w:r>
      <w:r>
        <w:rPr>
          <w:rFonts w:ascii="Arial" w:cs="Arial" w:eastAsia="Arial" w:hAnsi="Arial"/>
          <w:sz w:val="20"/>
          <w:szCs w:val="20"/>
          <w:b w:val="1"/>
          <w:bCs w:val="1"/>
          <w:color w:val="D52B1E"/>
        </w:rPr>
        <w:t xml:space="preserve"> </w:t>
      </w:r>
      <w:r>
        <w:rPr>
          <w:rFonts w:ascii="Arial" w:cs="Arial" w:eastAsia="Arial" w:hAnsi="Arial"/>
          <w:sz w:val="17"/>
          <w:szCs w:val="17"/>
          <w:color w:val="000000"/>
        </w:rPr>
        <w:t>plus two times the executive officer’s bonus target for that year under the Bonus Plan, to be paid in a lump sum.</w:t>
      </w:r>
    </w:p>
    <w:p>
      <w:pPr>
        <w:spacing w:after="0" w:line="8" w:lineRule="exact"/>
        <w:rPr>
          <w:rFonts w:ascii="Arial" w:cs="Arial" w:eastAsia="Arial" w:hAnsi="Arial"/>
          <w:sz w:val="16"/>
          <w:szCs w:val="16"/>
          <w:b w:val="1"/>
          <w:bCs w:val="1"/>
          <w:color w:val="D52B1E"/>
        </w:rPr>
      </w:pPr>
    </w:p>
    <w:p>
      <w:pPr>
        <w:ind w:left="340" w:right="100" w:hanging="332"/>
        <w:spacing w:after="0" w:line="272" w:lineRule="auto"/>
        <w:tabs>
          <w:tab w:leader="none" w:pos="329" w:val="left"/>
        </w:tabs>
        <w:numPr>
          <w:ilvl w:val="0"/>
          <w:numId w:val="180"/>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Continuation of medical and welfare benefits. </w:t>
      </w:r>
      <w:r>
        <w:rPr>
          <w:rFonts w:ascii="Arial" w:cs="Arial" w:eastAsia="Arial" w:hAnsi="Arial"/>
          <w:sz w:val="17"/>
          <w:szCs w:val="17"/>
          <w:color w:val="000000"/>
        </w:rPr>
        <w:t>This amount represents the present value of the change-in-control plan’s</w:t>
      </w:r>
      <w:r>
        <w:rPr>
          <w:rFonts w:ascii="Arial" w:cs="Arial" w:eastAsia="Arial" w:hAnsi="Arial"/>
          <w:sz w:val="20"/>
          <w:szCs w:val="20"/>
          <w:b w:val="1"/>
          <w:bCs w:val="1"/>
          <w:color w:val="D52B1E"/>
        </w:rPr>
        <w:t xml:space="preserve"> </w:t>
      </w:r>
      <w:r>
        <w:rPr>
          <w:rFonts w:ascii="Arial" w:cs="Arial" w:eastAsia="Arial" w:hAnsi="Arial"/>
          <w:sz w:val="17"/>
          <w:szCs w:val="17"/>
          <w:color w:val="000000"/>
        </w:rPr>
        <w:t>provision, following a covered termination, of 18 months of continued coverage equivalent to the company’s current active employee medical, dental, group life, company-provided death benefit, and long-term disability insurance. Similar actuarial assumptions to those used to calculate incremental pension benefits apply to the calculation for continuation of medical and welfare benefits, with the addition of actual COBRA rates based on current benefit elections.</w:t>
      </w:r>
    </w:p>
    <w:p>
      <w:pPr>
        <w:spacing w:after="0" w:line="54" w:lineRule="exact"/>
        <w:rPr>
          <w:rFonts w:ascii="Arial" w:cs="Arial" w:eastAsia="Arial" w:hAnsi="Arial"/>
          <w:sz w:val="16"/>
          <w:szCs w:val="16"/>
          <w:b w:val="1"/>
          <w:bCs w:val="1"/>
          <w:color w:val="D52B1E"/>
        </w:rPr>
      </w:pPr>
    </w:p>
    <w:p>
      <w:pPr>
        <w:ind w:left="340" w:hanging="332"/>
        <w:spacing w:after="0" w:line="276" w:lineRule="auto"/>
        <w:tabs>
          <w:tab w:leader="none" w:pos="329" w:val="left"/>
        </w:tabs>
        <w:numPr>
          <w:ilvl w:val="0"/>
          <w:numId w:val="180"/>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Acceleration of equity awards. </w:t>
      </w:r>
      <w:r>
        <w:rPr>
          <w:rFonts w:ascii="Arial" w:cs="Arial" w:eastAsia="Arial" w:hAnsi="Arial"/>
          <w:sz w:val="17"/>
          <w:szCs w:val="17"/>
          <w:color w:val="000000"/>
        </w:rPr>
        <w:t>Upon a covered termination, any unvested equity awards would convert into restricted stock units of</w:t>
      </w:r>
      <w:r>
        <w:rPr>
          <w:rFonts w:ascii="Arial" w:cs="Arial" w:eastAsia="Arial" w:hAnsi="Arial"/>
          <w:sz w:val="20"/>
          <w:szCs w:val="20"/>
          <w:b w:val="1"/>
          <w:bCs w:val="1"/>
          <w:color w:val="D52B1E"/>
        </w:rPr>
        <w:t xml:space="preserve"> </w:t>
      </w:r>
      <w:r>
        <w:rPr>
          <w:rFonts w:ascii="Arial" w:cs="Arial" w:eastAsia="Arial" w:hAnsi="Arial"/>
          <w:sz w:val="17"/>
          <w:szCs w:val="17"/>
          <w:color w:val="000000"/>
        </w:rPr>
        <w:t>the new company, with the number of shares earned under the awards based on accrued performance at the time of the transaction. The restricted stock units will continue to vest and pay out upon the earlier of the completion of the original award period; upon a covered termination; or if the successor entity does not assume, substitute, or otherwise replace the award. The amount in this column represents the value of the acceleration of unvested equity grants had a qualifying termination occurred on December 31, 2022.</w:t>
      </w:r>
    </w:p>
    <w:p>
      <w:pPr>
        <w:spacing w:after="0" w:line="51" w:lineRule="exact"/>
        <w:rPr>
          <w:rFonts w:ascii="Arial" w:cs="Arial" w:eastAsia="Arial" w:hAnsi="Arial"/>
          <w:sz w:val="16"/>
          <w:szCs w:val="16"/>
          <w:b w:val="1"/>
          <w:bCs w:val="1"/>
          <w:color w:val="D52B1E"/>
        </w:rPr>
      </w:pPr>
    </w:p>
    <w:p>
      <w:pPr>
        <w:ind w:left="340" w:right="220" w:hanging="332"/>
        <w:spacing w:after="0" w:line="274" w:lineRule="auto"/>
        <w:tabs>
          <w:tab w:leader="none" w:pos="329" w:val="left"/>
        </w:tabs>
        <w:numPr>
          <w:ilvl w:val="0"/>
          <w:numId w:val="180"/>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Excise taxes. </w:t>
      </w:r>
      <w:r>
        <w:rPr>
          <w:rFonts w:ascii="Arial" w:cs="Arial" w:eastAsia="Arial" w:hAnsi="Arial"/>
          <w:sz w:val="17"/>
          <w:szCs w:val="17"/>
          <w:color w:val="000000"/>
        </w:rPr>
        <w:t>Upon a change in control, employees may be subject to certain excise taxes under Section 280G of the Internal</w:t>
      </w:r>
      <w:r>
        <w:rPr>
          <w:rFonts w:ascii="Arial" w:cs="Arial" w:eastAsia="Arial" w:hAnsi="Arial"/>
          <w:sz w:val="20"/>
          <w:szCs w:val="20"/>
          <w:b w:val="1"/>
          <w:bCs w:val="1"/>
          <w:color w:val="D52B1E"/>
        </w:rPr>
        <w:t xml:space="preserve"> </w:t>
      </w:r>
      <w:r>
        <w:rPr>
          <w:rFonts w:ascii="Arial" w:cs="Arial" w:eastAsia="Arial" w:hAnsi="Arial"/>
          <w:sz w:val="17"/>
          <w:szCs w:val="17"/>
          <w:color w:val="000000"/>
        </w:rPr>
        <w:t>Revenue Code. The company does not reimburse the affected employees for those excise taxes or any income taxes payable by the employee. To reduce the employee’s exposure to potential excise taxes, the employee’s change-in-control benefit will be decreased to maximize the after-tax benefit to the individual.</w:t>
      </w:r>
    </w:p>
    <w:p>
      <w:pPr>
        <w:spacing w:after="0" w:line="53" w:lineRule="exact"/>
        <w:rPr>
          <w:rFonts w:ascii="Arial" w:cs="Arial" w:eastAsia="Arial" w:hAnsi="Arial"/>
          <w:sz w:val="16"/>
          <w:szCs w:val="16"/>
          <w:b w:val="1"/>
          <w:bCs w:val="1"/>
          <w:color w:val="D52B1E"/>
        </w:rPr>
      </w:pPr>
    </w:p>
    <w:p>
      <w:pPr>
        <w:ind w:left="340" w:hanging="332"/>
        <w:spacing w:after="0" w:line="286" w:lineRule="auto"/>
        <w:tabs>
          <w:tab w:leader="none" w:pos="329" w:val="left"/>
        </w:tabs>
        <w:numPr>
          <w:ilvl w:val="0"/>
          <w:numId w:val="180"/>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Payments upon Change in Control Alone. </w:t>
      </w:r>
      <w:r>
        <w:rPr>
          <w:rFonts w:ascii="Arial" w:cs="Arial" w:eastAsia="Arial" w:hAnsi="Arial"/>
          <w:sz w:val="17"/>
          <w:szCs w:val="17"/>
          <w:color w:val="000000"/>
        </w:rPr>
        <w:t>The change-in-control plan is a “double trigger” plan, meaning payments are made only</w:t>
      </w:r>
      <w:r>
        <w:rPr>
          <w:rFonts w:ascii="Arial" w:cs="Arial" w:eastAsia="Arial" w:hAnsi="Arial"/>
          <w:sz w:val="20"/>
          <w:szCs w:val="20"/>
          <w:b w:val="1"/>
          <w:bCs w:val="1"/>
          <w:color w:val="D52B1E"/>
        </w:rPr>
        <w:t xml:space="preserve"> </w:t>
      </w:r>
      <w:r>
        <w:rPr>
          <w:rFonts w:ascii="Arial" w:cs="Arial" w:eastAsia="Arial" w:hAnsi="Arial"/>
          <w:sz w:val="17"/>
          <w:szCs w:val="17"/>
          <w:color w:val="000000"/>
        </w:rPr>
        <w:t>if the employee suffers a covered termination of employment within two years following the change in control, or in the case of equity awards, if the successor entity does not assume, substitute, or otherwise replace the awards.</w:t>
      </w:r>
    </w:p>
    <w:p>
      <w:pPr>
        <w:spacing w:after="0" w:line="306"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CEO Pay Ratio</w:t>
      </w:r>
    </w:p>
    <w:p>
      <w:pPr>
        <w:spacing w:after="0" w:line="8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Lilly’s compensation and benefits philosophy across the organization is to encourage and reward all employees who contribute to our success. We strive to ensure that the pay of every Lilly employee reflects the level of their job impact and responsibilities and is competitive within our peer group. Lilly’s ongoing commitment to pay equity is critical to our success in supporting a diverse workforce with opportunities for all employees to grow, develop, and contribute.</w:t>
      </w:r>
    </w:p>
    <w:p>
      <w:pPr>
        <w:spacing w:after="0" w:line="122"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Below is the 2022 annual total compensation of our CEO and our median employee and the ratio of the annual total compensation of our CEO to that of our median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3737610" cy="8255"/>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CEO Pay Ratio:</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20" w:type="dxa"/>
            <w:vAlign w:val="bottom"/>
            <w:tcBorders>
              <w:top w:val="single" w:sz="8" w:color="auto"/>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CEO Annual Total Compensation*</w:t>
            </w:r>
          </w:p>
        </w:tc>
        <w:tc>
          <w:tcPr>
            <w:tcW w:w="1880" w:type="dxa"/>
            <w:vAlign w:val="bottom"/>
            <w:tcBorders>
              <w:top w:val="single" w:sz="8" w:color="auto"/>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$21,398,135</w:t>
            </w:r>
          </w:p>
        </w:tc>
      </w:tr>
      <w:tr>
        <w:trPr>
          <w:trHeight w:val="208"/>
        </w:trPr>
        <w:tc>
          <w:tcPr>
            <w:tcW w:w="4020" w:type="dxa"/>
            <w:vAlign w:val="bottom"/>
          </w:tcPr>
          <w:p>
            <w:pPr>
              <w:ind w:left="20"/>
              <w:spacing w:after="0"/>
              <w:rPr>
                <w:sz w:val="20"/>
                <w:szCs w:val="20"/>
                <w:color w:val="auto"/>
              </w:rPr>
            </w:pPr>
            <w:r>
              <w:rPr>
                <w:rFonts w:ascii="Arial" w:cs="Arial" w:eastAsia="Arial" w:hAnsi="Arial"/>
                <w:sz w:val="14"/>
                <w:szCs w:val="14"/>
                <w:color w:val="auto"/>
              </w:rPr>
              <w:t>Median Employee Annual Total Compensation</w:t>
            </w:r>
          </w:p>
        </w:tc>
        <w:tc>
          <w:tcPr>
            <w:tcW w:w="1880" w:type="dxa"/>
            <w:vAlign w:val="bottom"/>
          </w:tcPr>
          <w:p>
            <w:pPr>
              <w:jc w:val="right"/>
              <w:spacing w:after="0"/>
              <w:rPr>
                <w:sz w:val="20"/>
                <w:szCs w:val="20"/>
                <w:color w:val="auto"/>
              </w:rPr>
            </w:pPr>
            <w:r>
              <w:rPr>
                <w:rFonts w:ascii="Arial" w:cs="Arial" w:eastAsia="Arial" w:hAnsi="Arial"/>
                <w:sz w:val="14"/>
                <w:szCs w:val="14"/>
                <w:color w:val="auto"/>
              </w:rPr>
              <w:t>$124,103</w:t>
            </w:r>
          </w:p>
        </w:tc>
      </w:tr>
      <w:tr>
        <w:trPr>
          <w:trHeight w:val="22"/>
        </w:trPr>
        <w:tc>
          <w:tcPr>
            <w:tcW w:w="40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36"/>
        </w:trPr>
        <w:tc>
          <w:tcPr>
            <w:tcW w:w="40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CEO to Median Employee Pay Ratio</w:t>
            </w:r>
          </w:p>
        </w:tc>
        <w:tc>
          <w:tcPr>
            <w:tcW w:w="18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172:1</w:t>
            </w:r>
          </w:p>
        </w:tc>
      </w:tr>
      <w:tr>
        <w:trPr>
          <w:trHeight w:val="20"/>
        </w:trPr>
        <w:tc>
          <w:tcPr>
            <w:tcW w:w="402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r>
    </w:tbl>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*This annual total compensation is the “Summary Compensation Table” amount.</w:t>
      </w:r>
    </w:p>
    <w:p>
      <w:pPr>
        <w:spacing w:after="0" w:line="269"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Methodology:</w:t>
      </w:r>
    </w:p>
    <w:p>
      <w:pPr>
        <w:spacing w:after="0" w:line="83" w:lineRule="exact"/>
        <w:rPr>
          <w:sz w:val="20"/>
          <w:szCs w:val="20"/>
          <w:color w:val="auto"/>
        </w:rPr>
      </w:pPr>
    </w:p>
    <w:p>
      <w:pPr>
        <w:ind w:left="180" w:right="100" w:hanging="172"/>
        <w:spacing w:after="0" w:line="268" w:lineRule="auto"/>
        <w:tabs>
          <w:tab w:leader="none" w:pos="169" w:val="left"/>
        </w:tabs>
        <w:numPr>
          <w:ilvl w:val="0"/>
          <w:numId w:val="181"/>
        </w:numPr>
        <w:rPr>
          <w:rFonts w:ascii="Arial" w:cs="Arial" w:eastAsia="Arial" w:hAnsi="Arial"/>
          <w:sz w:val="16"/>
          <w:szCs w:val="16"/>
          <w:color w:val="auto"/>
        </w:rPr>
      </w:pPr>
      <w:r>
        <w:rPr>
          <w:rFonts w:ascii="Arial" w:cs="Arial" w:eastAsia="Arial" w:hAnsi="Arial"/>
          <w:sz w:val="18"/>
          <w:szCs w:val="18"/>
          <w:color w:val="auto"/>
        </w:rPr>
        <w:t>Measurement Date: We identified the median employee using our employee population (excluding the CEO) on October 31, 2022. On this date, Lilly employed approximately 39,500 people, with approximately 17,900 members of our workforce located in the United States and approximately 21,600 members of our workforce located outside of the United States.</w:t>
      </w:r>
    </w:p>
    <w:p>
      <w:pPr>
        <w:spacing w:after="0" w:line="116" w:lineRule="exact"/>
        <w:rPr>
          <w:rFonts w:ascii="Arial" w:cs="Arial" w:eastAsia="Arial" w:hAnsi="Arial"/>
          <w:sz w:val="16"/>
          <w:szCs w:val="16"/>
          <w:color w:val="auto"/>
        </w:rPr>
      </w:pPr>
    </w:p>
    <w:p>
      <w:pPr>
        <w:ind w:left="180" w:right="360" w:hanging="172"/>
        <w:spacing w:after="0" w:line="262" w:lineRule="auto"/>
        <w:tabs>
          <w:tab w:leader="none" w:pos="169" w:val="left"/>
        </w:tabs>
        <w:numPr>
          <w:ilvl w:val="0"/>
          <w:numId w:val="181"/>
        </w:numPr>
        <w:rPr>
          <w:rFonts w:ascii="Arial" w:cs="Arial" w:eastAsia="Arial" w:hAnsi="Arial"/>
          <w:sz w:val="16"/>
          <w:szCs w:val="16"/>
          <w:color w:val="auto"/>
        </w:rPr>
      </w:pPr>
      <w:r>
        <w:rPr>
          <w:rFonts w:ascii="Arial" w:cs="Arial" w:eastAsia="Arial" w:hAnsi="Arial"/>
          <w:sz w:val="18"/>
          <w:szCs w:val="18"/>
          <w:color w:val="auto"/>
        </w:rPr>
        <w:t>Identification of Median Employee: In a manner consistent with SEC rules, we identified the median employee by use of a “consistently applied compensation measure,” or CACM. Specifically, we identified the median employee by looking at annual base pay, bonus opportunity at target, and the grant date fair value for annual equity awards. We did not adjust the compensation paid to part-time employees to calculate what they would</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85" w:name="page86"/>
    <w:bookmarkEnd w:id="85"/>
    <w:p>
      <w:pPr>
        <w:ind w:left="180"/>
        <w:spacing w:after="0"/>
        <w:rPr>
          <w:sz w:val="20"/>
          <w:szCs w:val="20"/>
          <w:color w:val="auto"/>
        </w:rPr>
      </w:pPr>
      <w:r>
        <w:rPr>
          <w:rFonts w:ascii="Arial" w:cs="Arial" w:eastAsia="Arial" w:hAnsi="Arial"/>
          <w:sz w:val="18"/>
          <w:szCs w:val="18"/>
          <w:color w:val="auto"/>
        </w:rPr>
        <w:t>have been paid on a full-time basis.</w:t>
      </w:r>
    </w:p>
    <w:p>
      <w:pPr>
        <w:spacing w:after="0" w:line="171" w:lineRule="exact"/>
        <w:rPr>
          <w:sz w:val="20"/>
          <w:szCs w:val="20"/>
          <w:color w:val="auto"/>
        </w:rPr>
      </w:pPr>
    </w:p>
    <w:p>
      <w:pPr>
        <w:ind w:left="160" w:hanging="152"/>
        <w:spacing w:after="0"/>
        <w:tabs>
          <w:tab w:leader="none" w:pos="160" w:val="left"/>
        </w:tabs>
        <w:numPr>
          <w:ilvl w:val="0"/>
          <w:numId w:val="182"/>
        </w:numPr>
        <w:rPr>
          <w:rFonts w:ascii="Arial" w:cs="Arial" w:eastAsia="Arial" w:hAnsi="Arial"/>
          <w:sz w:val="16"/>
          <w:szCs w:val="16"/>
          <w:color w:val="auto"/>
        </w:rPr>
      </w:pPr>
      <w:r>
        <w:rPr>
          <w:rFonts w:ascii="Arial" w:cs="Arial" w:eastAsia="Arial" w:hAnsi="Arial"/>
          <w:sz w:val="18"/>
          <w:szCs w:val="18"/>
          <w:color w:val="auto"/>
        </w:rPr>
        <w:t>De Minimis Exception: Lilly has employees in 68 countries. In identifying the median employee, we excluded 466 workers in the following</w:t>
      </w:r>
    </w:p>
    <w:p>
      <w:pPr>
        <w:spacing w:after="0" w:line="27" w:lineRule="exact"/>
        <w:rPr>
          <w:rFonts w:ascii="Arial" w:cs="Arial" w:eastAsia="Arial" w:hAnsi="Arial"/>
          <w:sz w:val="16"/>
          <w:szCs w:val="16"/>
          <w:color w:val="auto"/>
        </w:rPr>
      </w:pPr>
    </w:p>
    <w:p>
      <w:pPr>
        <w:jc w:val="both"/>
        <w:ind w:left="180"/>
        <w:spacing w:after="0" w:line="258" w:lineRule="auto"/>
        <w:rPr>
          <w:rFonts w:ascii="Arial" w:cs="Arial" w:eastAsia="Arial" w:hAnsi="Arial"/>
          <w:sz w:val="16"/>
          <w:szCs w:val="16"/>
          <w:color w:val="auto"/>
        </w:rPr>
      </w:pPr>
      <w:r>
        <w:rPr>
          <w:rFonts w:ascii="Arial" w:cs="Arial" w:eastAsia="Arial" w:hAnsi="Arial"/>
          <w:sz w:val="18"/>
          <w:szCs w:val="18"/>
          <w:color w:val="auto"/>
        </w:rPr>
        <w:t>11 countries, which represent approximately one percent of our workforce: Bahrain, Costa Rica, Ecuador, Egypt, Greece, Kuwait, Pakistan, Panama, Qatar, Russia and United Arab Emirates. We excluded these employees because they are affiliated with joint ventures, third-party distributors or currently undergoing a change in operating model.</w:t>
      </w:r>
    </w:p>
    <w:p>
      <w:pPr>
        <w:spacing w:after="0" w:line="124" w:lineRule="exact"/>
        <w:rPr>
          <w:rFonts w:ascii="Arial" w:cs="Arial" w:eastAsia="Arial" w:hAnsi="Arial"/>
          <w:sz w:val="16"/>
          <w:szCs w:val="16"/>
          <w:color w:val="auto"/>
        </w:rPr>
      </w:pPr>
    </w:p>
    <w:p>
      <w:pPr>
        <w:jc w:val="both"/>
        <w:ind w:left="180" w:right="40" w:hanging="172"/>
        <w:spacing w:after="0" w:line="268" w:lineRule="auto"/>
        <w:tabs>
          <w:tab w:leader="none" w:pos="169" w:val="left"/>
        </w:tabs>
        <w:numPr>
          <w:ilvl w:val="0"/>
          <w:numId w:val="182"/>
        </w:numPr>
        <w:rPr>
          <w:rFonts w:ascii="Arial" w:cs="Arial" w:eastAsia="Arial" w:hAnsi="Arial"/>
          <w:sz w:val="16"/>
          <w:szCs w:val="16"/>
          <w:color w:val="auto"/>
        </w:rPr>
      </w:pPr>
      <w:r>
        <w:rPr>
          <w:rFonts w:ascii="Arial" w:cs="Arial" w:eastAsia="Arial" w:hAnsi="Arial"/>
          <w:sz w:val="18"/>
          <w:szCs w:val="18"/>
          <w:color w:val="auto"/>
        </w:rPr>
        <w:t>Calculated CEO Pay Ratio: After applying our CACM and excluding the employees listed above, we identified the median employee. Once the median employee was identified, we calculated the median employee’s total annual compensation in accordance with the requirements of the Summary Compensation Table.</w:t>
      </w:r>
    </w:p>
    <w:p>
      <w:pPr>
        <w:spacing w:after="0" w:line="321"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Pay versus Performance</w:t>
      </w:r>
    </w:p>
    <w:p>
      <w:pPr>
        <w:spacing w:after="0" w:line="8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Talent and Compensation Committee approves and administers compensation programs that are designed to attract, retain, engage, and incentivize our workforce to deliver medicines that make life better for people around the world. Our program aligns executive pay with shareholder interests and links pay to performance through a blend of short-, mid- and long-term performance measures. In 2022, incentive pay made up 92 percent of our CEO’s target compensation and, on average, 82 percent of our other named executive officers’ target compensation. The high utilization of incentive compensation results in higher total realized pay when leadership exceeds the Talent and Compensation Committee-approved performance targets. Conversely, failure to achieve approved targets results in lower realized pay including the possibility that some awards pay zero at the end of their performance period.</w:t>
      </w:r>
    </w:p>
    <w:p>
      <w:pPr>
        <w:spacing w:after="0" w:line="1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compensation actually paid (CAP) for the Principal Executive Officer (PEO) and the average non-PEO named executive officers is calculated by taking the Summary Compensation Table values: a) less the grant value of equity granted during the year; b) less the change in pension value for the year; c) plus the year-end fair value of unvested equity awards granted during the year; d) plus, for awards granted in prior years that are outstanding and unvested at the end of the year, the difference between the year-end fair value and the immediately prior year-end fair value; e) plus, for awards granted in prior years that vested during the year, the difference between the fair value as of the vesting date and the immediately prior year-end fair value; f) plus the pension service cost for that year.</w:t>
      </w:r>
    </w:p>
    <w:p>
      <w:pPr>
        <w:spacing w:after="0" w:line="123"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Pay versus Performance CAP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107315</wp:posOffset>
            </wp:positionV>
            <wp:extent cx="1285875" cy="2540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1285875" cy="25400"/>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Value of initial fixed $100</w:t>
            </w: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5"/>
        </w:trPr>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investment based on:</w:t>
            </w:r>
          </w:p>
        </w:tc>
        <w:tc>
          <w:tcPr>
            <w:tcW w:w="8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93"/>
        </w:trPr>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Company</w:t>
            </w:r>
          </w:p>
        </w:tc>
      </w:tr>
      <w:tr>
        <w:trPr>
          <w:trHeight w:val="175"/>
        </w:trPr>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Selected</w:t>
            </w:r>
          </w:p>
        </w:tc>
      </w:tr>
      <w:tr>
        <w:trPr>
          <w:trHeight w:val="175"/>
        </w:trPr>
        <w:tc>
          <w:tcPr>
            <w:tcW w:w="4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Summary</w:t>
            </w:r>
          </w:p>
        </w:tc>
        <w:tc>
          <w:tcPr>
            <w:tcW w:w="116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Average Summary</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9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Peer Group</w:t>
            </w:r>
          </w:p>
        </w:tc>
        <w:tc>
          <w:tcPr>
            <w:tcW w:w="8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Measure</w:t>
            </w:r>
          </w:p>
        </w:tc>
      </w:tr>
      <w:tr>
        <w:trPr>
          <w:trHeight w:val="162"/>
        </w:trPr>
        <w:tc>
          <w:tcPr>
            <w:tcW w:w="4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(CSM) –</w:t>
            </w:r>
          </w:p>
        </w:tc>
      </w:tr>
      <w:tr>
        <w:trPr>
          <w:trHeight w:val="173"/>
        </w:trPr>
        <w:tc>
          <w:tcPr>
            <w:tcW w:w="4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Table Total for</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Actually Paid to</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Table Total for</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Actually Paid to</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Shareholder</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Shareholder</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Income ($</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Adjusted Non-</w:t>
            </w:r>
          </w:p>
        </w:tc>
      </w:tr>
      <w:tr>
        <w:trPr>
          <w:trHeight w:val="189"/>
        </w:trPr>
        <w:tc>
          <w:tcPr>
            <w:tcW w:w="420" w:type="dxa"/>
            <w:vAlign w:val="bottom"/>
          </w:tcPr>
          <w:p>
            <w:pPr>
              <w:ind w:left="20"/>
              <w:spacing w:after="0"/>
              <w:rPr>
                <w:sz w:val="20"/>
                <w:szCs w:val="20"/>
                <w:color w:val="auto"/>
              </w:rPr>
            </w:pPr>
            <w:r>
              <w:rPr>
                <w:rFonts w:ascii="Arial" w:cs="Arial" w:eastAsia="Arial" w:hAnsi="Arial"/>
                <w:sz w:val="14"/>
                <w:szCs w:val="14"/>
                <w:b w:val="1"/>
                <w:bCs w:val="1"/>
                <w:color w:val="auto"/>
              </w:rPr>
              <w:t>Year</w:t>
            </w:r>
          </w:p>
        </w:tc>
        <w:tc>
          <w:tcPr>
            <w:tcW w:w="114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9"/>
              </w:rPr>
              <w:t>PEO</w:t>
            </w:r>
            <w:r>
              <w:rPr>
                <w:rFonts w:ascii="Arial" w:cs="Arial" w:eastAsia="Arial" w:hAnsi="Arial"/>
                <w:sz w:val="18"/>
                <w:szCs w:val="18"/>
                <w:b w:val="1"/>
                <w:bCs w:val="1"/>
                <w:color w:val="auto"/>
                <w:w w:val="99"/>
                <w:vertAlign w:val="superscript"/>
              </w:rPr>
              <w:t>1</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PEO</w:t>
            </w:r>
          </w:p>
        </w:tc>
        <w:tc>
          <w:tcPr>
            <w:tcW w:w="134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9"/>
              </w:rPr>
              <w:t>Non-PEO NEOs</w:t>
            </w:r>
            <w:r>
              <w:rPr>
                <w:rFonts w:ascii="Arial" w:cs="Arial" w:eastAsia="Arial" w:hAnsi="Arial"/>
                <w:sz w:val="18"/>
                <w:szCs w:val="18"/>
                <w:b w:val="1"/>
                <w:bCs w:val="1"/>
                <w:color w:val="auto"/>
                <w:w w:val="99"/>
                <w:vertAlign w:val="superscript"/>
              </w:rPr>
              <w:t>2</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Non-PEO NEOs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Return</w:t>
            </w:r>
          </w:p>
        </w:tc>
        <w:tc>
          <w:tcPr>
            <w:tcW w:w="100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rPr>
              <w:t>Return</w:t>
            </w:r>
            <w:r>
              <w:rPr>
                <w:rFonts w:ascii="Arial" w:cs="Arial" w:eastAsia="Arial" w:hAnsi="Arial"/>
                <w:sz w:val="18"/>
                <w:szCs w:val="18"/>
                <w:b w:val="1"/>
                <w:bCs w:val="1"/>
                <w:color w:val="auto"/>
                <w:vertAlign w:val="superscript"/>
              </w:rPr>
              <w:t>3</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millions)</w:t>
            </w:r>
          </w:p>
        </w:tc>
        <w:tc>
          <w:tcPr>
            <w:tcW w:w="106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rPr>
              <w:t>GAAP EPS</w:t>
            </w:r>
            <w:r>
              <w:rPr>
                <w:rFonts w:ascii="Arial" w:cs="Arial" w:eastAsia="Arial" w:hAnsi="Arial"/>
                <w:sz w:val="18"/>
                <w:szCs w:val="18"/>
                <w:b w:val="1"/>
                <w:bCs w:val="1"/>
                <w:color w:val="auto"/>
                <w:vertAlign w:val="superscript"/>
              </w:rPr>
              <w:t>4</w:t>
            </w:r>
          </w:p>
        </w:tc>
      </w:tr>
      <w:tr>
        <w:trPr>
          <w:trHeight w:val="250"/>
        </w:trPr>
        <w:tc>
          <w:tcPr>
            <w:tcW w:w="420" w:type="dxa"/>
            <w:vAlign w:val="bottom"/>
          </w:tcPr>
          <w:p>
            <w:pPr>
              <w:ind w:left="20"/>
              <w:spacing w:after="0"/>
              <w:rPr>
                <w:sz w:val="20"/>
                <w:szCs w:val="20"/>
                <w:color w:val="auto"/>
              </w:rPr>
            </w:pPr>
            <w:r>
              <w:rPr>
                <w:rFonts w:ascii="Arial" w:cs="Arial" w:eastAsia="Arial" w:hAnsi="Arial"/>
                <w:sz w:val="14"/>
                <w:szCs w:val="14"/>
                <w:color w:val="auto"/>
              </w:rPr>
              <w:t>2022</w:t>
            </w:r>
          </w:p>
        </w:tc>
        <w:tc>
          <w:tcPr>
            <w:tcW w:w="1140" w:type="dxa"/>
            <w:vAlign w:val="bottom"/>
          </w:tcPr>
          <w:p>
            <w:pPr>
              <w:jc w:val="center"/>
              <w:spacing w:after="0"/>
              <w:rPr>
                <w:sz w:val="20"/>
                <w:szCs w:val="20"/>
                <w:color w:val="auto"/>
              </w:rPr>
            </w:pPr>
            <w:r>
              <w:rPr>
                <w:rFonts w:ascii="Arial" w:cs="Arial" w:eastAsia="Arial" w:hAnsi="Arial"/>
                <w:sz w:val="14"/>
                <w:szCs w:val="14"/>
                <w:color w:val="auto"/>
              </w:rPr>
              <w:t>$21,398,135</w:t>
            </w:r>
          </w:p>
        </w:tc>
        <w:tc>
          <w:tcPr>
            <w:tcW w:w="1160" w:type="dxa"/>
            <w:vAlign w:val="bottom"/>
          </w:tcPr>
          <w:p>
            <w:pPr>
              <w:jc w:val="center"/>
              <w:spacing w:after="0"/>
              <w:rPr>
                <w:sz w:val="20"/>
                <w:szCs w:val="20"/>
                <w:color w:val="auto"/>
              </w:rPr>
            </w:pPr>
            <w:r>
              <w:rPr>
                <w:rFonts w:ascii="Arial" w:cs="Arial" w:eastAsia="Arial" w:hAnsi="Arial"/>
                <w:sz w:val="14"/>
                <w:szCs w:val="14"/>
                <w:color w:val="auto"/>
              </w:rPr>
              <w:t>$64,088,705</w:t>
            </w:r>
          </w:p>
        </w:tc>
        <w:tc>
          <w:tcPr>
            <w:tcW w:w="1340" w:type="dxa"/>
            <w:vAlign w:val="bottom"/>
          </w:tcPr>
          <w:p>
            <w:pPr>
              <w:jc w:val="right"/>
              <w:ind w:right="228"/>
              <w:spacing w:after="0"/>
              <w:rPr>
                <w:sz w:val="20"/>
                <w:szCs w:val="20"/>
                <w:color w:val="auto"/>
              </w:rPr>
            </w:pPr>
            <w:r>
              <w:rPr>
                <w:rFonts w:ascii="Arial" w:cs="Arial" w:eastAsia="Arial" w:hAnsi="Arial"/>
                <w:sz w:val="14"/>
                <w:szCs w:val="14"/>
                <w:color w:val="auto"/>
              </w:rPr>
              <w:t xml:space="preserve">$5,769,810 </w:t>
            </w:r>
            <w:r>
              <w:rPr>
                <w:rFonts w:ascii="Arial" w:cs="Arial" w:eastAsia="Arial" w:hAnsi="Arial"/>
                <w:sz w:val="18"/>
                <w:szCs w:val="18"/>
                <w:color w:val="auto"/>
                <w:vertAlign w:val="superscript"/>
              </w:rPr>
              <w:t>5</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$13,893,269</w:t>
            </w:r>
          </w:p>
        </w:tc>
        <w:tc>
          <w:tcPr>
            <w:tcW w:w="960" w:type="dxa"/>
            <w:vAlign w:val="bottom"/>
          </w:tcPr>
          <w:p>
            <w:pPr>
              <w:jc w:val="center"/>
              <w:spacing w:after="0"/>
              <w:rPr>
                <w:sz w:val="20"/>
                <w:szCs w:val="20"/>
                <w:color w:val="auto"/>
              </w:rPr>
            </w:pPr>
            <w:r>
              <w:rPr>
                <w:rFonts w:ascii="Arial" w:cs="Arial" w:eastAsia="Arial" w:hAnsi="Arial"/>
                <w:sz w:val="14"/>
                <w:szCs w:val="14"/>
                <w:color w:val="auto"/>
              </w:rPr>
              <w:t>$292.18</w:t>
            </w:r>
          </w:p>
        </w:tc>
        <w:tc>
          <w:tcPr>
            <w:tcW w:w="1000" w:type="dxa"/>
            <w:vAlign w:val="bottom"/>
          </w:tcPr>
          <w:p>
            <w:pPr>
              <w:jc w:val="center"/>
              <w:spacing w:after="0"/>
              <w:rPr>
                <w:sz w:val="20"/>
                <w:szCs w:val="20"/>
                <w:color w:val="auto"/>
              </w:rPr>
            </w:pPr>
            <w:r>
              <w:rPr>
                <w:rFonts w:ascii="Arial" w:cs="Arial" w:eastAsia="Arial" w:hAnsi="Arial"/>
                <w:sz w:val="14"/>
                <w:szCs w:val="14"/>
                <w:color w:val="auto"/>
              </w:rPr>
              <w:t>$133.61</w:t>
            </w:r>
          </w:p>
        </w:tc>
        <w:tc>
          <w:tcPr>
            <w:tcW w:w="820" w:type="dxa"/>
            <w:vAlign w:val="bottom"/>
          </w:tcPr>
          <w:p>
            <w:pPr>
              <w:jc w:val="center"/>
              <w:spacing w:after="0"/>
              <w:rPr>
                <w:sz w:val="20"/>
                <w:szCs w:val="20"/>
                <w:color w:val="auto"/>
              </w:rPr>
            </w:pPr>
            <w:r>
              <w:rPr>
                <w:rFonts w:ascii="Arial" w:cs="Arial" w:eastAsia="Arial" w:hAnsi="Arial"/>
                <w:sz w:val="14"/>
                <w:szCs w:val="14"/>
                <w:color w:val="auto"/>
              </w:rPr>
              <w:t>$6,245</w:t>
            </w:r>
          </w:p>
        </w:tc>
        <w:tc>
          <w:tcPr>
            <w:tcW w:w="1060" w:type="dxa"/>
            <w:vAlign w:val="bottom"/>
          </w:tcPr>
          <w:p>
            <w:pPr>
              <w:jc w:val="center"/>
              <w:spacing w:after="0"/>
              <w:rPr>
                <w:sz w:val="20"/>
                <w:szCs w:val="20"/>
                <w:color w:val="auto"/>
              </w:rPr>
            </w:pPr>
            <w:r>
              <w:rPr>
                <w:rFonts w:ascii="Arial" w:cs="Arial" w:eastAsia="Arial" w:hAnsi="Arial"/>
                <w:sz w:val="14"/>
                <w:szCs w:val="14"/>
                <w:color w:val="auto"/>
              </w:rPr>
              <w:t>$8.84</w:t>
            </w:r>
          </w:p>
        </w:tc>
      </w:tr>
      <w:tr>
        <w:trPr>
          <w:trHeight w:val="257"/>
        </w:trPr>
        <w:tc>
          <w:tcPr>
            <w:tcW w:w="420" w:type="dxa"/>
            <w:vAlign w:val="bottom"/>
          </w:tcPr>
          <w:p>
            <w:pPr>
              <w:ind w:left="20"/>
              <w:spacing w:after="0"/>
              <w:rPr>
                <w:sz w:val="20"/>
                <w:szCs w:val="20"/>
                <w:color w:val="auto"/>
              </w:rPr>
            </w:pPr>
            <w:r>
              <w:rPr>
                <w:rFonts w:ascii="Arial" w:cs="Arial" w:eastAsia="Arial" w:hAnsi="Arial"/>
                <w:sz w:val="14"/>
                <w:szCs w:val="14"/>
                <w:color w:val="auto"/>
              </w:rPr>
              <w:t>2021</w:t>
            </w:r>
          </w:p>
        </w:tc>
        <w:tc>
          <w:tcPr>
            <w:tcW w:w="1140" w:type="dxa"/>
            <w:vAlign w:val="bottom"/>
          </w:tcPr>
          <w:p>
            <w:pPr>
              <w:jc w:val="center"/>
              <w:spacing w:after="0"/>
              <w:rPr>
                <w:sz w:val="20"/>
                <w:szCs w:val="20"/>
                <w:color w:val="auto"/>
              </w:rPr>
            </w:pPr>
            <w:r>
              <w:rPr>
                <w:rFonts w:ascii="Arial" w:cs="Arial" w:eastAsia="Arial" w:hAnsi="Arial"/>
                <w:sz w:val="14"/>
                <w:szCs w:val="14"/>
                <w:color w:val="auto"/>
              </w:rPr>
              <w:t>$21,509,985</w:t>
            </w:r>
          </w:p>
        </w:tc>
        <w:tc>
          <w:tcPr>
            <w:tcW w:w="1160" w:type="dxa"/>
            <w:vAlign w:val="bottom"/>
          </w:tcPr>
          <w:p>
            <w:pPr>
              <w:jc w:val="center"/>
              <w:spacing w:after="0"/>
              <w:rPr>
                <w:sz w:val="20"/>
                <w:szCs w:val="20"/>
                <w:color w:val="auto"/>
              </w:rPr>
            </w:pPr>
            <w:r>
              <w:rPr>
                <w:rFonts w:ascii="Arial" w:cs="Arial" w:eastAsia="Arial" w:hAnsi="Arial"/>
                <w:sz w:val="14"/>
                <w:szCs w:val="14"/>
                <w:color w:val="auto"/>
              </w:rPr>
              <w:t>$75,705,116</w:t>
            </w:r>
          </w:p>
        </w:tc>
        <w:tc>
          <w:tcPr>
            <w:tcW w:w="1340" w:type="dxa"/>
            <w:vAlign w:val="bottom"/>
          </w:tcPr>
          <w:p>
            <w:pPr>
              <w:jc w:val="right"/>
              <w:ind w:right="228"/>
              <w:spacing w:after="0"/>
              <w:rPr>
                <w:sz w:val="20"/>
                <w:szCs w:val="20"/>
                <w:color w:val="auto"/>
              </w:rPr>
            </w:pPr>
            <w:r>
              <w:rPr>
                <w:rFonts w:ascii="Arial" w:cs="Arial" w:eastAsia="Arial" w:hAnsi="Arial"/>
                <w:sz w:val="14"/>
                <w:szCs w:val="14"/>
                <w:color w:val="auto"/>
              </w:rPr>
              <w:t xml:space="preserve">$4,730,690 </w:t>
            </w:r>
            <w:r>
              <w:rPr>
                <w:rFonts w:ascii="Arial" w:cs="Arial" w:eastAsia="Arial" w:hAnsi="Arial"/>
                <w:sz w:val="18"/>
                <w:szCs w:val="18"/>
                <w:color w:val="auto"/>
                <w:vertAlign w:val="superscript"/>
              </w:rPr>
              <w:t>6</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$4,563,545</w:t>
            </w:r>
          </w:p>
        </w:tc>
        <w:tc>
          <w:tcPr>
            <w:tcW w:w="960" w:type="dxa"/>
            <w:vAlign w:val="bottom"/>
          </w:tcPr>
          <w:p>
            <w:pPr>
              <w:jc w:val="center"/>
              <w:spacing w:after="0"/>
              <w:rPr>
                <w:sz w:val="20"/>
                <w:szCs w:val="20"/>
                <w:color w:val="auto"/>
              </w:rPr>
            </w:pPr>
            <w:r>
              <w:rPr>
                <w:rFonts w:ascii="Arial" w:cs="Arial" w:eastAsia="Arial" w:hAnsi="Arial"/>
                <w:sz w:val="14"/>
                <w:szCs w:val="14"/>
                <w:color w:val="auto"/>
              </w:rPr>
              <w:t>$217.66</w:t>
            </w:r>
          </w:p>
        </w:tc>
        <w:tc>
          <w:tcPr>
            <w:tcW w:w="1000" w:type="dxa"/>
            <w:vAlign w:val="bottom"/>
          </w:tcPr>
          <w:p>
            <w:pPr>
              <w:jc w:val="center"/>
              <w:spacing w:after="0"/>
              <w:rPr>
                <w:sz w:val="20"/>
                <w:szCs w:val="20"/>
                <w:color w:val="auto"/>
              </w:rPr>
            </w:pPr>
            <w:r>
              <w:rPr>
                <w:rFonts w:ascii="Arial" w:cs="Arial" w:eastAsia="Arial" w:hAnsi="Arial"/>
                <w:sz w:val="14"/>
                <w:szCs w:val="14"/>
                <w:color w:val="auto"/>
              </w:rPr>
              <w:t>$121.90</w:t>
            </w:r>
          </w:p>
        </w:tc>
        <w:tc>
          <w:tcPr>
            <w:tcW w:w="820" w:type="dxa"/>
            <w:vAlign w:val="bottom"/>
          </w:tcPr>
          <w:p>
            <w:pPr>
              <w:jc w:val="center"/>
              <w:spacing w:after="0"/>
              <w:rPr>
                <w:sz w:val="20"/>
                <w:szCs w:val="20"/>
                <w:color w:val="auto"/>
              </w:rPr>
            </w:pPr>
            <w:r>
              <w:rPr>
                <w:rFonts w:ascii="Arial" w:cs="Arial" w:eastAsia="Arial" w:hAnsi="Arial"/>
                <w:sz w:val="14"/>
                <w:szCs w:val="14"/>
                <w:color w:val="auto"/>
              </w:rPr>
              <w:t>$5,582</w:t>
            </w:r>
          </w:p>
        </w:tc>
        <w:tc>
          <w:tcPr>
            <w:tcW w:w="1060" w:type="dxa"/>
            <w:vAlign w:val="bottom"/>
          </w:tcPr>
          <w:p>
            <w:pPr>
              <w:jc w:val="center"/>
              <w:spacing w:after="0"/>
              <w:rPr>
                <w:sz w:val="20"/>
                <w:szCs w:val="20"/>
                <w:color w:val="auto"/>
              </w:rPr>
            </w:pPr>
            <w:r>
              <w:rPr>
                <w:rFonts w:ascii="Arial" w:cs="Arial" w:eastAsia="Arial" w:hAnsi="Arial"/>
                <w:sz w:val="14"/>
                <w:szCs w:val="14"/>
                <w:color w:val="auto"/>
              </w:rPr>
              <w:t>$8.25</w:t>
            </w:r>
          </w:p>
        </w:tc>
      </w:tr>
      <w:tr>
        <w:trPr>
          <w:trHeight w:val="270"/>
        </w:trPr>
        <w:tc>
          <w:tcPr>
            <w:tcW w:w="420" w:type="dxa"/>
            <w:vAlign w:val="bottom"/>
          </w:tcPr>
          <w:p>
            <w:pPr>
              <w:ind w:left="20"/>
              <w:spacing w:after="0"/>
              <w:rPr>
                <w:sz w:val="20"/>
                <w:szCs w:val="20"/>
                <w:color w:val="auto"/>
              </w:rPr>
            </w:pPr>
            <w:r>
              <w:rPr>
                <w:rFonts w:ascii="Arial" w:cs="Arial" w:eastAsia="Arial" w:hAnsi="Arial"/>
                <w:sz w:val="14"/>
                <w:szCs w:val="14"/>
                <w:color w:val="auto"/>
              </w:rPr>
              <w:t>2020</w:t>
            </w:r>
          </w:p>
        </w:tc>
        <w:tc>
          <w:tcPr>
            <w:tcW w:w="1140" w:type="dxa"/>
            <w:vAlign w:val="bottom"/>
          </w:tcPr>
          <w:p>
            <w:pPr>
              <w:jc w:val="center"/>
              <w:spacing w:after="0"/>
              <w:rPr>
                <w:sz w:val="20"/>
                <w:szCs w:val="20"/>
                <w:color w:val="auto"/>
              </w:rPr>
            </w:pPr>
            <w:r>
              <w:rPr>
                <w:rFonts w:ascii="Arial" w:cs="Arial" w:eastAsia="Arial" w:hAnsi="Arial"/>
                <w:sz w:val="14"/>
                <w:szCs w:val="14"/>
                <w:color w:val="auto"/>
              </w:rPr>
              <w:t>$23,708,629</w:t>
            </w:r>
          </w:p>
        </w:tc>
        <w:tc>
          <w:tcPr>
            <w:tcW w:w="1160" w:type="dxa"/>
            <w:vAlign w:val="bottom"/>
          </w:tcPr>
          <w:p>
            <w:pPr>
              <w:jc w:val="center"/>
              <w:spacing w:after="0"/>
              <w:rPr>
                <w:sz w:val="20"/>
                <w:szCs w:val="20"/>
                <w:color w:val="auto"/>
              </w:rPr>
            </w:pPr>
            <w:r>
              <w:rPr>
                <w:rFonts w:ascii="Arial" w:cs="Arial" w:eastAsia="Arial" w:hAnsi="Arial"/>
                <w:sz w:val="14"/>
                <w:szCs w:val="14"/>
                <w:color w:val="auto"/>
              </w:rPr>
              <w:t>$51,253,831</w:t>
            </w:r>
          </w:p>
        </w:tc>
        <w:tc>
          <w:tcPr>
            <w:tcW w:w="1340" w:type="dxa"/>
            <w:vAlign w:val="bottom"/>
          </w:tcPr>
          <w:p>
            <w:pPr>
              <w:jc w:val="right"/>
              <w:ind w:right="228"/>
              <w:spacing w:after="0"/>
              <w:rPr>
                <w:sz w:val="20"/>
                <w:szCs w:val="20"/>
                <w:color w:val="auto"/>
              </w:rPr>
            </w:pPr>
            <w:r>
              <w:rPr>
                <w:rFonts w:ascii="Arial" w:cs="Arial" w:eastAsia="Arial" w:hAnsi="Arial"/>
                <w:sz w:val="14"/>
                <w:szCs w:val="14"/>
                <w:color w:val="auto"/>
              </w:rPr>
              <w:t xml:space="preserve">$6,787,934 </w:t>
            </w:r>
            <w:r>
              <w:rPr>
                <w:rFonts w:ascii="Arial" w:cs="Arial" w:eastAsia="Arial" w:hAnsi="Arial"/>
                <w:sz w:val="18"/>
                <w:szCs w:val="18"/>
                <w:color w:val="auto"/>
                <w:vertAlign w:val="superscript"/>
              </w:rPr>
              <w:t>7</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$10,732,708</w:t>
            </w:r>
          </w:p>
        </w:tc>
        <w:tc>
          <w:tcPr>
            <w:tcW w:w="960" w:type="dxa"/>
            <w:vAlign w:val="bottom"/>
          </w:tcPr>
          <w:p>
            <w:pPr>
              <w:jc w:val="center"/>
              <w:spacing w:after="0"/>
              <w:rPr>
                <w:sz w:val="20"/>
                <w:szCs w:val="20"/>
                <w:color w:val="auto"/>
              </w:rPr>
            </w:pPr>
            <w:r>
              <w:rPr>
                <w:rFonts w:ascii="Arial" w:cs="Arial" w:eastAsia="Arial" w:hAnsi="Arial"/>
                <w:sz w:val="14"/>
                <w:szCs w:val="14"/>
                <w:color w:val="auto"/>
              </w:rPr>
              <w:t>$131.06</w:t>
            </w:r>
          </w:p>
        </w:tc>
        <w:tc>
          <w:tcPr>
            <w:tcW w:w="1000" w:type="dxa"/>
            <w:vAlign w:val="bottom"/>
          </w:tcPr>
          <w:p>
            <w:pPr>
              <w:jc w:val="center"/>
              <w:spacing w:after="0"/>
              <w:rPr>
                <w:sz w:val="20"/>
                <w:szCs w:val="20"/>
                <w:color w:val="auto"/>
              </w:rPr>
            </w:pPr>
            <w:r>
              <w:rPr>
                <w:rFonts w:ascii="Arial" w:cs="Arial" w:eastAsia="Arial" w:hAnsi="Arial"/>
                <w:sz w:val="14"/>
                <w:szCs w:val="14"/>
                <w:color w:val="auto"/>
              </w:rPr>
              <w:t>$102.07</w:t>
            </w:r>
          </w:p>
        </w:tc>
        <w:tc>
          <w:tcPr>
            <w:tcW w:w="820" w:type="dxa"/>
            <w:vAlign w:val="bottom"/>
          </w:tcPr>
          <w:p>
            <w:pPr>
              <w:jc w:val="center"/>
              <w:spacing w:after="0"/>
              <w:rPr>
                <w:sz w:val="20"/>
                <w:szCs w:val="20"/>
                <w:color w:val="auto"/>
              </w:rPr>
            </w:pPr>
            <w:r>
              <w:rPr>
                <w:rFonts w:ascii="Arial" w:cs="Arial" w:eastAsia="Arial" w:hAnsi="Arial"/>
                <w:sz w:val="14"/>
                <w:szCs w:val="14"/>
                <w:color w:val="auto"/>
              </w:rPr>
              <w:t>$6,194</w:t>
            </w:r>
          </w:p>
        </w:tc>
        <w:tc>
          <w:tcPr>
            <w:tcW w:w="1060" w:type="dxa"/>
            <w:vAlign w:val="bottom"/>
          </w:tcPr>
          <w:p>
            <w:pPr>
              <w:jc w:val="center"/>
              <w:spacing w:after="0"/>
              <w:rPr>
                <w:sz w:val="20"/>
                <w:szCs w:val="20"/>
                <w:color w:val="auto"/>
              </w:rPr>
            </w:pPr>
            <w:r>
              <w:rPr>
                <w:rFonts w:ascii="Arial" w:cs="Arial" w:eastAsia="Arial" w:hAnsi="Arial"/>
                <w:sz w:val="14"/>
                <w:szCs w:val="14"/>
                <w:color w:val="auto"/>
              </w:rPr>
              <w:t>$6.89</w:t>
            </w:r>
          </w:p>
        </w:tc>
      </w:tr>
      <w:tr>
        <w:trPr>
          <w:trHeight w:val="59"/>
        </w:trPr>
        <w:tc>
          <w:tcPr>
            <w:tcW w:w="4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-1456690</wp:posOffset>
            </wp:positionV>
            <wp:extent cx="5760720" cy="1448435"/>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5760720" cy="1448435"/>
                    </a:xfrm>
                    <a:prstGeom prst="rect">
                      <a:avLst/>
                    </a:prstGeom>
                    <a:noFill/>
                  </pic:spPr>
                </pic:pic>
              </a:graphicData>
            </a:graphic>
          </wp:anchor>
        </w:drawing>
      </w:r>
    </w:p>
    <w:p>
      <w:pPr>
        <w:spacing w:after="0" w:line="145" w:lineRule="exact"/>
        <w:rPr>
          <w:sz w:val="20"/>
          <w:szCs w:val="20"/>
          <w:color w:val="auto"/>
        </w:rPr>
      </w:pPr>
    </w:p>
    <w:p>
      <w:pPr>
        <w:ind w:left="100" w:hanging="92"/>
        <w:spacing w:after="0"/>
        <w:tabs>
          <w:tab w:leader="none" w:pos="100" w:val="left"/>
        </w:tabs>
        <w:numPr>
          <w:ilvl w:val="0"/>
          <w:numId w:val="183"/>
        </w:numPr>
        <w:rPr>
          <w:rFonts w:ascii="Arial" w:cs="Arial" w:eastAsia="Arial" w:hAnsi="Arial"/>
          <w:sz w:val="19"/>
          <w:szCs w:val="19"/>
          <w:color w:val="auto"/>
          <w:vertAlign w:val="superscript"/>
        </w:rPr>
      </w:pPr>
      <w:r>
        <w:rPr>
          <w:rFonts w:ascii="Arial" w:cs="Arial" w:eastAsia="Arial" w:hAnsi="Arial"/>
          <w:sz w:val="14"/>
          <w:szCs w:val="14"/>
          <w:color w:val="auto"/>
        </w:rPr>
        <w:t>The PEO Summary Compensation Table to compensation actually paid reconciliation is summarized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13970</wp:posOffset>
            </wp:positionV>
            <wp:extent cx="5683250" cy="889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5683250" cy="8890"/>
                    </a:xfrm>
                    <a:prstGeom prst="rect">
                      <a:avLst/>
                    </a:prstGeom>
                    <a:noFill/>
                  </pic:spPr>
                </pic:pic>
              </a:graphicData>
            </a:graphic>
          </wp:anchor>
        </w:drawing>
      </w:r>
    </w:p>
    <w:p>
      <w:pPr>
        <w:spacing w:after="0" w:line="34"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Summary</w:t>
            </w: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rPr>
              <w:t>Change in year-end value of prior</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Pension</w:t>
            </w:r>
          </w:p>
        </w:tc>
        <w:tc>
          <w:tcPr>
            <w:tcW w:w="960" w:type="dxa"/>
            <w:vAlign w:val="bottom"/>
          </w:tcPr>
          <w:p>
            <w:pPr>
              <w:spacing w:after="0"/>
              <w:rPr>
                <w:sz w:val="14"/>
                <w:szCs w:val="14"/>
                <w:color w:val="auto"/>
              </w:rPr>
            </w:pPr>
          </w:p>
        </w:tc>
      </w:tr>
      <w:tr>
        <w:trPr>
          <w:trHeight w:val="175"/>
        </w:trPr>
        <w:tc>
          <w:tcPr>
            <w:tcW w:w="46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Summary</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Summary</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Compensation Table</w:t>
            </w: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rPr>
              <w:t>years’ awards unvested on 31-Dec-</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Service Cost</w:t>
            </w:r>
          </w:p>
        </w:tc>
        <w:tc>
          <w:tcPr>
            <w:tcW w:w="960" w:type="dxa"/>
            <w:vAlign w:val="bottom"/>
          </w:tcPr>
          <w:p>
            <w:pPr>
              <w:spacing w:after="0"/>
              <w:rPr>
                <w:sz w:val="15"/>
                <w:szCs w:val="15"/>
                <w:color w:val="auto"/>
              </w:rPr>
            </w:pPr>
          </w:p>
        </w:tc>
      </w:tr>
      <w:tr>
        <w:trPr>
          <w:trHeight w:val="176"/>
        </w:trPr>
        <w:tc>
          <w:tcPr>
            <w:tcW w:w="46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Change in Pension</w:t>
            </w: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rPr>
              <w:t>2022 plus change in value of prior</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for each</w:t>
            </w:r>
          </w:p>
        </w:tc>
        <w:tc>
          <w:tcPr>
            <w:tcW w:w="960" w:type="dxa"/>
            <w:vAlign w:val="bottom"/>
          </w:tcPr>
          <w:p>
            <w:pPr>
              <w:spacing w:after="0"/>
              <w:rPr>
                <w:sz w:val="15"/>
                <w:szCs w:val="15"/>
                <w:color w:val="auto"/>
              </w:rPr>
            </w:pPr>
          </w:p>
        </w:tc>
      </w:tr>
      <w:tr>
        <w:trPr>
          <w:trHeight w:val="196"/>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rPr>
              <w:t>Year</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Table Total</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Table Equity</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Value</w:t>
            </w: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rPr>
              <w:t>year’s awards that vested in 2022</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calendar year</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PEO CAP</w:t>
            </w:r>
          </w:p>
        </w:tc>
      </w:tr>
      <w:tr>
        <w:trPr>
          <w:trHeight w:val="250"/>
        </w:trPr>
        <w:tc>
          <w:tcPr>
            <w:tcW w:w="46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4"/>
                <w:szCs w:val="14"/>
                <w:i w:val="1"/>
                <w:iCs w:val="1"/>
                <w:color w:val="D52B1E"/>
              </w:rPr>
              <w:t>a</w:t>
            </w:r>
          </w:p>
        </w:tc>
        <w:tc>
          <w:tcPr>
            <w:tcW w:w="1140" w:type="dxa"/>
            <w:vAlign w:val="bottom"/>
          </w:tcPr>
          <w:p>
            <w:pPr>
              <w:jc w:val="center"/>
              <w:spacing w:after="0"/>
              <w:rPr>
                <w:sz w:val="20"/>
                <w:szCs w:val="20"/>
                <w:color w:val="auto"/>
              </w:rPr>
            </w:pPr>
            <w:r>
              <w:rPr>
                <w:rFonts w:ascii="Arial" w:cs="Arial" w:eastAsia="Arial" w:hAnsi="Arial"/>
                <w:sz w:val="14"/>
                <w:szCs w:val="14"/>
                <w:i w:val="1"/>
                <w:iCs w:val="1"/>
                <w:color w:val="D52B1E"/>
              </w:rPr>
              <w:t>b</w:t>
            </w:r>
          </w:p>
        </w:tc>
        <w:tc>
          <w:tcPr>
            <w:tcW w:w="1560" w:type="dxa"/>
            <w:vAlign w:val="bottom"/>
          </w:tcPr>
          <w:p>
            <w:pPr>
              <w:jc w:val="center"/>
              <w:spacing w:after="0"/>
              <w:rPr>
                <w:sz w:val="20"/>
                <w:szCs w:val="20"/>
                <w:color w:val="auto"/>
              </w:rPr>
            </w:pPr>
            <w:r>
              <w:rPr>
                <w:rFonts w:ascii="Arial" w:cs="Arial" w:eastAsia="Arial" w:hAnsi="Arial"/>
                <w:sz w:val="14"/>
                <w:szCs w:val="14"/>
                <w:i w:val="1"/>
                <w:iCs w:val="1"/>
                <w:color w:val="D52B1E"/>
                <w:w w:val="85"/>
              </w:rPr>
              <w:t>c</w:t>
            </w:r>
          </w:p>
        </w:tc>
        <w:tc>
          <w:tcPr>
            <w:tcW w:w="2560" w:type="dxa"/>
            <w:vAlign w:val="bottom"/>
          </w:tcPr>
          <w:p>
            <w:pPr>
              <w:jc w:val="center"/>
              <w:spacing w:after="0"/>
              <w:rPr>
                <w:sz w:val="20"/>
                <w:szCs w:val="20"/>
                <w:color w:val="auto"/>
              </w:rPr>
            </w:pPr>
            <w:r>
              <w:rPr>
                <w:rFonts w:ascii="Arial" w:cs="Arial" w:eastAsia="Arial" w:hAnsi="Arial"/>
                <w:sz w:val="14"/>
                <w:szCs w:val="14"/>
                <w:i w:val="1"/>
                <w:iCs w:val="1"/>
                <w:color w:val="D52B1E"/>
              </w:rPr>
              <w:t>d</w:t>
            </w:r>
          </w:p>
        </w:tc>
        <w:tc>
          <w:tcPr>
            <w:tcW w:w="1080" w:type="dxa"/>
            <w:vAlign w:val="bottom"/>
          </w:tcPr>
          <w:p>
            <w:pPr>
              <w:jc w:val="center"/>
              <w:spacing w:after="0"/>
              <w:rPr>
                <w:sz w:val="20"/>
                <w:szCs w:val="20"/>
                <w:color w:val="auto"/>
              </w:rPr>
            </w:pPr>
            <w:r>
              <w:rPr>
                <w:rFonts w:ascii="Arial" w:cs="Arial" w:eastAsia="Arial" w:hAnsi="Arial"/>
                <w:sz w:val="14"/>
                <w:szCs w:val="14"/>
                <w:i w:val="1"/>
                <w:iCs w:val="1"/>
                <w:color w:val="D52B1E"/>
              </w:rPr>
              <w:t>e</w:t>
            </w:r>
          </w:p>
        </w:tc>
        <w:tc>
          <w:tcPr>
            <w:tcW w:w="960" w:type="dxa"/>
            <w:vAlign w:val="bottom"/>
          </w:tcPr>
          <w:p>
            <w:pPr>
              <w:jc w:val="center"/>
              <w:spacing w:after="0"/>
              <w:rPr>
                <w:sz w:val="20"/>
                <w:szCs w:val="20"/>
                <w:color w:val="auto"/>
              </w:rPr>
            </w:pPr>
            <w:r>
              <w:rPr>
                <w:rFonts w:ascii="Arial" w:cs="Arial" w:eastAsia="Arial" w:hAnsi="Arial"/>
                <w:sz w:val="14"/>
                <w:szCs w:val="14"/>
                <w:i w:val="1"/>
                <w:iCs w:val="1"/>
                <w:color w:val="D52B1E"/>
              </w:rPr>
              <w:t>a-b-c+d+e</w:t>
            </w:r>
          </w:p>
        </w:tc>
      </w:tr>
      <w:tr>
        <w:trPr>
          <w:trHeight w:val="22"/>
        </w:trPr>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7"/>
        </w:trPr>
        <w:tc>
          <w:tcPr>
            <w:tcW w:w="4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2022</w:t>
            </w:r>
          </w:p>
        </w:tc>
        <w:tc>
          <w:tcPr>
            <w:tcW w:w="12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$21,398,135</w:t>
            </w:r>
          </w:p>
        </w:tc>
        <w:tc>
          <w:tcPr>
            <w:tcW w:w="11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$16,981,250</w:t>
            </w:r>
          </w:p>
        </w:tc>
        <w:tc>
          <w:tcPr>
            <w:tcW w:w="15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25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$59,048,474</w:t>
            </w:r>
          </w:p>
        </w:tc>
        <w:tc>
          <w:tcPr>
            <w:tcW w:w="10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$623,346</w:t>
            </w:r>
          </w:p>
        </w:tc>
        <w:tc>
          <w:tcPr>
            <w:tcW w:w="9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$64,088,705</w:t>
            </w:r>
          </w:p>
        </w:tc>
      </w:tr>
      <w:tr>
        <w:trPr>
          <w:trHeight w:val="235"/>
        </w:trPr>
        <w:tc>
          <w:tcPr>
            <w:tcW w:w="460" w:type="dxa"/>
            <w:vAlign w:val="bottom"/>
          </w:tcPr>
          <w:p>
            <w:pPr>
              <w:ind w:left="20"/>
              <w:spacing w:after="0"/>
              <w:rPr>
                <w:sz w:val="20"/>
                <w:szCs w:val="20"/>
                <w:color w:val="auto"/>
              </w:rPr>
            </w:pPr>
            <w:r>
              <w:rPr>
                <w:rFonts w:ascii="Arial" w:cs="Arial" w:eastAsia="Arial" w:hAnsi="Arial"/>
                <w:sz w:val="14"/>
                <w:szCs w:val="14"/>
                <w:color w:val="auto"/>
              </w:rPr>
              <w:t>2021</w:t>
            </w:r>
          </w:p>
        </w:tc>
        <w:tc>
          <w:tcPr>
            <w:tcW w:w="1200" w:type="dxa"/>
            <w:vAlign w:val="bottom"/>
          </w:tcPr>
          <w:p>
            <w:pPr>
              <w:jc w:val="center"/>
              <w:spacing w:after="0"/>
              <w:rPr>
                <w:sz w:val="20"/>
                <w:szCs w:val="20"/>
                <w:color w:val="auto"/>
              </w:rPr>
            </w:pPr>
            <w:r>
              <w:rPr>
                <w:rFonts w:ascii="Arial" w:cs="Arial" w:eastAsia="Arial" w:hAnsi="Arial"/>
                <w:sz w:val="14"/>
                <w:szCs w:val="14"/>
                <w:color w:val="auto"/>
              </w:rPr>
              <w:t>$21,509,985</w:t>
            </w:r>
          </w:p>
        </w:tc>
        <w:tc>
          <w:tcPr>
            <w:tcW w:w="1140" w:type="dxa"/>
            <w:vAlign w:val="bottom"/>
          </w:tcPr>
          <w:p>
            <w:pPr>
              <w:jc w:val="center"/>
              <w:spacing w:after="0"/>
              <w:rPr>
                <w:sz w:val="20"/>
                <w:szCs w:val="20"/>
                <w:color w:val="auto"/>
              </w:rPr>
            </w:pPr>
            <w:r>
              <w:rPr>
                <w:rFonts w:ascii="Arial" w:cs="Arial" w:eastAsia="Arial" w:hAnsi="Arial"/>
                <w:sz w:val="14"/>
                <w:szCs w:val="14"/>
                <w:color w:val="auto"/>
              </w:rPr>
              <w:t>$14,966,000</w:t>
            </w:r>
          </w:p>
        </w:tc>
        <w:tc>
          <w:tcPr>
            <w:tcW w:w="1560" w:type="dxa"/>
            <w:vAlign w:val="bottom"/>
          </w:tcPr>
          <w:p>
            <w:pPr>
              <w:jc w:val="center"/>
              <w:spacing w:after="0"/>
              <w:rPr>
                <w:sz w:val="20"/>
                <w:szCs w:val="20"/>
                <w:color w:val="auto"/>
              </w:rPr>
            </w:pPr>
            <w:r>
              <w:rPr>
                <w:rFonts w:ascii="Arial" w:cs="Arial" w:eastAsia="Arial" w:hAnsi="Arial"/>
                <w:sz w:val="14"/>
                <w:szCs w:val="14"/>
                <w:color w:val="auto"/>
              </w:rPr>
              <w:t>$2,442,235</w:t>
            </w:r>
          </w:p>
        </w:tc>
        <w:tc>
          <w:tcPr>
            <w:tcW w:w="2560" w:type="dxa"/>
            <w:vAlign w:val="bottom"/>
          </w:tcPr>
          <w:p>
            <w:pPr>
              <w:jc w:val="center"/>
              <w:spacing w:after="0"/>
              <w:rPr>
                <w:sz w:val="20"/>
                <w:szCs w:val="20"/>
                <w:color w:val="auto"/>
              </w:rPr>
            </w:pPr>
            <w:r>
              <w:rPr>
                <w:rFonts w:ascii="Arial" w:cs="Arial" w:eastAsia="Arial" w:hAnsi="Arial"/>
                <w:sz w:val="14"/>
                <w:szCs w:val="14"/>
                <w:color w:val="auto"/>
              </w:rPr>
              <w:t>$70,922,494</w:t>
            </w:r>
          </w:p>
        </w:tc>
        <w:tc>
          <w:tcPr>
            <w:tcW w:w="1080" w:type="dxa"/>
            <w:vAlign w:val="bottom"/>
          </w:tcPr>
          <w:p>
            <w:pPr>
              <w:jc w:val="center"/>
              <w:spacing w:after="0"/>
              <w:rPr>
                <w:sz w:val="20"/>
                <w:szCs w:val="20"/>
                <w:color w:val="auto"/>
              </w:rPr>
            </w:pPr>
            <w:r>
              <w:rPr>
                <w:rFonts w:ascii="Arial" w:cs="Arial" w:eastAsia="Arial" w:hAnsi="Arial"/>
                <w:sz w:val="14"/>
                <w:szCs w:val="14"/>
                <w:color w:val="auto"/>
              </w:rPr>
              <w:t>$680,872</w:t>
            </w:r>
          </w:p>
        </w:tc>
        <w:tc>
          <w:tcPr>
            <w:tcW w:w="960" w:type="dxa"/>
            <w:vAlign w:val="bottom"/>
          </w:tcPr>
          <w:p>
            <w:pPr>
              <w:jc w:val="center"/>
              <w:spacing w:after="0"/>
              <w:rPr>
                <w:sz w:val="20"/>
                <w:szCs w:val="20"/>
                <w:color w:val="auto"/>
              </w:rPr>
            </w:pPr>
            <w:r>
              <w:rPr>
                <w:rFonts w:ascii="Arial" w:cs="Arial" w:eastAsia="Arial" w:hAnsi="Arial"/>
                <w:sz w:val="14"/>
                <w:szCs w:val="14"/>
                <w:color w:val="auto"/>
              </w:rPr>
              <w:t>$75,705,116</w:t>
            </w:r>
          </w:p>
        </w:tc>
      </w:tr>
      <w:tr>
        <w:trPr>
          <w:trHeight w:val="22"/>
        </w:trPr>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6"/>
        </w:trPr>
        <w:tc>
          <w:tcPr>
            <w:tcW w:w="4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2020</w:t>
            </w:r>
          </w:p>
        </w:tc>
        <w:tc>
          <w:tcPr>
            <w:tcW w:w="12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$23,708,629</w:t>
            </w:r>
          </w:p>
        </w:tc>
        <w:tc>
          <w:tcPr>
            <w:tcW w:w="11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$13,587,500</w:t>
            </w:r>
          </w:p>
        </w:tc>
        <w:tc>
          <w:tcPr>
            <w:tcW w:w="15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$5,883,924</w:t>
            </w:r>
          </w:p>
        </w:tc>
        <w:tc>
          <w:tcPr>
            <w:tcW w:w="25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$46,356,324</w:t>
            </w:r>
          </w:p>
        </w:tc>
        <w:tc>
          <w:tcPr>
            <w:tcW w:w="10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$660,302</w:t>
            </w:r>
          </w:p>
        </w:tc>
        <w:tc>
          <w:tcPr>
            <w:tcW w:w="9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$51,253,831</w:t>
            </w:r>
          </w:p>
        </w:tc>
      </w:tr>
      <w:tr>
        <w:trPr>
          <w:trHeight w:val="20"/>
        </w:trPr>
        <w:tc>
          <w:tcPr>
            <w:tcW w:w="4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72" w:lineRule="exact"/>
        <w:rPr>
          <w:sz w:val="20"/>
          <w:szCs w:val="20"/>
          <w:color w:val="auto"/>
        </w:rPr>
      </w:pPr>
    </w:p>
    <w:p>
      <w:pPr>
        <w:ind w:left="80" w:hanging="72"/>
        <w:spacing w:after="0"/>
        <w:tabs>
          <w:tab w:leader="none" w:pos="80" w:val="left"/>
        </w:tabs>
        <w:numPr>
          <w:ilvl w:val="0"/>
          <w:numId w:val="184"/>
        </w:numPr>
        <w:rPr>
          <w:rFonts w:ascii="Arial" w:cs="Arial" w:eastAsia="Arial" w:hAnsi="Arial"/>
          <w:sz w:val="9"/>
          <w:szCs w:val="9"/>
          <w:color w:val="auto"/>
        </w:rPr>
      </w:pPr>
      <w:r>
        <w:rPr>
          <w:rFonts w:ascii="Arial" w:cs="Arial" w:eastAsia="Arial" w:hAnsi="Arial"/>
          <w:sz w:val="14"/>
          <w:szCs w:val="14"/>
          <w:color w:val="auto"/>
        </w:rPr>
        <w:t>The average non-PEO NEO Summary Compensation Table to CAP reconciliation is summarized in the following table: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6" w:name="page87"/>
    <w:bookmarkEnd w:id="86"/>
    <w:tbl>
      <w:tblPr>
        <w:tblLayout w:type="fixed"/>
        <w:tblInd w:w="160" w:type="dxa"/>
        <w:tblCellMar>
          <w:top w:w="0" w:type="dxa"/>
          <w:left w:w="0" w:type="dxa"/>
          <w:bottom w:w="0" w:type="dxa"/>
          <w:right w:w="0" w:type="dxa"/>
        </w:tblCellMar>
      </w:tblPr>
      <w:tr>
        <w:trPr>
          <w:trHeight w:val="175"/>
        </w:trPr>
        <w:tc>
          <w:tcPr>
            <w:tcW w:w="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Summary</w:t>
            </w:r>
          </w:p>
        </w:tc>
        <w:tc>
          <w:tcPr>
            <w:tcW w:w="2580" w:type="dxa"/>
            <w:vAlign w:val="bottom"/>
          </w:tcPr>
          <w:p>
            <w:pPr>
              <w:jc w:val="center"/>
              <w:spacing w:after="0"/>
              <w:rPr>
                <w:sz w:val="20"/>
                <w:szCs w:val="20"/>
                <w:color w:val="auto"/>
              </w:rPr>
            </w:pPr>
            <w:r>
              <w:rPr>
                <w:rFonts w:ascii="Arial" w:cs="Arial" w:eastAsia="Arial" w:hAnsi="Arial"/>
                <w:sz w:val="14"/>
                <w:szCs w:val="14"/>
                <w:b w:val="1"/>
                <w:bCs w:val="1"/>
                <w:color w:val="auto"/>
              </w:rPr>
              <w:t>Change in value of prior year’s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Pension</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Summary</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Summary</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Compensation Table</w:t>
            </w:r>
          </w:p>
        </w:tc>
        <w:tc>
          <w:tcPr>
            <w:tcW w:w="2580" w:type="dxa"/>
            <w:vAlign w:val="bottom"/>
          </w:tcPr>
          <w:p>
            <w:pPr>
              <w:jc w:val="center"/>
              <w:spacing w:after="0"/>
              <w:rPr>
                <w:sz w:val="20"/>
                <w:szCs w:val="20"/>
                <w:color w:val="auto"/>
              </w:rPr>
            </w:pPr>
            <w:r>
              <w:rPr>
                <w:rFonts w:ascii="Arial" w:cs="Arial" w:eastAsia="Arial" w:hAnsi="Arial"/>
                <w:sz w:val="14"/>
                <w:szCs w:val="14"/>
                <w:b w:val="1"/>
                <w:bCs w:val="1"/>
                <w:color w:val="auto"/>
              </w:rPr>
              <w:t>awards unvested on 31-Dec-2022</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Service Cost</w:t>
            </w: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Non-PEO</w:t>
            </w: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Change in Pension</w:t>
            </w:r>
          </w:p>
        </w:tc>
        <w:tc>
          <w:tcPr>
            <w:tcW w:w="2580" w:type="dxa"/>
            <w:vAlign w:val="bottom"/>
          </w:tcPr>
          <w:p>
            <w:pPr>
              <w:jc w:val="center"/>
              <w:spacing w:after="0"/>
              <w:rPr>
                <w:sz w:val="20"/>
                <w:szCs w:val="20"/>
                <w:color w:val="auto"/>
              </w:rPr>
            </w:pPr>
            <w:r>
              <w:rPr>
                <w:rFonts w:ascii="Arial" w:cs="Arial" w:eastAsia="Arial" w:hAnsi="Arial"/>
                <w:sz w:val="14"/>
                <w:szCs w:val="14"/>
                <w:b w:val="1"/>
                <w:bCs w:val="1"/>
                <w:color w:val="auto"/>
              </w:rPr>
              <w:t>plus change in value of prior year’s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for each</w:t>
            </w: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0" w:type="dxa"/>
            <w:vAlign w:val="bottom"/>
          </w:tcPr>
          <w:p>
            <w:pPr>
              <w:ind w:left="20"/>
              <w:spacing w:after="0"/>
              <w:rPr>
                <w:sz w:val="20"/>
                <w:szCs w:val="20"/>
                <w:color w:val="auto"/>
              </w:rPr>
            </w:pPr>
            <w:r>
              <w:rPr>
                <w:rFonts w:ascii="Arial" w:cs="Arial" w:eastAsia="Arial" w:hAnsi="Arial"/>
                <w:sz w:val="14"/>
                <w:szCs w:val="14"/>
                <w:b w:val="1"/>
                <w:bCs w:val="1"/>
                <w:color w:val="auto"/>
              </w:rPr>
              <w:t>Year</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Table Total</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Table Equity</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Value</w:t>
            </w:r>
          </w:p>
        </w:tc>
        <w:tc>
          <w:tcPr>
            <w:tcW w:w="2580" w:type="dxa"/>
            <w:vAlign w:val="bottom"/>
          </w:tcPr>
          <w:p>
            <w:pPr>
              <w:jc w:val="center"/>
              <w:spacing w:after="0"/>
              <w:rPr>
                <w:sz w:val="20"/>
                <w:szCs w:val="20"/>
                <w:color w:val="auto"/>
              </w:rPr>
            </w:pPr>
            <w:r>
              <w:rPr>
                <w:rFonts w:ascii="Arial" w:cs="Arial" w:eastAsia="Arial" w:hAnsi="Arial"/>
                <w:sz w:val="14"/>
                <w:szCs w:val="14"/>
                <w:b w:val="1"/>
                <w:bCs w:val="1"/>
                <w:color w:val="auto"/>
              </w:rPr>
              <w:t>awards that vested in FY 2022</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calendar year</w:t>
            </w: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NEO CAP</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4"/>
                <w:szCs w:val="14"/>
                <w:i w:val="1"/>
                <w:iCs w:val="1"/>
                <w:color w:val="D52B1E"/>
              </w:rPr>
              <w:t>a</w:t>
            </w:r>
          </w:p>
        </w:tc>
        <w:tc>
          <w:tcPr>
            <w:tcW w:w="1140" w:type="dxa"/>
            <w:vAlign w:val="bottom"/>
          </w:tcPr>
          <w:p>
            <w:pPr>
              <w:jc w:val="center"/>
              <w:spacing w:after="0"/>
              <w:rPr>
                <w:sz w:val="20"/>
                <w:szCs w:val="20"/>
                <w:color w:val="auto"/>
              </w:rPr>
            </w:pPr>
            <w:r>
              <w:rPr>
                <w:rFonts w:ascii="Arial" w:cs="Arial" w:eastAsia="Arial" w:hAnsi="Arial"/>
                <w:sz w:val="14"/>
                <w:szCs w:val="14"/>
                <w:i w:val="1"/>
                <w:iCs w:val="1"/>
                <w:color w:val="D52B1E"/>
              </w:rPr>
              <w:t>b</w:t>
            </w:r>
          </w:p>
        </w:tc>
        <w:tc>
          <w:tcPr>
            <w:tcW w:w="1540" w:type="dxa"/>
            <w:vAlign w:val="bottom"/>
          </w:tcPr>
          <w:p>
            <w:pPr>
              <w:jc w:val="center"/>
              <w:spacing w:after="0"/>
              <w:rPr>
                <w:sz w:val="20"/>
                <w:szCs w:val="20"/>
                <w:color w:val="auto"/>
              </w:rPr>
            </w:pPr>
            <w:r>
              <w:rPr>
                <w:rFonts w:ascii="Arial" w:cs="Arial" w:eastAsia="Arial" w:hAnsi="Arial"/>
                <w:sz w:val="14"/>
                <w:szCs w:val="14"/>
                <w:i w:val="1"/>
                <w:iCs w:val="1"/>
                <w:color w:val="D52B1E"/>
                <w:w w:val="85"/>
              </w:rPr>
              <w:t>c</w:t>
            </w:r>
          </w:p>
        </w:tc>
        <w:tc>
          <w:tcPr>
            <w:tcW w:w="2580" w:type="dxa"/>
            <w:vAlign w:val="bottom"/>
          </w:tcPr>
          <w:p>
            <w:pPr>
              <w:jc w:val="center"/>
              <w:spacing w:after="0"/>
              <w:rPr>
                <w:sz w:val="20"/>
                <w:szCs w:val="20"/>
                <w:color w:val="auto"/>
              </w:rPr>
            </w:pPr>
            <w:r>
              <w:rPr>
                <w:rFonts w:ascii="Arial" w:cs="Arial" w:eastAsia="Arial" w:hAnsi="Arial"/>
                <w:sz w:val="14"/>
                <w:szCs w:val="14"/>
                <w:i w:val="1"/>
                <w:iCs w:val="1"/>
                <w:color w:val="D52B1E"/>
              </w:rPr>
              <w:t>d</w:t>
            </w:r>
          </w:p>
        </w:tc>
        <w:tc>
          <w:tcPr>
            <w:tcW w:w="1080" w:type="dxa"/>
            <w:vAlign w:val="bottom"/>
          </w:tcPr>
          <w:p>
            <w:pPr>
              <w:jc w:val="center"/>
              <w:spacing w:after="0"/>
              <w:rPr>
                <w:sz w:val="20"/>
                <w:szCs w:val="20"/>
                <w:color w:val="auto"/>
              </w:rPr>
            </w:pPr>
            <w:r>
              <w:rPr>
                <w:rFonts w:ascii="Arial" w:cs="Arial" w:eastAsia="Arial" w:hAnsi="Arial"/>
                <w:sz w:val="14"/>
                <w:szCs w:val="14"/>
                <w:i w:val="1"/>
                <w:iCs w:val="1"/>
                <w:color w:val="D52B1E"/>
              </w:rPr>
              <w:t>e</w:t>
            </w:r>
          </w:p>
        </w:tc>
        <w:tc>
          <w:tcPr>
            <w:tcW w:w="960" w:type="dxa"/>
            <w:vAlign w:val="bottom"/>
          </w:tcPr>
          <w:p>
            <w:pPr>
              <w:jc w:val="right"/>
              <w:ind w:right="88"/>
              <w:spacing w:after="0"/>
              <w:rPr>
                <w:sz w:val="20"/>
                <w:szCs w:val="20"/>
                <w:color w:val="auto"/>
              </w:rPr>
            </w:pPr>
            <w:r>
              <w:rPr>
                <w:rFonts w:ascii="Arial" w:cs="Arial" w:eastAsia="Arial" w:hAnsi="Arial"/>
                <w:sz w:val="14"/>
                <w:szCs w:val="14"/>
                <w:i w:val="1"/>
                <w:iCs w:val="1"/>
                <w:color w:val="D52B1E"/>
              </w:rPr>
              <w:t>a-b-c+d+e</w:t>
            </w:r>
          </w:p>
        </w:tc>
        <w:tc>
          <w:tcPr>
            <w:tcW w:w="0" w:type="dxa"/>
            <w:vAlign w:val="bottom"/>
          </w:tcPr>
          <w:p>
            <w:pPr>
              <w:spacing w:after="0"/>
              <w:rPr>
                <w:sz w:val="1"/>
                <w:szCs w:val="1"/>
                <w:color w:val="auto"/>
              </w:rPr>
            </w:pPr>
          </w:p>
        </w:tc>
      </w:tr>
      <w:tr>
        <w:trPr>
          <w:trHeight w:val="35"/>
        </w:trPr>
        <w:tc>
          <w:tcPr>
            <w:tcW w:w="4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4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2022</w:t>
            </w:r>
          </w:p>
        </w:tc>
        <w:tc>
          <w:tcPr>
            <w:tcW w:w="12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$5,769,810</w:t>
            </w:r>
          </w:p>
        </w:tc>
        <w:tc>
          <w:tcPr>
            <w:tcW w:w="11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$3,553,000</w:t>
            </w:r>
          </w:p>
        </w:tc>
        <w:tc>
          <w:tcPr>
            <w:tcW w:w="15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$93,171</w:t>
            </w:r>
          </w:p>
        </w:tc>
        <w:tc>
          <w:tcPr>
            <w:tcW w:w="25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$11,584,337</w:t>
            </w:r>
          </w:p>
        </w:tc>
        <w:tc>
          <w:tcPr>
            <w:tcW w:w="10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$185,293</w:t>
            </w:r>
          </w:p>
        </w:tc>
        <w:tc>
          <w:tcPr>
            <w:tcW w:w="960" w:type="dxa"/>
            <w:vAlign w:val="bottom"/>
            <w:tcBorders>
              <w:bottom w:val="single" w:sz="8" w:color="F2F2F2"/>
            </w:tcBorders>
            <w:shd w:val="clear" w:color="auto" w:fill="F2F2F2"/>
          </w:tcPr>
          <w:p>
            <w:pPr>
              <w:jc w:val="right"/>
              <w:ind w:right="8"/>
              <w:spacing w:after="0"/>
              <w:rPr>
                <w:sz w:val="20"/>
                <w:szCs w:val="20"/>
                <w:color w:val="auto"/>
              </w:rPr>
            </w:pPr>
            <w:r>
              <w:rPr>
                <w:rFonts w:ascii="Arial" w:cs="Arial" w:eastAsia="Arial" w:hAnsi="Arial"/>
                <w:sz w:val="14"/>
                <w:szCs w:val="14"/>
                <w:color w:val="auto"/>
              </w:rPr>
              <w:t>$13,893,269</w:t>
            </w:r>
          </w:p>
        </w:tc>
        <w:tc>
          <w:tcPr>
            <w:tcW w:w="0" w:type="dxa"/>
            <w:vAlign w:val="bottom"/>
          </w:tcPr>
          <w:p>
            <w:pPr>
              <w:spacing w:after="0"/>
              <w:rPr>
                <w:sz w:val="1"/>
                <w:szCs w:val="1"/>
                <w:color w:val="auto"/>
              </w:rPr>
            </w:pPr>
          </w:p>
        </w:tc>
      </w:tr>
      <w:tr>
        <w:trPr>
          <w:trHeight w:val="208"/>
        </w:trPr>
        <w:tc>
          <w:tcPr>
            <w:tcW w:w="480" w:type="dxa"/>
            <w:vAlign w:val="bottom"/>
          </w:tcPr>
          <w:p>
            <w:pPr>
              <w:ind w:left="20"/>
              <w:spacing w:after="0"/>
              <w:rPr>
                <w:sz w:val="20"/>
                <w:szCs w:val="20"/>
                <w:color w:val="auto"/>
              </w:rPr>
            </w:pPr>
            <w:r>
              <w:rPr>
                <w:rFonts w:ascii="Arial" w:cs="Arial" w:eastAsia="Arial" w:hAnsi="Arial"/>
                <w:sz w:val="14"/>
                <w:szCs w:val="14"/>
                <w:color w:val="auto"/>
              </w:rPr>
              <w:t>2021</w:t>
            </w:r>
          </w:p>
        </w:tc>
        <w:tc>
          <w:tcPr>
            <w:tcW w:w="1200" w:type="dxa"/>
            <w:vAlign w:val="bottom"/>
          </w:tcPr>
          <w:p>
            <w:pPr>
              <w:jc w:val="center"/>
              <w:spacing w:after="0"/>
              <w:rPr>
                <w:sz w:val="20"/>
                <w:szCs w:val="20"/>
                <w:color w:val="auto"/>
              </w:rPr>
            </w:pPr>
            <w:r>
              <w:rPr>
                <w:rFonts w:ascii="Arial" w:cs="Arial" w:eastAsia="Arial" w:hAnsi="Arial"/>
                <w:sz w:val="14"/>
                <w:szCs w:val="14"/>
                <w:color w:val="auto"/>
              </w:rPr>
              <w:t>$4,730,690</w:t>
            </w:r>
          </w:p>
        </w:tc>
        <w:tc>
          <w:tcPr>
            <w:tcW w:w="1140" w:type="dxa"/>
            <w:vAlign w:val="bottom"/>
          </w:tcPr>
          <w:p>
            <w:pPr>
              <w:jc w:val="center"/>
              <w:spacing w:after="0"/>
              <w:rPr>
                <w:sz w:val="20"/>
                <w:szCs w:val="20"/>
                <w:color w:val="auto"/>
              </w:rPr>
            </w:pPr>
            <w:r>
              <w:rPr>
                <w:rFonts w:ascii="Arial" w:cs="Arial" w:eastAsia="Arial" w:hAnsi="Arial"/>
                <w:sz w:val="14"/>
                <w:szCs w:val="14"/>
                <w:color w:val="auto"/>
              </w:rPr>
              <w:t>$3,115,360</w:t>
            </w:r>
          </w:p>
        </w:tc>
        <w:tc>
          <w:tcPr>
            <w:tcW w:w="1540" w:type="dxa"/>
            <w:vAlign w:val="bottom"/>
          </w:tcPr>
          <w:p>
            <w:pPr>
              <w:jc w:val="center"/>
              <w:spacing w:after="0"/>
              <w:rPr>
                <w:sz w:val="20"/>
                <w:szCs w:val="20"/>
                <w:color w:val="auto"/>
              </w:rPr>
            </w:pPr>
            <w:r>
              <w:rPr>
                <w:rFonts w:ascii="Arial" w:cs="Arial" w:eastAsia="Arial" w:hAnsi="Arial"/>
                <w:sz w:val="14"/>
                <w:szCs w:val="14"/>
                <w:color w:val="auto"/>
                <w:w w:val="99"/>
              </w:rPr>
              <w:t>$159,911</w:t>
            </w:r>
          </w:p>
        </w:tc>
        <w:tc>
          <w:tcPr>
            <w:tcW w:w="2580" w:type="dxa"/>
            <w:vAlign w:val="bottom"/>
          </w:tcPr>
          <w:p>
            <w:pPr>
              <w:jc w:val="center"/>
              <w:spacing w:after="0"/>
              <w:rPr>
                <w:sz w:val="20"/>
                <w:szCs w:val="20"/>
                <w:color w:val="auto"/>
              </w:rPr>
            </w:pPr>
            <w:r>
              <w:rPr>
                <w:rFonts w:ascii="Arial" w:cs="Arial" w:eastAsia="Arial" w:hAnsi="Arial"/>
                <w:sz w:val="14"/>
                <w:szCs w:val="14"/>
                <w:color w:val="auto"/>
              </w:rPr>
              <w:t>$2,972,681</w:t>
            </w:r>
          </w:p>
        </w:tc>
        <w:tc>
          <w:tcPr>
            <w:tcW w:w="1080" w:type="dxa"/>
            <w:vAlign w:val="bottom"/>
          </w:tcPr>
          <w:p>
            <w:pPr>
              <w:jc w:val="center"/>
              <w:spacing w:after="0"/>
              <w:rPr>
                <w:sz w:val="20"/>
                <w:szCs w:val="20"/>
                <w:color w:val="auto"/>
              </w:rPr>
            </w:pPr>
            <w:r>
              <w:rPr>
                <w:rFonts w:ascii="Arial" w:cs="Arial" w:eastAsia="Arial" w:hAnsi="Arial"/>
                <w:sz w:val="14"/>
                <w:szCs w:val="14"/>
                <w:color w:val="auto"/>
              </w:rPr>
              <w:t>$135,445</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$4,563,545</w:t>
            </w:r>
          </w:p>
        </w:tc>
        <w:tc>
          <w:tcPr>
            <w:tcW w:w="0" w:type="dxa"/>
            <w:vAlign w:val="bottom"/>
          </w:tcPr>
          <w:p>
            <w:pPr>
              <w:spacing w:after="0"/>
              <w:rPr>
                <w:sz w:val="1"/>
                <w:szCs w:val="1"/>
                <w:color w:val="auto"/>
              </w:rPr>
            </w:pPr>
          </w:p>
        </w:tc>
      </w:tr>
      <w:tr>
        <w:trPr>
          <w:trHeight w:val="48"/>
        </w:trPr>
        <w:tc>
          <w:tcPr>
            <w:tcW w:w="4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5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2020</w:t>
            </w:r>
          </w:p>
        </w:tc>
        <w:tc>
          <w:tcPr>
            <w:tcW w:w="12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$6,787,934</w:t>
            </w:r>
          </w:p>
        </w:tc>
        <w:tc>
          <w:tcPr>
            <w:tcW w:w="11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$3,665,898</w:t>
            </w:r>
          </w:p>
        </w:tc>
        <w:tc>
          <w:tcPr>
            <w:tcW w:w="15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$1,448,154</w:t>
            </w:r>
          </w:p>
        </w:tc>
        <w:tc>
          <w:tcPr>
            <w:tcW w:w="25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$8,871,572</w:t>
            </w:r>
          </w:p>
        </w:tc>
        <w:tc>
          <w:tcPr>
            <w:tcW w:w="10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$187,254</w:t>
            </w:r>
          </w:p>
        </w:tc>
        <w:tc>
          <w:tcPr>
            <w:tcW w:w="960" w:type="dxa"/>
            <w:vAlign w:val="bottom"/>
            <w:tcBorders>
              <w:bottom w:val="single" w:sz="8" w:color="F2F2F2"/>
            </w:tcBorders>
            <w:shd w:val="clear" w:color="auto" w:fill="F2F2F2"/>
          </w:tcPr>
          <w:p>
            <w:pPr>
              <w:jc w:val="right"/>
              <w:ind w:right="8"/>
              <w:spacing w:after="0"/>
              <w:rPr>
                <w:sz w:val="20"/>
                <w:szCs w:val="20"/>
                <w:color w:val="auto"/>
              </w:rPr>
            </w:pPr>
            <w:r>
              <w:rPr>
                <w:rFonts w:ascii="Arial" w:cs="Arial" w:eastAsia="Arial" w:hAnsi="Arial"/>
                <w:sz w:val="14"/>
                <w:szCs w:val="14"/>
                <w:color w:val="auto"/>
              </w:rPr>
              <w:t>$10,732,708</w:t>
            </w: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517525</wp:posOffset>
            </wp:positionV>
            <wp:extent cx="5700395" cy="8255"/>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ind w:left="180" w:right="240" w:hanging="172"/>
        <w:spacing w:after="0" w:line="222" w:lineRule="auto"/>
        <w:tabs>
          <w:tab w:leader="none" w:pos="110" w:val="left"/>
        </w:tabs>
        <w:numPr>
          <w:ilvl w:val="0"/>
          <w:numId w:val="185"/>
        </w:numPr>
        <w:rPr>
          <w:rFonts w:ascii="Arial" w:cs="Arial" w:eastAsia="Arial" w:hAnsi="Arial"/>
          <w:sz w:val="19"/>
          <w:szCs w:val="19"/>
          <w:color w:val="auto"/>
          <w:vertAlign w:val="superscript"/>
        </w:rPr>
      </w:pPr>
      <w:r>
        <w:rPr>
          <w:rFonts w:ascii="Arial" w:cs="Arial" w:eastAsia="Arial" w:hAnsi="Arial"/>
          <w:sz w:val="14"/>
          <w:szCs w:val="14"/>
          <w:color w:val="auto"/>
        </w:rPr>
        <w:t>The peer group used for calculating Peer Group Total Shareholder Return is the same peer group used by the company for benchmarking compensation, setting the growth goals for the performance award and for determining relative total shareholder return performance for the relative value award.</w:t>
      </w:r>
    </w:p>
    <w:p>
      <w:pPr>
        <w:spacing w:after="0" w:line="40" w:lineRule="exact"/>
        <w:rPr>
          <w:sz w:val="20"/>
          <w:szCs w:val="20"/>
          <w:color w:val="auto"/>
        </w:rPr>
      </w:pPr>
    </w:p>
    <w:p>
      <w:pPr>
        <w:ind w:left="180" w:right="660" w:hanging="172"/>
        <w:spacing w:after="0" w:line="300" w:lineRule="auto"/>
        <w:tabs>
          <w:tab w:leader="none" w:pos="110" w:val="left"/>
        </w:tabs>
        <w:numPr>
          <w:ilvl w:val="0"/>
          <w:numId w:val="186"/>
        </w:numPr>
        <w:rPr>
          <w:rFonts w:ascii="Arial" w:cs="Arial" w:eastAsia="Arial" w:hAnsi="Arial"/>
          <w:sz w:val="9"/>
          <w:szCs w:val="9"/>
          <w:color w:val="auto"/>
        </w:rPr>
      </w:pPr>
      <w:r>
        <w:rPr>
          <w:rFonts w:ascii="Arial" w:cs="Arial" w:eastAsia="Arial" w:hAnsi="Arial"/>
          <w:sz w:val="14"/>
          <w:szCs w:val="14"/>
          <w:color w:val="auto"/>
        </w:rPr>
        <w:t xml:space="preserve">For pay versus performance analysis, adjusted non-GAAP EPS aligns with the adjusted non-GAAP EPS values for performance awards in </w:t>
      </w:r>
      <w:r>
        <w:rPr>
          <w:rFonts w:ascii="Arial" w:cs="Arial" w:eastAsia="Arial" w:hAnsi="Arial"/>
          <w:sz w:val="14"/>
          <w:szCs w:val="14"/>
          <w:u w:val="single" w:color="auto"/>
          <w:color w:val="0000FF"/>
        </w:rPr>
        <w:t>Appendix A, “Summary of</w:t>
      </w:r>
      <w:r>
        <w:rPr>
          <w:rFonts w:ascii="Arial" w:cs="Arial" w:eastAsia="Arial" w:hAnsi="Arial"/>
          <w:sz w:val="14"/>
          <w:szCs w:val="14"/>
          <w:color w:val="auto"/>
        </w:rPr>
        <w:t xml:space="preserve"> </w:t>
      </w:r>
      <w:r>
        <w:rPr>
          <w:rFonts w:ascii="Arial" w:cs="Arial" w:eastAsia="Arial" w:hAnsi="Arial"/>
          <w:sz w:val="14"/>
          <w:szCs w:val="14"/>
          <w:u w:val="single" w:color="auto"/>
          <w:color w:val="0000FF"/>
        </w:rPr>
        <w:t>Adjustments Related to the Annual Cash Bonus and Performance Award</w:t>
      </w:r>
      <w:r>
        <w:rPr>
          <w:rFonts w:ascii="Arial" w:cs="Arial" w:eastAsia="Arial" w:hAnsi="Arial"/>
          <w:sz w:val="14"/>
          <w:szCs w:val="14"/>
          <w:color w:val="000000"/>
        </w:rPr>
        <w:t>.”</w:t>
      </w:r>
    </w:p>
    <w:p>
      <w:pPr>
        <w:ind w:left="100" w:hanging="92"/>
        <w:spacing w:after="0" w:line="211" w:lineRule="auto"/>
        <w:tabs>
          <w:tab w:leader="none" w:pos="100" w:val="left"/>
        </w:tabs>
        <w:numPr>
          <w:ilvl w:val="0"/>
          <w:numId w:val="187"/>
        </w:numPr>
        <w:rPr>
          <w:rFonts w:ascii="Arial" w:cs="Arial" w:eastAsia="Arial" w:hAnsi="Arial"/>
          <w:sz w:val="19"/>
          <w:szCs w:val="19"/>
          <w:color w:val="auto"/>
          <w:vertAlign w:val="superscript"/>
        </w:rPr>
      </w:pPr>
      <w:r>
        <w:rPr>
          <w:rFonts w:ascii="Arial" w:cs="Arial" w:eastAsia="Arial" w:hAnsi="Arial"/>
          <w:sz w:val="14"/>
          <w:szCs w:val="14"/>
          <w:color w:val="auto"/>
        </w:rPr>
        <w:t>The average CAP for 2022 comprised compensation for Ms. Ashkenazi, Dr. Skovronsky, Ms. Hakim and Mr. Jonsson.</w:t>
      </w:r>
    </w:p>
    <w:p>
      <w:pPr>
        <w:spacing w:after="0" w:line="46" w:lineRule="exact"/>
        <w:rPr>
          <w:sz w:val="20"/>
          <w:szCs w:val="20"/>
          <w:color w:val="auto"/>
        </w:rPr>
      </w:pPr>
    </w:p>
    <w:p>
      <w:pPr>
        <w:ind w:left="180" w:right="160" w:hanging="172"/>
        <w:spacing w:after="0" w:line="219" w:lineRule="auto"/>
        <w:tabs>
          <w:tab w:leader="none" w:pos="110" w:val="left"/>
        </w:tabs>
        <w:numPr>
          <w:ilvl w:val="0"/>
          <w:numId w:val="188"/>
        </w:numPr>
        <w:rPr>
          <w:rFonts w:ascii="Arial" w:cs="Arial" w:eastAsia="Arial" w:hAnsi="Arial"/>
          <w:sz w:val="19"/>
          <w:szCs w:val="19"/>
          <w:color w:val="auto"/>
          <w:vertAlign w:val="superscript"/>
        </w:rPr>
      </w:pPr>
      <w:r>
        <w:rPr>
          <w:rFonts w:ascii="Arial" w:cs="Arial" w:eastAsia="Arial" w:hAnsi="Arial"/>
          <w:sz w:val="14"/>
          <w:szCs w:val="14"/>
          <w:color w:val="auto"/>
        </w:rPr>
        <w:t>The average CAP for 2021 comprised compensation for Ms. Ashkenazi, Dr. Skovronsky, Mr. Van Naarden, Mr. Rau, and Mr. Smiley. Ms. Ashkenazi succeeded Mr. Smiley as CFO on February 9, 2021 when Mr. Smiley resigned his position.</w:t>
      </w:r>
    </w:p>
    <w:p>
      <w:pPr>
        <w:spacing w:after="0" w:line="40" w:lineRule="exact"/>
        <w:rPr>
          <w:sz w:val="20"/>
          <w:szCs w:val="20"/>
          <w:color w:val="auto"/>
        </w:rPr>
      </w:pPr>
    </w:p>
    <w:p>
      <w:pPr>
        <w:ind w:left="100" w:hanging="92"/>
        <w:spacing w:after="0"/>
        <w:tabs>
          <w:tab w:leader="none" w:pos="100" w:val="left"/>
        </w:tabs>
        <w:numPr>
          <w:ilvl w:val="0"/>
          <w:numId w:val="189"/>
        </w:numPr>
        <w:rPr>
          <w:rFonts w:ascii="Arial" w:cs="Arial" w:eastAsia="Arial" w:hAnsi="Arial"/>
          <w:sz w:val="9"/>
          <w:szCs w:val="9"/>
          <w:color w:val="auto"/>
        </w:rPr>
      </w:pPr>
      <w:r>
        <w:rPr>
          <w:rFonts w:ascii="Arial" w:cs="Arial" w:eastAsia="Arial" w:hAnsi="Arial"/>
          <w:sz w:val="14"/>
          <w:szCs w:val="14"/>
          <w:color w:val="auto"/>
        </w:rPr>
        <w:t>The average CAP for 2020 comprised compensation for Mr. Smiley, Dr. Skovronsky, Ms. Hakim and Mr. Zulueta.</w:t>
      </w:r>
    </w:p>
    <w:p>
      <w:pPr>
        <w:spacing w:after="0" w:line="215"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Pay versus Performance: Most Important Measures</w:t>
      </w:r>
    </w:p>
    <w:p>
      <w:pPr>
        <w:spacing w:after="0" w:line="6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measures most important in determining pay during 2022 were those most heavily weighted in our long-term incentive and annual bonus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92075</wp:posOffset>
            </wp:positionV>
            <wp:extent cx="2305685" cy="8255"/>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46" w:lineRule="exact"/>
        <w:rPr>
          <w:sz w:val="20"/>
          <w:szCs w:val="20"/>
          <w:color w:val="auto"/>
        </w:rPr>
      </w:pPr>
    </w:p>
    <w:p>
      <w:pPr>
        <w:jc w:val="center"/>
        <w:ind w:right="2180"/>
        <w:spacing w:after="0"/>
        <w:rPr>
          <w:sz w:val="20"/>
          <w:szCs w:val="20"/>
          <w:color w:val="auto"/>
        </w:rPr>
      </w:pPr>
      <w:r>
        <w:rPr>
          <w:rFonts w:ascii="Arial" w:cs="Arial" w:eastAsia="Arial" w:hAnsi="Arial"/>
          <w:sz w:val="18"/>
          <w:szCs w:val="18"/>
          <w:b w:val="1"/>
          <w:bCs w:val="1"/>
          <w:color w:val="auto"/>
        </w:rPr>
        <w:t>Most Important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34925</wp:posOffset>
            </wp:positionV>
            <wp:extent cx="2305685" cy="52324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2305685" cy="523240"/>
                    </a:xfrm>
                    <a:prstGeom prst="rect">
                      <a:avLst/>
                    </a:prstGeom>
                    <a:noFill/>
                  </pic:spPr>
                </pic:pic>
              </a:graphicData>
            </a:graphic>
          </wp:anchor>
        </w:drawing>
      </w:r>
    </w:p>
    <w:p>
      <w:pPr>
        <w:spacing w:after="0" w:line="57" w:lineRule="exact"/>
        <w:rPr>
          <w:sz w:val="20"/>
          <w:szCs w:val="20"/>
          <w:color w:val="auto"/>
        </w:rPr>
      </w:pPr>
    </w:p>
    <w:p>
      <w:pPr>
        <w:jc w:val="center"/>
        <w:ind w:right="2160"/>
        <w:spacing w:after="0"/>
        <w:rPr>
          <w:sz w:val="20"/>
          <w:szCs w:val="20"/>
          <w:color w:val="auto"/>
        </w:rPr>
      </w:pPr>
      <w:r>
        <w:rPr>
          <w:rFonts w:ascii="Arial" w:cs="Arial" w:eastAsia="Arial" w:hAnsi="Arial"/>
          <w:sz w:val="18"/>
          <w:szCs w:val="18"/>
          <w:color w:val="auto"/>
        </w:rPr>
        <w:t>Adjusted non-GAAP EPS</w:t>
      </w:r>
      <w:r>
        <w:rPr>
          <w:rFonts w:ascii="Arial" w:cs="Arial" w:eastAsia="Arial" w:hAnsi="Arial"/>
          <w:sz w:val="23"/>
          <w:szCs w:val="23"/>
          <w:color w:val="auto"/>
          <w:vertAlign w:val="superscript"/>
        </w:rPr>
        <w:t>1</w:t>
      </w:r>
    </w:p>
    <w:p>
      <w:pPr>
        <w:spacing w:after="0" w:line="24" w:lineRule="exact"/>
        <w:rPr>
          <w:sz w:val="20"/>
          <w:szCs w:val="20"/>
          <w:color w:val="auto"/>
        </w:rPr>
      </w:pPr>
    </w:p>
    <w:p>
      <w:pPr>
        <w:jc w:val="center"/>
        <w:ind w:right="2160"/>
        <w:spacing w:after="0"/>
        <w:rPr>
          <w:sz w:val="20"/>
          <w:szCs w:val="20"/>
          <w:color w:val="auto"/>
        </w:rPr>
      </w:pPr>
      <w:r>
        <w:rPr>
          <w:rFonts w:ascii="Arial" w:cs="Arial" w:eastAsia="Arial" w:hAnsi="Arial"/>
          <w:sz w:val="18"/>
          <w:szCs w:val="18"/>
          <w:color w:val="auto"/>
        </w:rPr>
        <w:t>Total Shareholder Return</w:t>
      </w:r>
    </w:p>
    <w:p>
      <w:pPr>
        <w:spacing w:after="0" w:line="45" w:lineRule="exact"/>
        <w:rPr>
          <w:sz w:val="20"/>
          <w:szCs w:val="20"/>
          <w:color w:val="auto"/>
        </w:rPr>
      </w:pPr>
    </w:p>
    <w:p>
      <w:pPr>
        <w:jc w:val="center"/>
        <w:ind w:right="2160"/>
        <w:spacing w:after="0"/>
        <w:rPr>
          <w:sz w:val="20"/>
          <w:szCs w:val="20"/>
          <w:color w:val="auto"/>
        </w:rPr>
      </w:pPr>
      <w:r>
        <w:rPr>
          <w:rFonts w:ascii="Arial" w:cs="Arial" w:eastAsia="Arial" w:hAnsi="Arial"/>
          <w:sz w:val="18"/>
          <w:szCs w:val="18"/>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34925</wp:posOffset>
            </wp:positionV>
            <wp:extent cx="2305685" cy="8255"/>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96" w:lineRule="exact"/>
        <w:rPr>
          <w:sz w:val="20"/>
          <w:szCs w:val="20"/>
          <w:color w:val="auto"/>
        </w:rPr>
      </w:pPr>
    </w:p>
    <w:p>
      <w:pPr>
        <w:ind w:left="180" w:right="680" w:hanging="172"/>
        <w:spacing w:after="0" w:line="231" w:lineRule="auto"/>
        <w:tabs>
          <w:tab w:leader="none" w:pos="96" w:val="left"/>
        </w:tabs>
        <w:numPr>
          <w:ilvl w:val="0"/>
          <w:numId w:val="190"/>
        </w:numPr>
        <w:rPr>
          <w:rFonts w:ascii="Arial" w:cs="Arial" w:eastAsia="Arial" w:hAnsi="Arial"/>
          <w:sz w:val="19"/>
          <w:szCs w:val="19"/>
          <w:color w:val="auto"/>
          <w:vertAlign w:val="superscript"/>
        </w:rPr>
      </w:pPr>
      <w:r>
        <w:rPr>
          <w:rFonts w:ascii="Arial" w:cs="Arial" w:eastAsia="Arial" w:hAnsi="Arial"/>
          <w:sz w:val="14"/>
          <w:szCs w:val="14"/>
          <w:color w:val="auto"/>
        </w:rPr>
        <w:t xml:space="preserve">For pay versus performance analysis, adjusted non-GAAP EPS aligns with the adjusted non-GAAP EPS values for performance awards in </w:t>
      </w:r>
      <w:r>
        <w:rPr>
          <w:rFonts w:ascii="Arial" w:cs="Arial" w:eastAsia="Arial" w:hAnsi="Arial"/>
          <w:sz w:val="14"/>
          <w:szCs w:val="14"/>
          <w:u w:val="single" w:color="auto"/>
          <w:color w:val="0000FF"/>
        </w:rPr>
        <w:t>Appendix A, “Summary of</w:t>
      </w:r>
      <w:r>
        <w:rPr>
          <w:rFonts w:ascii="Arial" w:cs="Arial" w:eastAsia="Arial" w:hAnsi="Arial"/>
          <w:sz w:val="14"/>
          <w:szCs w:val="14"/>
          <w:color w:val="auto"/>
        </w:rPr>
        <w:t xml:space="preserve"> </w:t>
      </w:r>
      <w:r>
        <w:rPr>
          <w:rFonts w:ascii="Arial" w:cs="Arial" w:eastAsia="Arial" w:hAnsi="Arial"/>
          <w:sz w:val="14"/>
          <w:szCs w:val="14"/>
          <w:u w:val="single" w:color="auto"/>
          <w:color w:val="0000FF"/>
        </w:rPr>
        <w:t>Adjustments Related to the Annual Cash Bonus and Performance Award.</w:t>
      </w:r>
      <w:r>
        <w:rPr>
          <w:rFonts w:ascii="Arial" w:cs="Arial" w:eastAsia="Arial" w:hAnsi="Arial"/>
          <w:sz w:val="14"/>
          <w:szCs w:val="14"/>
          <w:color w:val="000000"/>
        </w:rPr>
        <w:t>”</w:t>
      </w:r>
    </w:p>
    <w:p>
      <w:pPr>
        <w:spacing w:after="0" w:line="133"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Pay versus Performance: Total Shareholder Return</w:t>
      </w:r>
    </w:p>
    <w:p>
      <w:pPr>
        <w:spacing w:after="0" w:line="69"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Over the immediately preceding three-year period, the company’s total shareholder return (TSR) significantly exceeded the peer group’s TSR. The company’s chosen peer group is the same as the group used for benchmarking compensation, setting growth goals for the performance award and for determining relative TSR performance for the relative value award, which will pay out for the first time in early 2023.</w:t>
      </w:r>
    </w:p>
    <w:p>
      <w:pPr>
        <w:spacing w:after="0" w:line="109"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Lilly’s relative TSR outperformance was likely substantially attributable to strong developments in our product pipeline and was a significant contributor to the PEO and non-PEOs’ compensation over the three-year period. While the PEO CAP grew with each successive year of TSR outperformance, the highest growth occurred during 2021 when Lilly’s TSR was 66 percent compared to 19 percent for the peer group. Non-PEO average CAP was impacted by the shifting of non-PEO membership by at least three members each year and the cancellation of compensation for the company's former CFO, who departed during the 2021 reporting year.</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87" w:name="page88"/>
    <w:bookmarkEnd w:id="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5760720" cy="2966085"/>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clrChange>
                        <a:clrFrom>
                          <a:srgbClr val="FFFFFF"/>
                        </a:clrFrom>
                        <a:clrTo>
                          <a:srgbClr val="FFFFFF">
                            <a:alpha val="0"/>
                          </a:srgbClr>
                        </a:clrTo>
                      </a:clrChange>
                      <a:extLst>
                        <a:ext uri="{28A0092B-C50C-407E-A947-70E740481C1C}"/>
                      </a:extLst>
                    </a:blip>
                    <a:srcRect/>
                    <a:stretch>
                      <a:fillRect/>
                    </a:stretch>
                  </pic:blipFill>
                  <pic:spPr bwMode="auto">
                    <a:xfrm>
                      <a:off x="0" y="0"/>
                      <a:ext cx="5760720"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Pay versus Performance: Net Income</w:t>
      </w:r>
    </w:p>
    <w:p>
      <w:pPr>
        <w:spacing w:after="0" w:line="6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Lilly does not currently utilize GAAP or non-GAAP net income as a metric in any of its incentive programs; however, non-GAAP net income generally moves in a similar direction as our most important company selected measure (CSM), adjusted non-GAAP EPS. Generally, CAP is not heavily correlated with GAAP net income because GAAP net income includes certain items that the Talent and Compensation Committee believes are not reflective of the underlying performance of the business. By excluding the impact of (i) amortization of intangible assets primarily associated with costs of marketed products acquired or licensed from third parties, (ii) net losses or gains on investments in equity securities, and (iii) other specified items that are not reflective of underlying business performance, the Talent and Compensation Committee believes non-GAAP net income better represents the operating performance of the company and is more correlated to CAP. For comparison purposes, the graph below reflects both GAAP net income and non-GAAP net income against PEO and average NEO CAP. For additional information on non-GAAP financial metrics, see </w:t>
      </w:r>
      <w:r>
        <w:rPr>
          <w:rFonts w:ascii="Arial" w:cs="Arial" w:eastAsia="Arial" w:hAnsi="Arial"/>
          <w:sz w:val="18"/>
          <w:szCs w:val="18"/>
          <w:u w:val="single" w:color="auto"/>
          <w:color w:val="0000FF"/>
        </w:rPr>
        <w:t>Appendix A, “Summary of Adjustments Related to the Annual Cash Bonus and Performance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Award</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5760720" cy="277749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5760720" cy="27774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157720" cy="42545"/>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88" w:name="page89"/>
    <w:bookmarkEnd w:id="88"/>
    <w:p>
      <w:pPr>
        <w:ind w:left="120" w:hanging="112"/>
        <w:spacing w:after="0"/>
        <w:tabs>
          <w:tab w:leader="none" w:pos="1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GAAP Net Income and non-GAAP Net Income are discrete outcomes. Trend lines added to depict alignment with PEO and average non-</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PEO CAP.</w:t>
      </w:r>
    </w:p>
    <w:p>
      <w:pPr>
        <w:spacing w:after="0" w:line="147"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Pay versus Performance: Adjusted Non-GAAP EPS</w:t>
      </w:r>
    </w:p>
    <w:p>
      <w:pPr>
        <w:spacing w:after="0" w:line="6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Lilly has chosen adjusted non-GAAP EPS as its most important CSM. Lilly leverages annual non-GAAP EPS derived from the board-approved business plan to set targets for the Lilly bonus. Additionally, Lilly uses a non-GAAP EPS derived from the median external analyst anticipated two-year non-GAAP EPS growth for our peer group to set our growth goal for our performance award. While these two approaches differ in performance period duration and source of performance comparison, significant sustained profitability growth can contribute to higher total CAP as seen in the graphic below. For additional information on non-GAAP financial metrics, see </w:t>
      </w:r>
      <w:r>
        <w:rPr>
          <w:rFonts w:ascii="Arial" w:cs="Arial" w:eastAsia="Arial" w:hAnsi="Arial"/>
          <w:sz w:val="18"/>
          <w:szCs w:val="18"/>
          <w:u w:val="single" w:color="auto"/>
          <w:color w:val="0000FF"/>
        </w:rPr>
        <w:t>Appendix A,</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“Summary of Adjustments Related to the Annual Cash Bonus and Performance Award</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5751830" cy="277749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5751830"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 Adjusted non-GAAP EPS data points are discrete outcomes. Trend lines added to depict alignment with PEO and average non-PEO CAP.</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Pay versus Performance: Revenue</w:t>
      </w:r>
    </w:p>
    <w:p>
      <w:pPr>
        <w:spacing w:after="0" w:line="6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Lilly strives to make breakthrough medicines available to patients around the globe. Given a growing portfolio of new medicines, we motivate our entire workforce to reach as many patients as possible. The combination of a strong product portfolio and effective patient delivery yields higher sales volume and, generally, higher total revenue. A decline in product portfolio quality or effective launch execution reduces revenue. As such, revenue is one of our most important measures to ensure we are consistently growing the number of patients we serve. Our revenue curve over the preceding three-year period aligns with the growth in PEO and average non-PEO CAP.</w:t>
      </w: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89" w:name="page90"/>
    <w:bookmarkEnd w:id="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5760720" cy="276860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clrChange>
                        <a:clrFrom>
                          <a:srgbClr val="FFFFFF"/>
                        </a:clrFrom>
                        <a:clrTo>
                          <a:srgbClr val="FFFFFF">
                            <a:alpha val="0"/>
                          </a:srgbClr>
                        </a:clrTo>
                      </a:clrChange>
                      <a:extLst>
                        <a:ext uri="{28A0092B-C50C-407E-A947-70E740481C1C}"/>
                      </a:extLst>
                    </a:blip>
                    <a:srcRect/>
                    <a:stretch>
                      <a:fillRect/>
                    </a:stretch>
                  </pic:blipFill>
                  <pic:spPr bwMode="auto">
                    <a:xfrm>
                      <a:off x="0" y="0"/>
                      <a:ext cx="576072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 Revenue data points are discrete outcomes. Trend lines added to depict alignment with PEO and average non-PEO CAP.</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Pay versus Performance: Conclusions</w:t>
      </w:r>
    </w:p>
    <w:p>
      <w:pPr>
        <w:spacing w:after="0" w:line="6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Talent and Compensation Committee believes in pay for performance and has structured the Lilly compensation programs to reward leaders when the company is delivering strong results. Lilly has had strong cumulative TSR and EPS growth over the immediately preceding three-year period. As a result of this strong performance, shareholders have been rewarded with significant total stock returns and leadership has been rewarded with above target payouts from their incentive compensation programs.</w:t>
      </w:r>
    </w:p>
    <w:p>
      <w:pPr>
        <w:spacing w:after="0" w:line="327" w:lineRule="exact"/>
        <w:rPr>
          <w:sz w:val="20"/>
          <w:szCs w:val="20"/>
          <w:color w:val="auto"/>
        </w:rPr>
      </w:pPr>
    </w:p>
    <w:p>
      <w:pPr>
        <w:ind w:right="160"/>
        <w:spacing w:after="0" w:line="294" w:lineRule="auto"/>
        <w:rPr>
          <w:sz w:val="20"/>
          <w:szCs w:val="20"/>
          <w:color w:val="auto"/>
        </w:rPr>
      </w:pPr>
      <w:r>
        <w:rPr>
          <w:rFonts w:ascii="Arial" w:cs="Arial" w:eastAsia="Arial" w:hAnsi="Arial"/>
          <w:sz w:val="32"/>
          <w:szCs w:val="32"/>
          <w:b w:val="1"/>
          <w:bCs w:val="1"/>
          <w:color w:val="D52B1E"/>
        </w:rPr>
        <w:t>Item 3. Advisory Vote on Frequency of Future Advisory Votes on Named Executive Officer Compensation</w:t>
      </w:r>
    </w:p>
    <w:p>
      <w:pPr>
        <w:spacing w:after="0" w:line="1"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Federal legislation enables the company’s shareholders to vote, on an advisory or non-binding basis, on how frequently they would like to cast an advisory vote on the compensation of our named executive officers. Shareholders may indicate whether they would prefer an advisory vote on named executive officer compensation every one, two or three years. Shareholders may also, if they wish, abstain from casting a vote on this proposal.</w:t>
      </w:r>
    </w:p>
    <w:p>
      <w:pPr>
        <w:spacing w:after="0" w:line="68"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color w:val="auto"/>
        </w:rPr>
        <w:t>We support advisory votes on named executive officer compensation every year, and they are currently occurring annually. We welcome shareholder input and believe that annual advisory votes on named executive officer compensation provide a meaningful way to continue dialogue with shareholders regarding this issue.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board is not bound by this advisory shareholder vote; however, it will give significant weight to shareholder preferences on this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5760720" cy="72009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5760720" cy="720090"/>
                    </a:xfrm>
                    <a:prstGeom prst="rect">
                      <a:avLst/>
                    </a:prstGeom>
                    <a:noFill/>
                  </pic:spPr>
                </pic:pic>
              </a:graphicData>
            </a:graphic>
          </wp:anchor>
        </w:drawing>
      </w:r>
    </w:p>
    <w:p>
      <w:pPr>
        <w:spacing w:after="0" w:line="227" w:lineRule="exact"/>
        <w:rPr>
          <w:sz w:val="20"/>
          <w:szCs w:val="20"/>
          <w:color w:val="auto"/>
        </w:rPr>
      </w:pPr>
    </w:p>
    <w:p>
      <w:pPr>
        <w:ind w:left="1020"/>
        <w:spacing w:after="0"/>
        <w:rPr>
          <w:sz w:val="20"/>
          <w:szCs w:val="20"/>
          <w:color w:val="auto"/>
        </w:rPr>
      </w:pPr>
      <w:r>
        <w:rPr>
          <w:rFonts w:ascii="Arial" w:cs="Arial" w:eastAsia="Arial" w:hAnsi="Arial"/>
          <w:sz w:val="20"/>
          <w:szCs w:val="20"/>
          <w:b w:val="1"/>
          <w:bCs w:val="1"/>
          <w:color w:val="D52B1E"/>
        </w:rPr>
        <w:t>RECOMMENDATION FOR</w:t>
      </w:r>
    </w:p>
    <w:p>
      <w:pPr>
        <w:spacing w:after="0" w:line="166" w:lineRule="exact"/>
        <w:rPr>
          <w:sz w:val="20"/>
          <w:szCs w:val="20"/>
          <w:color w:val="auto"/>
        </w:rPr>
      </w:pPr>
    </w:p>
    <w:p>
      <w:pPr>
        <w:ind w:left="200" w:right="2600"/>
        <w:spacing w:after="0" w:line="287" w:lineRule="auto"/>
        <w:rPr>
          <w:sz w:val="20"/>
          <w:szCs w:val="20"/>
          <w:color w:val="auto"/>
        </w:rPr>
      </w:pPr>
      <w:r>
        <w:rPr>
          <w:rFonts w:ascii="Arial" w:cs="Arial" w:eastAsia="Arial" w:hAnsi="Arial"/>
          <w:sz w:val="18"/>
          <w:szCs w:val="18"/>
          <w:color w:val="auto"/>
        </w:rPr>
        <w:t xml:space="preserve">The board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an annual (</w:t>
      </w:r>
      <w:r>
        <w:rPr>
          <w:rFonts w:ascii="Arial" w:cs="Arial" w:eastAsia="Arial" w:hAnsi="Arial"/>
          <w:sz w:val="18"/>
          <w:szCs w:val="18"/>
          <w:b w:val="1"/>
          <w:bCs w:val="1"/>
          <w:color w:val="auto"/>
        </w:rPr>
        <w:t>1 YEAR</w:t>
      </w:r>
      <w:r>
        <w:rPr>
          <w:rFonts w:ascii="Arial" w:cs="Arial" w:eastAsia="Arial" w:hAnsi="Arial"/>
          <w:sz w:val="18"/>
          <w:szCs w:val="18"/>
          <w:color w:val="auto"/>
        </w:rPr>
        <w:t>) advisory vote on the compensation of the company’s named executive officers as disclosed in its proxy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0" w:name="page91"/>
    <w:bookmarkEnd w:id="90"/>
    <w:p>
      <w:pPr>
        <w:spacing w:after="0"/>
        <w:rPr>
          <w:sz w:val="20"/>
          <w:szCs w:val="20"/>
          <w:color w:val="auto"/>
        </w:rPr>
      </w:pPr>
      <w:r>
        <w:rPr>
          <w:rFonts w:ascii="Arial" w:cs="Arial" w:eastAsia="Arial" w:hAnsi="Arial"/>
          <w:sz w:val="52"/>
          <w:szCs w:val="52"/>
          <w:b w:val="1"/>
          <w:bCs w:val="1"/>
          <w:color w:val="auto"/>
        </w:rPr>
        <w:t>Audit Matters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Item 4. Ratification of the Appointment of the Independent Auditor</w:t>
      </w:r>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Audit Committee Oversight of the Independent Auditor</w:t>
      </w:r>
    </w:p>
    <w:p>
      <w:pPr>
        <w:spacing w:after="0" w:line="8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 xml:space="preserve">The Audit Committee is responsible for the appointment, compensation, retention, and oversight of the independent auditor and oversees the process for reviewing and evaluating the lead audit partner. Further information regarding the Audit Committee’s oversight of the independent auditor can be found in the Audit Committee charter, available online at </w:t>
      </w:r>
      <w:r>
        <w:rPr>
          <w:rFonts w:ascii="Arial" w:cs="Arial" w:eastAsia="Arial" w:hAnsi="Arial"/>
          <w:sz w:val="18"/>
          <w:szCs w:val="18"/>
          <w:color w:val="D52B1E"/>
        </w:rPr>
        <w:t>lilly.com/leadership/governance</w:t>
      </w:r>
      <w:r>
        <w:rPr>
          <w:rFonts w:ascii="Arial" w:cs="Arial" w:eastAsia="Arial" w:hAnsi="Arial"/>
          <w:sz w:val="18"/>
          <w:szCs w:val="18"/>
          <w:color w:val="auto"/>
        </w:rPr>
        <w:t>.</w:t>
      </w:r>
    </w:p>
    <w:p>
      <w:pPr>
        <w:spacing w:after="0" w:line="120" w:lineRule="exact"/>
        <w:rPr>
          <w:sz w:val="20"/>
          <w:szCs w:val="20"/>
          <w:color w:val="auto"/>
        </w:rPr>
      </w:pPr>
    </w:p>
    <w:p>
      <w:pPr>
        <w:ind w:right="500"/>
        <w:spacing w:after="0" w:line="233" w:lineRule="auto"/>
        <w:rPr>
          <w:sz w:val="20"/>
          <w:szCs w:val="20"/>
          <w:color w:val="auto"/>
        </w:rPr>
      </w:pPr>
      <w:r>
        <w:rPr>
          <w:rFonts w:ascii="Arial" w:cs="Arial" w:eastAsia="Arial" w:hAnsi="Arial"/>
          <w:sz w:val="22"/>
          <w:szCs w:val="22"/>
          <w:b w:val="1"/>
          <w:bCs w:val="1"/>
          <w:color w:val="auto"/>
        </w:rPr>
        <w:t xml:space="preserve">Evaluation Process: </w:t>
      </w:r>
      <w:r>
        <w:rPr>
          <w:rFonts w:ascii="Arial" w:cs="Arial" w:eastAsia="Arial" w:hAnsi="Arial"/>
          <w:sz w:val="17"/>
          <w:szCs w:val="17"/>
          <w:color w:val="auto"/>
        </w:rPr>
        <w:t>In connection with the decision regarding whether to reappoint the independent auditor each year (subject to</w:t>
      </w:r>
      <w:r>
        <w:rPr>
          <w:rFonts w:ascii="Arial" w:cs="Arial" w:eastAsia="Arial" w:hAnsi="Arial"/>
          <w:sz w:val="22"/>
          <w:szCs w:val="22"/>
          <w:b w:val="1"/>
          <w:bCs w:val="1"/>
          <w:color w:val="auto"/>
        </w:rPr>
        <w:t xml:space="preserve"> </w:t>
      </w:r>
      <w:r>
        <w:rPr>
          <w:rFonts w:ascii="Arial" w:cs="Arial" w:eastAsia="Arial" w:hAnsi="Arial"/>
          <w:sz w:val="17"/>
          <w:szCs w:val="17"/>
          <w:color w:val="auto"/>
        </w:rPr>
        <w:t>shareholder ratification), the Audit Committee assesses the independent auditor’s performance. This assessment includes:</w:t>
      </w:r>
    </w:p>
    <w:p>
      <w:pPr>
        <w:spacing w:after="0" w:line="31" w:lineRule="exact"/>
        <w:rPr>
          <w:sz w:val="20"/>
          <w:szCs w:val="20"/>
          <w:color w:val="auto"/>
        </w:rPr>
      </w:pPr>
    </w:p>
    <w:p>
      <w:pPr>
        <w:ind w:left="640" w:hanging="308"/>
        <w:spacing w:after="0"/>
        <w:tabs>
          <w:tab w:leader="none" w:pos="6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independent auditor’s qualifications and experience;</w:t>
      </w:r>
    </w:p>
    <w:p>
      <w:pPr>
        <w:spacing w:after="0" w:line="63" w:lineRule="exact"/>
        <w:rPr>
          <w:rFonts w:ascii="Arial" w:cs="Arial" w:eastAsia="Arial" w:hAnsi="Arial"/>
          <w:sz w:val="18"/>
          <w:szCs w:val="18"/>
          <w:color w:val="auto"/>
        </w:rPr>
      </w:pPr>
    </w:p>
    <w:p>
      <w:pPr>
        <w:ind w:left="640" w:hanging="308"/>
        <w:spacing w:after="0"/>
        <w:tabs>
          <w:tab w:leader="none" w:pos="6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communication and interactions with the auditor over the course of the year;</w:t>
      </w:r>
    </w:p>
    <w:p>
      <w:pPr>
        <w:spacing w:after="0" w:line="63" w:lineRule="exact"/>
        <w:rPr>
          <w:rFonts w:ascii="Arial" w:cs="Arial" w:eastAsia="Arial" w:hAnsi="Arial"/>
          <w:sz w:val="18"/>
          <w:szCs w:val="18"/>
          <w:color w:val="auto"/>
        </w:rPr>
      </w:pPr>
    </w:p>
    <w:p>
      <w:pPr>
        <w:ind w:left="640" w:hanging="308"/>
        <w:spacing w:after="0"/>
        <w:tabs>
          <w:tab w:leader="none" w:pos="6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auditor’s independence, objectivity, and professional skepticism; and</w:t>
      </w:r>
    </w:p>
    <w:p>
      <w:pPr>
        <w:spacing w:after="0" w:line="63" w:lineRule="exact"/>
        <w:rPr>
          <w:rFonts w:ascii="Arial" w:cs="Arial" w:eastAsia="Arial" w:hAnsi="Arial"/>
          <w:sz w:val="18"/>
          <w:szCs w:val="18"/>
          <w:color w:val="auto"/>
        </w:rPr>
      </w:pPr>
    </w:p>
    <w:p>
      <w:pPr>
        <w:ind w:left="640" w:hanging="308"/>
        <w:spacing w:after="0"/>
        <w:tabs>
          <w:tab w:leader="none" w:pos="6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independent auditor’s tenure.</w:t>
      </w:r>
    </w:p>
    <w:p>
      <w:pPr>
        <w:spacing w:after="0" w:line="171"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These criteria are assessed against an internal and an external scorecard and are discussed with management during a private session as well as in executive session.</w:t>
      </w:r>
    </w:p>
    <w:p>
      <w:pPr>
        <w:spacing w:after="0" w:line="9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Based on the Audit Committee’s assessment of Ernst &amp; Young LLP’s (EY) performance during 2022, the Audit Committee believes that the continued retention of EY to serve as the company's independent auditor is in the best interests of the company and its shareholders and has therefore reappointed EY as the company’s independent auditor for 2023.</w:t>
      </w:r>
    </w:p>
    <w:p>
      <w:pPr>
        <w:spacing w:after="0" w:line="174" w:lineRule="exact"/>
        <w:rPr>
          <w:sz w:val="20"/>
          <w:szCs w:val="20"/>
          <w:color w:val="auto"/>
        </w:rPr>
      </w:pPr>
    </w:p>
    <w:p>
      <w:pPr>
        <w:ind w:right="260"/>
        <w:spacing w:after="0" w:line="249" w:lineRule="auto"/>
        <w:rPr>
          <w:sz w:val="20"/>
          <w:szCs w:val="20"/>
          <w:color w:val="auto"/>
        </w:rPr>
      </w:pPr>
      <w:r>
        <w:rPr>
          <w:rFonts w:ascii="Arial" w:cs="Arial" w:eastAsia="Arial" w:hAnsi="Arial"/>
          <w:sz w:val="22"/>
          <w:szCs w:val="22"/>
          <w:b w:val="1"/>
          <w:bCs w:val="1"/>
          <w:color w:val="auto"/>
        </w:rPr>
        <w:t xml:space="preserve">Benefits of Longer Tenure: </w:t>
      </w:r>
      <w:r>
        <w:rPr>
          <w:rFonts w:ascii="Arial" w:cs="Arial" w:eastAsia="Arial" w:hAnsi="Arial"/>
          <w:sz w:val="17"/>
          <w:szCs w:val="17"/>
          <w:color w:val="auto"/>
        </w:rPr>
        <w:t>EY has served as the independent auditor for the company since 1940. There are several benefits of</w:t>
      </w:r>
      <w:r>
        <w:rPr>
          <w:rFonts w:ascii="Arial" w:cs="Arial" w:eastAsia="Arial" w:hAnsi="Arial"/>
          <w:sz w:val="22"/>
          <w:szCs w:val="22"/>
          <w:b w:val="1"/>
          <w:bCs w:val="1"/>
          <w:color w:val="auto"/>
        </w:rPr>
        <w:t xml:space="preserve"> </w:t>
      </w:r>
      <w:r>
        <w:rPr>
          <w:rFonts w:ascii="Arial" w:cs="Arial" w:eastAsia="Arial" w:hAnsi="Arial"/>
          <w:sz w:val="17"/>
          <w:szCs w:val="17"/>
          <w:color w:val="auto"/>
        </w:rPr>
        <w:t>retaining a longer-tenured independent auditor, including institutional knowledge and expertise regarding the company’s global operations, accounting policies and practices, and internal controls over financial reporting. In addition, audit and other fees are competitive with peer companies because of familiarity with the company and its operations.</w:t>
      </w:r>
    </w:p>
    <w:p>
      <w:pPr>
        <w:spacing w:after="0" w:line="190" w:lineRule="exact"/>
        <w:rPr>
          <w:sz w:val="20"/>
          <w:szCs w:val="20"/>
          <w:color w:val="auto"/>
        </w:rPr>
      </w:pPr>
    </w:p>
    <w:p>
      <w:pPr>
        <w:ind w:right="520"/>
        <w:spacing w:after="0" w:line="243" w:lineRule="auto"/>
        <w:rPr>
          <w:sz w:val="20"/>
          <w:szCs w:val="20"/>
          <w:color w:val="auto"/>
        </w:rPr>
      </w:pPr>
      <w:r>
        <w:rPr>
          <w:rFonts w:ascii="Arial" w:cs="Arial" w:eastAsia="Arial" w:hAnsi="Arial"/>
          <w:sz w:val="22"/>
          <w:szCs w:val="22"/>
          <w:b w:val="1"/>
          <w:bCs w:val="1"/>
          <w:color w:val="auto"/>
        </w:rPr>
        <w:t xml:space="preserve">EY’s Internal Independence Assessment: </w:t>
      </w:r>
      <w:r>
        <w:rPr>
          <w:rFonts w:ascii="Arial" w:cs="Arial" w:eastAsia="Arial" w:hAnsi="Arial"/>
          <w:sz w:val="17"/>
          <w:szCs w:val="17"/>
          <w:color w:val="auto"/>
        </w:rPr>
        <w:t>EY conducts periodic internal reviews of its audit and other work, assesses the</w:t>
      </w:r>
      <w:r>
        <w:rPr>
          <w:rFonts w:ascii="Arial" w:cs="Arial" w:eastAsia="Arial" w:hAnsi="Arial"/>
          <w:sz w:val="22"/>
          <w:szCs w:val="22"/>
          <w:b w:val="1"/>
          <w:bCs w:val="1"/>
          <w:color w:val="auto"/>
        </w:rPr>
        <w:t xml:space="preserve"> </w:t>
      </w:r>
      <w:r>
        <w:rPr>
          <w:rFonts w:ascii="Arial" w:cs="Arial" w:eastAsia="Arial" w:hAnsi="Arial"/>
          <w:sz w:val="17"/>
          <w:szCs w:val="17"/>
          <w:color w:val="auto"/>
        </w:rPr>
        <w:t>adequacy of partners and other personnel working on the Company’s account and rotates the lead assurance engagement partner, the global coordinating partner, and other partners on the engagement consistent with independence requirements.</w:t>
      </w:r>
    </w:p>
    <w:p>
      <w:pPr>
        <w:spacing w:after="0" w:line="2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Representatives of EY are expected to participate in the Annual Meeting and will be available to respond to questions. Those representatives will have the opportunity to make a statement if they wish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5760720" cy="72898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5760720" cy="728980"/>
                    </a:xfrm>
                    <a:prstGeom prst="rect">
                      <a:avLst/>
                    </a:prstGeom>
                    <a:noFill/>
                  </pic:spPr>
                </pic:pic>
              </a:graphicData>
            </a:graphic>
          </wp:anchor>
        </w:drawing>
      </w:r>
    </w:p>
    <w:p>
      <w:pPr>
        <w:spacing w:after="0" w:line="209" w:lineRule="exact"/>
        <w:rPr>
          <w:sz w:val="20"/>
          <w:szCs w:val="20"/>
          <w:color w:val="auto"/>
        </w:rPr>
      </w:pPr>
    </w:p>
    <w:p>
      <w:pPr>
        <w:ind w:left="1020"/>
        <w:spacing w:after="0"/>
        <w:rPr>
          <w:sz w:val="20"/>
          <w:szCs w:val="20"/>
          <w:color w:val="auto"/>
        </w:rPr>
      </w:pPr>
      <w:r>
        <w:rPr>
          <w:rFonts w:ascii="Arial" w:cs="Arial" w:eastAsia="Arial" w:hAnsi="Arial"/>
          <w:sz w:val="20"/>
          <w:szCs w:val="20"/>
          <w:b w:val="1"/>
          <w:bCs w:val="1"/>
          <w:color w:val="D52B1E"/>
        </w:rPr>
        <w:t>RECOMMENDATION FOR</w:t>
      </w:r>
    </w:p>
    <w:p>
      <w:pPr>
        <w:spacing w:after="0" w:line="172" w:lineRule="exact"/>
        <w:rPr>
          <w:sz w:val="20"/>
          <w:szCs w:val="20"/>
          <w:color w:val="auto"/>
        </w:rPr>
      </w:pPr>
    </w:p>
    <w:p>
      <w:pPr>
        <w:ind w:left="200" w:right="2640"/>
        <w:spacing w:after="0" w:line="296" w:lineRule="auto"/>
        <w:rPr>
          <w:sz w:val="20"/>
          <w:szCs w:val="20"/>
          <w:color w:val="auto"/>
        </w:rPr>
      </w:pPr>
      <w:r>
        <w:rPr>
          <w:rFonts w:ascii="Arial" w:cs="Arial" w:eastAsia="Arial" w:hAnsi="Arial"/>
          <w:sz w:val="18"/>
          <w:szCs w:val="18"/>
          <w:color w:val="auto"/>
        </w:rPr>
        <w:t xml:space="preserve">The board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ratifying the appointment of EY as the independent auditor for 2023.</w:t>
      </w:r>
    </w:p>
    <w:p>
      <w:pPr>
        <w:spacing w:after="0" w:line="383"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Audit Committee Report</w:t>
      </w:r>
    </w:p>
    <w:p>
      <w:pPr>
        <w:spacing w:after="0" w:line="6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Audit Committee reviews the company’s financial reporting process on behalf of the board. Management has the primary responsibility for the financial statements and the reporting process, including the systems of internal controls and disclosure controls. In this context, the Audit Committee has met and held discussions with management and the independent auditor. Management represented to the Audit Committee that the company’s consolidated financial statements for the year ended December 31, 2022, were prepared in accordance with GAAP, and the Audit Committee has reviewed and discussed the audited financial statements and related disclosures with management and the independent auditor, including a review of the significant management</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judgments underlying the financial statements and disclosures.</w:t>
      </w:r>
    </w:p>
    <w:p>
      <w:pPr>
        <w:spacing w:after="0" w:line="171"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independent auditor reports directly to the Audit Committee, which has sole authority to appoint and to replace the independent auditor (subject to shareholder ratification).</w:t>
      </w:r>
    </w:p>
    <w:p>
      <w:pPr>
        <w:spacing w:after="0" w:line="9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Audit Committee has discussed with the independent auditor the matters required to be discussed with the Audit Committee by the standards of the Public Company Accounting Oversight Board (PCAOB), the SEC, and the NYSE, including the quality, not just the acceptability, of the accounting principles, the reasonableness of significant judgments, and the clarity of the disclosures in the financial statements. In addition, the Audit Committee has received the written disclosures and the letter from the independent auditor required by applicable PCAOB rules regarding communications with the Audit Committee concerning independence and has discussed with the independent auditor the auditor’s independence from the company and its management. In concluding that the auditor is independent, the Audit Committee determined, among other things, that the non-audit services provided by EY (as described below) were compatible with its independence. Consistent with the requirements of the Sarbanes-Oxley Act of 2002 (the Sarbanes-Oxley Act), the Audit Committee has adopted policies to ensure the independence of the independent auditor, such as prior committee approval of non-audit services and required audit partner rotation.</w:t>
      </w:r>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Audit Committee discussed with the company’s internal and independent auditors the overall scope and plans for their respective audits, including internal control testing under Section 404 of the Sarbanes-Oxley Act. The Audit Committee periodically meets with the internal and independent auditors, with and without management present, and in private sessions with members of senior management (such as the chief financial officer and the chief accounting officer) to discuss the results of their examinations, their evaluations of the company’s internal controls, and the overall quality of the company’s financial reporting. The Audit Committee also periodically meets in executive session.</w:t>
      </w:r>
    </w:p>
    <w:p>
      <w:pPr>
        <w:spacing w:after="0" w:line="12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reliance on the reviews and discussions referred to above, the Audit Committee recommended to the board (and the board subsequently approved the recommendation) that the audited consolidated financial statements be included in the company’s Annual Report on Form 10-K for the year ended December 31, 2022, for filing with the SEC. The Audit Committee has also appointed EY as the company’s independent auditor, subject to shareholder ratification, for 2023.</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 Committee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Jamere Jackson, 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Ralph Alvarez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Gabrielle Sulzberger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Jackson P. Tai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Karen Walker</w:t>
      </w:r>
    </w:p>
    <w:p>
      <w:pPr>
        <w:spacing w:after="0" w:line="147"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Services Performed by the Independent Auditor</w:t>
      </w:r>
    </w:p>
    <w:p>
      <w:pPr>
        <w:spacing w:after="0" w:line="83"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The Audit Committee pre-approves all services performed by the independent auditor, in part to assess whether the provision of such services might impair the auditor’s independence. The Audit Committee’s policy and procedures are as follows:</w:t>
      </w:r>
    </w:p>
    <w:p>
      <w:pPr>
        <w:spacing w:after="0" w:line="157" w:lineRule="exact"/>
        <w:rPr>
          <w:sz w:val="20"/>
          <w:szCs w:val="20"/>
          <w:color w:val="auto"/>
        </w:rPr>
      </w:pPr>
    </w:p>
    <w:p>
      <w:pPr>
        <w:ind w:left="340" w:right="160" w:hanging="170"/>
        <w:spacing w:after="0" w:line="249" w:lineRule="auto"/>
        <w:tabs>
          <w:tab w:leader="none" w:pos="329" w:val="left"/>
        </w:tabs>
        <w:numPr>
          <w:ilvl w:val="0"/>
          <w:numId w:val="193"/>
        </w:numPr>
        <w:rPr>
          <w:rFonts w:ascii="Arial" w:cs="Arial" w:eastAsia="Arial" w:hAnsi="Arial"/>
          <w:sz w:val="16"/>
          <w:szCs w:val="16"/>
          <w:b w:val="1"/>
          <w:bCs w:val="1"/>
          <w:color w:val="auto"/>
        </w:rPr>
      </w:pPr>
      <w:r>
        <w:rPr>
          <w:rFonts w:ascii="Arial" w:cs="Arial" w:eastAsia="Arial" w:hAnsi="Arial"/>
          <w:sz w:val="22"/>
          <w:szCs w:val="22"/>
          <w:b w:val="1"/>
          <w:bCs w:val="1"/>
          <w:color w:val="auto"/>
        </w:rPr>
        <w:t xml:space="preserve">Audit services: </w:t>
      </w:r>
      <w:r>
        <w:rPr>
          <w:rFonts w:ascii="Arial" w:cs="Arial" w:eastAsia="Arial" w:hAnsi="Arial"/>
          <w:sz w:val="17"/>
          <w:szCs w:val="17"/>
          <w:color w:val="auto"/>
        </w:rPr>
        <w:t>The Audit Committee approves the annual audit services engagement and, if necessary, any changes in terms,</w:t>
      </w:r>
      <w:r>
        <w:rPr>
          <w:rFonts w:ascii="Arial" w:cs="Arial" w:eastAsia="Arial" w:hAnsi="Arial"/>
          <w:sz w:val="22"/>
          <w:szCs w:val="22"/>
          <w:b w:val="1"/>
          <w:bCs w:val="1"/>
          <w:color w:val="auto"/>
        </w:rPr>
        <w:t xml:space="preserve"> </w:t>
      </w:r>
      <w:r>
        <w:rPr>
          <w:rFonts w:ascii="Arial" w:cs="Arial" w:eastAsia="Arial" w:hAnsi="Arial"/>
          <w:sz w:val="17"/>
          <w:szCs w:val="17"/>
          <w:color w:val="auto"/>
        </w:rPr>
        <w:t>conditions, and fees resulting from changes in audit scope, company structure, or other matters. Audit services include internal controls attestation work under Section 404 of the Sarbanes-Oxley Act. The Audit Committee may also pre-approve other audit services, which are those services that only the independent auditor reasonably can provide.</w:t>
      </w:r>
    </w:p>
    <w:p>
      <w:pPr>
        <w:spacing w:after="0" w:line="189" w:lineRule="exact"/>
        <w:rPr>
          <w:rFonts w:ascii="Arial" w:cs="Arial" w:eastAsia="Arial" w:hAnsi="Arial"/>
          <w:sz w:val="16"/>
          <w:szCs w:val="16"/>
          <w:b w:val="1"/>
          <w:bCs w:val="1"/>
          <w:color w:val="auto"/>
        </w:rPr>
      </w:pPr>
    </w:p>
    <w:p>
      <w:pPr>
        <w:jc w:val="both"/>
        <w:ind w:left="340" w:right="160" w:hanging="170"/>
        <w:spacing w:after="0" w:line="274" w:lineRule="auto"/>
        <w:tabs>
          <w:tab w:leader="none" w:pos="329" w:val="left"/>
        </w:tabs>
        <w:numPr>
          <w:ilvl w:val="0"/>
          <w:numId w:val="193"/>
        </w:numPr>
        <w:rPr>
          <w:rFonts w:ascii="Arial" w:cs="Arial" w:eastAsia="Arial" w:hAnsi="Arial"/>
          <w:sz w:val="16"/>
          <w:szCs w:val="16"/>
          <w:b w:val="1"/>
          <w:bCs w:val="1"/>
          <w:color w:val="auto"/>
        </w:rPr>
      </w:pPr>
      <w:r>
        <w:rPr>
          <w:rFonts w:ascii="Arial" w:cs="Arial" w:eastAsia="Arial" w:hAnsi="Arial"/>
          <w:sz w:val="22"/>
          <w:szCs w:val="22"/>
          <w:b w:val="1"/>
          <w:bCs w:val="1"/>
          <w:color w:val="auto"/>
        </w:rPr>
        <w:t xml:space="preserve">Audit-related services: </w:t>
      </w:r>
      <w:r>
        <w:rPr>
          <w:rFonts w:ascii="Arial" w:cs="Arial" w:eastAsia="Arial" w:hAnsi="Arial"/>
          <w:sz w:val="17"/>
          <w:szCs w:val="17"/>
          <w:color w:val="auto"/>
        </w:rPr>
        <w:t>Audit-related services are assurance and related services that are reasonably related to the performance</w:t>
      </w:r>
      <w:r>
        <w:rPr>
          <w:rFonts w:ascii="Arial" w:cs="Arial" w:eastAsia="Arial" w:hAnsi="Arial"/>
          <w:sz w:val="22"/>
          <w:szCs w:val="22"/>
          <w:b w:val="1"/>
          <w:bCs w:val="1"/>
          <w:color w:val="auto"/>
        </w:rPr>
        <w:t xml:space="preserve"> </w:t>
      </w:r>
      <w:r>
        <w:rPr>
          <w:rFonts w:ascii="Arial" w:cs="Arial" w:eastAsia="Arial" w:hAnsi="Arial"/>
          <w:sz w:val="17"/>
          <w:szCs w:val="17"/>
          <w:color w:val="auto"/>
        </w:rPr>
        <w:t>of the audit or reviews of the financial statements, and that are traditionally performed by the independent auditor. The Audit Committee believes that the provision of these services does not impair the independence of the auditor.</w:t>
      </w:r>
    </w:p>
    <w:p>
      <w:pPr>
        <w:spacing w:after="0" w:line="169" w:lineRule="exact"/>
        <w:rPr>
          <w:rFonts w:ascii="Arial" w:cs="Arial" w:eastAsia="Arial" w:hAnsi="Arial"/>
          <w:sz w:val="16"/>
          <w:szCs w:val="16"/>
          <w:b w:val="1"/>
          <w:bCs w:val="1"/>
          <w:color w:val="auto"/>
        </w:rPr>
      </w:pPr>
    </w:p>
    <w:p>
      <w:pPr>
        <w:ind w:left="340" w:right="60" w:hanging="170"/>
        <w:spacing w:after="0" w:line="292" w:lineRule="auto"/>
        <w:tabs>
          <w:tab w:leader="none" w:pos="329" w:val="left"/>
        </w:tabs>
        <w:numPr>
          <w:ilvl w:val="0"/>
          <w:numId w:val="193"/>
        </w:numPr>
        <w:rPr>
          <w:rFonts w:ascii="Arial" w:cs="Arial" w:eastAsia="Arial" w:hAnsi="Arial"/>
          <w:sz w:val="16"/>
          <w:szCs w:val="16"/>
          <w:b w:val="1"/>
          <w:bCs w:val="1"/>
          <w:color w:val="auto"/>
        </w:rPr>
      </w:pPr>
      <w:r>
        <w:rPr>
          <w:rFonts w:ascii="Arial" w:cs="Arial" w:eastAsia="Arial" w:hAnsi="Arial"/>
          <w:sz w:val="22"/>
          <w:szCs w:val="22"/>
          <w:b w:val="1"/>
          <w:bCs w:val="1"/>
          <w:color w:val="auto"/>
        </w:rPr>
        <w:t xml:space="preserve">Tax services: </w:t>
      </w:r>
      <w:r>
        <w:rPr>
          <w:rFonts w:ascii="Arial" w:cs="Arial" w:eastAsia="Arial" w:hAnsi="Arial"/>
          <w:sz w:val="17"/>
          <w:szCs w:val="17"/>
          <w:color w:val="auto"/>
        </w:rPr>
        <w:t>The Audit Committee believes that, in appropriate cases, the independent auditor can provide tax compliance services,</w:t>
      </w:r>
      <w:r>
        <w:rPr>
          <w:rFonts w:ascii="Arial" w:cs="Arial" w:eastAsia="Arial" w:hAnsi="Arial"/>
          <w:sz w:val="22"/>
          <w:szCs w:val="22"/>
          <w:b w:val="1"/>
          <w:bCs w:val="1"/>
          <w:color w:val="auto"/>
        </w:rPr>
        <w:t xml:space="preserve"> </w:t>
      </w:r>
      <w:r>
        <w:rPr>
          <w:rFonts w:ascii="Arial" w:cs="Arial" w:eastAsia="Arial" w:hAnsi="Arial"/>
          <w:sz w:val="17"/>
          <w:szCs w:val="17"/>
          <w:color w:val="auto"/>
        </w:rPr>
        <w:t>tax planning, and tax advice without impairing the auditor’s independence.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2" w:name="page93"/>
    <w:bookmarkEnd w:id="92"/>
    <w:p>
      <w:pPr>
        <w:ind w:left="340" w:right="240" w:hanging="170"/>
        <w:spacing w:after="0" w:line="243" w:lineRule="auto"/>
        <w:tabs>
          <w:tab w:leader="none" w:pos="329" w:val="left"/>
        </w:tabs>
        <w:numPr>
          <w:ilvl w:val="0"/>
          <w:numId w:val="194"/>
        </w:numPr>
        <w:rPr>
          <w:rFonts w:ascii="Arial" w:cs="Arial" w:eastAsia="Arial" w:hAnsi="Arial"/>
          <w:sz w:val="16"/>
          <w:szCs w:val="16"/>
          <w:b w:val="1"/>
          <w:bCs w:val="1"/>
          <w:color w:val="auto"/>
        </w:rPr>
      </w:pPr>
      <w:r>
        <w:rPr>
          <w:rFonts w:ascii="Arial" w:cs="Arial" w:eastAsia="Arial" w:hAnsi="Arial"/>
          <w:sz w:val="22"/>
          <w:szCs w:val="22"/>
          <w:b w:val="1"/>
          <w:bCs w:val="1"/>
          <w:color w:val="auto"/>
        </w:rPr>
        <w:t xml:space="preserve">Other services: </w:t>
      </w:r>
      <w:r>
        <w:rPr>
          <w:rFonts w:ascii="Arial" w:cs="Arial" w:eastAsia="Arial" w:hAnsi="Arial"/>
          <w:sz w:val="17"/>
          <w:szCs w:val="17"/>
          <w:color w:val="auto"/>
        </w:rPr>
        <w:t>The Audit Committee may approve other services to be provided by the independent auditor if (i) the services are</w:t>
      </w:r>
      <w:r>
        <w:rPr>
          <w:rFonts w:ascii="Arial" w:cs="Arial" w:eastAsia="Arial" w:hAnsi="Arial"/>
          <w:sz w:val="22"/>
          <w:szCs w:val="22"/>
          <w:b w:val="1"/>
          <w:bCs w:val="1"/>
          <w:color w:val="auto"/>
        </w:rPr>
        <w:t xml:space="preserve"> </w:t>
      </w:r>
      <w:r>
        <w:rPr>
          <w:rFonts w:ascii="Arial" w:cs="Arial" w:eastAsia="Arial" w:hAnsi="Arial"/>
          <w:sz w:val="17"/>
          <w:szCs w:val="17"/>
          <w:color w:val="auto"/>
        </w:rPr>
        <w:t>permissible under SEC and PCAOB rules, (ii) the Audit Committee believes the provision of the services would not impair the independence of the auditor, and (iii) management believes that the auditor is the best choice to provide the services.</w:t>
      </w:r>
    </w:p>
    <w:p>
      <w:pPr>
        <w:spacing w:after="0" w:line="194" w:lineRule="exact"/>
        <w:rPr>
          <w:sz w:val="20"/>
          <w:szCs w:val="20"/>
          <w:color w:val="auto"/>
        </w:rPr>
      </w:pPr>
    </w:p>
    <w:p>
      <w:pPr>
        <w:spacing w:after="0" w:line="269" w:lineRule="auto"/>
        <w:rPr>
          <w:sz w:val="20"/>
          <w:szCs w:val="20"/>
          <w:color w:val="auto"/>
        </w:rPr>
      </w:pPr>
      <w:r>
        <w:rPr>
          <w:rFonts w:ascii="Arial" w:cs="Arial" w:eastAsia="Arial" w:hAnsi="Arial"/>
          <w:sz w:val="22"/>
          <w:szCs w:val="22"/>
          <w:b w:val="1"/>
          <w:bCs w:val="1"/>
          <w:color w:val="auto"/>
        </w:rPr>
        <w:t xml:space="preserve">Approval process: </w:t>
      </w:r>
      <w:r>
        <w:rPr>
          <w:rFonts w:ascii="Arial" w:cs="Arial" w:eastAsia="Arial" w:hAnsi="Arial"/>
          <w:sz w:val="17"/>
          <w:szCs w:val="17"/>
          <w:color w:val="auto"/>
        </w:rPr>
        <w:t>At the beginning of each audit year, management requests pre-approval from the Audit Committee of the annual</w:t>
      </w:r>
      <w:r>
        <w:rPr>
          <w:rFonts w:ascii="Arial" w:cs="Arial" w:eastAsia="Arial" w:hAnsi="Arial"/>
          <w:sz w:val="22"/>
          <w:szCs w:val="22"/>
          <w:b w:val="1"/>
          <w:bCs w:val="1"/>
          <w:color w:val="auto"/>
        </w:rPr>
        <w:t xml:space="preserve"> </w:t>
      </w:r>
      <w:r>
        <w:rPr>
          <w:rFonts w:ascii="Arial" w:cs="Arial" w:eastAsia="Arial" w:hAnsi="Arial"/>
          <w:sz w:val="17"/>
          <w:szCs w:val="17"/>
          <w:color w:val="auto"/>
        </w:rPr>
        <w:t>audit, statutory audits, and quarterly reviews for the upcoming audit year as well as any other services known at that time. Management will also present at that time an estimate of all fees for the upcoming audit year and known services. As specific engagements are identified thereafter that were not initially approved, they are brought forward to the Audit Committee for approval. To the extent approvals are required between regularly scheduled Audit Committee meetings, pre-approval authority is delegated to the committee chair.</w:t>
      </w:r>
    </w:p>
    <w:p>
      <w:pPr>
        <w:spacing w:after="0" w:line="6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For each engagement, management provides the Audit Committee with information about the services and fees, sufficiently detailed to allow the committee to make an informed judgment about the nature and scope of the services and the potential for the services to impair the independence of the auditor.</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After the end of the audit year, management provides the committee with a summary of the actual fees incurred for the completed audit year.</w:t>
      </w:r>
    </w:p>
    <w:p>
      <w:pPr>
        <w:spacing w:after="0" w:line="177"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Independent Auditor Fees</w:t>
      </w:r>
    </w:p>
    <w:p>
      <w:pPr>
        <w:spacing w:after="0" w:line="8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following table shows the fees incurred for services rendered on a worldwide basis by EY in 2022 and 2021. All such services were pre-approved by the Audit Committee in accordance with the pre-approval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5674995" cy="8255"/>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5674995" cy="8255"/>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8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2022</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2021</w:t>
            </w:r>
          </w:p>
        </w:tc>
      </w:tr>
      <w:tr>
        <w:trPr>
          <w:trHeight w:val="205"/>
        </w:trPr>
        <w:tc>
          <w:tcPr>
            <w:tcW w:w="1080" w:type="dxa"/>
            <w:vAlign w:val="bottom"/>
            <w:tcBorders>
              <w:bottom w:val="single" w:sz="8" w:color="auto"/>
            </w:tcBorders>
          </w:tcPr>
          <w:p>
            <w:pPr>
              <w:spacing w:after="0"/>
              <w:rPr>
                <w:sz w:val="17"/>
                <w:szCs w:val="17"/>
                <w:color w:val="auto"/>
              </w:rPr>
            </w:pPr>
          </w:p>
        </w:tc>
        <w:tc>
          <w:tcPr>
            <w:tcW w:w="5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millions)*</w:t>
            </w:r>
          </w:p>
        </w:tc>
        <w:tc>
          <w:tcPr>
            <w:tcW w:w="12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 millions)*</w:t>
            </w:r>
          </w:p>
        </w:tc>
      </w:tr>
      <w:tr>
        <w:trPr>
          <w:trHeight w:val="193"/>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b w:val="1"/>
                <w:bCs w:val="1"/>
                <w:color w:val="auto"/>
              </w:rPr>
              <w:t>Audit Fees</w:t>
            </w:r>
          </w:p>
        </w:tc>
        <w:tc>
          <w:tcPr>
            <w:tcW w:w="5380" w:type="dxa"/>
            <w:vAlign w:val="bottom"/>
            <w:shd w:val="clear" w:color="auto" w:fill="F2F2F2"/>
          </w:tcPr>
          <w:p>
            <w:pPr>
              <w:ind w:left="320"/>
              <w:spacing w:after="0"/>
              <w:rPr>
                <w:sz w:val="20"/>
                <w:szCs w:val="20"/>
                <w:color w:val="auto"/>
              </w:rPr>
            </w:pPr>
            <w:r>
              <w:rPr>
                <w:rFonts w:ascii="Arial" w:cs="Arial" w:eastAsia="Arial" w:hAnsi="Arial"/>
                <w:sz w:val="14"/>
                <w:szCs w:val="14"/>
                <w:color w:val="auto"/>
              </w:rPr>
              <w:t>Annual audit of consolidated and subsidiary financial statements, including</w:t>
            </w:r>
          </w:p>
        </w:tc>
        <w:tc>
          <w:tcPr>
            <w:tcW w:w="12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$13.9</w:t>
            </w:r>
          </w:p>
        </w:tc>
        <w:tc>
          <w:tcPr>
            <w:tcW w:w="12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$13.9</w:t>
            </w:r>
          </w:p>
        </w:tc>
      </w:tr>
      <w:tr>
        <w:trPr>
          <w:trHeight w:val="192"/>
        </w:trPr>
        <w:tc>
          <w:tcPr>
            <w:tcW w:w="1080" w:type="dxa"/>
            <w:vAlign w:val="bottom"/>
            <w:tcBorders>
              <w:bottom w:val="single" w:sz="8" w:color="F2F2F2"/>
            </w:tcBorders>
            <w:shd w:val="clear" w:color="auto" w:fill="F2F2F2"/>
          </w:tcPr>
          <w:p>
            <w:pPr>
              <w:spacing w:after="0"/>
              <w:rPr>
                <w:sz w:val="16"/>
                <w:szCs w:val="16"/>
                <w:color w:val="auto"/>
              </w:rPr>
            </w:pPr>
          </w:p>
        </w:tc>
        <w:tc>
          <w:tcPr>
            <w:tcW w:w="5380" w:type="dxa"/>
            <w:vAlign w:val="bottom"/>
            <w:tcBorders>
              <w:bottom w:val="single" w:sz="8" w:color="F2F2F2"/>
            </w:tcBorders>
            <w:shd w:val="clear" w:color="auto" w:fill="F2F2F2"/>
          </w:tcPr>
          <w:p>
            <w:pPr>
              <w:ind w:left="320"/>
              <w:spacing w:after="0"/>
              <w:rPr>
                <w:sz w:val="20"/>
                <w:szCs w:val="20"/>
                <w:color w:val="auto"/>
              </w:rPr>
            </w:pPr>
            <w:r>
              <w:rPr>
                <w:rFonts w:ascii="Arial" w:cs="Arial" w:eastAsia="Arial" w:hAnsi="Arial"/>
                <w:sz w:val="14"/>
                <w:szCs w:val="14"/>
                <w:color w:val="auto"/>
              </w:rPr>
              <w:t>Sarbanes-Oxley 404 attestation, reviews of quarterly financial statements</w:t>
            </w:r>
          </w:p>
        </w:tc>
        <w:tc>
          <w:tcPr>
            <w:tcW w:w="1220" w:type="dxa"/>
            <w:vAlign w:val="bottom"/>
            <w:tcBorders>
              <w:bottom w:val="single" w:sz="8" w:color="F2F2F2"/>
            </w:tcBorders>
            <w:shd w:val="clear" w:color="auto" w:fill="F2F2F2"/>
          </w:tcPr>
          <w:p>
            <w:pPr>
              <w:spacing w:after="0"/>
              <w:rPr>
                <w:sz w:val="16"/>
                <w:szCs w:val="16"/>
                <w:color w:val="auto"/>
              </w:rPr>
            </w:pPr>
          </w:p>
        </w:tc>
        <w:tc>
          <w:tcPr>
            <w:tcW w:w="1260" w:type="dxa"/>
            <w:vAlign w:val="bottom"/>
            <w:tcBorders>
              <w:bottom w:val="single" w:sz="8" w:color="F2F2F2"/>
            </w:tcBorders>
            <w:shd w:val="clear" w:color="auto" w:fill="F2F2F2"/>
          </w:tcPr>
          <w:p>
            <w:pPr>
              <w:spacing w:after="0"/>
              <w:rPr>
                <w:sz w:val="16"/>
                <w:szCs w:val="16"/>
                <w:color w:val="auto"/>
              </w:rPr>
            </w:pPr>
          </w:p>
        </w:tc>
      </w:tr>
      <w:tr>
        <w:trPr>
          <w:trHeight w:val="193"/>
        </w:trPr>
        <w:tc>
          <w:tcPr>
            <w:tcW w:w="646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Audit-Related Fees </w:t>
            </w:r>
            <w:r>
              <w:rPr>
                <w:rFonts w:ascii="Arial" w:cs="Arial" w:eastAsia="Arial" w:hAnsi="Arial"/>
                <w:sz w:val="14"/>
                <w:szCs w:val="14"/>
                <w:color w:val="auto"/>
              </w:rPr>
              <w:t>Primarily related to assurance and related services reasonably related to the</w:t>
            </w:r>
          </w:p>
        </w:tc>
        <w:tc>
          <w:tcPr>
            <w:tcW w:w="1220" w:type="dxa"/>
            <w:vAlign w:val="bottom"/>
          </w:tcPr>
          <w:p>
            <w:pPr>
              <w:jc w:val="center"/>
              <w:spacing w:after="0"/>
              <w:rPr>
                <w:sz w:val="20"/>
                <w:szCs w:val="20"/>
                <w:color w:val="auto"/>
              </w:rPr>
            </w:pPr>
            <w:r>
              <w:rPr>
                <w:rFonts w:ascii="Arial" w:cs="Arial" w:eastAsia="Arial" w:hAnsi="Arial"/>
                <w:sz w:val="14"/>
                <w:szCs w:val="14"/>
                <w:color w:val="auto"/>
              </w:rPr>
              <w:t>$0.7</w:t>
            </w:r>
          </w:p>
        </w:tc>
        <w:tc>
          <w:tcPr>
            <w:tcW w:w="1260" w:type="dxa"/>
            <w:vAlign w:val="bottom"/>
          </w:tcPr>
          <w:p>
            <w:pPr>
              <w:jc w:val="center"/>
              <w:spacing w:after="0"/>
              <w:rPr>
                <w:sz w:val="20"/>
                <w:szCs w:val="20"/>
                <w:color w:val="auto"/>
              </w:rPr>
            </w:pPr>
            <w:r>
              <w:rPr>
                <w:rFonts w:ascii="Arial" w:cs="Arial" w:eastAsia="Arial" w:hAnsi="Arial"/>
                <w:sz w:val="14"/>
                <w:szCs w:val="14"/>
                <w:color w:val="auto"/>
              </w:rPr>
              <w:t>$0.7</w:t>
            </w:r>
          </w:p>
        </w:tc>
      </w:tr>
      <w:tr>
        <w:trPr>
          <w:trHeight w:val="162"/>
        </w:trPr>
        <w:tc>
          <w:tcPr>
            <w:tcW w:w="1080" w:type="dxa"/>
            <w:vAlign w:val="bottom"/>
          </w:tcPr>
          <w:p>
            <w:pPr>
              <w:spacing w:after="0"/>
              <w:rPr>
                <w:sz w:val="14"/>
                <w:szCs w:val="14"/>
                <w:color w:val="auto"/>
              </w:rPr>
            </w:pPr>
          </w:p>
        </w:tc>
        <w:tc>
          <w:tcPr>
            <w:tcW w:w="5380" w:type="dxa"/>
            <w:vAlign w:val="bottom"/>
          </w:tcPr>
          <w:p>
            <w:pPr>
              <w:ind w:left="320"/>
              <w:spacing w:after="0"/>
              <w:rPr>
                <w:sz w:val="20"/>
                <w:szCs w:val="20"/>
                <w:color w:val="auto"/>
              </w:rPr>
            </w:pPr>
            <w:r>
              <w:rPr>
                <w:rFonts w:ascii="Arial" w:cs="Arial" w:eastAsia="Arial" w:hAnsi="Arial"/>
                <w:sz w:val="14"/>
                <w:szCs w:val="14"/>
                <w:color w:val="auto"/>
              </w:rPr>
              <w:t>performance of the audit or reviews of the financial statements primarily</w:t>
            </w: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6"/>
        </w:trPr>
        <w:tc>
          <w:tcPr>
            <w:tcW w:w="1080" w:type="dxa"/>
            <w:vAlign w:val="bottom"/>
          </w:tcPr>
          <w:p>
            <w:pPr>
              <w:spacing w:after="0"/>
              <w:rPr>
                <w:sz w:val="15"/>
                <w:szCs w:val="15"/>
                <w:color w:val="auto"/>
              </w:rPr>
            </w:pPr>
          </w:p>
        </w:tc>
        <w:tc>
          <w:tcPr>
            <w:tcW w:w="5380" w:type="dxa"/>
            <w:vAlign w:val="bottom"/>
          </w:tcPr>
          <w:p>
            <w:pPr>
              <w:ind w:left="320"/>
              <w:spacing w:after="0"/>
              <w:rPr>
                <w:sz w:val="20"/>
                <w:szCs w:val="20"/>
                <w:color w:val="auto"/>
              </w:rPr>
            </w:pPr>
            <w:r>
              <w:rPr>
                <w:rFonts w:ascii="Arial" w:cs="Arial" w:eastAsia="Arial" w:hAnsi="Arial"/>
                <w:sz w:val="14"/>
                <w:szCs w:val="14"/>
                <w:color w:val="auto"/>
              </w:rPr>
              <w:t>related to employee benefit plan and other ancillary audits, and due diligence</w:t>
            </w: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0"/>
        </w:trPr>
        <w:tc>
          <w:tcPr>
            <w:tcW w:w="1080" w:type="dxa"/>
            <w:vAlign w:val="bottom"/>
          </w:tcPr>
          <w:p>
            <w:pPr>
              <w:spacing w:after="0"/>
              <w:rPr>
                <w:sz w:val="16"/>
                <w:szCs w:val="16"/>
                <w:color w:val="auto"/>
              </w:rPr>
            </w:pPr>
          </w:p>
        </w:tc>
        <w:tc>
          <w:tcPr>
            <w:tcW w:w="5380" w:type="dxa"/>
            <w:vAlign w:val="bottom"/>
          </w:tcPr>
          <w:p>
            <w:pPr>
              <w:ind w:left="320"/>
              <w:spacing w:after="0"/>
              <w:rPr>
                <w:sz w:val="20"/>
                <w:szCs w:val="20"/>
                <w:color w:val="auto"/>
              </w:rPr>
            </w:pPr>
            <w:r>
              <w:rPr>
                <w:rFonts w:ascii="Arial" w:cs="Arial" w:eastAsia="Arial" w:hAnsi="Arial"/>
                <w:sz w:val="14"/>
                <w:szCs w:val="14"/>
                <w:color w:val="auto"/>
              </w:rPr>
              <w:t>services on potential acquisitions</w:t>
            </w:r>
          </w:p>
        </w:tc>
        <w:tc>
          <w:tcPr>
            <w:tcW w:w="1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2"/>
        </w:trPr>
        <w:tc>
          <w:tcPr>
            <w:tcW w:w="10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3"/>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b w:val="1"/>
                <w:bCs w:val="1"/>
                <w:color w:val="auto"/>
              </w:rPr>
              <w:t>Tax Fees</w:t>
            </w:r>
          </w:p>
        </w:tc>
        <w:tc>
          <w:tcPr>
            <w:tcW w:w="5380" w:type="dxa"/>
            <w:vAlign w:val="bottom"/>
            <w:shd w:val="clear" w:color="auto" w:fill="F2F2F2"/>
          </w:tcPr>
          <w:p>
            <w:pPr>
              <w:ind w:left="320"/>
              <w:spacing w:after="0"/>
              <w:rPr>
                <w:sz w:val="20"/>
                <w:szCs w:val="20"/>
                <w:color w:val="auto"/>
              </w:rPr>
            </w:pPr>
            <w:r>
              <w:rPr>
                <w:rFonts w:ascii="Arial" w:cs="Arial" w:eastAsia="Arial" w:hAnsi="Arial"/>
                <w:sz w:val="14"/>
                <w:szCs w:val="14"/>
                <w:color w:val="auto"/>
              </w:rPr>
              <w:t>Tax compliance services, tax planning, tax advice</w:t>
            </w:r>
          </w:p>
        </w:tc>
        <w:tc>
          <w:tcPr>
            <w:tcW w:w="12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$1.6</w:t>
            </w:r>
          </w:p>
        </w:tc>
        <w:tc>
          <w:tcPr>
            <w:tcW w:w="12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$2.1</w:t>
            </w:r>
          </w:p>
        </w:tc>
      </w:tr>
      <w:tr>
        <w:trPr>
          <w:trHeight w:val="230"/>
        </w:trPr>
        <w:tc>
          <w:tcPr>
            <w:tcW w:w="1080" w:type="dxa"/>
            <w:vAlign w:val="bottom"/>
            <w:tcBorders>
              <w:bottom w:val="single" w:sz="8" w:color="F2F2F2"/>
            </w:tcBorders>
            <w:shd w:val="clear" w:color="auto" w:fill="F2F2F2"/>
          </w:tcPr>
          <w:p>
            <w:pPr>
              <w:spacing w:after="0"/>
              <w:rPr>
                <w:sz w:val="19"/>
                <w:szCs w:val="19"/>
                <w:color w:val="auto"/>
              </w:rPr>
            </w:pPr>
          </w:p>
        </w:tc>
        <w:tc>
          <w:tcPr>
            <w:tcW w:w="5380" w:type="dxa"/>
            <w:vAlign w:val="bottom"/>
            <w:tcBorders>
              <w:bottom w:val="single" w:sz="8" w:color="F2F2F2"/>
            </w:tcBorders>
            <w:shd w:val="clear" w:color="auto" w:fill="F2F2F2"/>
          </w:tcPr>
          <w:p>
            <w:pPr>
              <w:ind w:left="320"/>
              <w:spacing w:after="0"/>
              <w:rPr>
                <w:sz w:val="20"/>
                <w:szCs w:val="20"/>
                <w:color w:val="auto"/>
              </w:rPr>
            </w:pPr>
            <w:r>
              <w:rPr>
                <w:rFonts w:ascii="Arial" w:cs="Arial" w:eastAsia="Arial" w:hAnsi="Arial"/>
                <w:sz w:val="14"/>
                <w:szCs w:val="14"/>
                <w:color w:val="auto"/>
              </w:rPr>
              <w:t>Primarily related to consulting and compliance services</w:t>
            </w:r>
          </w:p>
        </w:tc>
        <w:tc>
          <w:tcPr>
            <w:tcW w:w="1220" w:type="dxa"/>
            <w:vAlign w:val="bottom"/>
            <w:tcBorders>
              <w:bottom w:val="single" w:sz="8" w:color="F2F2F2"/>
            </w:tcBorders>
            <w:shd w:val="clear" w:color="auto" w:fill="F2F2F2"/>
          </w:tcPr>
          <w:p>
            <w:pPr>
              <w:spacing w:after="0"/>
              <w:rPr>
                <w:sz w:val="19"/>
                <w:szCs w:val="19"/>
                <w:color w:val="auto"/>
              </w:rPr>
            </w:pPr>
          </w:p>
        </w:tc>
        <w:tc>
          <w:tcPr>
            <w:tcW w:w="1260" w:type="dxa"/>
            <w:vAlign w:val="bottom"/>
            <w:tcBorders>
              <w:bottom w:val="single" w:sz="8" w:color="F2F2F2"/>
            </w:tcBorders>
            <w:shd w:val="clear" w:color="auto" w:fill="F2F2F2"/>
          </w:tcPr>
          <w:p>
            <w:pPr>
              <w:spacing w:after="0"/>
              <w:rPr>
                <w:sz w:val="19"/>
                <w:szCs w:val="19"/>
                <w:color w:val="auto"/>
              </w:rPr>
            </w:pPr>
          </w:p>
        </w:tc>
      </w:tr>
      <w:tr>
        <w:trPr>
          <w:trHeight w:val="243"/>
        </w:trPr>
        <w:tc>
          <w:tcPr>
            <w:tcW w:w="10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w:t>
            </w:r>
          </w:p>
        </w:tc>
        <w:tc>
          <w:tcPr>
            <w:tcW w:w="53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$16.2</w:t>
            </w:r>
          </w:p>
        </w:tc>
        <w:tc>
          <w:tcPr>
            <w:tcW w:w="1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$16.7</w:t>
            </w:r>
          </w:p>
        </w:tc>
      </w:tr>
      <w:tr>
        <w:trPr>
          <w:trHeight w:val="262"/>
        </w:trPr>
        <w:tc>
          <w:tcPr>
            <w:tcW w:w="6460" w:type="dxa"/>
            <w:vAlign w:val="bottom"/>
            <w:gridSpan w:val="2"/>
          </w:tcPr>
          <w:p>
            <w:pPr>
              <w:spacing w:after="0"/>
              <w:rPr>
                <w:sz w:val="20"/>
                <w:szCs w:val="20"/>
                <w:color w:val="auto"/>
              </w:rPr>
            </w:pPr>
            <w:r>
              <w:rPr>
                <w:rFonts w:ascii="Arial" w:cs="Arial" w:eastAsia="Arial" w:hAnsi="Arial"/>
                <w:sz w:val="14"/>
                <w:szCs w:val="14"/>
                <w:color w:val="auto"/>
              </w:rPr>
              <w:t>* Numbers may not add due to rounding</w:t>
            </w: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52"/>
          <w:szCs w:val="52"/>
          <w:b w:val="1"/>
          <w:bCs w:val="1"/>
          <w:color w:val="auto"/>
        </w:rPr>
        <w:t>Management Proposals</w:t>
      </w:r>
    </w:p>
    <w:p>
      <w:pPr>
        <w:spacing w:after="0" w:line="200" w:lineRule="exact"/>
        <w:rPr>
          <w:sz w:val="20"/>
          <w:szCs w:val="20"/>
          <w:color w:val="auto"/>
        </w:rPr>
      </w:pPr>
    </w:p>
    <w:p>
      <w:pPr>
        <w:spacing w:after="0" w:line="225" w:lineRule="exact"/>
        <w:rPr>
          <w:sz w:val="20"/>
          <w:szCs w:val="20"/>
          <w:color w:val="auto"/>
        </w:rPr>
      </w:pPr>
    </w:p>
    <w:p>
      <w:pPr>
        <w:ind w:right="440"/>
        <w:spacing w:after="0" w:line="272" w:lineRule="auto"/>
        <w:rPr>
          <w:sz w:val="20"/>
          <w:szCs w:val="20"/>
          <w:color w:val="auto"/>
        </w:rPr>
      </w:pPr>
      <w:r>
        <w:rPr>
          <w:rFonts w:ascii="Arial" w:cs="Arial" w:eastAsia="Arial" w:hAnsi="Arial"/>
          <w:sz w:val="32"/>
          <w:szCs w:val="32"/>
          <w:b w:val="1"/>
          <w:bCs w:val="1"/>
          <w:color w:val="D52B1E"/>
        </w:rPr>
        <w:t>Item 5. Proposal to Amend the Company’s Articles of Incorporation to Eliminate the Classified Board Structure</w:t>
      </w:r>
    </w:p>
    <w:p>
      <w:pPr>
        <w:spacing w:after="0" w:line="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articles of incorporation provide that the board is divided into three classes, with each class elected every three years. The board, after review by its Directors and Corporate Governance Committee, has approved, and recommends that the shareholders approve, amendments to eliminate the classified board structure in order to provide for the annual election of all directors (the Declassification Amendments). From 2010 through 2012 and again from 2018 through 2022, the board submitted this management proposal to shareholders seeking approval to eliminate the company’s classified board structure; however, under the company’s articles of incorporation the proposal requires the vote of 80 percent of the outstanding shares to be approved and on each prior occasion failed to receive the required vote.</w:t>
      </w:r>
    </w:p>
    <w:p>
      <w:pPr>
        <w:spacing w:after="0" w:line="12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approved, the Declassification Amendments would become effective following the Annual Meeting upon the company making the required filings of the Declassification Amendments with the Secretary of State of Indiana. Directors elected prior to the effectiveness of the Declassification Amendments would serve the remainder of their respective three-year terms and each director elected after the Annual Meeting would serve a one-year term, ending at the next annual meeting of shareholders. Thereafter, the company’s classified board structure would be</w:t>
      </w: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9" w:right="399" w:bottom="1440" w:gutter="0" w:footer="0" w:header="0"/>
        </w:sectPr>
      </w:pPr>
    </w:p>
    <w:bookmarkStart w:id="93" w:name="page94"/>
    <w:bookmarkEnd w:id="93"/>
    <w:p>
      <w:pPr>
        <w:ind w:right="120"/>
        <w:spacing w:after="0" w:line="257" w:lineRule="auto"/>
        <w:rPr>
          <w:sz w:val="20"/>
          <w:szCs w:val="20"/>
          <w:color w:val="auto"/>
        </w:rPr>
      </w:pPr>
      <w:r>
        <w:rPr>
          <w:rFonts w:ascii="Arial" w:cs="Arial" w:eastAsia="Arial" w:hAnsi="Arial"/>
          <w:sz w:val="18"/>
          <w:szCs w:val="18"/>
          <w:color w:val="auto"/>
        </w:rPr>
        <w:t>fully eliminated starting with the 2026 annual meeting of shareholders. In the case of any vacancy on the board occurring after the Annual Meeting created by an increase in the number of directors, the vacancy would be filled through an appointment by the board, with the new director to serve a term ending at the next annual meeting of shareholders. Vacancies created by resignation, removal or death would be filled by appointment by the board of a new director to serve until the end of the term of the director being replaced. This proposal would not change the present number of directors or the board’s authority to change that number and to fill any vacancies or newly created directorships.</w:t>
      </w:r>
    </w:p>
    <w:p>
      <w:pPr>
        <w:spacing w:after="0" w:line="123"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Background of Proposal</w:t>
      </w:r>
    </w:p>
    <w:p>
      <w:pPr>
        <w:spacing w:after="0" w:line="6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part of its ongoing review of corporate governance matters, the board, taking into account the input of the Directors and Corporate Governance Committee, considered the advantages and disadvantages of maintaining the classified board structure. The board considered the view of certain shareholders who believe that classified boards have the effect of reducing the accountability of directors to shareholders because shareholders are unable to evaluate and consider all directors for election on an annual basis. The board gave considerable weight to the favorable votes of a strong majority of the outstanding shares for management’s proposals in prior years.</w:t>
      </w:r>
    </w:p>
    <w:p>
      <w:pPr>
        <w:spacing w:after="0" w:line="1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board also considered the benefits of retaining the classified board structure. A classified structure may promote shareholder value by providing continuity and stability in the management of the business and affairs of the company, as a majority of the board always has prior experience as directors of the company. In addition, under certain circumstances, classified boards may protect shareholder value by forcing an entity seeking control of the company to initiate discussions at arm’s-length with the board of the company, because the entity cannot replace the majority of the board in a single election. The board also considered that even without a classified board (and without the supermajority voting requirements, which the board also recommends eliminating), the company would have appropriate safeguards to protect the interests of all shareholders and discourage a would-be acquirer from proceeding with a proposal that undervalues the company or is opportunistic. These include other provisions of the company’s articles of incorporation and bylaws, as well as certain provisions of Indiana corporation law.</w:t>
      </w:r>
    </w:p>
    <w:p>
      <w:pPr>
        <w:spacing w:after="0" w:line="12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After balancing these interests, the board has decided to resubmit this proposal to eliminate the classified board structure. The affirmative vote of at least 80 percent of the outstanding shares of common stock is needed to approve this proposal. Unless such vote is received, the present classification of the board will continue.</w:t>
      </w:r>
    </w:p>
    <w:p>
      <w:pPr>
        <w:spacing w:after="0" w:line="111"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Text of the Amendments</w:t>
      </w:r>
    </w:p>
    <w:p>
      <w:pPr>
        <w:spacing w:after="0" w:line="8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Article 9(b) of the company’s articles of incorporation contains the provisions that will be affected if this proposal is adopted. This article, set forth in Appendix B to this proxy statement, shows the proposed changes, with deletions indicated by strikeouts and additions indicated by underlining. The board has also adopted conforming amendments to the company’s bylaws, to be effective immediately upon, and subject to, the effectiveness of the amendments to the articles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5760720" cy="72898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5760720" cy="728980"/>
                    </a:xfrm>
                    <a:prstGeom prst="rect">
                      <a:avLst/>
                    </a:prstGeom>
                    <a:noFill/>
                  </pic:spPr>
                </pic:pic>
              </a:graphicData>
            </a:graphic>
          </wp:anchor>
        </w:drawing>
      </w:r>
    </w:p>
    <w:p>
      <w:pPr>
        <w:spacing w:after="0" w:line="232" w:lineRule="exact"/>
        <w:rPr>
          <w:sz w:val="20"/>
          <w:szCs w:val="20"/>
          <w:color w:val="auto"/>
        </w:rPr>
      </w:pPr>
    </w:p>
    <w:p>
      <w:pPr>
        <w:ind w:left="1020"/>
        <w:spacing w:after="0"/>
        <w:rPr>
          <w:sz w:val="20"/>
          <w:szCs w:val="20"/>
          <w:color w:val="auto"/>
        </w:rPr>
      </w:pPr>
      <w:r>
        <w:rPr>
          <w:rFonts w:ascii="Arial" w:cs="Arial" w:eastAsia="Arial" w:hAnsi="Arial"/>
          <w:sz w:val="20"/>
          <w:szCs w:val="20"/>
          <w:b w:val="1"/>
          <w:bCs w:val="1"/>
          <w:color w:val="D52B1E"/>
        </w:rPr>
        <w:t>RECOMMENDATION FOR</w:t>
      </w:r>
    </w:p>
    <w:p>
      <w:pPr>
        <w:spacing w:after="0" w:line="172" w:lineRule="exact"/>
        <w:rPr>
          <w:sz w:val="20"/>
          <w:szCs w:val="20"/>
          <w:color w:val="auto"/>
        </w:rPr>
      </w:pPr>
    </w:p>
    <w:p>
      <w:pPr>
        <w:ind w:left="200" w:right="2360"/>
        <w:spacing w:after="0" w:line="296" w:lineRule="auto"/>
        <w:rPr>
          <w:sz w:val="20"/>
          <w:szCs w:val="20"/>
          <w:color w:val="auto"/>
        </w:rPr>
      </w:pPr>
      <w:r>
        <w:rPr>
          <w:rFonts w:ascii="Arial" w:cs="Arial" w:eastAsia="Arial" w:hAnsi="Arial"/>
          <w:sz w:val="18"/>
          <w:szCs w:val="18"/>
          <w:color w:val="auto"/>
        </w:rPr>
        <w:t xml:space="preserve">The board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amending the company’s articles of incorporation to eliminate the classified board structure.</w:t>
      </w:r>
    </w:p>
    <w:p>
      <w:pPr>
        <w:spacing w:after="0" w:line="200" w:lineRule="exact"/>
        <w:rPr>
          <w:sz w:val="20"/>
          <w:szCs w:val="20"/>
          <w:color w:val="auto"/>
        </w:rPr>
      </w:pPr>
    </w:p>
    <w:p>
      <w:pPr>
        <w:spacing w:after="0" w:line="380" w:lineRule="exact"/>
        <w:rPr>
          <w:sz w:val="20"/>
          <w:szCs w:val="20"/>
          <w:color w:val="auto"/>
        </w:rPr>
      </w:pPr>
    </w:p>
    <w:p>
      <w:pPr>
        <w:ind w:right="480"/>
        <w:spacing w:after="0" w:line="276" w:lineRule="auto"/>
        <w:rPr>
          <w:sz w:val="20"/>
          <w:szCs w:val="20"/>
          <w:color w:val="auto"/>
        </w:rPr>
      </w:pPr>
      <w:r>
        <w:rPr>
          <w:rFonts w:ascii="Arial" w:cs="Arial" w:eastAsia="Arial" w:hAnsi="Arial"/>
          <w:sz w:val="32"/>
          <w:szCs w:val="32"/>
          <w:b w:val="1"/>
          <w:bCs w:val="1"/>
          <w:color w:val="D52B1E"/>
        </w:rPr>
        <w:t>Item 6. Proposal to Amend the Company’s Articles of Incorporation to Eliminate Supermajority Voting Provisions</w:t>
      </w:r>
    </w:p>
    <w:p>
      <w:pPr>
        <w:spacing w:after="0" w:line="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company’s articles of incorporation provide that nearly all matters submitted to a vote of shareholders can be adopted by a majority of the votes cast. However, the company’s articles of incorporation require certain fundamental corporate actions to be approved by the holders of 80 percent of the outstanding shares of common stock. Those actions are:</w:t>
      </w:r>
    </w:p>
    <w:p>
      <w:pPr>
        <w:spacing w:after="0" w:line="9" w:lineRule="exact"/>
        <w:rPr>
          <w:sz w:val="20"/>
          <w:szCs w:val="20"/>
          <w:color w:val="auto"/>
        </w:rPr>
      </w:pPr>
    </w:p>
    <w:p>
      <w:pPr>
        <w:ind w:left="640" w:hanging="308"/>
        <w:spacing w:after="0"/>
        <w:tabs>
          <w:tab w:leader="none" w:pos="640" w:val="left"/>
        </w:tabs>
        <w:numPr>
          <w:ilvl w:val="0"/>
          <w:numId w:val="195"/>
        </w:numPr>
        <w:rPr>
          <w:rFonts w:ascii="Arial" w:cs="Arial" w:eastAsia="Arial" w:hAnsi="Arial"/>
          <w:sz w:val="16"/>
          <w:szCs w:val="16"/>
          <w:color w:val="auto"/>
        </w:rPr>
      </w:pPr>
      <w:r>
        <w:rPr>
          <w:rFonts w:ascii="Arial" w:cs="Arial" w:eastAsia="Arial" w:hAnsi="Arial"/>
          <w:sz w:val="18"/>
          <w:szCs w:val="18"/>
          <w:color w:val="auto"/>
        </w:rPr>
        <w:t>amending certain provisions of the articles of incorporation that relate to the number and terms of office of directors:</w:t>
      </w:r>
    </w:p>
    <w:p>
      <w:pPr>
        <w:spacing w:after="0" w:line="63"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  the company’s classified board structure (as described under Item 4)</w:t>
      </w:r>
    </w:p>
    <w:p>
      <w:pPr>
        <w:spacing w:after="0" w:line="63"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  a provision that the number of directors shall be specified solely by resolution of the board</w:t>
      </w: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94" w:name="page95"/>
    <w:bookmarkEnd w:id="94"/>
    <w:p>
      <w:pPr>
        <w:ind w:left="640" w:hanging="308"/>
        <w:spacing w:after="0"/>
        <w:tabs>
          <w:tab w:leader="none" w:pos="640" w:val="left"/>
        </w:tabs>
        <w:numPr>
          <w:ilvl w:val="0"/>
          <w:numId w:val="196"/>
        </w:numPr>
        <w:rPr>
          <w:rFonts w:ascii="Arial" w:cs="Arial" w:eastAsia="Arial" w:hAnsi="Arial"/>
          <w:sz w:val="16"/>
          <w:szCs w:val="16"/>
          <w:color w:val="auto"/>
        </w:rPr>
      </w:pPr>
      <w:r>
        <w:rPr>
          <w:rFonts w:ascii="Arial" w:cs="Arial" w:eastAsia="Arial" w:hAnsi="Arial"/>
          <w:sz w:val="18"/>
          <w:szCs w:val="18"/>
          <w:color w:val="auto"/>
        </w:rPr>
        <w:t>removing directors prior to the end of their elected term</w:t>
      </w:r>
    </w:p>
    <w:p>
      <w:pPr>
        <w:spacing w:after="0" w:line="63" w:lineRule="exact"/>
        <w:rPr>
          <w:rFonts w:ascii="Arial" w:cs="Arial" w:eastAsia="Arial" w:hAnsi="Arial"/>
          <w:sz w:val="16"/>
          <w:szCs w:val="16"/>
          <w:color w:val="auto"/>
        </w:rPr>
      </w:pPr>
    </w:p>
    <w:p>
      <w:pPr>
        <w:jc w:val="both"/>
        <w:ind w:left="660" w:right="80" w:hanging="328"/>
        <w:spacing w:after="0" w:line="268" w:lineRule="auto"/>
        <w:tabs>
          <w:tab w:leader="none" w:pos="649" w:val="left"/>
        </w:tabs>
        <w:numPr>
          <w:ilvl w:val="0"/>
          <w:numId w:val="196"/>
        </w:numPr>
        <w:rPr>
          <w:rFonts w:ascii="Arial" w:cs="Arial" w:eastAsia="Arial" w:hAnsi="Arial"/>
          <w:sz w:val="16"/>
          <w:szCs w:val="16"/>
          <w:color w:val="auto"/>
        </w:rPr>
      </w:pPr>
      <w:r>
        <w:rPr>
          <w:rFonts w:ascii="Arial" w:cs="Arial" w:eastAsia="Arial" w:hAnsi="Arial"/>
          <w:sz w:val="18"/>
          <w:szCs w:val="18"/>
          <w:color w:val="auto"/>
        </w:rPr>
        <w:t>entering into mergers, consolidations, recapitalizations, or certain other business combinations with a “related person”—a party who has acquired at least five percent of the company’s stock (other than the Endowment or a company benefit plan) — without the prior approval of such action or transaction by the directors not affiliated with such shareholder</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96"/>
        </w:numPr>
        <w:rPr>
          <w:rFonts w:ascii="Arial" w:cs="Arial" w:eastAsia="Arial" w:hAnsi="Arial"/>
          <w:sz w:val="16"/>
          <w:szCs w:val="16"/>
          <w:color w:val="auto"/>
        </w:rPr>
      </w:pPr>
      <w:r>
        <w:rPr>
          <w:rFonts w:ascii="Arial" w:cs="Arial" w:eastAsia="Arial" w:hAnsi="Arial"/>
          <w:sz w:val="18"/>
          <w:szCs w:val="18"/>
          <w:color w:val="auto"/>
        </w:rPr>
        <w:t>modifying or eliminating any of the above supermajority voting requirements.</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board, after review by the Directors and Corporate Governance Committee, has approved, and recommends that the shareholders approve, amendments to eliminate the supermajority voting requirements (the Supermajority Voting Amendments). From 2010 through 2012 and again from 2018 through 2022, the board submitted this management proposal to shareholders seeking approval to eliminate these supermajority voting requirements; however, under the company’s articles of incorporation the proposal requires the vote of 80 percent of the outstanding shares to be approved and on each prior occasion failed to receive the required vote.</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Background of Proposal</w:t>
      </w:r>
    </w:p>
    <w:p>
      <w:pPr>
        <w:spacing w:after="0" w:line="6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part of its ongoing review of corporate governance matters, the board, taking into account the input of the Directors and Corporate Governance Committee, considered the advantages and disadvantages of maintaining the supermajority voting requirements. The board considered the potential adverse consequences of maintaining the supermajority voting requirements. The board believes it is important to maintain shareholder confidence by demonstrating that the board is responsive and accountable to shareholders and committed to strong corporate governance. This requires the board to carefully balance sometimes competing interests. In this regard, the board gave considerable weight to the favorable votes of a strong majority of the outstanding shares for management’s proposal in the previous four years. Many shareholders believe that supermajority voting requirements impede accountability to shareholders and contribute to board and management entrenchment. The board also considered that, even without the supermajority vote (and without the classified board, which the board also recommends eliminating), the company has appropriate safeguards to protect the interests of all shareholders and to discourage a would-be acquirer from proceeding with a proposal that undervalues the company or is opportunistic and to assist the board in responding to such proposals. These include other provisions of the company’s articles of incorporation and bylaws as well as certain provisions of Indiana corporation law.</w:t>
      </w:r>
    </w:p>
    <w:p>
      <w:pPr>
        <w:spacing w:after="0" w:line="13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board also considered that under certain circumstances, supermajority voting requirements can provide benefits to the company and all its shareholders by making it more difficult for one or a few large shareholders to facilitate a takeover of the company or implement certain significant changes to the company without more widespread shareholder support.</w:t>
      </w:r>
    </w:p>
    <w:p>
      <w:pPr>
        <w:spacing w:after="0" w:line="11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After balancing these interests, the board has decided to resubmit this proposal to eliminate the supermajority voting requirements. The affirmative vote of at least 80 percent of the outstanding shares of common stock is needed to approve this proposal. Unless such vote is received, the supermajority voting requirements will continue to be in effect.</w:t>
      </w:r>
    </w:p>
    <w:p>
      <w:pPr>
        <w:spacing w:after="0" w:line="111"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Text of Amendments</w:t>
      </w:r>
    </w:p>
    <w:p>
      <w:pPr>
        <w:spacing w:after="0" w:line="83"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Articles 9(c), 9(d), and 13 of the company’s articles of incorporation contain the provisions that will be affected if this proposal is adopted. These articles, set forth in Appendix B to this proxy statement, show the proposed changes with deletions indicated by strikeouts and additions indicated by underlining. The board has also adopted conforming amendments to the company’s bylaws, to be effective immediately upon, and subject to, the effectiveness of the amendments to the articles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5760720" cy="72898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5760720" cy="728980"/>
                    </a:xfrm>
                    <a:prstGeom prst="rect">
                      <a:avLst/>
                    </a:prstGeom>
                    <a:noFill/>
                  </pic:spPr>
                </pic:pic>
              </a:graphicData>
            </a:graphic>
          </wp:anchor>
        </w:drawing>
      </w:r>
    </w:p>
    <w:p>
      <w:pPr>
        <w:spacing w:after="0" w:line="232" w:lineRule="exact"/>
        <w:rPr>
          <w:sz w:val="20"/>
          <w:szCs w:val="20"/>
          <w:color w:val="auto"/>
        </w:rPr>
      </w:pPr>
    </w:p>
    <w:p>
      <w:pPr>
        <w:ind w:left="1020"/>
        <w:spacing w:after="0"/>
        <w:rPr>
          <w:sz w:val="20"/>
          <w:szCs w:val="20"/>
          <w:color w:val="auto"/>
        </w:rPr>
      </w:pPr>
      <w:r>
        <w:rPr>
          <w:rFonts w:ascii="Arial" w:cs="Arial" w:eastAsia="Arial" w:hAnsi="Arial"/>
          <w:sz w:val="20"/>
          <w:szCs w:val="20"/>
          <w:b w:val="1"/>
          <w:bCs w:val="1"/>
          <w:color w:val="D52B1E"/>
        </w:rPr>
        <w:t>RECOMMENDATION FOR</w:t>
      </w:r>
    </w:p>
    <w:p>
      <w:pPr>
        <w:spacing w:after="0" w:line="172" w:lineRule="exact"/>
        <w:rPr>
          <w:sz w:val="20"/>
          <w:szCs w:val="20"/>
          <w:color w:val="auto"/>
        </w:rPr>
      </w:pPr>
    </w:p>
    <w:p>
      <w:pPr>
        <w:ind w:left="200" w:right="2660"/>
        <w:spacing w:after="0" w:line="296" w:lineRule="auto"/>
        <w:rPr>
          <w:sz w:val="20"/>
          <w:szCs w:val="20"/>
          <w:color w:val="auto"/>
        </w:rPr>
      </w:pPr>
      <w:r>
        <w:rPr>
          <w:rFonts w:ascii="Arial" w:cs="Arial" w:eastAsia="Arial" w:hAnsi="Arial"/>
          <w:sz w:val="18"/>
          <w:szCs w:val="18"/>
          <w:color w:val="auto"/>
        </w:rPr>
        <w:t xml:space="preserve">The board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amending the company’s articles of incorporation to eliminate supermajority voting requirements.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95" w:name="page96"/>
    <w:bookmarkEnd w:id="95"/>
    <w:p>
      <w:pPr>
        <w:spacing w:after="0"/>
        <w:rPr>
          <w:sz w:val="20"/>
          <w:szCs w:val="20"/>
          <w:color w:val="auto"/>
        </w:rPr>
      </w:pPr>
      <w:r>
        <w:rPr>
          <w:rFonts w:ascii="Arial" w:cs="Arial" w:eastAsia="Arial" w:hAnsi="Arial"/>
          <w:sz w:val="52"/>
          <w:szCs w:val="52"/>
          <w:b w:val="1"/>
          <w:bCs w:val="1"/>
          <w:color w:val="auto"/>
        </w:rPr>
        <w:t>Shareholder Proposals</w:t>
      </w:r>
    </w:p>
    <w:p>
      <w:pPr>
        <w:spacing w:after="0" w:line="200" w:lineRule="exact"/>
        <w:rPr>
          <w:sz w:val="20"/>
          <w:szCs w:val="20"/>
          <w:color w:val="auto"/>
        </w:rPr>
      </w:pPr>
    </w:p>
    <w:p>
      <w:pPr>
        <w:spacing w:after="0" w:line="211" w:lineRule="exact"/>
        <w:rPr>
          <w:sz w:val="20"/>
          <w:szCs w:val="20"/>
          <w:color w:val="auto"/>
        </w:rPr>
      </w:pPr>
    </w:p>
    <w:p>
      <w:pPr>
        <w:ind w:right="980"/>
        <w:spacing w:after="0" w:line="276" w:lineRule="auto"/>
        <w:rPr>
          <w:sz w:val="20"/>
          <w:szCs w:val="20"/>
          <w:color w:val="auto"/>
        </w:rPr>
      </w:pPr>
      <w:r>
        <w:rPr>
          <w:rFonts w:ascii="Arial" w:cs="Arial" w:eastAsia="Arial" w:hAnsi="Arial"/>
          <w:sz w:val="32"/>
          <w:szCs w:val="32"/>
          <w:b w:val="1"/>
          <w:bCs w:val="1"/>
          <w:color w:val="D52B1E"/>
        </w:rPr>
        <w:t>Item 7. Proposal to Publish an Annual Report Disclosing Lobbying Activities</w:t>
      </w:r>
    </w:p>
    <w:p>
      <w:pPr>
        <w:spacing w:after="0" w:line="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Service Employees International Union Pension Plans Master Trust (SEIU), 1800 Massachusetts Ave. NW, Suite 301, Washington, D.C. 20036-1202, a beneficial owner of shares of our common stock having a market value in excess of $2,000, has submitted the following proposal:</w:t>
      </w:r>
    </w:p>
    <w:p>
      <w:pPr>
        <w:spacing w:after="0" w:line="117"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we believe in full disclosure of Lilly’s lobbying activities and expenditures to assess whether Lilly’s lobbying is consistent with its</w:t>
      </w:r>
      <w:r>
        <w:rPr>
          <w:rFonts w:ascii="Arial" w:cs="Arial" w:eastAsia="Arial" w:hAnsi="Arial"/>
          <w:sz w:val="18"/>
          <w:szCs w:val="18"/>
          <w:b w:val="1"/>
          <w:bCs w:val="1"/>
          <w:color w:val="auto"/>
        </w:rPr>
        <w:t xml:space="preserve"> </w:t>
      </w:r>
      <w:r>
        <w:rPr>
          <w:rFonts w:ascii="Arial" w:cs="Arial" w:eastAsia="Arial" w:hAnsi="Arial"/>
          <w:sz w:val="18"/>
          <w:szCs w:val="18"/>
          <w:color w:val="auto"/>
        </w:rPr>
        <w:t>expressed goals and shareholder interests.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the shareholders of Lilly request the preparation of a report, updated annually, disclosing:</w:t>
      </w:r>
    </w:p>
    <w:p>
      <w:pPr>
        <w:spacing w:after="0" w:line="171" w:lineRule="exact"/>
        <w:rPr>
          <w:sz w:val="20"/>
          <w:szCs w:val="20"/>
          <w:color w:val="auto"/>
        </w:rPr>
      </w:pPr>
    </w:p>
    <w:p>
      <w:pPr>
        <w:ind w:left="640" w:hanging="308"/>
        <w:spacing w:after="0"/>
        <w:tabs>
          <w:tab w:leader="none" w:pos="6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Company policy and procedures governing lobbying, both direct and indirect, and grassroots lobbying communications.</w:t>
      </w:r>
    </w:p>
    <w:p>
      <w:pPr>
        <w:spacing w:after="0" w:line="171" w:lineRule="exact"/>
        <w:rPr>
          <w:rFonts w:ascii="Arial" w:cs="Arial" w:eastAsia="Arial" w:hAnsi="Arial"/>
          <w:sz w:val="18"/>
          <w:szCs w:val="18"/>
          <w:color w:val="auto"/>
        </w:rPr>
      </w:pPr>
    </w:p>
    <w:p>
      <w:pPr>
        <w:ind w:left="660" w:right="540" w:hanging="328"/>
        <w:spacing w:after="0" w:line="287" w:lineRule="auto"/>
        <w:tabs>
          <w:tab w:leader="none" w:pos="64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Payments by Lilly used for (a) direct or indirect lobbying or (b) grassroots lobbying communications, in each case including the amount of the payment and the recipient.</w:t>
      </w:r>
    </w:p>
    <w:p>
      <w:pPr>
        <w:spacing w:after="0" w:line="98" w:lineRule="exact"/>
        <w:rPr>
          <w:rFonts w:ascii="Arial" w:cs="Arial" w:eastAsia="Arial" w:hAnsi="Arial"/>
          <w:sz w:val="18"/>
          <w:szCs w:val="18"/>
          <w:color w:val="auto"/>
        </w:rPr>
      </w:pPr>
    </w:p>
    <w:p>
      <w:pPr>
        <w:ind w:left="640" w:hanging="308"/>
        <w:spacing w:after="0"/>
        <w:tabs>
          <w:tab w:leader="none" w:pos="6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Lilly’s membership in and payments to any tax-exempt organization that writes and endorses model legislation.</w:t>
      </w:r>
    </w:p>
    <w:p>
      <w:pPr>
        <w:spacing w:after="0" w:line="171" w:lineRule="exact"/>
        <w:rPr>
          <w:rFonts w:ascii="Arial" w:cs="Arial" w:eastAsia="Arial" w:hAnsi="Arial"/>
          <w:sz w:val="18"/>
          <w:szCs w:val="18"/>
          <w:color w:val="auto"/>
        </w:rPr>
      </w:pPr>
    </w:p>
    <w:p>
      <w:pPr>
        <w:ind w:left="660" w:right="180" w:hanging="328"/>
        <w:spacing w:after="0" w:line="287" w:lineRule="auto"/>
        <w:tabs>
          <w:tab w:leader="none" w:pos="64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Description of management’s and the Board’s decision-making process and oversight for making payments described in sections 2 and 3 above.</w:t>
      </w:r>
    </w:p>
    <w:p>
      <w:pPr>
        <w:spacing w:after="0" w:line="9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For purposes of this proposal, a “grassroots lobbying communication” is a communication directed to the general public that (a) refers to specific legislation or regulation, (b) reflects a view on the legislation or regulation and (c) encourages the recipient of the communication to take action with respect to the legislation or regulation. “Indirect lobbying” is lobbying engaged in by a trade association or other organization of which Lilly is a member.</w:t>
      </w:r>
    </w:p>
    <w:p>
      <w:pPr>
        <w:spacing w:after="0" w:line="122" w:lineRule="exact"/>
        <w:rPr>
          <w:sz w:val="20"/>
          <w:szCs w:val="20"/>
          <w:color w:val="auto"/>
        </w:rPr>
      </w:pPr>
    </w:p>
    <w:p>
      <w:pPr>
        <w:ind w:right="220"/>
        <w:spacing w:after="0" w:line="438" w:lineRule="auto"/>
        <w:rPr>
          <w:sz w:val="20"/>
          <w:szCs w:val="20"/>
          <w:color w:val="auto"/>
        </w:rPr>
      </w:pPr>
      <w:r>
        <w:rPr>
          <w:rFonts w:ascii="Arial" w:cs="Arial" w:eastAsia="Arial" w:hAnsi="Arial"/>
          <w:sz w:val="18"/>
          <w:szCs w:val="18"/>
          <w:color w:val="auto"/>
        </w:rPr>
        <w:t xml:space="preserve">Both “direct and indirect lobbying” and “grassroots lobbying communications” include efforts at the local, territorial, state and federal levels. The report shall be presented to the Public Policy and Compliance Committee and posted on Lilly’s website. </w:t>
      </w:r>
      <w:r>
        <w:rPr>
          <w:rFonts w:ascii="Arial" w:cs="Arial" w:eastAsia="Arial" w:hAnsi="Arial"/>
          <w:sz w:val="18"/>
          <w:szCs w:val="18"/>
          <w:b w:val="1"/>
          <w:bCs w:val="1"/>
          <w:color w:val="auto"/>
        </w:rPr>
        <w:t>Supporting Statement</w:t>
      </w:r>
    </w:p>
    <w:p>
      <w:pPr>
        <w:spacing w:after="0" w:line="1"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Lilly spent $95,877,000 from 2010 – 2021 on federal lobbying. This figure does not include state lobbying, where Lilly lobbied in at least 46 states in 2021. Lilly also lobbies abroad, spending between €900,000–999,000 on lobbying in Europe for 2021.</w:t>
      </w:r>
    </w:p>
    <w:p>
      <w:pPr>
        <w:spacing w:after="0" w:line="99" w:lineRule="exact"/>
        <w:rPr>
          <w:sz w:val="20"/>
          <w:szCs w:val="20"/>
          <w:color w:val="auto"/>
        </w:rPr>
      </w:pPr>
    </w:p>
    <w:p>
      <w:pPr>
        <w:ind w:right="260"/>
        <w:spacing w:after="0" w:line="244" w:lineRule="auto"/>
        <w:rPr>
          <w:sz w:val="20"/>
          <w:szCs w:val="20"/>
          <w:color w:val="auto"/>
        </w:rPr>
      </w:pPr>
      <w:r>
        <w:rPr>
          <w:rFonts w:ascii="Arial" w:cs="Arial" w:eastAsia="Arial" w:hAnsi="Arial"/>
          <w:sz w:val="18"/>
          <w:szCs w:val="18"/>
          <w:color w:val="auto"/>
        </w:rPr>
        <w:t>Lilly fails to disclose its third-party payments to trade associations and social welfare groups (SWGs), or the amounts used for lobbying, to shareholders. Companies can give unlimited amounts to third party groups that spend millions on lobbying and undisclosed grassroots activity. These groups may be spending “at least double what’s publicly reported.”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For example, Pharmaceutical Research and Manufacturers of America (PhRMA) has given millions to controversial “dark money” SWGs like the American Action Network.</w:t>
      </w:r>
      <w:r>
        <w:rPr>
          <w:rFonts w:ascii="Arial" w:cs="Arial" w:eastAsia="Arial" w:hAnsi="Arial"/>
          <w:sz w:val="23"/>
          <w:szCs w:val="23"/>
          <w:color w:val="auto"/>
          <w:vertAlign w:val="superscript"/>
        </w:rPr>
        <w:t>2</w:t>
      </w:r>
    </w:p>
    <w:p>
      <w:pPr>
        <w:spacing w:after="0" w:line="6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Lilly belongs to the Chamber of Commerce, Business Roundtable, National Association of Manufacturers (NAM) and PhRMA, which together have spent over $2.8 billion on lobbying since 1998, and supports SWGs that lobby, like the Alliance for Patient Access (AfPA), “which claims to be pro-consumer but consistently advocates against policies to lower drug prices.”</w:t>
      </w:r>
      <w:r>
        <w:rPr>
          <w:rFonts w:ascii="Arial" w:cs="Arial" w:eastAsia="Arial" w:hAnsi="Arial"/>
          <w:sz w:val="23"/>
          <w:szCs w:val="23"/>
          <w:color w:val="auto"/>
          <w:vertAlign w:val="superscript"/>
        </w:rPr>
        <w:t>3</w:t>
      </w:r>
    </w:p>
    <w:p>
      <w:pPr>
        <w:spacing w:after="0" w:line="44"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We believe Lilly’s lack of disclosure presents reputational risk when its lobbying contradicts company public positions. For example, Lilly states it supports more affordable medicines, yet funds PhRMA and AfPA’s opposition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1714500" cy="889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63" w:lineRule="exact"/>
        <w:rPr>
          <w:sz w:val="20"/>
          <w:szCs w:val="20"/>
          <w:color w:val="auto"/>
        </w:rPr>
      </w:pPr>
    </w:p>
    <w:p>
      <w:pPr>
        <w:ind w:left="120" w:hanging="112"/>
        <w:spacing w:after="0"/>
        <w:tabs>
          <w:tab w:leader="none" w:pos="120" w:val="left"/>
        </w:tabs>
        <w:numPr>
          <w:ilvl w:val="0"/>
          <w:numId w:val="198"/>
        </w:numPr>
        <w:rPr>
          <w:rFonts w:ascii="Arial" w:cs="Arial" w:eastAsia="Arial" w:hAnsi="Arial"/>
          <w:sz w:val="23"/>
          <w:szCs w:val="23"/>
          <w:color w:val="auto"/>
          <w:vertAlign w:val="superscript"/>
        </w:rPr>
      </w:pPr>
      <w:r>
        <w:rPr>
          <w:rFonts w:ascii="Arial" w:cs="Arial" w:eastAsia="Arial" w:hAnsi="Arial"/>
          <w:sz w:val="14"/>
          <w:szCs w:val="14"/>
          <w:color w:val="auto"/>
        </w:rPr>
        <w:t>https://theintercept.com/2019/08/06/business-group-spending-on-lobbying-in-washington-is-at-least-double-whats-publiclyreported/.</w:t>
      </w:r>
    </w:p>
    <w:p>
      <w:pPr>
        <w:spacing w:after="0" w:line="6" w:lineRule="exact"/>
        <w:rPr>
          <w:sz w:val="20"/>
          <w:szCs w:val="20"/>
          <w:color w:val="auto"/>
        </w:rPr>
      </w:pPr>
    </w:p>
    <w:p>
      <w:pPr>
        <w:ind w:left="120" w:hanging="112"/>
        <w:spacing w:after="0"/>
        <w:tabs>
          <w:tab w:leader="none" w:pos="120" w:val="left"/>
        </w:tabs>
        <w:numPr>
          <w:ilvl w:val="0"/>
          <w:numId w:val="199"/>
        </w:numPr>
        <w:rPr>
          <w:rFonts w:ascii="Arial" w:cs="Arial" w:eastAsia="Arial" w:hAnsi="Arial"/>
          <w:sz w:val="23"/>
          <w:szCs w:val="23"/>
          <w:color w:val="auto"/>
          <w:vertAlign w:val="superscript"/>
        </w:rPr>
      </w:pPr>
      <w:r>
        <w:rPr>
          <w:rFonts w:ascii="Arial" w:cs="Arial" w:eastAsia="Arial" w:hAnsi="Arial"/>
          <w:sz w:val="14"/>
          <w:szCs w:val="14"/>
          <w:color w:val="auto"/>
        </w:rPr>
        <w:t>https://www.opensecrets.org/news/2019/11/big-pharma-bankrolled-conservative-groups-tax-returns-show/.</w:t>
      </w:r>
    </w:p>
    <w:p>
      <w:pPr>
        <w:spacing w:after="0" w:line="80"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3</w:t>
      </w:r>
      <w:r>
        <w:rPr>
          <w:rFonts w:ascii="Arial" w:cs="Arial" w:eastAsia="Arial" w:hAnsi="Arial"/>
          <w:sz w:val="14"/>
          <w:szCs w:val="14"/>
          <w:color w:val="auto"/>
        </w:rPr>
        <w:t xml:space="preserve"> https://prospect.org/power/astroturf-campaign-attacks-discount-drug-program-for-poor/.</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5" w:right="359" w:bottom="1440" w:gutter="0" w:footer="0" w:header="0"/>
        </w:sectPr>
      </w:pPr>
    </w:p>
    <w:bookmarkStart w:id="96" w:name="page97"/>
    <w:bookmarkEnd w:id="96"/>
    <w:p>
      <w:pPr>
        <w:spacing w:after="0" w:line="219" w:lineRule="auto"/>
        <w:rPr>
          <w:sz w:val="20"/>
          <w:szCs w:val="20"/>
          <w:color w:val="auto"/>
        </w:rPr>
      </w:pPr>
      <w:r>
        <w:rPr>
          <w:rFonts w:ascii="Arial" w:cs="Arial" w:eastAsia="Arial" w:hAnsi="Arial"/>
          <w:sz w:val="18"/>
          <w:szCs w:val="18"/>
          <w:color w:val="auto"/>
        </w:rPr>
        <w:t>to lower prescription drug prices.</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Lilly opposed Indiana voter restrictions, yet groups have asked Lilly to cut ties with the American Legislative Exchange Council (ALEC) “because of its voter restriction efforts.”</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Lilly is also represented at ALEC by its trade associations, as the Chamber, NAM and PhRMA each sit on its Private Enterprise Advisory Council.</w:t>
      </w:r>
    </w:p>
    <w:p>
      <w:pPr>
        <w:spacing w:after="0" w:line="199" w:lineRule="exact"/>
        <w:rPr>
          <w:sz w:val="20"/>
          <w:szCs w:val="20"/>
          <w:color w:val="auto"/>
        </w:rPr>
      </w:pPr>
    </w:p>
    <w:p>
      <w:pPr>
        <w:ind w:right="640"/>
        <w:spacing w:after="0" w:line="285" w:lineRule="auto"/>
        <w:rPr>
          <w:sz w:val="20"/>
          <w:szCs w:val="20"/>
          <w:color w:val="auto"/>
        </w:rPr>
      </w:pPr>
      <w:r>
        <w:rPr>
          <w:rFonts w:ascii="Arial" w:cs="Arial" w:eastAsia="Arial" w:hAnsi="Arial"/>
          <w:sz w:val="22"/>
          <w:szCs w:val="22"/>
          <w:b w:val="1"/>
          <w:bCs w:val="1"/>
          <w:color w:val="auto"/>
        </w:rPr>
        <w:t>Statement in Opposition to the Shareholder Proposal to Publish an Annual Report Disclosing Lobbying Activities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board, after review by its Directors and Corporate Governance Committee, recommends a vote against this proposal.</w:t>
      </w:r>
    </w:p>
    <w:p>
      <w:pPr>
        <w:spacing w:after="0" w:line="171"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proposal calls for the board to publish an annual report to shareholders disclosing the company’s direct and indirect lobbying activities and expenditures to assess whether its lobbying is consistent with its expressed goals and in the best interest of shareholders.</w:t>
      </w:r>
    </w:p>
    <w:p>
      <w:pPr>
        <w:spacing w:after="0" w:line="85" w:lineRule="exact"/>
        <w:rPr>
          <w:sz w:val="20"/>
          <w:szCs w:val="20"/>
          <w:color w:val="auto"/>
        </w:rPr>
      </w:pPr>
    </w:p>
    <w:p>
      <w:pPr>
        <w:ind w:left="660" w:right="240" w:hanging="647"/>
        <w:spacing w:after="0" w:line="258" w:lineRule="auto"/>
        <w:rPr>
          <w:sz w:val="20"/>
          <w:szCs w:val="20"/>
          <w:color w:val="auto"/>
        </w:rPr>
      </w:pPr>
      <w:r>
        <w:rPr>
          <w:rFonts w:ascii="Arial" w:cs="Arial" w:eastAsia="Arial" w:hAnsi="Arial"/>
          <w:sz w:val="17"/>
          <w:szCs w:val="17"/>
          <w:color w:val="auto"/>
        </w:rPr>
        <w:t>The report requested by the proposal is unnecessary because Lilly already provides shareholders with extensive disclosures regarding the company’s direct and indirect lobbying activities and expenditures, and information necessary to assess the consistency of the company’s lobbying activities with its expressed goals through existing disclosures. In November 2021, we substantially enhanced our public disclosures with respect to Lilly’s direct and indirect lobbying activities, including for example, disclosures regarding:</w:t>
      </w:r>
    </w:p>
    <w:p>
      <w:pPr>
        <w:spacing w:after="0" w:line="1" w:lineRule="exact"/>
        <w:rPr>
          <w:sz w:val="20"/>
          <w:szCs w:val="20"/>
          <w:color w:val="auto"/>
        </w:rPr>
      </w:pPr>
    </w:p>
    <w:p>
      <w:pPr>
        <w:ind w:left="640" w:hanging="308"/>
        <w:spacing w:after="0"/>
        <w:tabs>
          <w:tab w:leader="none" w:pos="640" w:val="left"/>
        </w:tabs>
        <w:numPr>
          <w:ilvl w:val="0"/>
          <w:numId w:val="200"/>
        </w:numPr>
        <w:rPr>
          <w:rFonts w:ascii="Arial" w:cs="Arial" w:eastAsia="Arial" w:hAnsi="Arial"/>
          <w:sz w:val="16"/>
          <w:szCs w:val="16"/>
          <w:color w:val="auto"/>
        </w:rPr>
      </w:pPr>
      <w:r>
        <w:rPr>
          <w:rFonts w:ascii="Arial" w:cs="Arial" w:eastAsia="Arial" w:hAnsi="Arial"/>
          <w:sz w:val="18"/>
          <w:szCs w:val="18"/>
          <w:color w:val="auto"/>
        </w:rPr>
        <w:t>our board’s oversight of political expenditures and lobbying activities;</w:t>
      </w:r>
    </w:p>
    <w:p>
      <w:pPr>
        <w:spacing w:after="0" w:line="153" w:lineRule="exact"/>
        <w:rPr>
          <w:rFonts w:ascii="Arial" w:cs="Arial" w:eastAsia="Arial" w:hAnsi="Arial"/>
          <w:sz w:val="16"/>
          <w:szCs w:val="16"/>
          <w:color w:val="auto"/>
        </w:rPr>
      </w:pPr>
    </w:p>
    <w:p>
      <w:pPr>
        <w:ind w:left="660" w:right="340" w:hanging="328"/>
        <w:spacing w:after="0" w:line="287" w:lineRule="auto"/>
        <w:tabs>
          <w:tab w:leader="none" w:pos="649" w:val="left"/>
        </w:tabs>
        <w:numPr>
          <w:ilvl w:val="0"/>
          <w:numId w:val="200"/>
        </w:numPr>
        <w:rPr>
          <w:rFonts w:ascii="Arial" w:cs="Arial" w:eastAsia="Arial" w:hAnsi="Arial"/>
          <w:sz w:val="16"/>
          <w:szCs w:val="16"/>
          <w:color w:val="auto"/>
        </w:rPr>
      </w:pPr>
      <w:r>
        <w:rPr>
          <w:rFonts w:ascii="Arial" w:cs="Arial" w:eastAsia="Arial" w:hAnsi="Arial"/>
          <w:sz w:val="18"/>
          <w:szCs w:val="18"/>
          <w:color w:val="auto"/>
        </w:rPr>
        <w:t>Lilly’s political contributions to candidates for public office (directly from Lilly and through the company’s exclusively employee-led political action committee (LillyPAC));</w:t>
      </w:r>
    </w:p>
    <w:p>
      <w:pPr>
        <w:spacing w:after="0" w:line="98" w:lineRule="exact"/>
        <w:rPr>
          <w:rFonts w:ascii="Arial" w:cs="Arial" w:eastAsia="Arial" w:hAnsi="Arial"/>
          <w:sz w:val="16"/>
          <w:szCs w:val="16"/>
          <w:color w:val="auto"/>
        </w:rPr>
      </w:pPr>
    </w:p>
    <w:p>
      <w:pPr>
        <w:ind w:left="640" w:hanging="308"/>
        <w:spacing w:after="0"/>
        <w:tabs>
          <w:tab w:leader="none" w:pos="640" w:val="left"/>
        </w:tabs>
        <w:numPr>
          <w:ilvl w:val="0"/>
          <w:numId w:val="200"/>
        </w:numPr>
        <w:rPr>
          <w:rFonts w:ascii="Arial" w:cs="Arial" w:eastAsia="Arial" w:hAnsi="Arial"/>
          <w:sz w:val="16"/>
          <w:szCs w:val="16"/>
          <w:color w:val="auto"/>
        </w:rPr>
      </w:pPr>
      <w:r>
        <w:rPr>
          <w:rFonts w:ascii="Arial" w:cs="Arial" w:eastAsia="Arial" w:hAnsi="Arial"/>
          <w:sz w:val="18"/>
          <w:szCs w:val="18"/>
          <w:color w:val="auto"/>
        </w:rPr>
        <w:t>recipients of Lilly’s political contributions;</w:t>
      </w:r>
    </w:p>
    <w:p>
      <w:pPr>
        <w:spacing w:after="0" w:line="171" w:lineRule="exact"/>
        <w:rPr>
          <w:rFonts w:ascii="Arial" w:cs="Arial" w:eastAsia="Arial" w:hAnsi="Arial"/>
          <w:sz w:val="16"/>
          <w:szCs w:val="16"/>
          <w:color w:val="auto"/>
        </w:rPr>
      </w:pPr>
    </w:p>
    <w:p>
      <w:pPr>
        <w:ind w:left="640" w:hanging="308"/>
        <w:spacing w:after="0"/>
        <w:tabs>
          <w:tab w:leader="none" w:pos="640" w:val="left"/>
        </w:tabs>
        <w:numPr>
          <w:ilvl w:val="0"/>
          <w:numId w:val="200"/>
        </w:numPr>
        <w:rPr>
          <w:rFonts w:ascii="Arial" w:cs="Arial" w:eastAsia="Arial" w:hAnsi="Arial"/>
          <w:sz w:val="16"/>
          <w:szCs w:val="16"/>
          <w:color w:val="auto"/>
        </w:rPr>
      </w:pPr>
      <w:r>
        <w:rPr>
          <w:rFonts w:ascii="Arial" w:cs="Arial" w:eastAsia="Arial" w:hAnsi="Arial"/>
          <w:sz w:val="18"/>
          <w:szCs w:val="18"/>
          <w:color w:val="auto"/>
        </w:rPr>
        <w:t>Lilly’s federal and state lobbying activities; and</w:t>
      </w:r>
    </w:p>
    <w:p>
      <w:pPr>
        <w:spacing w:after="0" w:line="171" w:lineRule="exact"/>
        <w:rPr>
          <w:rFonts w:ascii="Arial" w:cs="Arial" w:eastAsia="Arial" w:hAnsi="Arial"/>
          <w:sz w:val="16"/>
          <w:szCs w:val="16"/>
          <w:color w:val="auto"/>
        </w:rPr>
      </w:pPr>
    </w:p>
    <w:p>
      <w:pPr>
        <w:ind w:left="660" w:right="80" w:hanging="328"/>
        <w:spacing w:after="0" w:line="287" w:lineRule="auto"/>
        <w:tabs>
          <w:tab w:leader="none" w:pos="649" w:val="left"/>
        </w:tabs>
        <w:numPr>
          <w:ilvl w:val="0"/>
          <w:numId w:val="200"/>
        </w:numPr>
        <w:rPr>
          <w:rFonts w:ascii="Arial" w:cs="Arial" w:eastAsia="Arial" w:hAnsi="Arial"/>
          <w:sz w:val="16"/>
          <w:szCs w:val="16"/>
          <w:color w:val="auto"/>
        </w:rPr>
      </w:pPr>
      <w:r>
        <w:rPr>
          <w:rFonts w:ascii="Arial" w:cs="Arial" w:eastAsia="Arial" w:hAnsi="Arial"/>
          <w:sz w:val="18"/>
          <w:szCs w:val="18"/>
          <w:color w:val="auto"/>
        </w:rPr>
        <w:t>trade associations to which Lilly pays annual membership dues of $50,000 or more (including those trade associations on which Lilly has a board seat).</w:t>
      </w:r>
    </w:p>
    <w:p>
      <w:pPr>
        <w:spacing w:after="0" w:line="99"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These extensive disclosures already enable shareholders to assess whether the company’s lobbying activities are consistent with its expressed goals and in the best interest of shareholders.</w:t>
      </w:r>
    </w:p>
    <w:p>
      <w:pPr>
        <w:spacing w:after="0" w:line="9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Contrary to the proposal’s assertions, Lilly does not fund opposition to lowering prescription drug prices. Lilly does, however, oppose legislative policies that would hinder medical discovery for patients. For example, as explained on our website’s news and stories section, we opposed H.R. 3 because it would not only stifle innovation but there are better policy solutions to help patients with their out of pockets costs such as Medicare Part D modernization and not requiring deductibles for insulin coverage. Similarly, we have opposed the drug pricing aspects of the Inflation Reduction Act of 2022 (the IRA) that would also have negative consequences to drug discovery without directly helping patients—such as Medicare price setting under the guise of negotiation. At the same time, Lilly actively supported portions of the IRA that we believe will benefit patients and innovation, such as the $35 out of pocket cap on insulin costs for Medicare beneficiaries and the elimination of the coverage gap in Medicare Part D plans.</w:t>
      </w:r>
    </w:p>
    <w:p>
      <w:pPr>
        <w:spacing w:after="0" w:line="13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Our political expenditures, in fact, cover the political spectrum and reflect our approach to engaging stakeholders on various complex issues to help preserve incentives and ensure an environment conducive to finding new treatments. As explained in further detail below, the company already publicly discloses this information, which provides shareholders with the information necessary to assess the consistency of the company’s lobbying activities with its expressed goals.</w:t>
      </w:r>
    </w:p>
    <w:p>
      <w:pPr>
        <w:spacing w:after="0" w:line="122" w:lineRule="exact"/>
        <w:rPr>
          <w:sz w:val="20"/>
          <w:szCs w:val="20"/>
          <w:color w:val="auto"/>
        </w:rPr>
      </w:pPr>
    </w:p>
    <w:p>
      <w:pPr>
        <w:ind w:right="640"/>
        <w:spacing w:after="0" w:line="296" w:lineRule="auto"/>
        <w:rPr>
          <w:sz w:val="20"/>
          <w:szCs w:val="20"/>
          <w:color w:val="auto"/>
        </w:rPr>
      </w:pPr>
      <w:r>
        <w:rPr>
          <w:rFonts w:ascii="Arial" w:cs="Arial" w:eastAsia="Arial" w:hAnsi="Arial"/>
          <w:sz w:val="18"/>
          <w:szCs w:val="18"/>
          <w:b w:val="1"/>
          <w:bCs w:val="1"/>
          <w:color w:val="auto"/>
        </w:rPr>
        <w:t>Lilly already publicly discloses the information requested by the proposal regarding the company’s policies and procedures governing direct and indirect lobbying activities.</w:t>
      </w:r>
    </w:p>
    <w:p>
      <w:pPr>
        <w:spacing w:after="0" w:line="8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 this proxy statement, the political participation page of Lilly’s website (Political Participation Website), and Lilly’s corporate governance guidelines, the company discloses its extensive policies and procedures governing direct and indirect lobbying activities. For example, the Political Participation Website discloses: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714500" cy="8255"/>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28" w:lineRule="exact"/>
        <w:rPr>
          <w:sz w:val="20"/>
          <w:szCs w:val="20"/>
          <w:color w:val="auto"/>
        </w:rPr>
      </w:pPr>
    </w:p>
    <w:p>
      <w:pPr>
        <w:ind w:left="180" w:right="40" w:hanging="172"/>
        <w:spacing w:after="0" w:line="206" w:lineRule="auto"/>
        <w:tabs>
          <w:tab w:leader="none" w:pos="128" w:val="left"/>
        </w:tabs>
        <w:numPr>
          <w:ilvl w:val="0"/>
          <w:numId w:val="201"/>
        </w:numPr>
        <w:rPr>
          <w:rFonts w:ascii="Arial" w:cs="Arial" w:eastAsia="Arial" w:hAnsi="Arial"/>
          <w:sz w:val="23"/>
          <w:szCs w:val="23"/>
          <w:color w:val="auto"/>
          <w:vertAlign w:val="superscript"/>
        </w:rPr>
      </w:pPr>
      <w:r>
        <w:rPr>
          <w:rFonts w:ascii="Arial" w:cs="Arial" w:eastAsia="Arial" w:hAnsi="Arial"/>
          <w:sz w:val="14"/>
          <w:szCs w:val="14"/>
          <w:color w:val="auto"/>
        </w:rPr>
        <w:t>https://www.opensecrets.org/news/2021/09/pharmaceutical-industry-backs-democratic-holdouts-on-drug-pricing-plan/; https://nonprofitquarterly.org/alliance-for-patient-access-not-even-trying-subtlety/.</w:t>
      </w:r>
    </w:p>
    <w:p>
      <w:pPr>
        <w:ind w:left="120" w:hanging="112"/>
        <w:spacing w:after="0" w:line="208" w:lineRule="auto"/>
        <w:tabs>
          <w:tab w:leader="none" w:pos="120" w:val="left"/>
        </w:tabs>
        <w:numPr>
          <w:ilvl w:val="0"/>
          <w:numId w:val="202"/>
        </w:numPr>
        <w:rPr>
          <w:rFonts w:ascii="Arial" w:cs="Arial" w:eastAsia="Arial" w:hAnsi="Arial"/>
          <w:sz w:val="23"/>
          <w:szCs w:val="23"/>
          <w:color w:val="auto"/>
          <w:vertAlign w:val="superscript"/>
        </w:rPr>
      </w:pPr>
      <w:r>
        <w:rPr>
          <w:rFonts w:ascii="Arial" w:cs="Arial" w:eastAsia="Arial" w:hAnsi="Arial"/>
          <w:sz w:val="14"/>
          <w:szCs w:val="14"/>
          <w:color w:val="auto"/>
        </w:rPr>
        <w:t>https://www.thenation.com/article/politics/alec-corporations-democracy/.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97" w:name="page98"/>
    <w:bookmarkEnd w:id="97"/>
    <w:p>
      <w:pPr>
        <w:ind w:left="660" w:right="80" w:hanging="328"/>
        <w:spacing w:after="0" w:line="268" w:lineRule="auto"/>
        <w:tabs>
          <w:tab w:leader="none" w:pos="649" w:val="left"/>
        </w:tabs>
        <w:numPr>
          <w:ilvl w:val="0"/>
          <w:numId w:val="203"/>
        </w:numPr>
        <w:rPr>
          <w:rFonts w:ascii="Arial" w:cs="Arial" w:eastAsia="Arial" w:hAnsi="Arial"/>
          <w:sz w:val="16"/>
          <w:szCs w:val="16"/>
          <w:color w:val="auto"/>
        </w:rPr>
      </w:pPr>
      <w:r>
        <w:rPr>
          <w:rFonts w:ascii="Arial" w:cs="Arial" w:eastAsia="Arial" w:hAnsi="Arial"/>
          <w:sz w:val="18"/>
          <w:szCs w:val="18"/>
          <w:color w:val="auto"/>
        </w:rPr>
        <w:t>Lilly’s commitment, through public policy engagement, to provide a way for all our locations globally to offer Lilly’s perspective on the political environment in a manner that supports access to innovative medicines, as well as to look for ways to engage on issues specific to local business environments;</w:t>
      </w:r>
    </w:p>
    <w:p>
      <w:pPr>
        <w:spacing w:after="0" w:line="116" w:lineRule="exact"/>
        <w:rPr>
          <w:rFonts w:ascii="Arial" w:cs="Arial" w:eastAsia="Arial" w:hAnsi="Arial"/>
          <w:sz w:val="16"/>
          <w:szCs w:val="16"/>
          <w:color w:val="auto"/>
        </w:rPr>
      </w:pPr>
    </w:p>
    <w:p>
      <w:pPr>
        <w:ind w:left="660" w:right="100" w:hanging="328"/>
        <w:spacing w:after="0" w:line="287" w:lineRule="auto"/>
        <w:tabs>
          <w:tab w:leader="none" w:pos="649" w:val="left"/>
        </w:tabs>
        <w:numPr>
          <w:ilvl w:val="0"/>
          <w:numId w:val="203"/>
        </w:numPr>
        <w:rPr>
          <w:rFonts w:ascii="Arial" w:cs="Arial" w:eastAsia="Arial" w:hAnsi="Arial"/>
          <w:sz w:val="16"/>
          <w:szCs w:val="16"/>
          <w:color w:val="auto"/>
        </w:rPr>
      </w:pPr>
      <w:r>
        <w:rPr>
          <w:rFonts w:ascii="Arial" w:cs="Arial" w:eastAsia="Arial" w:hAnsi="Arial"/>
          <w:sz w:val="18"/>
          <w:szCs w:val="18"/>
          <w:color w:val="auto"/>
        </w:rPr>
        <w:t>that Lilly employees must comply with our global policies, core values and legal obligations, which are outlined in our written code of business conduct, The Red Book;</w:t>
      </w:r>
    </w:p>
    <w:p>
      <w:pPr>
        <w:spacing w:after="0" w:line="98" w:lineRule="exact"/>
        <w:rPr>
          <w:rFonts w:ascii="Arial" w:cs="Arial" w:eastAsia="Arial" w:hAnsi="Arial"/>
          <w:sz w:val="16"/>
          <w:szCs w:val="16"/>
          <w:color w:val="auto"/>
        </w:rPr>
      </w:pPr>
    </w:p>
    <w:p>
      <w:pPr>
        <w:jc w:val="both"/>
        <w:ind w:left="660" w:hanging="328"/>
        <w:spacing w:after="0" w:line="268" w:lineRule="auto"/>
        <w:tabs>
          <w:tab w:leader="none" w:pos="649" w:val="left"/>
        </w:tabs>
        <w:numPr>
          <w:ilvl w:val="0"/>
          <w:numId w:val="203"/>
        </w:numPr>
        <w:rPr>
          <w:rFonts w:ascii="Arial" w:cs="Arial" w:eastAsia="Arial" w:hAnsi="Arial"/>
          <w:sz w:val="16"/>
          <w:szCs w:val="16"/>
          <w:color w:val="auto"/>
        </w:rPr>
      </w:pPr>
      <w:r>
        <w:rPr>
          <w:rFonts w:ascii="Arial" w:cs="Arial" w:eastAsia="Arial" w:hAnsi="Arial"/>
          <w:sz w:val="18"/>
          <w:szCs w:val="18"/>
          <w:color w:val="auto"/>
        </w:rPr>
        <w:t>that when engaging in lobbying activities, Lilly complies with the laws that govern such activities, and that Lilly’s senior vice president, global government affairs is responsible for overseeing these activities and the company’s general counsel and chief financial officer, or their designees, also approve all corporate political contributions before they are made; and</w:t>
      </w:r>
    </w:p>
    <w:p>
      <w:pPr>
        <w:spacing w:after="0" w:line="116" w:lineRule="exact"/>
        <w:rPr>
          <w:rFonts w:ascii="Arial" w:cs="Arial" w:eastAsia="Arial" w:hAnsi="Arial"/>
          <w:sz w:val="16"/>
          <w:szCs w:val="16"/>
          <w:color w:val="auto"/>
        </w:rPr>
      </w:pPr>
    </w:p>
    <w:p>
      <w:pPr>
        <w:jc w:val="both"/>
        <w:ind w:left="660" w:right="60" w:hanging="328"/>
        <w:spacing w:after="0" w:line="268" w:lineRule="auto"/>
        <w:tabs>
          <w:tab w:leader="none" w:pos="649" w:val="left"/>
        </w:tabs>
        <w:numPr>
          <w:ilvl w:val="0"/>
          <w:numId w:val="203"/>
        </w:numPr>
        <w:rPr>
          <w:rFonts w:ascii="Arial" w:cs="Arial" w:eastAsia="Arial" w:hAnsi="Arial"/>
          <w:sz w:val="16"/>
          <w:szCs w:val="16"/>
          <w:color w:val="auto"/>
        </w:rPr>
      </w:pPr>
      <w:r>
        <w:rPr>
          <w:rFonts w:ascii="Arial" w:cs="Arial" w:eastAsia="Arial" w:hAnsi="Arial"/>
          <w:sz w:val="18"/>
          <w:szCs w:val="18"/>
          <w:color w:val="auto"/>
        </w:rPr>
        <w:t>that, where permitted, Lilly makes lawful political contributions in the United States to political candidate committees, political parties, political action committees, ballot measure committees, associations and other political organizations operating under section 527 of the Internal Revenue Code.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Lilly already publicly discloses the information requested by the proposal regarding our direct and indirect lobbying expenditures.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Lilly makes extensive disclosures regarding its direct and indirect lobbying expenditures in its proxy statement, Political Participation Website, environmental, social and governance report, and other public disclosures regarding its political activities. The trade associations through which Lilly conducts its indirect lobbying activities (which are evaluated annually by the company’s U.S. government affairs leaders) also publicly disclose their lobbying expenditures. As noted in the bullet points above, in November 2021, Lilly substantially enhanced its disclosures related to its direct and indirect lobbying activities, including lobbying expenditures. Lilly voluntarily discloses its corporate political contributions and expenditures on an annual basis on the Political Participation Website. The proposal also requests we disclose our grassroots lobbying communications, however, Lilly does not engage in grassroots lobbying communications to the general public. The proposal also notes that groups have asked Lilly to cut ties with the American Legislative Exchange Council (ALEC). Lilly is no longer a member of ALEC. Additional details regarding the company’s corporate contributions, LillyPAC’s contributions (which are also voluntarily disclosed on a bi-annual basis), contribution data, and the company’s direct lobbying expenses are also already made available to the public from numerous public sources.</w:t>
      </w:r>
    </w:p>
    <w:p>
      <w:pPr>
        <w:spacing w:after="0" w:line="128" w:lineRule="exact"/>
        <w:rPr>
          <w:sz w:val="20"/>
          <w:szCs w:val="20"/>
          <w:color w:val="auto"/>
        </w:rPr>
      </w:pPr>
    </w:p>
    <w:p>
      <w:pPr>
        <w:ind w:right="60"/>
        <w:spacing w:after="0" w:line="296" w:lineRule="auto"/>
        <w:rPr>
          <w:sz w:val="20"/>
          <w:szCs w:val="20"/>
          <w:color w:val="auto"/>
        </w:rPr>
      </w:pPr>
      <w:r>
        <w:rPr>
          <w:rFonts w:ascii="Arial" w:cs="Arial" w:eastAsia="Arial" w:hAnsi="Arial"/>
          <w:sz w:val="18"/>
          <w:szCs w:val="18"/>
          <w:b w:val="1"/>
          <w:bCs w:val="1"/>
          <w:color w:val="auto"/>
        </w:rPr>
        <w:t>Lilly already publicly discloses the information requested by the proposal regarding our membership in, and payments to, any tax-exempt organization that writes and endorses model legislation.</w:t>
      </w:r>
    </w:p>
    <w:p>
      <w:pPr>
        <w:spacing w:after="0" w:line="8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noted above, Lilly’s Political Participation Website also contains information regarding the company’s U.S. trade association memberships for which the company pays annual dues of $50,000 or more and information regarding the percentage of dues collected by such trade associations utilized for federal and state lobbying and political expenditures. In the Political Participation Website, Lilly already discloses Lilly’s memberships in organizations that report lobbying activity to the U.S. federal government, including the Pharmaceutical Research and Manufacturers of America, the National Association of Manufacturers, the Biotechnology Innovation Organization, the U.S. Chamber of Commerce, and the Business Roundtable.</w:t>
      </w:r>
    </w:p>
    <w:p>
      <w:pPr>
        <w:spacing w:after="0" w:line="128" w:lineRule="exact"/>
        <w:rPr>
          <w:sz w:val="20"/>
          <w:szCs w:val="20"/>
          <w:color w:val="auto"/>
        </w:rPr>
      </w:pPr>
    </w:p>
    <w:p>
      <w:pPr>
        <w:ind w:right="180"/>
        <w:spacing w:after="0" w:line="296" w:lineRule="auto"/>
        <w:rPr>
          <w:sz w:val="20"/>
          <w:szCs w:val="20"/>
          <w:color w:val="auto"/>
        </w:rPr>
      </w:pPr>
      <w:r>
        <w:rPr>
          <w:rFonts w:ascii="Arial" w:cs="Arial" w:eastAsia="Arial" w:hAnsi="Arial"/>
          <w:sz w:val="18"/>
          <w:szCs w:val="18"/>
          <w:b w:val="1"/>
          <w:bCs w:val="1"/>
          <w:color w:val="auto"/>
        </w:rPr>
        <w:t>Lilly already publicly discloses the information requested by the proposal regarding its decision-making process and the board’s oversight over direct and indirect lobbying activities.</w:t>
      </w:r>
    </w:p>
    <w:p>
      <w:pPr>
        <w:spacing w:after="0" w:line="8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this proxy statement and the Political Participation Website, Lilly already discloses its decision-making process and the board’s oversight over the company’s political expenditures and direct and indirect lobbying activities to ensure the company fulfills its commitment to stewardship of corporate funds and minimizes risk with respect to such activities.</w:t>
      </w:r>
    </w:p>
    <w:p>
      <w:pPr>
        <w:spacing w:after="0" w:line="117" w:lineRule="exact"/>
        <w:rPr>
          <w:sz w:val="20"/>
          <w:szCs w:val="20"/>
          <w:color w:val="auto"/>
        </w:rPr>
      </w:pPr>
    </w:p>
    <w:p>
      <w:pPr>
        <w:ind w:right="180"/>
        <w:spacing w:after="0" w:line="282" w:lineRule="auto"/>
        <w:rPr>
          <w:sz w:val="20"/>
          <w:szCs w:val="20"/>
          <w:color w:val="auto"/>
        </w:rPr>
      </w:pPr>
      <w:r>
        <w:rPr>
          <w:rFonts w:ascii="Arial" w:cs="Arial" w:eastAsia="Arial" w:hAnsi="Arial"/>
          <w:sz w:val="17"/>
          <w:szCs w:val="17"/>
          <w:color w:val="auto"/>
        </w:rPr>
        <w:t>For example, the board receives regular updates from the executive vice president, corporate affairs, and communications regarding public policy issues and the company’s direct and indirect lobbying activities and receives semi-annual updates on direct and indirect lobbying activities and trade association memberships. See “</w:t>
      </w:r>
      <w:r>
        <w:rPr>
          <w:rFonts w:ascii="Arial" w:cs="Arial" w:eastAsia="Arial" w:hAnsi="Arial"/>
          <w:sz w:val="17"/>
          <w:szCs w:val="17"/>
          <w:u w:val="single" w:color="auto"/>
          <w:color w:val="0000FF"/>
        </w:rPr>
        <w:t>Governance—How We Operate an Effective Board—Key Areas of Oversight by the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Board and Its Committees— Political Activities</w:t>
      </w:r>
      <w:r>
        <w:rPr>
          <w:rFonts w:ascii="Arial" w:cs="Arial" w:eastAsia="Arial" w:hAnsi="Arial"/>
          <w:sz w:val="17"/>
          <w:szCs w:val="17"/>
          <w:color w:val="000000"/>
        </w:rPr>
        <w:t>”, and “</w:t>
      </w:r>
      <w:r>
        <w:rPr>
          <w:rFonts w:ascii="Arial" w:cs="Arial" w:eastAsia="Arial" w:hAnsi="Arial"/>
          <w:sz w:val="17"/>
          <w:szCs w:val="17"/>
          <w:u w:val="single" w:color="auto"/>
          <w:color w:val="0000FF"/>
        </w:rPr>
        <w:t>Governance Practices—Political and Policy Participation</w:t>
      </w:r>
      <w:r>
        <w:rPr>
          <w:rFonts w:ascii="Arial" w:cs="Arial" w:eastAsia="Arial" w:hAnsi="Arial"/>
          <w:sz w:val="17"/>
          <w:szCs w:val="17"/>
          <w:color w:val="000000"/>
        </w:rPr>
        <w:t>” for additional information.</w:t>
      </w:r>
    </w:p>
    <w:p>
      <w:pPr>
        <w:spacing w:after="0" w:line="107" w:lineRule="exact"/>
        <w:rPr>
          <w:sz w:val="20"/>
          <w:szCs w:val="20"/>
          <w:color w:val="auto"/>
        </w:rPr>
      </w:pPr>
    </w:p>
    <w:p>
      <w:pPr>
        <w:ind w:right="40"/>
        <w:spacing w:after="0" w:line="296" w:lineRule="auto"/>
        <w:rPr>
          <w:sz w:val="20"/>
          <w:szCs w:val="20"/>
          <w:color w:val="auto"/>
        </w:rPr>
      </w:pPr>
      <w:r>
        <w:rPr>
          <w:rFonts w:ascii="Arial" w:cs="Arial" w:eastAsia="Arial" w:hAnsi="Arial"/>
          <w:sz w:val="18"/>
          <w:szCs w:val="18"/>
          <w:b w:val="1"/>
          <w:bCs w:val="1"/>
          <w:color w:val="auto"/>
        </w:rPr>
        <w:t>Requiring Lilly to prepare a separate report with this information would place an undue administrative burden on the company and would not provide meaningful additional information to shareholders.</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98" w:name="page99"/>
    <w:bookmarkEnd w:id="98"/>
    <w:p>
      <w:pPr>
        <w:ind w:right="200"/>
        <w:spacing w:after="0" w:line="268" w:lineRule="auto"/>
        <w:rPr>
          <w:sz w:val="20"/>
          <w:szCs w:val="20"/>
          <w:color w:val="auto"/>
        </w:rPr>
      </w:pPr>
      <w:r>
        <w:rPr>
          <w:rFonts w:ascii="Arial" w:cs="Arial" w:eastAsia="Arial" w:hAnsi="Arial"/>
          <w:sz w:val="18"/>
          <w:szCs w:val="18"/>
          <w:color w:val="auto"/>
        </w:rPr>
        <w:t>We do not believe that publishing the standalone report requested by the proposal would provide meaningful additional information to shareholders to merit the resources required to provide the requested report. For these reasons, we believe the proposal is not in the best interests of the company and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5768975" cy="54864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5768975" cy="548640"/>
                    </a:xfrm>
                    <a:prstGeom prst="rect">
                      <a:avLst/>
                    </a:prstGeom>
                    <a:noFill/>
                  </pic:spPr>
                </pic:pic>
              </a:graphicData>
            </a:graphic>
          </wp:anchor>
        </w:drawing>
      </w:r>
    </w:p>
    <w:p>
      <w:pPr>
        <w:spacing w:after="0" w:line="254" w:lineRule="exact"/>
        <w:rPr>
          <w:sz w:val="20"/>
          <w:szCs w:val="20"/>
          <w:color w:val="auto"/>
        </w:rPr>
      </w:pPr>
    </w:p>
    <w:p>
      <w:pPr>
        <w:ind w:left="1040"/>
        <w:spacing w:after="0"/>
        <w:rPr>
          <w:sz w:val="20"/>
          <w:szCs w:val="20"/>
          <w:color w:val="auto"/>
        </w:rPr>
      </w:pPr>
      <w:r>
        <w:rPr>
          <w:rFonts w:ascii="Arial" w:cs="Arial" w:eastAsia="Arial" w:hAnsi="Arial"/>
          <w:sz w:val="20"/>
          <w:szCs w:val="20"/>
          <w:b w:val="1"/>
          <w:bCs w:val="1"/>
          <w:color w:val="D52B1E"/>
        </w:rPr>
        <w:t>RECOMMENDATION AGAINST</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The board recommends that you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this proposal.</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Item 8. Proposal to Eliminate Supermajority Voting Requirements</w:t>
      </w:r>
    </w:p>
    <w:p>
      <w:pPr>
        <w:spacing w:after="0" w:line="79"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John Chevedden, 2215 Nelson Avenue, No. 205, Redondo Beach, CA 90278, a beneficial owner of shares of our common stock having a market value in excess of $2,000, has submitted the following proposal:</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Proposal 8— Simple Majority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120650</wp:posOffset>
            </wp:positionV>
            <wp:extent cx="1739900" cy="35179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173990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Shareholders request that our board take each step necessary so that each voting requirement in our charter and bylaws (that is explicit or implicit due to default to state law) that calls for a greater than simple majority vote be replaced by a requirement for a majority of the votes cast for and against such proposals, or a simple majority in compliance with applicable laws.</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This means the closest standard to a majority of the votes cast for and against such proposals consistent with applicable laws. This includes any existing supermajority vote requirement that results from default to state law and can be subject to replacement. This proposal topic is important because it was approved by 84% of Eli Lilly shares that voted in 2021.</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2023 proposal includes that the Board take all the steps necessary at its discretion to help ensure that the topic of this proposal is approved by the requirement of 80% of all outstanding shares including a commitment to hire a proxy solicitor to conduct an intensive campaign, a commitment to adjourn the annual meeting to obtain the votes required if necessary and to take a 2-year process to adopt this proposal topic if applicable. This proposal does not restrict the Board from using a means to obtain the necessary vote that is not mentioned in this proposal.</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instance PPG Industries, Inc. (PPG) adjourned its annual meeting for weeks to obtain the necessary votes on this proposal topic in 2022 and Raytheon Technologies Corporation (RTX) announced a 2-year process to obtain shareholder approval of this proposal topic in its 2022 proxy.</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This proposal includes that the Board make an EDGAR filing approximately 10-days before the annual meeting urging shareholder to vote in favor and explaining all the efforts the board has taken or will take to obtain the necessary vote and all the available efforts that the Board has not taken with an explanation for each available effort not taken. This EDGAR filing would also describe any group of Eli Lilly shareholders who are opposed to this topic and Board efforts to reach out to such groups.</w:t>
      </w:r>
    </w:p>
    <w:p>
      <w:pPr>
        <w:spacing w:after="0" w:line="12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It is important to make an all-out effort now to obtain shareholder approval of this proposal topic in preference to the expense of conducting failed votes on this proposal topic every year into the foreseeable future. Extraordinary measures need to be taken to adopt this proposal topic due to the dead hand of our undemocratic governance provisions that require an 80% approval from all Eli Lilly shares outstanding to improve the corporate governance of Eli Lilly — given the reality that only 70% of Eli Lilly shares typically vote at the annual meeting.</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Please vote yes: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Simple Majority Vote — Proposal 8</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 in Opposition to the Shareholder Proposal to Eliminate Supermajority Voting Requirements</w:t>
      </w:r>
    </w:p>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The board, after review by its Directors and Corporate Governance Committee, recommends a vote against this proposal.</w:t>
      </w:r>
    </w:p>
    <w:p>
      <w:pPr>
        <w:spacing w:after="0" w:line="17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proposal calls for the board to take each step necessary so that each voting requirement in our charter and bylaws that calls for a greater than simple majority vote be replaced by a requirement for a majority of the votes cast for and against such proposals or a simple majority in compliance with applicable laws.</w:t>
      </w:r>
    </w:p>
    <w:p>
      <w:pPr>
        <w:spacing w:after="0" w:line="117" w:lineRule="exact"/>
        <w:rPr>
          <w:sz w:val="20"/>
          <w:szCs w:val="20"/>
          <w:color w:val="auto"/>
        </w:rPr>
      </w:pPr>
    </w:p>
    <w:p>
      <w:pPr>
        <w:ind w:right="340"/>
        <w:spacing w:after="0" w:line="318" w:lineRule="auto"/>
        <w:rPr>
          <w:sz w:val="20"/>
          <w:szCs w:val="20"/>
          <w:color w:val="auto"/>
        </w:rPr>
      </w:pPr>
      <w:r>
        <w:rPr>
          <w:rFonts w:ascii="Arial" w:cs="Arial" w:eastAsia="Arial" w:hAnsi="Arial"/>
          <w:sz w:val="17"/>
          <w:szCs w:val="17"/>
          <w:color w:val="auto"/>
        </w:rPr>
        <w:t>The board believes that, in light of management’s proposal set forth in Item 6 of this proxy statement to eliminate the supermajority voting requirements applicable to common shareholders, this non-binding shareholder proposal is redundant, unnecessary, and confusing.</w:t>
      </w:r>
    </w:p>
    <w:p>
      <w:pPr>
        <w:spacing w:after="0" w:line="76" w:lineRule="exact"/>
        <w:rPr>
          <w:sz w:val="20"/>
          <w:szCs w:val="20"/>
          <w:color w:val="auto"/>
        </w:rPr>
      </w:pPr>
    </w:p>
    <w:p>
      <w:pPr>
        <w:ind w:right="180"/>
        <w:spacing w:after="0" w:line="318" w:lineRule="auto"/>
        <w:rPr>
          <w:sz w:val="20"/>
          <w:szCs w:val="20"/>
          <w:color w:val="auto"/>
        </w:rPr>
      </w:pPr>
      <w:r>
        <w:rPr>
          <w:rFonts w:ascii="Arial" w:cs="Arial" w:eastAsia="Arial" w:hAnsi="Arial"/>
          <w:sz w:val="17"/>
          <w:szCs w:val="17"/>
          <w:color w:val="auto"/>
        </w:rPr>
        <w:t>The board has approved, and recommends that the shareholders approve, amendments to eliminate the supermajority voting requirements (the Supermajority Voting Amendments) in the company’s articles of incorporation as described in Item 6 of this proxy statement.</w:t>
      </w:r>
    </w:p>
    <w:p>
      <w:pPr>
        <w:spacing w:after="0" w:line="7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Lilly has repeatedly made efforts to obtain shareholder approval of the Supermajority Voting Amendments proposal over many years. From 2010 through 2012 and again from 2018 through 2022, the board has submitted this management proposal to shareholders seeking approval to eliminate these supermajority voting requirements.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 instance, as disclosed in this and prior proxy statements, for every year management has submitted the Supermajority Voting Amendments to shareholders for approval, the company has engaged a proxy solicitor to assist with distribution and solicitation of proxies, and the number of shares represented at the last four meetings (either in person or by proxy) has exceeded 90 percent. However, while over 81 percent of shares outstanding cast votes with respect to management’s Supermajority Voting Amendments proposal in the last three years, on each occasion the proposal has failed to receive the required affirmative vote given the failure of enough shareholders to vote in favor.</w:t>
      </w:r>
    </w:p>
    <w:p>
      <w:pPr>
        <w:spacing w:after="0" w:line="128" w:lineRule="exact"/>
        <w:rPr>
          <w:sz w:val="20"/>
          <w:szCs w:val="20"/>
          <w:color w:val="auto"/>
        </w:rPr>
      </w:pPr>
    </w:p>
    <w:p>
      <w:pPr>
        <w:jc w:val="both"/>
        <w:ind w:right="460"/>
        <w:spacing w:after="0" w:line="268" w:lineRule="auto"/>
        <w:rPr>
          <w:sz w:val="20"/>
          <w:szCs w:val="20"/>
          <w:color w:val="auto"/>
        </w:rPr>
      </w:pPr>
      <w:r>
        <w:rPr>
          <w:rFonts w:ascii="Arial" w:cs="Arial" w:eastAsia="Arial" w:hAnsi="Arial"/>
          <w:sz w:val="18"/>
          <w:szCs w:val="18"/>
          <w:color w:val="auto"/>
        </w:rPr>
        <w:t>Furthermore, as discussed in this proxy statement in the section titled “</w:t>
      </w:r>
      <w:r>
        <w:rPr>
          <w:rFonts w:ascii="Arial" w:cs="Arial" w:eastAsia="Arial" w:hAnsi="Arial"/>
          <w:sz w:val="18"/>
          <w:szCs w:val="18"/>
          <w:u w:val="single" w:color="auto"/>
          <w:color w:val="0000FF"/>
        </w:rPr>
        <w:t>Shareholder Engagement on Governance Issues—Management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Proposals to Eliminate Classified Board and Supermajority Voting Requirements</w:t>
      </w:r>
      <w:r>
        <w:rPr>
          <w:rFonts w:ascii="Arial" w:cs="Arial" w:eastAsia="Arial" w:hAnsi="Arial"/>
          <w:sz w:val="18"/>
          <w:szCs w:val="18"/>
          <w:color w:val="000000"/>
        </w:rPr>
        <w:t>”, management regularly engages with shareholders on</w:t>
      </w:r>
      <w:r>
        <w:rPr>
          <w:rFonts w:ascii="Arial" w:cs="Arial" w:eastAsia="Arial" w:hAnsi="Arial"/>
          <w:sz w:val="18"/>
          <w:szCs w:val="18"/>
          <w:color w:val="0000FF"/>
        </w:rPr>
        <w:t xml:space="preserve"> </w:t>
      </w:r>
      <w:r>
        <w:rPr>
          <w:rFonts w:ascii="Arial" w:cs="Arial" w:eastAsia="Arial" w:hAnsi="Arial"/>
          <w:sz w:val="18"/>
          <w:szCs w:val="18"/>
          <w:color w:val="000000"/>
        </w:rPr>
        <w:t>governance topics, including management’s proposal on the Supermajority Voting Amendments.</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Because the board is submitting, and is recommending the adoption of, Item 6 to eliminate the supermajority voting requirements at the 2023 Annual Meeting, the board believes that the request in this non-binding and advisory shareholder proposal that the board take action that it believes it has already taken, including through the submission of Item 6, is unnecessary, redundant, and confusing.</w:t>
      </w:r>
    </w:p>
    <w:p>
      <w:pPr>
        <w:spacing w:after="0" w:line="117"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The board recommends that the company’s shareholders oppose this proposal and instead adopt management’s proposal to adopt the Supermajority Voting Amendments set out in Item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5768975" cy="54864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5768975" cy="548640"/>
                    </a:xfrm>
                    <a:prstGeom prst="rect">
                      <a:avLst/>
                    </a:prstGeom>
                    <a:noFill/>
                  </pic:spPr>
                </pic:pic>
              </a:graphicData>
            </a:graphic>
          </wp:anchor>
        </w:drawing>
      </w:r>
    </w:p>
    <w:p>
      <w:pPr>
        <w:spacing w:after="0" w:line="236" w:lineRule="exact"/>
        <w:rPr>
          <w:sz w:val="20"/>
          <w:szCs w:val="20"/>
          <w:color w:val="auto"/>
        </w:rPr>
      </w:pPr>
    </w:p>
    <w:p>
      <w:pPr>
        <w:ind w:left="1040"/>
        <w:spacing w:after="0"/>
        <w:rPr>
          <w:sz w:val="20"/>
          <w:szCs w:val="20"/>
          <w:color w:val="auto"/>
        </w:rPr>
      </w:pPr>
      <w:r>
        <w:rPr>
          <w:rFonts w:ascii="Arial" w:cs="Arial" w:eastAsia="Arial" w:hAnsi="Arial"/>
          <w:sz w:val="20"/>
          <w:szCs w:val="20"/>
          <w:b w:val="1"/>
          <w:bCs w:val="1"/>
          <w:color w:val="D52B1E"/>
        </w:rPr>
        <w:t>RECOMMENDATION AGAINST</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The board recommends that you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this proposal.</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540"/>
        <w:spacing w:after="0" w:line="263" w:lineRule="auto"/>
        <w:rPr>
          <w:sz w:val="20"/>
          <w:szCs w:val="20"/>
          <w:color w:val="auto"/>
        </w:rPr>
      </w:pPr>
      <w:r>
        <w:rPr>
          <w:rFonts w:ascii="Arial" w:cs="Arial" w:eastAsia="Arial" w:hAnsi="Arial"/>
          <w:sz w:val="32"/>
          <w:szCs w:val="32"/>
          <w:b w:val="1"/>
          <w:bCs w:val="1"/>
          <w:color w:val="D52B1E"/>
        </w:rPr>
        <w:t>Item 9. Proposal to Establish and Report on a Process by which the Impact of Extended Patent Exclusivities on Product Access Would be Considered in Deciding Whether to Apply for Secondary and Tertiary Patents</w:t>
      </w:r>
    </w:p>
    <w:p>
      <w:pPr>
        <w:spacing w:after="0" w:line="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Trinity Health, as lead filer, with multiple additional cofilers, each a beneficial owner of shares of our common stock having a market value in excess of $2,000, has submitted the following proposal:</w:t>
      </w:r>
    </w:p>
    <w:p>
      <w:pPr>
        <w:spacing w:after="0" w:line="9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RESOLVED, that shareholders of Eli Lilly &amp; Co. (“Lilly”) ask the Board of Directors to establish and report on a process by which the impact of extended patent exclusivities on product access would be considered in deciding whether to apply for secondary and tertiary patents. Secondary and tertiary patents arc patents applied for after the main active ingredient/molecule patent(s) and which relate to the product. The report on the process should be prepared at reasonable cost, omitting confidential and proprietary information, and published on Lilly’s website.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Supporting Statement</w:t>
      </w:r>
    </w:p>
    <w:p>
      <w:pPr>
        <w:spacing w:after="0" w:line="171"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Access to medicines, especially costly specialty drugs, is the subject of consistent and widespread public debate in the U.S. A 2021 Rand Corporation analysis concluded that U.S. prices for branded drugs were nearly 3.5 times higher than prices in 32 OECD member countries.</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The Kaiser Family Foundation has “consistently found prescription drug costs to be an important health policy area of public interest and public concern.”</w:t>
      </w:r>
      <w:r>
        <w:rPr>
          <w:rFonts w:ascii="Arial" w:cs="Arial" w:eastAsia="Arial" w:hAnsi="Arial"/>
          <w:sz w:val="23"/>
          <w:szCs w:val="23"/>
          <w:color w:val="auto"/>
          <w:vertAlign w:val="superscript"/>
        </w:rPr>
        <w:t>7</w:t>
      </w:r>
    </w:p>
    <w:p>
      <w:pPr>
        <w:spacing w:after="0" w:line="67"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This high level of concern has driven policy responses. The Inflation Reduction Act empowers the federal government to negotiate some drug prices.</w:t>
      </w:r>
      <w:r>
        <w:rPr>
          <w:rFonts w:ascii="Arial" w:cs="Arial" w:eastAsia="Arial" w:hAnsi="Arial"/>
          <w:sz w:val="23"/>
          <w:szCs w:val="23"/>
          <w:color w:val="auto"/>
          <w:vertAlign w:val="superscript"/>
        </w:rPr>
        <w:t>8</w:t>
      </w:r>
      <w:r>
        <w:rPr>
          <w:rFonts w:ascii="Arial" w:cs="Arial" w:eastAsia="Arial" w:hAnsi="Arial"/>
          <w:sz w:val="18"/>
          <w:szCs w:val="18"/>
          <w:color w:val="auto"/>
        </w:rPr>
        <w:t xml:space="preserve"> State measures, including drug price transparency legislation and copay caps, have also been adopted.</w:t>
      </w:r>
      <w:r>
        <w:rPr>
          <w:rFonts w:ascii="Arial" w:cs="Arial" w:eastAsia="Arial" w:hAnsi="Arial"/>
          <w:sz w:val="23"/>
          <w:szCs w:val="23"/>
          <w:color w:val="auto"/>
          <w:vertAlign w:val="superscript"/>
        </w:rPr>
        <w:t>9</w:t>
      </w:r>
      <w:r>
        <w:rPr>
          <w:rFonts w:ascii="Arial" w:cs="Arial" w:eastAsia="Arial" w:hAnsi="Arial"/>
          <w:sz w:val="18"/>
          <w:szCs w:val="18"/>
          <w:color w:val="auto"/>
        </w:rPr>
        <w:t xml:space="preserve"> The House Committee on Oversight and Reform (the “Committee”) launched a far-reaching investigation into drug pricing in January 2019.</w:t>
      </w:r>
      <w:r>
        <w:rPr>
          <w:rFonts w:ascii="Arial" w:cs="Arial" w:eastAsia="Arial" w:hAnsi="Arial"/>
          <w:sz w:val="23"/>
          <w:szCs w:val="23"/>
          <w:color w:val="auto"/>
          <w:vertAlign w:val="superscript"/>
        </w:rPr>
        <w:t>10</w:t>
      </w:r>
      <w:r>
        <w:rPr>
          <w:rFonts w:ascii="Arial" w:cs="Arial" w:eastAsia="Arial" w:hAnsi="Arial"/>
          <w:sz w:val="18"/>
          <w:szCs w:val="18"/>
          <w:color w:val="auto"/>
        </w:rPr>
        <w:t xml:space="preserve"> The Committee and the Senate Finance Committee also undertook investigations into insulin pricing in 2019, which focused on Lilly’s Humalog insulin and two other products.</w:t>
      </w:r>
      <w:r>
        <w:rPr>
          <w:rFonts w:ascii="Arial" w:cs="Arial" w:eastAsia="Arial" w:hAnsi="Arial"/>
          <w:sz w:val="23"/>
          <w:szCs w:val="23"/>
          <w:color w:val="auto"/>
          <w:vertAlign w:val="superscript"/>
        </w:rPr>
        <w:t>11</w:t>
      </w:r>
    </w:p>
    <w:p>
      <w:pPr>
        <w:spacing w:after="0" w:line="7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Intellectual property protections on branded drugs play an important role in maintaining high prices and impeding access. When patent protection on a drug ends, generic manufacturers can enter the market, reducing prices. But branded drug manufacturers may try to delay generic competition by extending their exclusivity periods.</w:t>
      </w:r>
    </w:p>
    <w:p>
      <w:pPr>
        <w:spacing w:after="0" w:line="117"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Such periods can be extended if secondary patents are granted. The Committee’s December 2021 report described construction of a “patent thicket,” which consists of many “secondary patents covering the formulations, dosing, or methods of using, administering, or manufacturing a drug”; they are granted after the drug’s primary patent, covering its main active ingredient or molecule, has been granted.</w:t>
      </w:r>
      <w:r>
        <w:rPr>
          <w:rFonts w:ascii="Arial" w:cs="Arial" w:eastAsia="Arial" w:hAnsi="Arial"/>
          <w:sz w:val="23"/>
          <w:szCs w:val="23"/>
          <w:color w:val="auto"/>
          <w:vertAlign w:val="superscript"/>
        </w:rPr>
        <w:t>12</w:t>
      </w:r>
      <w:r>
        <w:rPr>
          <w:rFonts w:ascii="Arial" w:cs="Arial" w:eastAsia="Arial" w:hAnsi="Arial"/>
          <w:sz w:val="18"/>
          <w:szCs w:val="18"/>
          <w:color w:val="auto"/>
        </w:rPr>
        <w:t xml:space="preserve"> In June 2022, citing the impact of patent thickets on drug prices, a bipartisan group of Senators urged the U.S. Patent and Trademark Office to “take regulatory steps to. . . eliminate large collections of patents on a single invention.”</w:t>
      </w:r>
    </w:p>
    <w:p>
      <w:pPr>
        <w:spacing w:after="0" w:line="140"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Lilly has raised the price of a 10 ml vial of Humalog by 1219% since its launch. Secondary patents on Humalog extended Lilly’s exclusivity period by 17 years.</w:t>
      </w:r>
      <w:r>
        <w:rPr>
          <w:rFonts w:ascii="Arial" w:cs="Arial" w:eastAsia="Arial" w:hAnsi="Arial"/>
          <w:sz w:val="23"/>
          <w:szCs w:val="23"/>
          <w:color w:val="auto"/>
          <w:vertAlign w:val="superscript"/>
        </w:rPr>
        <w:t>13</w:t>
      </w:r>
    </w:p>
    <w:p>
      <w:pPr>
        <w:spacing w:after="0" w:line="3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our view, a process that considers the impact of extended exclusivity periods on patient access would ensure that Lilly considers not only whether it can apply for secondary and tertiary patents but also whether it should do so. A more thoughtful process could, we believe, bolster Lilly’s reputation and help avoid regulatory blowback resulting from high drug prices and perceptions regarding abusive patenting practices.</w:t>
      </w:r>
    </w:p>
    <w:p>
      <w:pPr>
        <w:spacing w:after="0" w:line="174" w:lineRule="exact"/>
        <w:rPr>
          <w:sz w:val="20"/>
          <w:szCs w:val="20"/>
          <w:color w:val="auto"/>
        </w:rPr>
      </w:pPr>
    </w:p>
    <w:p>
      <w:pPr>
        <w:jc w:val="both"/>
        <w:ind w:right="440"/>
        <w:spacing w:after="0" w:line="264" w:lineRule="auto"/>
        <w:rPr>
          <w:sz w:val="20"/>
          <w:szCs w:val="20"/>
          <w:color w:val="auto"/>
        </w:rPr>
      </w:pPr>
      <w:r>
        <w:rPr>
          <w:rFonts w:ascii="Arial" w:cs="Arial" w:eastAsia="Arial" w:hAnsi="Arial"/>
          <w:sz w:val="22"/>
          <w:szCs w:val="22"/>
          <w:b w:val="1"/>
          <w:bCs w:val="1"/>
          <w:color w:val="auto"/>
        </w:rPr>
        <w:t>Statement in Opposition to the Shareholder Proposal to Establish and Report on a Process by which the Impact of Extended Patent Exclusivities on Product Access Would be Considered in Deciding Whether to Apply for Secondary and Tertiary Patents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board, after review by its Directors and Corporate Governance Committee, recommends a vote against this proposal.</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proud of the work we do to increase access to medicines around the world. At the same time, intellectual property protection through patents is critical to Lilly’s ability to successfully commercialize our innovations and invest in the search for new medicines and indications. Like most companies in our industry, Lilly could not invest or operate to research, discover, develop, test, manufacture or deliver existing and new medicines for patients without an effective patent application strategy. Given the nature of our business, without obtaining patent protections, we could not make the investments necessary to develop new medicines or further develop already-approved products. There is a high rate of failure inherent in new drug discovery. To bring a drug from the discovery phase to market can take over a decade and can often cost in excess of $2 billion. Failure can occur at any point in the process, including in later stages after substantial investment. As a result, most funds invested in research programs will not generate financial returns. The decisions of when to incur technical risk, time, effort,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1714500" cy="8255"/>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8" w:lineRule="exact"/>
        <w:rPr>
          <w:sz w:val="20"/>
          <w:szCs w:val="20"/>
          <w:color w:val="auto"/>
        </w:rPr>
      </w:pPr>
    </w:p>
    <w:p>
      <w:pPr>
        <w:ind w:left="120" w:hanging="112"/>
        <w:spacing w:after="0"/>
        <w:tabs>
          <w:tab w:leader="none" w:pos="120" w:val="left"/>
        </w:tabs>
        <w:numPr>
          <w:ilvl w:val="0"/>
          <w:numId w:val="204"/>
        </w:numPr>
        <w:rPr>
          <w:rFonts w:ascii="Arial" w:cs="Arial" w:eastAsia="Arial" w:hAnsi="Arial"/>
          <w:sz w:val="23"/>
          <w:szCs w:val="23"/>
          <w:color w:val="auto"/>
          <w:vertAlign w:val="superscript"/>
        </w:rPr>
      </w:pPr>
      <w:r>
        <w:rPr>
          <w:rFonts w:ascii="Arial" w:cs="Arial" w:eastAsia="Arial" w:hAnsi="Arial"/>
          <w:sz w:val="14"/>
          <w:szCs w:val="14"/>
          <w:color w:val="auto"/>
        </w:rPr>
        <w:t>https:/ /www.rand.org/news/press /2021 /01 /28.html</w:t>
      </w:r>
    </w:p>
    <w:p>
      <w:pPr>
        <w:spacing w:after="0" w:line="60" w:lineRule="exact"/>
        <w:rPr>
          <w:sz w:val="20"/>
          <w:szCs w:val="20"/>
          <w:color w:val="auto"/>
        </w:rPr>
      </w:pPr>
    </w:p>
    <w:p>
      <w:pPr>
        <w:ind w:left="120" w:hanging="112"/>
        <w:spacing w:after="0"/>
        <w:tabs>
          <w:tab w:leader="none" w:pos="120" w:val="left"/>
        </w:tabs>
        <w:numPr>
          <w:ilvl w:val="0"/>
          <w:numId w:val="205"/>
        </w:numPr>
        <w:rPr>
          <w:rFonts w:ascii="Arial" w:cs="Arial" w:eastAsia="Arial" w:hAnsi="Arial"/>
          <w:sz w:val="23"/>
          <w:szCs w:val="23"/>
          <w:color w:val="auto"/>
          <w:vertAlign w:val="superscript"/>
        </w:rPr>
      </w:pPr>
      <w:r>
        <w:rPr>
          <w:rFonts w:ascii="Arial" w:cs="Arial" w:eastAsia="Arial" w:hAnsi="Arial"/>
          <w:sz w:val="14"/>
          <w:szCs w:val="14"/>
          <w:color w:val="auto"/>
        </w:rPr>
        <w:t>https://www.kfforg/health-costs/poll-finding/public-opinion-on-prescription-dnigs-and-their-ptices/</w:t>
      </w:r>
    </w:p>
    <w:p>
      <w:pPr>
        <w:spacing w:after="0" w:line="6" w:lineRule="exact"/>
        <w:rPr>
          <w:sz w:val="20"/>
          <w:szCs w:val="20"/>
          <w:color w:val="auto"/>
        </w:rPr>
      </w:pPr>
    </w:p>
    <w:p>
      <w:pPr>
        <w:ind w:left="120" w:hanging="112"/>
        <w:spacing w:after="0"/>
        <w:tabs>
          <w:tab w:leader="none" w:pos="120" w:val="left"/>
        </w:tabs>
        <w:numPr>
          <w:ilvl w:val="0"/>
          <w:numId w:val="206"/>
        </w:numPr>
        <w:rPr>
          <w:rFonts w:ascii="Arial" w:cs="Arial" w:eastAsia="Arial" w:hAnsi="Arial"/>
          <w:sz w:val="23"/>
          <w:szCs w:val="23"/>
          <w:color w:val="auto"/>
          <w:vertAlign w:val="superscript"/>
        </w:rPr>
      </w:pPr>
      <w:r>
        <w:rPr>
          <w:rFonts w:ascii="Arial" w:cs="Arial" w:eastAsia="Arial" w:hAnsi="Arial"/>
          <w:sz w:val="14"/>
          <w:szCs w:val="14"/>
          <w:color w:val="auto"/>
        </w:rPr>
        <w:t>https://www.kfforg/medicare/issue-brief/explaining-the-prescription-drug-provisions-in-the-inflation-reduction-act/</w:t>
      </w:r>
    </w:p>
    <w:p>
      <w:pPr>
        <w:spacing w:after="0" w:line="6" w:lineRule="exact"/>
        <w:rPr>
          <w:sz w:val="20"/>
          <w:szCs w:val="20"/>
          <w:color w:val="auto"/>
        </w:rPr>
      </w:pPr>
    </w:p>
    <w:p>
      <w:pPr>
        <w:ind w:left="120" w:hanging="112"/>
        <w:spacing w:after="0"/>
        <w:tabs>
          <w:tab w:leader="none" w:pos="120" w:val="left"/>
        </w:tabs>
        <w:numPr>
          <w:ilvl w:val="0"/>
          <w:numId w:val="207"/>
        </w:numPr>
        <w:rPr>
          <w:rFonts w:ascii="Arial" w:cs="Arial" w:eastAsia="Arial" w:hAnsi="Arial"/>
          <w:sz w:val="23"/>
          <w:szCs w:val="23"/>
          <w:color w:val="auto"/>
          <w:vertAlign w:val="superscript"/>
        </w:rPr>
      </w:pPr>
      <w:r>
        <w:rPr>
          <w:rFonts w:ascii="Arial" w:cs="Arial" w:eastAsia="Arial" w:hAnsi="Arial"/>
          <w:sz w:val="14"/>
          <w:szCs w:val="14"/>
          <w:color w:val="auto"/>
        </w:rPr>
        <w:t>https://www.americanprogress.org/article/state-policies-to-address-prescription-drug-affordability-across-the-supplychain/</w:t>
      </w:r>
    </w:p>
    <w:p>
      <w:pPr>
        <w:ind w:left="180" w:hanging="172"/>
        <w:spacing w:after="0" w:line="220" w:lineRule="auto"/>
        <w:tabs>
          <w:tab w:leader="none" w:pos="180" w:val="left"/>
        </w:tabs>
        <w:numPr>
          <w:ilvl w:val="0"/>
          <w:numId w:val="208"/>
        </w:numPr>
        <w:rPr>
          <w:rFonts w:ascii="Arial" w:cs="Arial" w:eastAsia="Arial" w:hAnsi="Arial"/>
          <w:sz w:val="23"/>
          <w:szCs w:val="23"/>
          <w:color w:val="auto"/>
          <w:vertAlign w:val="superscript"/>
        </w:rPr>
      </w:pPr>
      <w:r>
        <w:rPr>
          <w:rFonts w:ascii="Arial" w:cs="Arial" w:eastAsia="Arial" w:hAnsi="Arial"/>
          <w:sz w:val="14"/>
          <w:szCs w:val="14"/>
          <w:color w:val="auto"/>
        </w:rPr>
        <w:t>https://oversight.house.gov/sites/democrats.oversight.house.gov/files/DRUG%20PRICING%20REPORT%20WITH%20APPENDIX %20v3.pdf, at i.</w:t>
      </w:r>
    </w:p>
    <w:p>
      <w:pPr>
        <w:spacing w:after="0" w:line="80" w:lineRule="exact"/>
        <w:rPr>
          <w:rFonts w:ascii="Arial" w:cs="Arial" w:eastAsia="Arial" w:hAnsi="Arial"/>
          <w:sz w:val="23"/>
          <w:szCs w:val="23"/>
          <w:color w:val="auto"/>
          <w:vertAlign w:val="superscript"/>
        </w:rPr>
      </w:pPr>
    </w:p>
    <w:p>
      <w:pPr>
        <w:ind w:left="180" w:hanging="172"/>
        <w:spacing w:after="0" w:line="183" w:lineRule="auto"/>
        <w:tabs>
          <w:tab w:leader="none" w:pos="180" w:val="left"/>
        </w:tabs>
        <w:numPr>
          <w:ilvl w:val="0"/>
          <w:numId w:val="208"/>
        </w:numPr>
        <w:rPr>
          <w:rFonts w:ascii="Arial" w:cs="Arial" w:eastAsia="Arial" w:hAnsi="Arial"/>
          <w:sz w:val="20"/>
          <w:szCs w:val="20"/>
          <w:color w:val="auto"/>
          <w:vertAlign w:val="superscript"/>
        </w:rPr>
      </w:pPr>
      <w:r>
        <w:rPr>
          <w:rFonts w:ascii="Arial" w:cs="Arial" w:eastAsia="Arial" w:hAnsi="Arial"/>
          <w:sz w:val="13"/>
          <w:szCs w:val="13"/>
          <w:color w:val="auto"/>
        </w:rPr>
        <w:t>https://www.grassley.senate.gove/news/news-releases/grassley-wyden-launch-bipartisan-investigation-insulin-prices</w:t>
      </w:r>
    </w:p>
    <w:p>
      <w:pPr>
        <w:spacing w:after="0" w:line="82" w:lineRule="exact"/>
        <w:rPr>
          <w:rFonts w:ascii="Arial" w:cs="Arial" w:eastAsia="Arial" w:hAnsi="Arial"/>
          <w:sz w:val="20"/>
          <w:szCs w:val="20"/>
          <w:color w:val="auto"/>
          <w:vertAlign w:val="superscript"/>
        </w:rPr>
      </w:pPr>
    </w:p>
    <w:p>
      <w:pPr>
        <w:ind w:left="180" w:hanging="172"/>
        <w:spacing w:after="0" w:line="187" w:lineRule="auto"/>
        <w:tabs>
          <w:tab w:leader="none" w:pos="180" w:val="left"/>
        </w:tabs>
        <w:numPr>
          <w:ilvl w:val="0"/>
          <w:numId w:val="208"/>
        </w:numPr>
        <w:rPr>
          <w:rFonts w:ascii="Arial" w:cs="Arial" w:eastAsia="Arial" w:hAnsi="Arial"/>
          <w:sz w:val="21"/>
          <w:szCs w:val="21"/>
          <w:color w:val="auto"/>
          <w:vertAlign w:val="superscript"/>
        </w:rPr>
      </w:pPr>
      <w:r>
        <w:rPr>
          <w:rFonts w:ascii="Arial" w:cs="Arial" w:eastAsia="Arial" w:hAnsi="Arial"/>
          <w:sz w:val="13"/>
          <w:szCs w:val="13"/>
          <w:color w:val="auto"/>
        </w:rPr>
        <w:t>https://oversight.house.gov/sites/democrats.oversight.house.gove/files/DRUG%20PRICING%20REPORT%20WITH%20APPENDIX %20v3.pdf, at 79.</w:t>
      </w:r>
    </w:p>
    <w:p>
      <w:pPr>
        <w:spacing w:after="0" w:line="81" w:lineRule="exact"/>
        <w:rPr>
          <w:rFonts w:ascii="Arial" w:cs="Arial" w:eastAsia="Arial" w:hAnsi="Arial"/>
          <w:sz w:val="21"/>
          <w:szCs w:val="21"/>
          <w:color w:val="auto"/>
          <w:vertAlign w:val="superscript"/>
        </w:rPr>
      </w:pPr>
    </w:p>
    <w:p>
      <w:pPr>
        <w:ind w:left="180" w:hanging="172"/>
        <w:spacing w:after="0" w:line="187" w:lineRule="auto"/>
        <w:tabs>
          <w:tab w:leader="none" w:pos="180" w:val="left"/>
        </w:tabs>
        <w:numPr>
          <w:ilvl w:val="0"/>
          <w:numId w:val="208"/>
        </w:numPr>
        <w:rPr>
          <w:rFonts w:ascii="Arial" w:cs="Arial" w:eastAsia="Arial" w:hAnsi="Arial"/>
          <w:sz w:val="21"/>
          <w:szCs w:val="21"/>
          <w:color w:val="auto"/>
          <w:vertAlign w:val="superscript"/>
        </w:rPr>
      </w:pPr>
      <w:r>
        <w:rPr>
          <w:rFonts w:ascii="Arial" w:cs="Arial" w:eastAsia="Arial" w:hAnsi="Arial"/>
          <w:sz w:val="13"/>
          <w:szCs w:val="13"/>
          <w:color w:val="auto"/>
        </w:rPr>
        <w:t>https://oversight.house.gov/sites/democrats.oversight.house.gov/files/DRUG%20PRICING%20REPORT%20WITH%20APPENDIX %20v3.pdf, at 14, 81.</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1" w:name="page102"/>
    <w:bookmarkEnd w:id="101"/>
    <w:p>
      <w:pPr>
        <w:ind w:right="20"/>
        <w:spacing w:after="0" w:line="259" w:lineRule="auto"/>
        <w:rPr>
          <w:sz w:val="20"/>
          <w:szCs w:val="20"/>
          <w:color w:val="auto"/>
        </w:rPr>
      </w:pPr>
      <w:r>
        <w:rPr>
          <w:rFonts w:ascii="Arial" w:cs="Arial" w:eastAsia="Arial" w:hAnsi="Arial"/>
          <w:sz w:val="18"/>
          <w:szCs w:val="18"/>
          <w:color w:val="auto"/>
        </w:rPr>
        <w:t>and significant expense to seek to develop a new product or develop new indications or new medicine delivery options (the typical innovation sources for the “secondary” patents), and when to permit copying of an already-approved product are complicated decisions at the core of the Company’s business model. Lilly’s process for patent prosecution is thoughtful and overseen by legal experts focused on compliance with applicable laws. Subjecting this process to additional cumbersome procedures and shareholder oversight would interfere with Lilly’s operations and management’s ability to run the business.</w:t>
      </w:r>
    </w:p>
    <w:p>
      <w:pPr>
        <w:spacing w:after="0" w:line="12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report requested by this shareholder proposal is unnecessary because the company already provides shareholders with information about the analysis and framework the company uses for intellectual property protection strategies. As discussed in detail under “</w:t>
      </w:r>
      <w:r>
        <w:rPr>
          <w:rFonts w:ascii="Arial" w:cs="Arial" w:eastAsia="Arial" w:hAnsi="Arial"/>
          <w:sz w:val="18"/>
          <w:szCs w:val="18"/>
          <w:u w:val="single" w:color="auto"/>
          <w:color w:val="0000FF"/>
        </w:rPr>
        <w:t>Governance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—Governance Practices—Environmental, Social, and Governance—Increase Access to Medicines</w:t>
      </w:r>
      <w:r>
        <w:rPr>
          <w:rFonts w:ascii="Arial" w:cs="Arial" w:eastAsia="Arial" w:hAnsi="Arial"/>
          <w:sz w:val="18"/>
          <w:szCs w:val="18"/>
          <w:color w:val="000000"/>
        </w:rPr>
        <w:t>” in this proxy statement, Lilly is deeply</w:t>
      </w:r>
      <w:r>
        <w:rPr>
          <w:rFonts w:ascii="Arial" w:cs="Arial" w:eastAsia="Arial" w:hAnsi="Arial"/>
          <w:sz w:val="18"/>
          <w:szCs w:val="18"/>
          <w:color w:val="0000FF"/>
        </w:rPr>
        <w:t xml:space="preserve"> </w:t>
      </w:r>
      <w:r>
        <w:rPr>
          <w:rFonts w:ascii="Arial" w:cs="Arial" w:eastAsia="Arial" w:hAnsi="Arial"/>
          <w:sz w:val="18"/>
          <w:szCs w:val="18"/>
          <w:color w:val="000000"/>
        </w:rPr>
        <w:t>committed to patient access to our medicines so that our breakthroughs can transform more people’s lives.</w:t>
      </w:r>
    </w:p>
    <w:p>
      <w:pPr>
        <w:spacing w:after="0" w:line="122"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Notably, the supporting statement submitted by the proponent includes misleading assertions regarding basic facts and inaccurate data. In fact, there is increasing recognition that narratives such as those being advanced by proponents are often built on flawed and misleading data.</w:t>
      </w:r>
      <w:r>
        <w:rPr>
          <w:rFonts w:ascii="Arial" w:cs="Arial" w:eastAsia="Arial" w:hAnsi="Arial"/>
          <w:sz w:val="22"/>
          <w:szCs w:val="22"/>
          <w:color w:val="auto"/>
          <w:vertAlign w:val="superscript"/>
        </w:rPr>
        <w:t>14</w:t>
      </w:r>
      <w:r>
        <w:rPr>
          <w:rFonts w:ascii="Arial" w:cs="Arial" w:eastAsia="Arial" w:hAnsi="Arial"/>
          <w:sz w:val="17"/>
          <w:szCs w:val="17"/>
          <w:color w:val="auto"/>
        </w:rPr>
        <w:t xml:space="preserve"> For example, contrary to the statement in the proposal’s supporting statement, secondary patents on Humalog did not extend Lilly’s exclusivity period by 17 years. In fact, Lilly’s “primary” Humalog patent expired in 2013 and, just four years later in 2017, the FDA approved Sanofi’s Humalog follow-on biologic (Admelog®). The misleading and factually inaccurate information in the proposal also reveals a misunderstanding of the critical role of patents in sustaining and incentivizing an ecosystem that is fundamental for patient access to innovative drugs and that leads to the reliable entry of lower-cost biosimilar and generic drugs. Such misunderstanding combined with the misleading data presented around patents is in fact ultimately antithetical to patient access to innovative and lower-cost biosimilar and generic drugs. Due to the importance of and complexities involved in patent strategy, Lilly uses a framework (described below) to guide the internal experts who have the factual details to make patent strategy decisions on behalf of the company. In addition, and as explained below, Lilly has already provided public disclosure concerning its patent application process that is responsive to the proposal’s request.</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Lilly already provides information on guiding principles related to its intellectual property protection strategies.</w:t>
      </w:r>
    </w:p>
    <w:p>
      <w:pPr>
        <w:spacing w:after="0" w:line="16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Lilly believes that patients benefit most from a biopharmaceutical innovation ecosystem that both (a) incentivizes discovery and development of a sustainable pipeline of innovative drugs and (b) leads to reliable entry of lower-cost biosimilar and generic drugs.</w:t>
      </w:r>
    </w:p>
    <w:p>
      <w:pPr>
        <w:spacing w:after="0" w:line="9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described in our ESG Report, intellectual property protection improves patient access by incentivizing investment and innovation. Consistent with our commitment to promoting access to our medicines so that our breakthroughs can transform more people’s lives, Lilly supports the removal of regulatory or pricing, reimbursement and access restrictions for generics and biosimilars when intellectual property protections expire. In addition, Lilly has a long-standing practice of not seeking or enforcing patents for medicines in countries designated by the United Nations as the least developed.</w:t>
      </w:r>
    </w:p>
    <w:p>
      <w:pPr>
        <w:spacing w:after="0" w:line="1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2021, Lilly publicly announced its participation in the IP Principles for Advancing Cures and Therapies (the IP PACT), which serves as a framework for guiding the company’s commitment to innovation while keeping patients at the heart of its efforts. The IP PACT framework includes the following principles, among others:</w:t>
      </w:r>
    </w:p>
    <w:p>
      <w:pPr>
        <w:spacing w:after="0" w:line="117" w:lineRule="exact"/>
        <w:rPr>
          <w:sz w:val="20"/>
          <w:szCs w:val="20"/>
          <w:color w:val="auto"/>
        </w:rPr>
      </w:pPr>
    </w:p>
    <w:p>
      <w:pPr>
        <w:ind w:left="640" w:hanging="308"/>
        <w:spacing w:after="0"/>
        <w:tabs>
          <w:tab w:leader="none" w:pos="640" w:val="left"/>
        </w:tabs>
        <w:numPr>
          <w:ilvl w:val="0"/>
          <w:numId w:val="209"/>
        </w:numPr>
        <w:rPr>
          <w:rFonts w:ascii="Arial" w:cs="Arial" w:eastAsia="Arial" w:hAnsi="Arial"/>
          <w:sz w:val="16"/>
          <w:szCs w:val="16"/>
          <w:color w:val="auto"/>
        </w:rPr>
      </w:pPr>
      <w:r>
        <w:rPr>
          <w:rFonts w:ascii="Arial" w:cs="Arial" w:eastAsia="Arial" w:hAnsi="Arial"/>
          <w:sz w:val="18"/>
          <w:szCs w:val="18"/>
          <w:color w:val="auto"/>
        </w:rPr>
        <w:t>Patient and societal benefit will guide Lilly’s approach to IP.</w:t>
      </w:r>
    </w:p>
    <w:p>
      <w:pPr>
        <w:spacing w:after="0" w:line="171" w:lineRule="exact"/>
        <w:rPr>
          <w:rFonts w:ascii="Arial" w:cs="Arial" w:eastAsia="Arial" w:hAnsi="Arial"/>
          <w:sz w:val="16"/>
          <w:szCs w:val="16"/>
          <w:color w:val="auto"/>
        </w:rPr>
      </w:pPr>
    </w:p>
    <w:p>
      <w:pPr>
        <w:ind w:left="640" w:hanging="308"/>
        <w:spacing w:after="0"/>
        <w:tabs>
          <w:tab w:leader="none" w:pos="640" w:val="left"/>
        </w:tabs>
        <w:numPr>
          <w:ilvl w:val="0"/>
          <w:numId w:val="209"/>
        </w:numPr>
        <w:rPr>
          <w:rFonts w:ascii="Arial" w:cs="Arial" w:eastAsia="Arial" w:hAnsi="Arial"/>
          <w:sz w:val="16"/>
          <w:szCs w:val="16"/>
          <w:color w:val="auto"/>
        </w:rPr>
      </w:pPr>
      <w:r>
        <w:rPr>
          <w:rFonts w:ascii="Arial" w:cs="Arial" w:eastAsia="Arial" w:hAnsi="Arial"/>
          <w:sz w:val="18"/>
          <w:szCs w:val="18"/>
          <w:color w:val="auto"/>
        </w:rPr>
        <w:t>Lilly will support initiatives to ensure patent quality, which help advance biopharmaceutical innovation.</w:t>
      </w:r>
    </w:p>
    <w:p>
      <w:pPr>
        <w:spacing w:after="0" w:line="171" w:lineRule="exact"/>
        <w:rPr>
          <w:rFonts w:ascii="Arial" w:cs="Arial" w:eastAsia="Arial" w:hAnsi="Arial"/>
          <w:sz w:val="16"/>
          <w:szCs w:val="16"/>
          <w:color w:val="auto"/>
        </w:rPr>
      </w:pPr>
    </w:p>
    <w:p>
      <w:pPr>
        <w:ind w:left="640" w:hanging="308"/>
        <w:spacing w:after="0"/>
        <w:tabs>
          <w:tab w:leader="none" w:pos="640" w:val="left"/>
        </w:tabs>
        <w:numPr>
          <w:ilvl w:val="0"/>
          <w:numId w:val="209"/>
        </w:numPr>
        <w:rPr>
          <w:rFonts w:ascii="Arial" w:cs="Arial" w:eastAsia="Arial" w:hAnsi="Arial"/>
          <w:sz w:val="16"/>
          <w:szCs w:val="16"/>
          <w:color w:val="auto"/>
        </w:rPr>
      </w:pPr>
      <w:r>
        <w:rPr>
          <w:rFonts w:ascii="Arial" w:cs="Arial" w:eastAsia="Arial" w:hAnsi="Arial"/>
          <w:sz w:val="18"/>
          <w:szCs w:val="18"/>
          <w:color w:val="auto"/>
        </w:rPr>
        <w:t>Lilly will use IP rights to facilitate collaboration and enable partnerships that advance global health.</w:t>
      </w:r>
    </w:p>
    <w:p>
      <w:pPr>
        <w:spacing w:after="0" w:line="171" w:lineRule="exact"/>
        <w:rPr>
          <w:rFonts w:ascii="Arial" w:cs="Arial" w:eastAsia="Arial" w:hAnsi="Arial"/>
          <w:sz w:val="16"/>
          <w:szCs w:val="16"/>
          <w:color w:val="auto"/>
        </w:rPr>
      </w:pPr>
    </w:p>
    <w:p>
      <w:pPr>
        <w:ind w:left="660" w:right="200" w:hanging="328"/>
        <w:spacing w:after="0" w:line="287" w:lineRule="auto"/>
        <w:tabs>
          <w:tab w:leader="none" w:pos="649" w:val="left"/>
        </w:tabs>
        <w:numPr>
          <w:ilvl w:val="0"/>
          <w:numId w:val="209"/>
        </w:numPr>
        <w:rPr>
          <w:rFonts w:ascii="Arial" w:cs="Arial" w:eastAsia="Arial" w:hAnsi="Arial"/>
          <w:sz w:val="16"/>
          <w:szCs w:val="16"/>
          <w:color w:val="auto"/>
        </w:rPr>
      </w:pPr>
      <w:r>
        <w:rPr>
          <w:rFonts w:ascii="Arial" w:cs="Arial" w:eastAsia="Arial" w:hAnsi="Arial"/>
          <w:sz w:val="18"/>
          <w:szCs w:val="18"/>
          <w:color w:val="auto"/>
        </w:rPr>
        <w:t>Lilly believes that accessible patent information promotes scientific progress and helps improve the procurement of medicines, and we support voluntary initiatives that advance these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714500" cy="8255"/>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51" w:lineRule="exact"/>
        <w:rPr>
          <w:sz w:val="20"/>
          <w:szCs w:val="20"/>
          <w:color w:val="auto"/>
        </w:rPr>
      </w:pPr>
    </w:p>
    <w:p>
      <w:pPr>
        <w:ind w:left="180" w:hanging="172"/>
        <w:spacing w:after="0" w:line="242" w:lineRule="auto"/>
        <w:tabs>
          <w:tab w:leader="none" w:pos="198" w:val="left"/>
        </w:tabs>
        <w:numPr>
          <w:ilvl w:val="0"/>
          <w:numId w:val="210"/>
        </w:numPr>
        <w:rPr>
          <w:rFonts w:ascii="Arial" w:cs="Arial" w:eastAsia="Arial" w:hAnsi="Arial"/>
          <w:sz w:val="23"/>
          <w:szCs w:val="23"/>
          <w:color w:val="auto"/>
          <w:vertAlign w:val="superscript"/>
        </w:rPr>
      </w:pPr>
      <w:r>
        <w:rPr>
          <w:rFonts w:ascii="Arial" w:cs="Arial" w:eastAsia="Arial" w:hAnsi="Arial"/>
          <w:sz w:val="14"/>
          <w:szCs w:val="14"/>
          <w:i w:val="1"/>
          <w:iCs w:val="1"/>
          <w:color w:val="auto"/>
        </w:rPr>
        <w:t>See, e.g.</w:t>
      </w:r>
      <w:r>
        <w:rPr>
          <w:rFonts w:ascii="Arial" w:cs="Arial" w:eastAsia="Arial" w:hAnsi="Arial"/>
          <w:sz w:val="14"/>
          <w:szCs w:val="14"/>
          <w:color w:val="auto"/>
        </w:rPr>
        <w:t>, Adam Mossoff,</w:t>
      </w:r>
      <w:r>
        <w:rPr>
          <w:rFonts w:ascii="Arial" w:cs="Arial" w:eastAsia="Arial" w:hAnsi="Arial"/>
          <w:sz w:val="14"/>
          <w:szCs w:val="14"/>
          <w:i w:val="1"/>
          <w:iCs w:val="1"/>
          <w:color w:val="auto"/>
        </w:rPr>
        <w:t xml:space="preserve"> Unreliable Data Have Infected the Policy Debates Over Drug Patents </w:t>
      </w:r>
      <w:r>
        <w:rPr>
          <w:rFonts w:ascii="Arial" w:cs="Arial" w:eastAsia="Arial" w:hAnsi="Arial"/>
          <w:sz w:val="14"/>
          <w:szCs w:val="14"/>
          <w:color w:val="auto"/>
        </w:rPr>
        <w:t>(Jan. 2022); Letter from Sen. Thom Tillis to Dr. Janet Woodcock and Mr. Drew</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Hirshfeld (Jan. 31, 2022); Letter from Sen. Thom Tillis to Dr. Robert Califf and Mr. Drew Hirshfeld (Apr. 1, 2022); Erika Lietzan &amp; Kristina Acri née Lybecker, </w:t>
      </w:r>
      <w:r>
        <w:rPr>
          <w:rFonts w:ascii="Arial" w:cs="Arial" w:eastAsia="Arial" w:hAnsi="Arial"/>
          <w:sz w:val="14"/>
          <w:szCs w:val="14"/>
          <w:i w:val="1"/>
          <w:iCs w:val="1"/>
          <w:color w:val="auto"/>
        </w:rPr>
        <w:t>Solutions Still</w:t>
      </w:r>
      <w:r>
        <w:rPr>
          <w:rFonts w:ascii="Arial" w:cs="Arial" w:eastAsia="Arial" w:hAnsi="Arial"/>
          <w:sz w:val="14"/>
          <w:szCs w:val="14"/>
          <w:color w:val="auto"/>
        </w:rPr>
        <w:t xml:space="preserve"> </w:t>
      </w:r>
      <w:r>
        <w:rPr>
          <w:rFonts w:ascii="Arial" w:cs="Arial" w:eastAsia="Arial" w:hAnsi="Arial"/>
          <w:sz w:val="14"/>
          <w:szCs w:val="14"/>
          <w:i w:val="1"/>
          <w:iCs w:val="1"/>
          <w:color w:val="auto"/>
        </w:rPr>
        <w:t>Searching for a Problem: A Call for Relevant Data to Support “Evergreening” Allegations</w:t>
      </w:r>
      <w:r>
        <w:rPr>
          <w:rFonts w:ascii="Arial" w:cs="Arial" w:eastAsia="Arial" w:hAnsi="Arial"/>
          <w:sz w:val="14"/>
          <w:szCs w:val="14"/>
          <w:color w:val="auto"/>
        </w:rPr>
        <w:t>, 33 Fordham Intell. Prop., Media &amp; Ent. L.J., at 1 (forthcoming). As noted by Mossoff,</w:t>
      </w:r>
      <w:r>
        <w:rPr>
          <w:rFonts w:ascii="Arial" w:cs="Arial" w:eastAsia="Arial" w:hAnsi="Arial"/>
          <w:sz w:val="14"/>
          <w:szCs w:val="14"/>
          <w:i w:val="1"/>
          <w:iCs w:val="1"/>
          <w:color w:val="auto"/>
        </w:rPr>
        <w:t xml:space="preserve"> </w:t>
      </w:r>
      <w:r>
        <w:rPr>
          <w:rFonts w:ascii="Arial" w:cs="Arial" w:eastAsia="Arial" w:hAnsi="Arial"/>
          <w:sz w:val="14"/>
          <w:szCs w:val="14"/>
          <w:color w:val="auto"/>
        </w:rPr>
        <w:t>the data underlying sources for the proponent’s statement include “reported numbers of issued patents, patent applications, and exclusivity periods for drugs are infected with serious questions of reliability and accuracy…[with]repeated and vast discrepancies” from official, publicly available government sources like the FDA’s Orange Book. This data relied upon “has wrongfully inflated the purported number of patents covering biopharmaceutical products and has extended their predictions of loss of exclusivity dates beyond reality...”</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02" w:name="page103"/>
    <w:bookmarkEnd w:id="102"/>
    <w:p>
      <w:pPr>
        <w:ind w:left="660" w:right="140" w:hanging="328"/>
        <w:spacing w:after="0" w:line="287" w:lineRule="auto"/>
        <w:tabs>
          <w:tab w:leader="none" w:pos="649" w:val="left"/>
        </w:tabs>
        <w:numPr>
          <w:ilvl w:val="0"/>
          <w:numId w:val="211"/>
        </w:numPr>
        <w:rPr>
          <w:rFonts w:ascii="Arial" w:cs="Arial" w:eastAsia="Arial" w:hAnsi="Arial"/>
          <w:sz w:val="16"/>
          <w:szCs w:val="16"/>
          <w:color w:val="auto"/>
        </w:rPr>
      </w:pPr>
      <w:r>
        <w:rPr>
          <w:rFonts w:ascii="Arial" w:cs="Arial" w:eastAsia="Arial" w:hAnsi="Arial"/>
          <w:sz w:val="18"/>
          <w:szCs w:val="18"/>
          <w:color w:val="auto"/>
        </w:rPr>
        <w:t>Lilly will act responsibility and professionally in the Company’s patent proceedings, and seek timely resolutions to enhance certainty for all stakeholders.</w:t>
      </w:r>
    </w:p>
    <w:p>
      <w:pPr>
        <w:spacing w:after="0" w:line="98" w:lineRule="exact"/>
        <w:rPr>
          <w:rFonts w:ascii="Arial" w:cs="Arial" w:eastAsia="Arial" w:hAnsi="Arial"/>
          <w:sz w:val="16"/>
          <w:szCs w:val="16"/>
          <w:color w:val="auto"/>
        </w:rPr>
      </w:pPr>
    </w:p>
    <w:p>
      <w:pPr>
        <w:ind w:left="660" w:right="100" w:hanging="328"/>
        <w:spacing w:after="0" w:line="287" w:lineRule="auto"/>
        <w:tabs>
          <w:tab w:leader="none" w:pos="649" w:val="left"/>
        </w:tabs>
        <w:numPr>
          <w:ilvl w:val="0"/>
          <w:numId w:val="211"/>
        </w:numPr>
        <w:rPr>
          <w:rFonts w:ascii="Arial" w:cs="Arial" w:eastAsia="Arial" w:hAnsi="Arial"/>
          <w:sz w:val="16"/>
          <w:szCs w:val="16"/>
          <w:color w:val="auto"/>
        </w:rPr>
      </w:pPr>
      <w:r>
        <w:rPr>
          <w:rFonts w:ascii="Arial" w:cs="Arial" w:eastAsia="Arial" w:hAnsi="Arial"/>
          <w:sz w:val="18"/>
          <w:szCs w:val="18"/>
          <w:color w:val="auto"/>
        </w:rPr>
        <w:t>Lilly believes that generic and biosimilar medicines are important for sustainable health systems, and that certain activities related to seeking regulatory approval should be exempt from patent infringement.</w:t>
      </w:r>
    </w:p>
    <w:p>
      <w:pPr>
        <w:spacing w:after="0" w:line="98" w:lineRule="exact"/>
        <w:rPr>
          <w:rFonts w:ascii="Arial" w:cs="Arial" w:eastAsia="Arial" w:hAnsi="Arial"/>
          <w:sz w:val="16"/>
          <w:szCs w:val="16"/>
          <w:color w:val="auto"/>
        </w:rPr>
      </w:pPr>
    </w:p>
    <w:p>
      <w:pPr>
        <w:ind w:left="660" w:right="60" w:hanging="328"/>
        <w:spacing w:after="0" w:line="287" w:lineRule="auto"/>
        <w:tabs>
          <w:tab w:leader="none" w:pos="649" w:val="left"/>
        </w:tabs>
        <w:numPr>
          <w:ilvl w:val="0"/>
          <w:numId w:val="211"/>
        </w:numPr>
        <w:rPr>
          <w:rFonts w:ascii="Arial" w:cs="Arial" w:eastAsia="Arial" w:hAnsi="Arial"/>
          <w:sz w:val="16"/>
          <w:szCs w:val="16"/>
          <w:color w:val="auto"/>
        </w:rPr>
      </w:pPr>
      <w:r>
        <w:rPr>
          <w:rFonts w:ascii="Arial" w:cs="Arial" w:eastAsia="Arial" w:hAnsi="Arial"/>
          <w:sz w:val="18"/>
          <w:szCs w:val="18"/>
          <w:color w:val="auto"/>
        </w:rPr>
        <w:t>Lilly believes that advancing public health depends on robust IP, rights as well as collaboration among stakeholders, and may call for tailored uses of our IP where these add value for patients.</w:t>
      </w:r>
    </w:p>
    <w:p>
      <w:pPr>
        <w:spacing w:after="0" w:line="98" w:lineRule="exact"/>
        <w:rPr>
          <w:rFonts w:ascii="Arial" w:cs="Arial" w:eastAsia="Arial" w:hAnsi="Arial"/>
          <w:sz w:val="16"/>
          <w:szCs w:val="16"/>
          <w:color w:val="auto"/>
        </w:rPr>
      </w:pPr>
    </w:p>
    <w:p>
      <w:pPr>
        <w:ind w:left="640" w:hanging="308"/>
        <w:spacing w:after="0"/>
        <w:tabs>
          <w:tab w:leader="none" w:pos="640" w:val="left"/>
        </w:tabs>
        <w:numPr>
          <w:ilvl w:val="0"/>
          <w:numId w:val="211"/>
        </w:numPr>
        <w:rPr>
          <w:rFonts w:ascii="Arial" w:cs="Arial" w:eastAsia="Arial" w:hAnsi="Arial"/>
          <w:sz w:val="16"/>
          <w:szCs w:val="16"/>
          <w:color w:val="auto"/>
        </w:rPr>
      </w:pPr>
      <w:r>
        <w:rPr>
          <w:rFonts w:ascii="Arial" w:cs="Arial" w:eastAsia="Arial" w:hAnsi="Arial"/>
          <w:sz w:val="18"/>
          <w:szCs w:val="18"/>
          <w:color w:val="auto"/>
        </w:rPr>
        <w:t>Lilly will approach IP in the world’s poorest countries in ways that considers their unique socio-economic challenges.</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part of our process for determining whether to apply for patent protection for new innovation, we conduct a fact-specific and complicated analysis in connection with patent applications for potential products or uses, including for secondary and tertiary patents. Once filed, those patent applications are examined by patent offices around the world to ensure any patent granted meets stringent legal requirements for patentability, including that the invention is appropriately described, new, and not obvious. The statutory text underlying the patent examination standards makes no distinction between the patentability requirements for applications directed to different technologies or for different application types. The IP PACT principles help guide our patent decisions and ensure that we consider product access as part of our evaluation.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Lilly provides information on its goals and approach to access to medicine.</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further discussed in this proxy statement, on our website, in our ESG Report, and in other public materials, Lilly provides extensive disclosure regarding goals and initiatives related to access and affordability of our medicines. For example, our global access program— 30x30—is our strategy to invest in pipeline and partnership efforts to increase access to 30 million people in resource limited settings by 2030. A recent example in furtherance of this initiative, in December 2022 Lilly and EVA Pharma announced a collaboration to deliver a sustainable supply of high-quality, affordable human and analogue insulin to at least one million people living with type 1 and type 2 diabetes in low- to middle-income countries, most of which are in Africa.</w:t>
      </w:r>
    </w:p>
    <w:p>
      <w:pPr>
        <w:spacing w:after="0" w:line="128" w:lineRule="exact"/>
        <w:rPr>
          <w:sz w:val="20"/>
          <w:szCs w:val="20"/>
          <w:color w:val="auto"/>
        </w:rPr>
      </w:pPr>
    </w:p>
    <w:p>
      <w:pPr>
        <w:ind w:right="60"/>
        <w:spacing w:after="0" w:line="296" w:lineRule="auto"/>
        <w:rPr>
          <w:sz w:val="20"/>
          <w:szCs w:val="20"/>
          <w:color w:val="auto"/>
        </w:rPr>
      </w:pPr>
      <w:r>
        <w:rPr>
          <w:rFonts w:ascii="Arial" w:cs="Arial" w:eastAsia="Arial" w:hAnsi="Arial"/>
          <w:sz w:val="18"/>
          <w:szCs w:val="18"/>
          <w:b w:val="1"/>
          <w:bCs w:val="1"/>
          <w:color w:val="auto"/>
        </w:rPr>
        <w:t>Requiring Lilly to prepare a separate report with this information would place an undue administrative burden on the company and would not provide meaningful additional information to shareholders.</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do not believe the separate report requested by the proposal would provide meaningful additional information to shareholders to merit the resources required to provide the report. For all of these reasons, we believe the proposal is not in the best interests of the company and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5768975" cy="54864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5768975" cy="548640"/>
                    </a:xfrm>
                    <a:prstGeom prst="rect">
                      <a:avLst/>
                    </a:prstGeom>
                    <a:noFill/>
                  </pic:spPr>
                </pic:pic>
              </a:graphicData>
            </a:graphic>
          </wp:anchor>
        </w:drawing>
      </w:r>
    </w:p>
    <w:p>
      <w:pPr>
        <w:spacing w:after="0" w:line="254" w:lineRule="exact"/>
        <w:rPr>
          <w:sz w:val="20"/>
          <w:szCs w:val="20"/>
          <w:color w:val="auto"/>
        </w:rPr>
      </w:pPr>
    </w:p>
    <w:p>
      <w:pPr>
        <w:ind w:left="1040"/>
        <w:spacing w:after="0"/>
        <w:rPr>
          <w:sz w:val="20"/>
          <w:szCs w:val="20"/>
          <w:color w:val="auto"/>
        </w:rPr>
      </w:pPr>
      <w:r>
        <w:rPr>
          <w:rFonts w:ascii="Arial" w:cs="Arial" w:eastAsia="Arial" w:hAnsi="Arial"/>
          <w:sz w:val="20"/>
          <w:szCs w:val="20"/>
          <w:b w:val="1"/>
          <w:bCs w:val="1"/>
          <w:color w:val="D52B1E"/>
        </w:rPr>
        <w:t>RECOMMENDATION AGAINST</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The board recommends that you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this proposal.</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Item 10. Proposal to Report on Risks of Supporting Abortion</w:t>
      </w:r>
    </w:p>
    <w:p>
      <w:pPr>
        <w:spacing w:after="0" w:line="79"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color w:val="auto"/>
        </w:rPr>
        <w:t>National Center for Public Policy Research, 2005 Massachusetts Ave. NW, Washington, DC 20036, a beneficial owner of shares of our common stock having a market value in excess of $2,000, has submitted the following proposal:</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on Risks of Supporting Abortion</w:t>
      </w:r>
    </w:p>
    <w:p>
      <w:pPr>
        <w:spacing w:after="0" w:line="171"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Resolved: Shareholders request the Company issue a public report prior to December 31, 2023, omitting confidential and privileged information and at a reasonable expense, detailing the known and reasonably foreseeable risks and costs to the Company caused by opposing or otherwise altering Company policy in response to enacted or proposed state policies regulating abortion, and detailing any strategies beyond litigation and legal compliance that the Company may deploy to minimize or mitigate these risks.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3" w:name="page104"/>
    <w:bookmarkEnd w:id="103"/>
    <w:p>
      <w:pPr>
        <w:ind w:right="20"/>
        <w:spacing w:after="0" w:line="229" w:lineRule="auto"/>
        <w:rPr>
          <w:sz w:val="20"/>
          <w:szCs w:val="20"/>
          <w:color w:val="auto"/>
        </w:rPr>
      </w:pPr>
      <w:r>
        <w:rPr>
          <w:rFonts w:ascii="Arial" w:cs="Arial" w:eastAsia="Arial" w:hAnsi="Arial"/>
          <w:sz w:val="18"/>
          <w:szCs w:val="18"/>
          <w:color w:val="auto"/>
        </w:rPr>
        <w:t>Supporting Statement: In 2022, Eli Lilly made clear its opposition to an Indiana law that restricts abortion in cases other than rape, incest, or where a woman’s life is in danger.</w:t>
      </w:r>
      <w:r>
        <w:rPr>
          <w:rFonts w:ascii="Arial" w:cs="Arial" w:eastAsia="Arial" w:hAnsi="Arial"/>
          <w:sz w:val="23"/>
          <w:szCs w:val="23"/>
          <w:color w:val="auto"/>
          <w:vertAlign w:val="superscript"/>
        </w:rPr>
        <w:t>15</w:t>
      </w:r>
      <w:r>
        <w:rPr>
          <w:rFonts w:ascii="Arial" w:cs="Arial" w:eastAsia="Arial" w:hAnsi="Arial"/>
          <w:sz w:val="18"/>
          <w:szCs w:val="18"/>
          <w:color w:val="auto"/>
        </w:rPr>
        <w:t xml:space="preserve"> The Company claimed that as a result of this law, its ability to attract diverse employees would be hindered, and that it would be “forced to plan for more employment growth outside our home state.” </w:t>
      </w:r>
      <w:r>
        <w:rPr>
          <w:rFonts w:ascii="Arial" w:cs="Arial" w:eastAsia="Arial" w:hAnsi="Arial"/>
          <w:sz w:val="23"/>
          <w:szCs w:val="23"/>
          <w:color w:val="auto"/>
          <w:vertAlign w:val="superscript"/>
        </w:rPr>
        <w:t>16</w:t>
      </w:r>
      <w:r>
        <w:rPr>
          <w:rFonts w:ascii="Arial" w:cs="Arial" w:eastAsia="Arial" w:hAnsi="Arial"/>
          <w:sz w:val="18"/>
          <w:szCs w:val="18"/>
          <w:color w:val="auto"/>
        </w:rPr>
        <w:t xml:space="preserve"> The Company also said it expanded its employee health plan coverage to include travel for abortion.</w:t>
      </w:r>
      <w:r>
        <w:rPr>
          <w:rFonts w:ascii="Arial" w:cs="Arial" w:eastAsia="Arial" w:hAnsi="Arial"/>
          <w:sz w:val="23"/>
          <w:szCs w:val="23"/>
          <w:color w:val="auto"/>
          <w:vertAlign w:val="superscript"/>
        </w:rPr>
        <w:t>17</w:t>
      </w:r>
    </w:p>
    <w:p>
      <w:pPr>
        <w:spacing w:after="0" w:line="71"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Ironically, in spite of making these statements and policy changes that demonstrate a clear pro-abortion stance, the Company criticized state officials for taking a stance on such a controversial issue. Indeed, the Company claimed to recognize abortion as a “divisive and deeply personal issue with no clear consensus among the citizens of Indiana,” but then itself went on to take a position through its condemnation. “Despite this lack of agreement, Indiana has opted to quickly adopt one of the most restrictive anti-abortion laws in the United States,” the Company stated.</w:t>
      </w:r>
      <w:r>
        <w:rPr>
          <w:rFonts w:ascii="Arial" w:cs="Arial" w:eastAsia="Arial" w:hAnsi="Arial"/>
          <w:sz w:val="23"/>
          <w:szCs w:val="23"/>
          <w:color w:val="auto"/>
          <w:vertAlign w:val="superscript"/>
        </w:rPr>
        <w:t>18</w:t>
      </w:r>
      <w:r>
        <w:rPr>
          <w:rFonts w:ascii="Arial" w:cs="Arial" w:eastAsia="Arial" w:hAnsi="Arial"/>
          <w:sz w:val="18"/>
          <w:szCs w:val="18"/>
          <w:color w:val="auto"/>
        </w:rPr>
        <w:t xml:space="preserve"> We agree with the Company that abortion is a “divisive and deeply personal issue.” Views on the topic are often rooted in an individual’s religious or other core belief system, making taking a position on it a potential reputational, legal, and financial liability for a company—yet Eli Lilly has insisted on doing just that.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By criticizing laws that restrict abortion and implementing a benefit to pay for abortion access, the Company makes clear its opposition to pro-life legislation that limit abortion. This positioning is particularly troubling considering the emphasis the Company has placed on so-called “Diversity &amp; Inclusion.” The Company claims that embracing differences drives its business success,</w:t>
      </w:r>
      <w:r>
        <w:rPr>
          <w:rFonts w:ascii="Arial" w:cs="Arial" w:eastAsia="Arial" w:hAnsi="Arial"/>
          <w:sz w:val="23"/>
          <w:szCs w:val="23"/>
          <w:color w:val="auto"/>
          <w:vertAlign w:val="superscript"/>
        </w:rPr>
        <w:t>19</w:t>
      </w:r>
      <w:r>
        <w:rPr>
          <w:rFonts w:ascii="Arial" w:cs="Arial" w:eastAsia="Arial" w:hAnsi="Arial"/>
          <w:sz w:val="18"/>
          <w:szCs w:val="18"/>
          <w:color w:val="auto"/>
        </w:rPr>
        <w:t xml:space="preserve"> but apparently that embrace of diversity ends at diversity of thought, opinion, and religious convictions.</w:t>
      </w:r>
    </w:p>
    <w:p>
      <w:pPr>
        <w:spacing w:after="0" w:line="14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Taking positions on issues the Company admits are “divisive,” “deeply personal,” and on which there is “no clear consensus,” can only serve to alienate consumers, employees, and investors and impact the Company’s bottom-line. The Company should instead focus on its pharmaceutical mission and its fiduciary duty to shareholders, a fiduciary duty that is likely to be violated by engaging in politically divisive rhetoric and actions.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 in Opposition to the Shareholder Proposal to Report on Risks of Supporting Abortion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board, after review by its Directors and Corporate Governance Committee, recommends a vote against this proposal.</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Lilly seeks to attract and retain diverse talent from around the world, and offers competitive compensation, healthcare coverage, and other benefits to its employees. Our board and its applicable committees provide oversight of the company’s global compensation philosophy, human capital management and compliance programs. After careful consideration of this proposal, we believe the preparation of the requested report would not benefit our shareholders, employees, and other stakeholders and, therefore, would be an unnecessary distraction and redirection of resources that otherwise could be focused on running the business and advancing Lilly’s mission.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Lilly offers competitive compensation, healthcare coverage and other benefits to its employees.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global company with approximately 39,000 employees, Lilly is dedicated to attracting, developing, engaging and retaining the best talent in order to create medicines that make life better for people around the world. We want our company to be a welcoming place that people want to join, and where they can enjoy meaningful work, build successful careers, and make important contributions to society. We compete for talent with others in our industry and in the geographies in which we operate. In order to attract and retain employees, we offer a competitive total rewards program, including pay, benefits, and learning and development opportunities.</w:t>
      </w:r>
    </w:p>
    <w:p>
      <w:pPr>
        <w:spacing w:after="0" w:line="1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Workforce management is a complicated topic that is core to management’s ability to run the business. Determining health benefits such as employee leave and insurance coverage for a multitude of issues is informed by a number of factors such as local market data, employee input, and financial affordability. The Company must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714500" cy="8255"/>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68" w:lineRule="exact"/>
        <w:rPr>
          <w:sz w:val="20"/>
          <w:szCs w:val="20"/>
          <w:color w:val="auto"/>
        </w:rPr>
      </w:pPr>
    </w:p>
    <w:p>
      <w:pPr>
        <w:ind w:left="180" w:right="300" w:hanging="172"/>
        <w:spacing w:after="0" w:line="221" w:lineRule="auto"/>
        <w:tabs>
          <w:tab w:leader="none" w:pos="198" w:val="left"/>
        </w:tabs>
        <w:numPr>
          <w:ilvl w:val="0"/>
          <w:numId w:val="212"/>
        </w:numPr>
        <w:rPr>
          <w:rFonts w:ascii="Arial" w:cs="Arial" w:eastAsia="Arial" w:hAnsi="Arial"/>
          <w:sz w:val="23"/>
          <w:szCs w:val="23"/>
          <w:color w:val="auto"/>
          <w:vertAlign w:val="superscript"/>
        </w:rPr>
      </w:pPr>
      <w:r>
        <w:rPr>
          <w:rFonts w:ascii="Arial" w:cs="Arial" w:eastAsia="Arial" w:hAnsi="Arial"/>
          <w:sz w:val="14"/>
          <w:szCs w:val="14"/>
          <w:color w:val="auto"/>
        </w:rPr>
        <w:t>https://www.cbsnews.com/news/abortion-indiana-eli-lilly-cummins-roche/;https://www.cnbc.com/2022/08/06/eli-lilly-says-indianas-abortion-law-will-lead-the-drugmaker-to-grow-in-other-states.html; https://www.wthr.com/article/news/special-reports/indiana-abortion/eli-lilly-condemns-new-abortion-ban-looks-to-expand-outside-indiana/531-7dedb5c9-0dda-4d9e-acf1-8f18e0b988db</w:t>
      </w:r>
    </w:p>
    <w:p>
      <w:pPr>
        <w:spacing w:after="0" w:line="1" w:lineRule="exact"/>
        <w:rPr>
          <w:rFonts w:ascii="Arial" w:cs="Arial" w:eastAsia="Arial" w:hAnsi="Arial"/>
          <w:sz w:val="23"/>
          <w:szCs w:val="23"/>
          <w:color w:val="auto"/>
          <w:vertAlign w:val="superscript"/>
        </w:rPr>
      </w:pPr>
    </w:p>
    <w:p>
      <w:pPr>
        <w:ind w:left="180" w:hanging="172"/>
        <w:spacing w:after="0" w:line="232" w:lineRule="auto"/>
        <w:tabs>
          <w:tab w:leader="none" w:pos="180" w:val="left"/>
        </w:tabs>
        <w:numPr>
          <w:ilvl w:val="0"/>
          <w:numId w:val="212"/>
        </w:numPr>
        <w:rPr>
          <w:rFonts w:ascii="Arial" w:cs="Arial" w:eastAsia="Arial" w:hAnsi="Arial"/>
          <w:sz w:val="23"/>
          <w:szCs w:val="23"/>
          <w:color w:val="auto"/>
          <w:vertAlign w:val="superscript"/>
        </w:rPr>
      </w:pPr>
      <w:r>
        <w:rPr>
          <w:rFonts w:ascii="Arial" w:cs="Arial" w:eastAsia="Arial" w:hAnsi="Arial"/>
          <w:sz w:val="14"/>
          <w:szCs w:val="14"/>
          <w:color w:val="auto"/>
        </w:rPr>
        <w:t>https://www.cnbc.com/2022/08/06/eli-lilly-says-indianas-abortion-law-will-lead-the-drugmaker-to-grow-in-other-states.html</w:t>
      </w:r>
    </w:p>
    <w:p>
      <w:pPr>
        <w:spacing w:after="0" w:line="82" w:lineRule="exact"/>
        <w:rPr>
          <w:rFonts w:ascii="Arial" w:cs="Arial" w:eastAsia="Arial" w:hAnsi="Arial"/>
          <w:sz w:val="23"/>
          <w:szCs w:val="23"/>
          <w:color w:val="auto"/>
          <w:vertAlign w:val="superscript"/>
        </w:rPr>
      </w:pPr>
    </w:p>
    <w:p>
      <w:pPr>
        <w:ind w:left="180" w:right="300" w:hanging="172"/>
        <w:spacing w:after="0" w:line="213" w:lineRule="auto"/>
        <w:tabs>
          <w:tab w:leader="none" w:pos="198" w:val="left"/>
        </w:tabs>
        <w:numPr>
          <w:ilvl w:val="0"/>
          <w:numId w:val="212"/>
        </w:numPr>
        <w:rPr>
          <w:rFonts w:ascii="Arial" w:cs="Arial" w:eastAsia="Arial" w:hAnsi="Arial"/>
          <w:sz w:val="23"/>
          <w:szCs w:val="23"/>
          <w:color w:val="auto"/>
          <w:vertAlign w:val="superscript"/>
        </w:rPr>
      </w:pPr>
      <w:r>
        <w:rPr>
          <w:rFonts w:ascii="Arial" w:cs="Arial" w:eastAsia="Arial" w:hAnsi="Arial"/>
          <w:sz w:val="14"/>
          <w:szCs w:val="14"/>
          <w:color w:val="auto"/>
        </w:rPr>
        <w:t>https://www.cbsnews.com/news/abortion-indiana-eli-lilly-cummins-roche/;https://www.cnbc.com/2022/08/06/eli-lilly-says-indianas-abortion-law-will-lead-the-drugmaker-to-grow-in-other-states.html</w:t>
      </w:r>
    </w:p>
    <w:p>
      <w:pPr>
        <w:ind w:left="180" w:hanging="172"/>
        <w:spacing w:after="0" w:line="232" w:lineRule="auto"/>
        <w:tabs>
          <w:tab w:leader="none" w:pos="180" w:val="left"/>
        </w:tabs>
        <w:numPr>
          <w:ilvl w:val="0"/>
          <w:numId w:val="212"/>
        </w:numPr>
        <w:rPr>
          <w:rFonts w:ascii="Arial" w:cs="Arial" w:eastAsia="Arial" w:hAnsi="Arial"/>
          <w:sz w:val="23"/>
          <w:szCs w:val="23"/>
          <w:color w:val="auto"/>
          <w:vertAlign w:val="superscript"/>
        </w:rPr>
      </w:pPr>
      <w:r>
        <w:rPr>
          <w:rFonts w:ascii="Arial" w:cs="Arial" w:eastAsia="Arial" w:hAnsi="Arial"/>
          <w:sz w:val="14"/>
          <w:szCs w:val="14"/>
          <w:color w:val="auto"/>
        </w:rPr>
        <w:t>https://www.cnbc.com/2022/08/06/eli-lilly-says-indianas-abortion-law-will-lead-the-drugmaker-to-grow-in-other-states.html</w:t>
      </w:r>
    </w:p>
    <w:p>
      <w:pPr>
        <w:spacing w:after="0" w:line="82" w:lineRule="exact"/>
        <w:rPr>
          <w:rFonts w:ascii="Arial" w:cs="Arial" w:eastAsia="Arial" w:hAnsi="Arial"/>
          <w:sz w:val="23"/>
          <w:szCs w:val="23"/>
          <w:color w:val="auto"/>
          <w:vertAlign w:val="superscript"/>
        </w:rPr>
      </w:pPr>
    </w:p>
    <w:p>
      <w:pPr>
        <w:ind w:left="180" w:right="240" w:hanging="172"/>
        <w:spacing w:after="0" w:line="213" w:lineRule="auto"/>
        <w:tabs>
          <w:tab w:leader="none" w:pos="198" w:val="left"/>
        </w:tabs>
        <w:numPr>
          <w:ilvl w:val="0"/>
          <w:numId w:val="212"/>
        </w:numPr>
        <w:rPr>
          <w:rFonts w:ascii="Arial" w:cs="Arial" w:eastAsia="Arial" w:hAnsi="Arial"/>
          <w:sz w:val="23"/>
          <w:szCs w:val="23"/>
          <w:color w:val="auto"/>
          <w:vertAlign w:val="superscript"/>
        </w:rPr>
      </w:pPr>
      <w:r>
        <w:rPr>
          <w:rFonts w:ascii="Arial" w:cs="Arial" w:eastAsia="Arial" w:hAnsi="Arial"/>
          <w:sz w:val="14"/>
          <w:szCs w:val="14"/>
          <w:color w:val="auto"/>
        </w:rPr>
        <w:t>https://www.lilly.com.au/operating-responsibly/diversity-inclusion; https://blog.kelley.iupui.edu/2020/10/05/eli-lilly-ceo-to-lead-healthcare-focused-conversation-on-inclusive-leadership/</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4" w:name="page105"/>
    <w:bookmarkEnd w:id="104"/>
    <w:p>
      <w:pPr>
        <w:ind w:right="20"/>
        <w:spacing w:after="0" w:line="268" w:lineRule="auto"/>
        <w:rPr>
          <w:sz w:val="20"/>
          <w:szCs w:val="20"/>
          <w:color w:val="auto"/>
        </w:rPr>
      </w:pPr>
      <w:r>
        <w:rPr>
          <w:rFonts w:ascii="Arial" w:cs="Arial" w:eastAsia="Arial" w:hAnsi="Arial"/>
          <w:sz w:val="18"/>
          <w:szCs w:val="18"/>
          <w:color w:val="auto"/>
        </w:rPr>
        <w:t>consider our benefit offerings with our global workforce in mind where roughly 55 percent of our full-time workforce works outside of the United States and benefit packages are developed at the individual country level. In the U.S., nearly 40 percent of our workforce lives outside of the state of Indiana, which is also an important consideration for benefits packages being developed for our U.S. employees.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believe the healthcare coverage options offered to our employees are competitive in the markets in which we operate. We review benefit offerings frequently for compliance with applicable law and to be responsive to the needs of our current employees as well as those we are seeking to recruit. Without the flexibility to react to changes in the markets in which we operate and update our benefits offerings in the manner that management determines is most beneficial to the company, Lilly may face additional recruitment or retention challenges that could ultimately affect the company’s profitability.</w:t>
      </w:r>
    </w:p>
    <w:p>
      <w:pPr>
        <w:spacing w:after="0" w:line="125" w:lineRule="exact"/>
        <w:rPr>
          <w:sz w:val="20"/>
          <w:szCs w:val="20"/>
          <w:color w:val="auto"/>
        </w:rPr>
      </w:pPr>
    </w:p>
    <w:p>
      <w:pPr>
        <w:ind w:right="280"/>
        <w:spacing w:after="0" w:line="296" w:lineRule="auto"/>
        <w:rPr>
          <w:sz w:val="20"/>
          <w:szCs w:val="20"/>
          <w:color w:val="auto"/>
        </w:rPr>
      </w:pPr>
      <w:r>
        <w:rPr>
          <w:rFonts w:ascii="Arial" w:cs="Arial" w:eastAsia="Arial" w:hAnsi="Arial"/>
          <w:sz w:val="18"/>
          <w:szCs w:val="18"/>
          <w:b w:val="1"/>
          <w:bCs w:val="1"/>
          <w:color w:val="auto"/>
        </w:rPr>
        <w:t>Lilly is committed to fairness and nondiscrimination in our employment practices, and we value diverse backgrounds, skills and global perspectives.</w:t>
      </w:r>
    </w:p>
    <w:p>
      <w:pPr>
        <w:spacing w:after="0" w:line="83"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Our long-standing values of integrity, excellence and respect for people promote an environment where team members are encouraged to speak up, share ideas and be fully engaged in our work while bringing their full authentic selves to work every day in order to achieve our mission. Leaders at Lilly are expected to lead more inclusively by valuing differences, recognizing and overcoming bias and fostering a speak-up culture where all colleagues feel their ideas and contributions are welcome and valued.</w:t>
      </w:r>
    </w:p>
    <w:p>
      <w:pPr>
        <w:spacing w:after="0" w:line="12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Lilly employees have different experiences, perspectives and traditions, and we are committed to welcoming, respecting and valuing those differences. Our health benefit policies are intended to be responsive to what our employees are seeking and what our competitors are offering to their employees, with the goal of creating a welcoming and diverse workplace where all employees feel supported and valued.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Lilly has a robust governance process in place to oversee risk and compliance.</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board and its committees receive regular updates from management, including related to human resources and compliance, and discuss management’s assessments from the company’s enterprise risk management process. Specifically, the company’s Compensation Committee advises management and the board regarding human capital management, diversity, equity and inclusion (DEI) efforts, and employee compensation and benefits matters. We believe these processes are reasonable and appropriate to assess and respond to any purported risks from any specific benefit policy without the need to commission the report requested by the proposal.</w:t>
      </w:r>
    </w:p>
    <w:p>
      <w:pPr>
        <w:spacing w:after="0" w:line="125" w:lineRule="exact"/>
        <w:rPr>
          <w:sz w:val="20"/>
          <w:szCs w:val="20"/>
          <w:color w:val="auto"/>
        </w:rPr>
      </w:pPr>
    </w:p>
    <w:p>
      <w:pPr>
        <w:ind w:right="440"/>
        <w:spacing w:after="0" w:line="296" w:lineRule="auto"/>
        <w:rPr>
          <w:sz w:val="20"/>
          <w:szCs w:val="20"/>
          <w:color w:val="auto"/>
        </w:rPr>
      </w:pPr>
      <w:r>
        <w:rPr>
          <w:rFonts w:ascii="Arial" w:cs="Arial" w:eastAsia="Arial" w:hAnsi="Arial"/>
          <w:sz w:val="18"/>
          <w:szCs w:val="18"/>
          <w:b w:val="1"/>
          <w:bCs w:val="1"/>
          <w:color w:val="auto"/>
        </w:rPr>
        <w:t>The scope of the requested report is framed so broadly and speculatively that we believe it would be extremely difficult for the company to produce a report that would provide value or utility to our shareholders, employees, and other stakeholders.</w:t>
      </w:r>
    </w:p>
    <w:p>
      <w:pPr>
        <w:spacing w:after="0" w:line="8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requested report would involve a review and report of not only the laws in each of the states in which the company operates, but also all proposed bills, legislation in committee, speculation about the results or outcomes of relevant pending state-level litigation, and any current or proposed administrative policies of state governmental bodies. Moreover, it is not clear how the company could quantify what constitutes “risks and costs” caused by “opposing” or “altering” company policies and procedures “in response to enacted or proposed state policies” of the kind described in the proposal. Producing the requested report would prove to be a diversion of board and management time and other company resources that could be better spent running the business and managing the company’s workforce.</w:t>
      </w:r>
    </w:p>
    <w:p>
      <w:pPr>
        <w:spacing w:after="0" w:line="12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Lilly is committed to complying with any laws that are or may be enacted that apply to our company. We believe the company’s resources are better focused on its day-to-day review and design of our benefits plans and programs in order to remain competitive in our industry and in compliance with applicable regulatory requirements in the jurisdictions where we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5768975" cy="54864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5768975" cy="548640"/>
                    </a:xfrm>
                    <a:prstGeom prst="rect">
                      <a:avLst/>
                    </a:prstGeom>
                    <a:noFill/>
                  </pic:spPr>
                </pic:pic>
              </a:graphicData>
            </a:graphic>
          </wp:anchor>
        </w:drawing>
      </w:r>
    </w:p>
    <w:p>
      <w:pPr>
        <w:spacing w:after="0" w:line="254" w:lineRule="exact"/>
        <w:rPr>
          <w:sz w:val="20"/>
          <w:szCs w:val="20"/>
          <w:color w:val="auto"/>
        </w:rPr>
      </w:pPr>
    </w:p>
    <w:p>
      <w:pPr>
        <w:ind w:left="1040"/>
        <w:spacing w:after="0"/>
        <w:rPr>
          <w:sz w:val="20"/>
          <w:szCs w:val="20"/>
          <w:color w:val="auto"/>
        </w:rPr>
      </w:pPr>
      <w:r>
        <w:rPr>
          <w:rFonts w:ascii="Arial" w:cs="Arial" w:eastAsia="Arial" w:hAnsi="Arial"/>
          <w:sz w:val="20"/>
          <w:szCs w:val="20"/>
          <w:b w:val="1"/>
          <w:bCs w:val="1"/>
          <w:color w:val="D52B1E"/>
        </w:rPr>
        <w:t>RECOMMENDATION AGAINST</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The board recommends that you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this proposal.</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5" w:name="page106"/>
    <w:bookmarkEnd w:id="105"/>
    <w:p>
      <w:pPr>
        <w:ind w:right="580"/>
        <w:spacing w:after="0" w:line="276" w:lineRule="auto"/>
        <w:rPr>
          <w:sz w:val="20"/>
          <w:szCs w:val="20"/>
          <w:color w:val="auto"/>
        </w:rPr>
      </w:pPr>
      <w:r>
        <w:rPr>
          <w:rFonts w:ascii="Arial" w:cs="Arial" w:eastAsia="Arial" w:hAnsi="Arial"/>
          <w:sz w:val="32"/>
          <w:szCs w:val="32"/>
          <w:b w:val="1"/>
          <w:bCs w:val="1"/>
          <w:color w:val="D52B1E"/>
        </w:rPr>
        <w:t>Item 11. Proposal to Disclose Lobbying Activities and Alignment with Public Policy Positions and Statements</w:t>
      </w:r>
    </w:p>
    <w:p>
      <w:pPr>
        <w:spacing w:after="0" w:line="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CommonSpirit Health, 444 West Lake Street, Chicago, IL 60606, as lead filer, along with several cofilers, each a beneficial owner of shares of our common stock having a market value in excess of $2,000, has submitted the following proposal:</w:t>
      </w:r>
    </w:p>
    <w:p>
      <w:pPr>
        <w:spacing w:after="0" w:line="99"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Resolved: Shareholders request that the Board of Directors commission and publish a third party review within the next year (at reasonable cost, omitting proprietary information) of how Eli Lilly and Company (“Lilly”) reconciles the strong commitments to both innovation and patient access, reflected in Lilly’s statement that it “strike[s] a balance between access and patient affordability, while sustaining investments to research innovative life-changing treatments for some of today’s most serious diseases”</w:t>
      </w:r>
      <w:r>
        <w:rPr>
          <w:rFonts w:ascii="Arial" w:cs="Arial" w:eastAsia="Arial" w:hAnsi="Arial"/>
          <w:sz w:val="23"/>
          <w:szCs w:val="23"/>
          <w:color w:val="auto"/>
          <w:vertAlign w:val="superscript"/>
        </w:rPr>
        <w:t>20</w:t>
      </w:r>
      <w:r>
        <w:rPr>
          <w:rFonts w:ascii="Arial" w:cs="Arial" w:eastAsia="Arial" w:hAnsi="Arial"/>
          <w:sz w:val="18"/>
          <w:szCs w:val="18"/>
          <w:color w:val="auto"/>
        </w:rPr>
        <w:t>--when lobbying and engaging in other policy advocacy activities (both direct and through trade associations).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Supporting Statement:</w:t>
      </w:r>
    </w:p>
    <w:p>
      <w:pPr>
        <w:spacing w:after="0" w:line="169"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Lilly states that it “is committed to ensuring you can afford your Lilly insulin,”</w:t>
      </w:r>
      <w:r>
        <w:rPr>
          <w:rFonts w:ascii="Arial" w:cs="Arial" w:eastAsia="Arial" w:hAnsi="Arial"/>
          <w:sz w:val="23"/>
          <w:szCs w:val="23"/>
          <w:color w:val="auto"/>
          <w:vertAlign w:val="superscript"/>
        </w:rPr>
        <w:t>21</w:t>
      </w:r>
      <w:r>
        <w:rPr>
          <w:rFonts w:ascii="Arial" w:cs="Arial" w:eastAsia="Arial" w:hAnsi="Arial"/>
          <w:sz w:val="18"/>
          <w:szCs w:val="18"/>
          <w:color w:val="auto"/>
        </w:rPr>
        <w:t xml:space="preserve"> and says it wants to “help those with diabetes get the medication and care they need.”</w:t>
      </w:r>
      <w:r>
        <w:rPr>
          <w:rFonts w:ascii="Arial" w:cs="Arial" w:eastAsia="Arial" w:hAnsi="Arial"/>
          <w:sz w:val="23"/>
          <w:szCs w:val="23"/>
          <w:color w:val="auto"/>
          <w:vertAlign w:val="superscript"/>
        </w:rPr>
        <w:t>22</w:t>
      </w:r>
      <w:r>
        <w:rPr>
          <w:rFonts w:ascii="Arial" w:cs="Arial" w:eastAsia="Arial" w:hAnsi="Arial"/>
          <w:sz w:val="18"/>
          <w:szCs w:val="18"/>
          <w:color w:val="auto"/>
        </w:rPr>
        <w:t xml:space="preserve"> Though Lilly has a patient access program, there is not solid evidence that these programs reach the most vulnerable patients, with one study finding “limited evidence … that co-pay assistance was associated with improved treatment persistence/adherence across various diseases…”</w:t>
      </w:r>
      <w:r>
        <w:rPr>
          <w:rFonts w:ascii="Arial" w:cs="Arial" w:eastAsia="Arial" w:hAnsi="Arial"/>
          <w:sz w:val="23"/>
          <w:szCs w:val="23"/>
          <w:color w:val="auto"/>
          <w:vertAlign w:val="superscript"/>
        </w:rPr>
        <w:t>23</w:t>
      </w:r>
      <w:r>
        <w:rPr>
          <w:rFonts w:ascii="Arial" w:cs="Arial" w:eastAsia="Arial" w:hAnsi="Arial"/>
          <w:sz w:val="18"/>
          <w:szCs w:val="18"/>
          <w:color w:val="auto"/>
        </w:rPr>
        <w:t xml:space="preserve"> In March 2021, Lilly also made headlines for “deceptive trade practice claims” associated with “insulin price-gouging.”</w:t>
      </w:r>
      <w:r>
        <w:rPr>
          <w:rFonts w:ascii="Arial" w:cs="Arial" w:eastAsia="Arial" w:hAnsi="Arial"/>
          <w:sz w:val="23"/>
          <w:szCs w:val="23"/>
          <w:color w:val="auto"/>
          <w:vertAlign w:val="superscript"/>
        </w:rPr>
        <w:t>24</w:t>
      </w:r>
      <w:r>
        <w:rPr>
          <w:rFonts w:ascii="Arial" w:cs="Arial" w:eastAsia="Arial" w:hAnsi="Arial"/>
          <w:sz w:val="18"/>
          <w:szCs w:val="18"/>
          <w:color w:val="auto"/>
        </w:rPr>
        <w:t xml:space="preserve"> Lilly states, “Now more than ever, it’s vitally important that we demonstrate accountability and trustworthiness so we can continue to earn the confidence of patients, healthcare providers and other customers, as well as society as a whole.”</w:t>
      </w:r>
      <w:r>
        <w:rPr>
          <w:rFonts w:ascii="Arial" w:cs="Arial" w:eastAsia="Arial" w:hAnsi="Arial"/>
          <w:sz w:val="23"/>
          <w:szCs w:val="23"/>
          <w:color w:val="auto"/>
          <w:vertAlign w:val="superscript"/>
        </w:rPr>
        <w:t>25</w:t>
      </w:r>
      <w:r>
        <w:rPr>
          <w:rFonts w:ascii="Arial" w:cs="Arial" w:eastAsia="Arial" w:hAnsi="Arial"/>
          <w:sz w:val="18"/>
          <w:szCs w:val="18"/>
          <w:color w:val="auto"/>
        </w:rPr>
        <w:t xml:space="preserve"> However, Lilly has directly lobbied against drug pricing reform that advances affordability,</w:t>
      </w:r>
      <w:r>
        <w:rPr>
          <w:rFonts w:ascii="Arial" w:cs="Arial" w:eastAsia="Arial" w:hAnsi="Arial"/>
          <w:sz w:val="23"/>
          <w:szCs w:val="23"/>
          <w:color w:val="auto"/>
          <w:vertAlign w:val="superscript"/>
        </w:rPr>
        <w:t>26</w:t>
      </w:r>
      <w:r>
        <w:rPr>
          <w:rFonts w:ascii="Arial" w:cs="Arial" w:eastAsia="Arial" w:hAnsi="Arial"/>
          <w:sz w:val="18"/>
          <w:szCs w:val="18"/>
          <w:color w:val="auto"/>
        </w:rPr>
        <w:t xml:space="preserve"> hiring three lobbyists in March 2021 to defeat Democratic drug pricing proposals even while Lilly was under intense scrutiny for insulin price hikes.</w:t>
      </w:r>
      <w:r>
        <w:rPr>
          <w:rFonts w:ascii="Arial" w:cs="Arial" w:eastAsia="Arial" w:hAnsi="Arial"/>
          <w:sz w:val="23"/>
          <w:szCs w:val="23"/>
          <w:color w:val="auto"/>
          <w:vertAlign w:val="superscript"/>
        </w:rPr>
        <w:t>27</w:t>
      </w:r>
      <w:r>
        <w:rPr>
          <w:rFonts w:ascii="Arial" w:cs="Arial" w:eastAsia="Arial" w:hAnsi="Arial"/>
          <w:sz w:val="18"/>
          <w:szCs w:val="18"/>
          <w:color w:val="auto"/>
        </w:rPr>
        <w:t xml:space="preserve"> Lilly’s CEO Dave Ricks is a recent Board Chair for Pharmaceutical Research and Manufacturers of America (“PhRMA”), which raised nearly $527 million in 2020 and spent roughly $506 million, including donating millions to numerous other organizations for use in opposing congressional drug pricing reform efforts.</w:t>
      </w:r>
      <w:r>
        <w:rPr>
          <w:rFonts w:ascii="Arial" w:cs="Arial" w:eastAsia="Arial" w:hAnsi="Arial"/>
          <w:sz w:val="23"/>
          <w:szCs w:val="23"/>
          <w:color w:val="auto"/>
          <w:vertAlign w:val="superscript"/>
        </w:rPr>
        <w:t>28</w:t>
      </w:r>
      <w:r>
        <w:rPr>
          <w:rFonts w:ascii="Arial" w:cs="Arial" w:eastAsia="Arial" w:hAnsi="Arial"/>
          <w:sz w:val="18"/>
          <w:szCs w:val="18"/>
          <w:color w:val="auto"/>
        </w:rPr>
        <w:t xml:space="preserve"> PhRMA also sits on the Private Enterprise Advisory Council of the American Legislative Exchange Council, which has actively opposed bills to lower the costs of pharmaceuticals (H.R. 3 and its moderate counterpart S. 2534 (both 116th Congress)).</w:t>
      </w:r>
      <w:r>
        <w:rPr>
          <w:rFonts w:ascii="Arial" w:cs="Arial" w:eastAsia="Arial" w:hAnsi="Arial"/>
          <w:sz w:val="23"/>
          <w:szCs w:val="23"/>
          <w:color w:val="auto"/>
          <w:vertAlign w:val="superscript"/>
        </w:rPr>
        <w:t>29</w:t>
      </w:r>
    </w:p>
    <w:p>
      <w:pPr>
        <w:spacing w:after="0" w:line="68"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Lilly spent $7.5M lobbying in 2021 and $5.3M in 2022 (through October 24).</w:t>
      </w:r>
      <w:r>
        <w:rPr>
          <w:rFonts w:ascii="Arial" w:cs="Arial" w:eastAsia="Arial" w:hAnsi="Arial"/>
          <w:sz w:val="22"/>
          <w:szCs w:val="22"/>
          <w:color w:val="auto"/>
          <w:vertAlign w:val="superscript"/>
        </w:rPr>
        <w:t>30</w:t>
      </w:r>
      <w:r>
        <w:rPr>
          <w:rFonts w:ascii="Arial" w:cs="Arial" w:eastAsia="Arial" w:hAnsi="Arial"/>
          <w:sz w:val="17"/>
          <w:szCs w:val="17"/>
          <w:color w:val="auto"/>
        </w:rPr>
        <w:t xml:space="preserve"> Given Lilly’s extensive direct and indirect lobbying against measures that would make drugs more affordable, investors need to better understand the balance Lilly is striking between its commitments to innovation, on the one hand, and access and affordability, on the other. For these reasons, we urge shareholders to support the proposal.</w:t>
      </w:r>
    </w:p>
    <w:p>
      <w:pPr>
        <w:spacing w:after="0" w:line="186" w:lineRule="exact"/>
        <w:rPr>
          <w:sz w:val="20"/>
          <w:szCs w:val="20"/>
          <w:color w:val="auto"/>
        </w:rPr>
      </w:pPr>
    </w:p>
    <w:p>
      <w:pPr>
        <w:ind w:right="440"/>
        <w:spacing w:after="0" w:line="285" w:lineRule="auto"/>
        <w:rPr>
          <w:sz w:val="20"/>
          <w:szCs w:val="20"/>
          <w:color w:val="auto"/>
        </w:rPr>
      </w:pPr>
      <w:r>
        <w:rPr>
          <w:rFonts w:ascii="Arial" w:cs="Arial" w:eastAsia="Arial" w:hAnsi="Arial"/>
          <w:sz w:val="22"/>
          <w:szCs w:val="22"/>
          <w:b w:val="1"/>
          <w:bCs w:val="1"/>
          <w:color w:val="auto"/>
        </w:rPr>
        <w:t>Statement in Opposition to the Shareholder Proposal to Disclose Lobbying Activities and Alignment with Public Policy Positions and Statements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board, after review by its Directors and Corporate Governance Committee, recommends a vote against this proposal.</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proposal calls for the board to publish a report to shareholders disclosing how the company’s lobbying activities align with its public policy positions and statements, particularly regarding Lilly’s goals of promoting access and affordability of medicines, while at the same time sustaining investments to research innovative life-changing treatments for some of today’s most serious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714500" cy="8255"/>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7" w:lineRule="exact"/>
        <w:rPr>
          <w:sz w:val="20"/>
          <w:szCs w:val="20"/>
          <w:color w:val="auto"/>
        </w:rPr>
      </w:pPr>
    </w:p>
    <w:p>
      <w:pPr>
        <w:ind w:left="180" w:hanging="172"/>
        <w:spacing w:after="0"/>
        <w:tabs>
          <w:tab w:leader="none" w:pos="180" w:val="left"/>
        </w:tabs>
        <w:numPr>
          <w:ilvl w:val="0"/>
          <w:numId w:val="213"/>
        </w:numPr>
        <w:rPr>
          <w:rFonts w:ascii="Arial" w:cs="Arial" w:eastAsia="Arial" w:hAnsi="Arial"/>
          <w:sz w:val="23"/>
          <w:szCs w:val="23"/>
          <w:color w:val="auto"/>
          <w:vertAlign w:val="superscript"/>
        </w:rPr>
      </w:pPr>
      <w:r>
        <w:rPr>
          <w:rFonts w:ascii="Arial" w:cs="Arial" w:eastAsia="Arial" w:hAnsi="Arial"/>
          <w:sz w:val="14"/>
          <w:szCs w:val="14"/>
          <w:color w:val="auto"/>
        </w:rPr>
        <w:t>https://www.lilly.com/policies-reports/public-policy</w:t>
      </w:r>
    </w:p>
    <w:p>
      <w:pPr>
        <w:spacing w:after="0" w:line="81" w:lineRule="exact"/>
        <w:rPr>
          <w:rFonts w:ascii="Arial" w:cs="Arial" w:eastAsia="Arial" w:hAnsi="Arial"/>
          <w:sz w:val="23"/>
          <w:szCs w:val="23"/>
          <w:color w:val="auto"/>
          <w:vertAlign w:val="superscript"/>
        </w:rPr>
      </w:pPr>
    </w:p>
    <w:p>
      <w:pPr>
        <w:ind w:left="180" w:hanging="172"/>
        <w:spacing w:after="0" w:line="220" w:lineRule="auto"/>
        <w:tabs>
          <w:tab w:leader="none" w:pos="180" w:val="left"/>
        </w:tabs>
        <w:numPr>
          <w:ilvl w:val="0"/>
          <w:numId w:val="213"/>
        </w:numPr>
        <w:rPr>
          <w:rFonts w:ascii="Arial" w:cs="Arial" w:eastAsia="Arial" w:hAnsi="Arial"/>
          <w:sz w:val="23"/>
          <w:szCs w:val="23"/>
          <w:color w:val="auto"/>
          <w:vertAlign w:val="superscript"/>
        </w:rPr>
      </w:pPr>
      <w:r>
        <w:rPr>
          <w:rFonts w:ascii="Arial" w:cs="Arial" w:eastAsia="Arial" w:hAnsi="Arial"/>
          <w:sz w:val="14"/>
          <w:szCs w:val="14"/>
          <w:color w:val="auto"/>
        </w:rPr>
        <w:t>https://www.insulinaffordability.com/</w:t>
      </w:r>
    </w:p>
    <w:p>
      <w:pPr>
        <w:spacing w:after="0" w:line="81" w:lineRule="exact"/>
        <w:rPr>
          <w:rFonts w:ascii="Arial" w:cs="Arial" w:eastAsia="Arial" w:hAnsi="Arial"/>
          <w:sz w:val="23"/>
          <w:szCs w:val="23"/>
          <w:color w:val="auto"/>
          <w:vertAlign w:val="superscript"/>
        </w:rPr>
      </w:pPr>
    </w:p>
    <w:p>
      <w:pPr>
        <w:ind w:left="180" w:hanging="172"/>
        <w:spacing w:after="0" w:line="187" w:lineRule="auto"/>
        <w:tabs>
          <w:tab w:leader="none" w:pos="180" w:val="left"/>
        </w:tabs>
        <w:numPr>
          <w:ilvl w:val="0"/>
          <w:numId w:val="213"/>
        </w:numPr>
        <w:rPr>
          <w:rFonts w:ascii="Arial" w:cs="Arial" w:eastAsia="Arial" w:hAnsi="Arial"/>
          <w:sz w:val="21"/>
          <w:szCs w:val="21"/>
          <w:color w:val="auto"/>
          <w:vertAlign w:val="superscript"/>
        </w:rPr>
      </w:pPr>
      <w:r>
        <w:rPr>
          <w:rFonts w:ascii="Arial" w:cs="Arial" w:eastAsia="Arial" w:hAnsi="Arial"/>
          <w:sz w:val="13"/>
          <w:szCs w:val="13"/>
          <w:color w:val="auto"/>
        </w:rPr>
        <w:t>https://www.insulinaffordability.com/lilly-diabetes-solution-center</w:t>
      </w:r>
    </w:p>
    <w:p>
      <w:pPr>
        <w:spacing w:after="0" w:line="81" w:lineRule="exact"/>
        <w:rPr>
          <w:rFonts w:ascii="Arial" w:cs="Arial" w:eastAsia="Arial" w:hAnsi="Arial"/>
          <w:sz w:val="21"/>
          <w:szCs w:val="21"/>
          <w:color w:val="auto"/>
          <w:vertAlign w:val="superscript"/>
        </w:rPr>
      </w:pPr>
    </w:p>
    <w:p>
      <w:pPr>
        <w:ind w:left="180" w:hanging="172"/>
        <w:spacing w:after="0" w:line="187" w:lineRule="auto"/>
        <w:tabs>
          <w:tab w:leader="none" w:pos="180" w:val="left"/>
        </w:tabs>
        <w:numPr>
          <w:ilvl w:val="0"/>
          <w:numId w:val="213"/>
        </w:numPr>
        <w:rPr>
          <w:rFonts w:ascii="Arial" w:cs="Arial" w:eastAsia="Arial" w:hAnsi="Arial"/>
          <w:sz w:val="21"/>
          <w:szCs w:val="21"/>
          <w:color w:val="auto"/>
          <w:vertAlign w:val="superscript"/>
        </w:rPr>
      </w:pPr>
      <w:r>
        <w:rPr>
          <w:rFonts w:ascii="Arial" w:cs="Arial" w:eastAsia="Arial" w:hAnsi="Arial"/>
          <w:sz w:val="13"/>
          <w:szCs w:val="13"/>
          <w:color w:val="auto"/>
        </w:rPr>
        <w:t>https://www.ajmc.com/view/impact-of-co-pay-assistance-on-patient-clinical-and-economic-outcomes</w:t>
      </w:r>
    </w:p>
    <w:p>
      <w:pPr>
        <w:spacing w:after="0" w:line="81" w:lineRule="exact"/>
        <w:rPr>
          <w:rFonts w:ascii="Arial" w:cs="Arial" w:eastAsia="Arial" w:hAnsi="Arial"/>
          <w:sz w:val="21"/>
          <w:szCs w:val="21"/>
          <w:color w:val="auto"/>
          <w:vertAlign w:val="superscript"/>
        </w:rPr>
      </w:pPr>
    </w:p>
    <w:p>
      <w:pPr>
        <w:ind w:left="180" w:hanging="172"/>
        <w:spacing w:after="0" w:line="187" w:lineRule="auto"/>
        <w:tabs>
          <w:tab w:leader="none" w:pos="180" w:val="left"/>
        </w:tabs>
        <w:numPr>
          <w:ilvl w:val="0"/>
          <w:numId w:val="213"/>
        </w:numPr>
        <w:rPr>
          <w:rFonts w:ascii="Arial" w:cs="Arial" w:eastAsia="Arial" w:hAnsi="Arial"/>
          <w:sz w:val="21"/>
          <w:szCs w:val="21"/>
          <w:color w:val="auto"/>
          <w:vertAlign w:val="superscript"/>
        </w:rPr>
      </w:pPr>
      <w:r>
        <w:rPr>
          <w:rFonts w:ascii="Arial" w:cs="Arial" w:eastAsia="Arial" w:hAnsi="Arial"/>
          <w:sz w:val="13"/>
          <w:szCs w:val="13"/>
          <w:color w:val="auto"/>
        </w:rPr>
        <w:t>https://www.news.bloomberglaw.com/antitrust/sanofi-lilly-novo-must-face-more-insulin-price-gouging-claims</w:t>
      </w:r>
    </w:p>
    <w:p>
      <w:pPr>
        <w:spacing w:after="0" w:line="81" w:lineRule="exact"/>
        <w:rPr>
          <w:rFonts w:ascii="Arial" w:cs="Arial" w:eastAsia="Arial" w:hAnsi="Arial"/>
          <w:sz w:val="21"/>
          <w:szCs w:val="21"/>
          <w:color w:val="auto"/>
          <w:vertAlign w:val="superscript"/>
        </w:rPr>
      </w:pPr>
    </w:p>
    <w:p>
      <w:pPr>
        <w:ind w:left="180" w:hanging="172"/>
        <w:spacing w:after="0" w:line="187" w:lineRule="auto"/>
        <w:tabs>
          <w:tab w:leader="none" w:pos="180" w:val="left"/>
        </w:tabs>
        <w:numPr>
          <w:ilvl w:val="0"/>
          <w:numId w:val="213"/>
        </w:numPr>
        <w:rPr>
          <w:rFonts w:ascii="Arial" w:cs="Arial" w:eastAsia="Arial" w:hAnsi="Arial"/>
          <w:sz w:val="21"/>
          <w:szCs w:val="21"/>
          <w:color w:val="auto"/>
          <w:vertAlign w:val="superscript"/>
        </w:rPr>
      </w:pPr>
      <w:r>
        <w:rPr>
          <w:rFonts w:ascii="Arial" w:cs="Arial" w:eastAsia="Arial" w:hAnsi="Arial"/>
          <w:sz w:val="13"/>
          <w:szCs w:val="13"/>
          <w:color w:val="auto"/>
        </w:rPr>
        <w:t>https://www.lilly.com/impact/operating-ethically-and-responsibly</w:t>
      </w:r>
    </w:p>
    <w:p>
      <w:pPr>
        <w:spacing w:after="0" w:line="81" w:lineRule="exact"/>
        <w:rPr>
          <w:rFonts w:ascii="Arial" w:cs="Arial" w:eastAsia="Arial" w:hAnsi="Arial"/>
          <w:sz w:val="21"/>
          <w:szCs w:val="21"/>
          <w:color w:val="auto"/>
          <w:vertAlign w:val="superscript"/>
        </w:rPr>
      </w:pPr>
    </w:p>
    <w:p>
      <w:pPr>
        <w:ind w:left="180" w:hanging="172"/>
        <w:spacing w:after="0" w:line="187" w:lineRule="auto"/>
        <w:tabs>
          <w:tab w:leader="none" w:pos="180" w:val="left"/>
        </w:tabs>
        <w:numPr>
          <w:ilvl w:val="0"/>
          <w:numId w:val="213"/>
        </w:numPr>
        <w:rPr>
          <w:rFonts w:ascii="Arial" w:cs="Arial" w:eastAsia="Arial" w:hAnsi="Arial"/>
          <w:sz w:val="21"/>
          <w:szCs w:val="21"/>
          <w:color w:val="auto"/>
          <w:vertAlign w:val="superscript"/>
        </w:rPr>
      </w:pPr>
      <w:r>
        <w:rPr>
          <w:rFonts w:ascii="Arial" w:cs="Arial" w:eastAsia="Arial" w:hAnsi="Arial"/>
          <w:sz w:val="13"/>
          <w:szCs w:val="13"/>
          <w:color w:val="auto"/>
        </w:rPr>
        <w:t>https://www.fiercepharma.com/pharma/novo-faces-new-shareholder-suit-for-alleged-collusive-price-fixing</w:t>
      </w:r>
    </w:p>
    <w:p>
      <w:pPr>
        <w:spacing w:after="0" w:line="81" w:lineRule="exact"/>
        <w:rPr>
          <w:rFonts w:ascii="Arial" w:cs="Arial" w:eastAsia="Arial" w:hAnsi="Arial"/>
          <w:sz w:val="21"/>
          <w:szCs w:val="21"/>
          <w:color w:val="auto"/>
          <w:vertAlign w:val="superscript"/>
        </w:rPr>
      </w:pPr>
    </w:p>
    <w:p>
      <w:pPr>
        <w:ind w:left="180" w:hanging="172"/>
        <w:spacing w:after="0" w:line="187" w:lineRule="auto"/>
        <w:tabs>
          <w:tab w:leader="none" w:pos="180" w:val="left"/>
        </w:tabs>
        <w:numPr>
          <w:ilvl w:val="0"/>
          <w:numId w:val="213"/>
        </w:numPr>
        <w:rPr>
          <w:rFonts w:ascii="Arial" w:cs="Arial" w:eastAsia="Arial" w:hAnsi="Arial"/>
          <w:sz w:val="21"/>
          <w:szCs w:val="21"/>
          <w:color w:val="auto"/>
          <w:vertAlign w:val="superscript"/>
        </w:rPr>
      </w:pPr>
      <w:r>
        <w:rPr>
          <w:rFonts w:ascii="Arial" w:cs="Arial" w:eastAsia="Arial" w:hAnsi="Arial"/>
          <w:sz w:val="13"/>
          <w:szCs w:val="13"/>
          <w:color w:val="auto"/>
        </w:rPr>
        <w:t>https://www.opensecrets.org/news/2021/04/vaccine-access-pharma-lobbying-fight/</w:t>
      </w:r>
    </w:p>
    <w:p>
      <w:pPr>
        <w:spacing w:after="0" w:line="81" w:lineRule="exact"/>
        <w:rPr>
          <w:rFonts w:ascii="Arial" w:cs="Arial" w:eastAsia="Arial" w:hAnsi="Arial"/>
          <w:sz w:val="21"/>
          <w:szCs w:val="21"/>
          <w:color w:val="auto"/>
          <w:vertAlign w:val="superscript"/>
        </w:rPr>
      </w:pPr>
    </w:p>
    <w:p>
      <w:pPr>
        <w:ind w:left="180" w:hanging="172"/>
        <w:spacing w:after="0" w:line="187" w:lineRule="auto"/>
        <w:tabs>
          <w:tab w:leader="none" w:pos="180" w:val="left"/>
        </w:tabs>
        <w:numPr>
          <w:ilvl w:val="0"/>
          <w:numId w:val="213"/>
        </w:numPr>
        <w:rPr>
          <w:rFonts w:ascii="Arial" w:cs="Arial" w:eastAsia="Arial" w:hAnsi="Arial"/>
          <w:sz w:val="21"/>
          <w:szCs w:val="21"/>
          <w:color w:val="auto"/>
          <w:vertAlign w:val="superscript"/>
        </w:rPr>
      </w:pPr>
      <w:r>
        <w:rPr>
          <w:rFonts w:ascii="Arial" w:cs="Arial" w:eastAsia="Arial" w:hAnsi="Arial"/>
          <w:sz w:val="13"/>
          <w:szCs w:val="13"/>
          <w:color w:val="auto"/>
        </w:rPr>
        <w:t>https://www.opensecrets.org/news/2021/12/pharma-lobby-poured-millions-into-darkmoney-groups/</w:t>
      </w:r>
    </w:p>
    <w:p>
      <w:pPr>
        <w:spacing w:after="0" w:line="81" w:lineRule="exact"/>
        <w:rPr>
          <w:rFonts w:ascii="Arial" w:cs="Arial" w:eastAsia="Arial" w:hAnsi="Arial"/>
          <w:sz w:val="21"/>
          <w:szCs w:val="21"/>
          <w:color w:val="auto"/>
          <w:vertAlign w:val="superscript"/>
        </w:rPr>
      </w:pPr>
    </w:p>
    <w:p>
      <w:pPr>
        <w:ind w:left="180" w:hanging="172"/>
        <w:spacing w:after="0" w:line="187" w:lineRule="auto"/>
        <w:tabs>
          <w:tab w:leader="none" w:pos="180" w:val="left"/>
        </w:tabs>
        <w:numPr>
          <w:ilvl w:val="0"/>
          <w:numId w:val="213"/>
        </w:numPr>
        <w:rPr>
          <w:rFonts w:ascii="Arial" w:cs="Arial" w:eastAsia="Arial" w:hAnsi="Arial"/>
          <w:sz w:val="21"/>
          <w:szCs w:val="21"/>
          <w:color w:val="auto"/>
          <w:vertAlign w:val="superscript"/>
        </w:rPr>
      </w:pPr>
      <w:r>
        <w:rPr>
          <w:rFonts w:ascii="Arial" w:cs="Arial" w:eastAsia="Arial" w:hAnsi="Arial"/>
          <w:sz w:val="13"/>
          <w:szCs w:val="13"/>
          <w:color w:val="auto"/>
        </w:rPr>
        <w:t>https://www.alecaction.org/update/20-alec-lawmakers-say-no-to-importing-price-controls-and-socialized-medicine-to-america/</w:t>
      </w:r>
    </w:p>
    <w:p>
      <w:pPr>
        <w:spacing w:after="0" w:line="81" w:lineRule="exact"/>
        <w:rPr>
          <w:rFonts w:ascii="Arial" w:cs="Arial" w:eastAsia="Arial" w:hAnsi="Arial"/>
          <w:sz w:val="21"/>
          <w:szCs w:val="21"/>
          <w:color w:val="auto"/>
          <w:vertAlign w:val="superscript"/>
        </w:rPr>
      </w:pPr>
    </w:p>
    <w:p>
      <w:pPr>
        <w:ind w:left="180" w:hanging="172"/>
        <w:spacing w:after="0" w:line="187" w:lineRule="auto"/>
        <w:tabs>
          <w:tab w:leader="none" w:pos="180" w:val="left"/>
        </w:tabs>
        <w:numPr>
          <w:ilvl w:val="0"/>
          <w:numId w:val="213"/>
        </w:numPr>
        <w:rPr>
          <w:rFonts w:ascii="Arial" w:cs="Arial" w:eastAsia="Arial" w:hAnsi="Arial"/>
          <w:sz w:val="21"/>
          <w:szCs w:val="21"/>
          <w:color w:val="auto"/>
          <w:vertAlign w:val="superscript"/>
        </w:rPr>
      </w:pPr>
      <w:r>
        <w:rPr>
          <w:rFonts w:ascii="Arial" w:cs="Arial" w:eastAsia="Arial" w:hAnsi="Arial"/>
          <w:sz w:val="13"/>
          <w:szCs w:val="13"/>
          <w:color w:val="auto"/>
        </w:rPr>
        <w:t>https://www.opensecrets.orgs/orgs/eli-lilly-co/summary?id=d000000166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5" w:right="359" w:bottom="1440" w:gutter="0" w:footer="0" w:header="0"/>
        </w:sectPr>
      </w:pPr>
    </w:p>
    <w:bookmarkStart w:id="106" w:name="page107"/>
    <w:bookmarkEnd w:id="106"/>
    <w:p>
      <w:pPr>
        <w:ind w:right="40"/>
        <w:spacing w:after="0" w:line="268" w:lineRule="auto"/>
        <w:rPr>
          <w:sz w:val="20"/>
          <w:szCs w:val="20"/>
          <w:color w:val="auto"/>
        </w:rPr>
      </w:pPr>
      <w:r>
        <w:rPr>
          <w:rFonts w:ascii="Arial" w:cs="Arial" w:eastAsia="Arial" w:hAnsi="Arial"/>
          <w:sz w:val="18"/>
          <w:szCs w:val="18"/>
          <w:color w:val="auto"/>
        </w:rPr>
        <w:t>The report requested by the proposal is unnecessary because Lilly already provides shareholders with sufficient information to assess the alignment of the company’s lobbying activities with its public positions and statements through existing disclosures. At Lilly, we provide public disclosures with respect to our direct and indirect lobbying activities, including disclosures regarding:</w:t>
      </w:r>
    </w:p>
    <w:p>
      <w:pPr>
        <w:spacing w:after="0" w:line="117" w:lineRule="exact"/>
        <w:rPr>
          <w:sz w:val="20"/>
          <w:szCs w:val="20"/>
          <w:color w:val="auto"/>
        </w:rPr>
      </w:pPr>
    </w:p>
    <w:p>
      <w:pPr>
        <w:ind w:left="640" w:hanging="308"/>
        <w:spacing w:after="0"/>
        <w:tabs>
          <w:tab w:leader="none" w:pos="640" w:val="left"/>
        </w:tabs>
        <w:numPr>
          <w:ilvl w:val="0"/>
          <w:numId w:val="214"/>
        </w:numPr>
        <w:rPr>
          <w:rFonts w:ascii="Arial" w:cs="Arial" w:eastAsia="Arial" w:hAnsi="Arial"/>
          <w:sz w:val="16"/>
          <w:szCs w:val="16"/>
          <w:color w:val="auto"/>
        </w:rPr>
      </w:pPr>
      <w:r>
        <w:rPr>
          <w:rFonts w:ascii="Arial" w:cs="Arial" w:eastAsia="Arial" w:hAnsi="Arial"/>
          <w:sz w:val="18"/>
          <w:szCs w:val="18"/>
          <w:color w:val="auto"/>
        </w:rPr>
        <w:t>our board’s oversight of political expenditures and lobbying activities;</w:t>
      </w:r>
    </w:p>
    <w:p>
      <w:pPr>
        <w:spacing w:after="0" w:line="171" w:lineRule="exact"/>
        <w:rPr>
          <w:rFonts w:ascii="Arial" w:cs="Arial" w:eastAsia="Arial" w:hAnsi="Arial"/>
          <w:sz w:val="16"/>
          <w:szCs w:val="16"/>
          <w:color w:val="auto"/>
        </w:rPr>
      </w:pPr>
    </w:p>
    <w:p>
      <w:pPr>
        <w:ind w:left="660" w:right="340" w:hanging="328"/>
        <w:spacing w:after="0" w:line="287" w:lineRule="auto"/>
        <w:tabs>
          <w:tab w:leader="none" w:pos="649" w:val="left"/>
        </w:tabs>
        <w:numPr>
          <w:ilvl w:val="0"/>
          <w:numId w:val="214"/>
        </w:numPr>
        <w:rPr>
          <w:rFonts w:ascii="Arial" w:cs="Arial" w:eastAsia="Arial" w:hAnsi="Arial"/>
          <w:sz w:val="16"/>
          <w:szCs w:val="16"/>
          <w:color w:val="auto"/>
        </w:rPr>
      </w:pPr>
      <w:r>
        <w:rPr>
          <w:rFonts w:ascii="Arial" w:cs="Arial" w:eastAsia="Arial" w:hAnsi="Arial"/>
          <w:sz w:val="18"/>
          <w:szCs w:val="18"/>
          <w:color w:val="auto"/>
        </w:rPr>
        <w:t>Lilly’s political contributions to candidates for public office (directly from Lilly and through the company’s exclusively employee-led political action committee (LillyPAC));</w:t>
      </w:r>
    </w:p>
    <w:p>
      <w:pPr>
        <w:spacing w:after="0" w:line="98" w:lineRule="exact"/>
        <w:rPr>
          <w:rFonts w:ascii="Arial" w:cs="Arial" w:eastAsia="Arial" w:hAnsi="Arial"/>
          <w:sz w:val="16"/>
          <w:szCs w:val="16"/>
          <w:color w:val="auto"/>
        </w:rPr>
      </w:pPr>
    </w:p>
    <w:p>
      <w:pPr>
        <w:ind w:left="640" w:hanging="308"/>
        <w:spacing w:after="0"/>
        <w:tabs>
          <w:tab w:leader="none" w:pos="640" w:val="left"/>
        </w:tabs>
        <w:numPr>
          <w:ilvl w:val="0"/>
          <w:numId w:val="214"/>
        </w:numPr>
        <w:rPr>
          <w:rFonts w:ascii="Arial" w:cs="Arial" w:eastAsia="Arial" w:hAnsi="Arial"/>
          <w:sz w:val="16"/>
          <w:szCs w:val="16"/>
          <w:color w:val="auto"/>
        </w:rPr>
      </w:pPr>
      <w:r>
        <w:rPr>
          <w:rFonts w:ascii="Arial" w:cs="Arial" w:eastAsia="Arial" w:hAnsi="Arial"/>
          <w:sz w:val="18"/>
          <w:szCs w:val="18"/>
          <w:color w:val="auto"/>
        </w:rPr>
        <w:t>recipients of Lilly’s political contributions;</w:t>
      </w:r>
    </w:p>
    <w:p>
      <w:pPr>
        <w:spacing w:after="0" w:line="171" w:lineRule="exact"/>
        <w:rPr>
          <w:rFonts w:ascii="Arial" w:cs="Arial" w:eastAsia="Arial" w:hAnsi="Arial"/>
          <w:sz w:val="16"/>
          <w:szCs w:val="16"/>
          <w:color w:val="auto"/>
        </w:rPr>
      </w:pPr>
    </w:p>
    <w:p>
      <w:pPr>
        <w:ind w:left="640" w:hanging="308"/>
        <w:spacing w:after="0"/>
        <w:tabs>
          <w:tab w:leader="none" w:pos="640" w:val="left"/>
        </w:tabs>
        <w:numPr>
          <w:ilvl w:val="0"/>
          <w:numId w:val="214"/>
        </w:numPr>
        <w:rPr>
          <w:rFonts w:ascii="Arial" w:cs="Arial" w:eastAsia="Arial" w:hAnsi="Arial"/>
          <w:sz w:val="16"/>
          <w:szCs w:val="16"/>
          <w:color w:val="auto"/>
        </w:rPr>
      </w:pPr>
      <w:r>
        <w:rPr>
          <w:rFonts w:ascii="Arial" w:cs="Arial" w:eastAsia="Arial" w:hAnsi="Arial"/>
          <w:sz w:val="18"/>
          <w:szCs w:val="18"/>
          <w:color w:val="auto"/>
        </w:rPr>
        <w:t>Lilly’s federal and state lobbying activities;</w:t>
      </w:r>
    </w:p>
    <w:p>
      <w:pPr>
        <w:spacing w:after="0" w:line="171" w:lineRule="exact"/>
        <w:rPr>
          <w:rFonts w:ascii="Arial" w:cs="Arial" w:eastAsia="Arial" w:hAnsi="Arial"/>
          <w:sz w:val="16"/>
          <w:szCs w:val="16"/>
          <w:color w:val="auto"/>
        </w:rPr>
      </w:pPr>
    </w:p>
    <w:p>
      <w:pPr>
        <w:ind w:left="660" w:right="80" w:hanging="328"/>
        <w:spacing w:after="0" w:line="287" w:lineRule="auto"/>
        <w:tabs>
          <w:tab w:leader="none" w:pos="649" w:val="left"/>
        </w:tabs>
        <w:numPr>
          <w:ilvl w:val="0"/>
          <w:numId w:val="214"/>
        </w:numPr>
        <w:rPr>
          <w:rFonts w:ascii="Arial" w:cs="Arial" w:eastAsia="Arial" w:hAnsi="Arial"/>
          <w:sz w:val="16"/>
          <w:szCs w:val="16"/>
          <w:color w:val="auto"/>
        </w:rPr>
      </w:pPr>
      <w:r>
        <w:rPr>
          <w:rFonts w:ascii="Arial" w:cs="Arial" w:eastAsia="Arial" w:hAnsi="Arial"/>
          <w:sz w:val="18"/>
          <w:szCs w:val="18"/>
          <w:color w:val="auto"/>
        </w:rPr>
        <w:t>trade associations to which Lilly pays annual membership dues of $50,000 or more (including those trade associations on which Lilly has a board seat);</w:t>
      </w:r>
    </w:p>
    <w:p>
      <w:pPr>
        <w:spacing w:after="0" w:line="98" w:lineRule="exact"/>
        <w:rPr>
          <w:rFonts w:ascii="Arial" w:cs="Arial" w:eastAsia="Arial" w:hAnsi="Arial"/>
          <w:sz w:val="16"/>
          <w:szCs w:val="16"/>
          <w:color w:val="auto"/>
        </w:rPr>
      </w:pPr>
    </w:p>
    <w:p>
      <w:pPr>
        <w:ind w:left="660" w:right="160" w:hanging="328"/>
        <w:spacing w:after="0" w:line="287" w:lineRule="auto"/>
        <w:tabs>
          <w:tab w:leader="none" w:pos="649" w:val="left"/>
        </w:tabs>
        <w:numPr>
          <w:ilvl w:val="0"/>
          <w:numId w:val="214"/>
        </w:numPr>
        <w:rPr>
          <w:rFonts w:ascii="Arial" w:cs="Arial" w:eastAsia="Arial" w:hAnsi="Arial"/>
          <w:sz w:val="16"/>
          <w:szCs w:val="16"/>
          <w:color w:val="auto"/>
        </w:rPr>
      </w:pPr>
      <w:r>
        <w:rPr>
          <w:rFonts w:ascii="Arial" w:cs="Arial" w:eastAsia="Arial" w:hAnsi="Arial"/>
          <w:sz w:val="18"/>
          <w:szCs w:val="18"/>
          <w:color w:val="auto"/>
        </w:rPr>
        <w:t>our public policy positions and goals on the promotion of access and affordability of medicines as well as expanded development of innovation, all of which are detailed in our environmental, social and governance report (ESG Report); and</w:t>
      </w:r>
    </w:p>
    <w:p>
      <w:pPr>
        <w:spacing w:after="0" w:line="98" w:lineRule="exact"/>
        <w:rPr>
          <w:rFonts w:ascii="Arial" w:cs="Arial" w:eastAsia="Arial" w:hAnsi="Arial"/>
          <w:sz w:val="16"/>
          <w:szCs w:val="16"/>
          <w:color w:val="auto"/>
        </w:rPr>
      </w:pPr>
    </w:p>
    <w:p>
      <w:pPr>
        <w:ind w:left="640" w:hanging="308"/>
        <w:spacing w:after="0"/>
        <w:tabs>
          <w:tab w:leader="none" w:pos="640" w:val="left"/>
        </w:tabs>
        <w:numPr>
          <w:ilvl w:val="0"/>
          <w:numId w:val="214"/>
        </w:numPr>
        <w:rPr>
          <w:rFonts w:ascii="Arial" w:cs="Arial" w:eastAsia="Arial" w:hAnsi="Arial"/>
          <w:sz w:val="16"/>
          <w:szCs w:val="16"/>
          <w:color w:val="auto"/>
        </w:rPr>
      </w:pPr>
      <w:r>
        <w:rPr>
          <w:rFonts w:ascii="Arial" w:cs="Arial" w:eastAsia="Arial" w:hAnsi="Arial"/>
          <w:sz w:val="18"/>
          <w:szCs w:val="18"/>
          <w:color w:val="auto"/>
        </w:rPr>
        <w:t>Lilly’s core principles and key areas of public policy effort when advocating for improvements to the U.S. healthcare system.</w:t>
      </w:r>
    </w:p>
    <w:p>
      <w:pPr>
        <w:spacing w:after="0" w:line="17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These extensive disclosures already enable shareholders (i) to understand Lilly’s perspective and approach to increasing access to medicines and innovative research and development, (ii) to assess whether the company’s lobbying activities align with its public policy positions and statements, and (iii) to assess the risks presented by any potential misalignment.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Lilly already publicly discloses the information requested by the proposal regarding the company’s lobbying activities.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Lilly makes extensive disclosures regarding its lobbying activities in the political participation page of its website (Political Participation Website), its proxy materials, its ESG Report, and through other publicly available disclosures regarding its political activities. For example, Lilly voluntarily discloses its corporate political contributions on a biannual basis. In addition to the public disclosures of lobbying expenditures by trade associations through which Lilly conducts its indirect lobbying activities (which are evaluated annually by the company’s U.S. government affairs leaders), Lilly’s Political Participation Website also contains information regarding the company’s trade association memberships for which the company pays annual dues of $50,000 or more, as well as information regarding the percentage of dues collected by such trade associations that is utilized for federal and state lobbying and political expenditures. Additional details regarding the company’s corporate contributions, LillyPAC’s contributions (which are also voluntarily disclosed on an annual basis), contribution data, and the company’s direct lobbying expenses are also already made available to the public from numerous public sources.</w:t>
      </w:r>
    </w:p>
    <w:p>
      <w:pPr>
        <w:spacing w:after="0" w:line="127" w:lineRule="exact"/>
        <w:rPr>
          <w:sz w:val="20"/>
          <w:szCs w:val="20"/>
          <w:color w:val="auto"/>
        </w:rPr>
      </w:pPr>
    </w:p>
    <w:p>
      <w:pPr>
        <w:ind w:right="20"/>
        <w:spacing w:after="0" w:line="296" w:lineRule="auto"/>
        <w:rPr>
          <w:sz w:val="20"/>
          <w:szCs w:val="20"/>
          <w:color w:val="auto"/>
        </w:rPr>
      </w:pPr>
      <w:r>
        <w:rPr>
          <w:rFonts w:ascii="Arial" w:cs="Arial" w:eastAsia="Arial" w:hAnsi="Arial"/>
          <w:sz w:val="18"/>
          <w:szCs w:val="18"/>
          <w:b w:val="1"/>
          <w:bCs w:val="1"/>
          <w:color w:val="auto"/>
        </w:rPr>
        <w:t>Lilly already publicly discloses the information requested by the proposal regarding its public policy positions and statements with regard to access and affordability and investments in research.</w:t>
      </w:r>
    </w:p>
    <w:p>
      <w:pPr>
        <w:spacing w:after="0" w:line="8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this proxy statement, the Political Participation Website and Lilly’s public policy website, the company discloses its public policy positions regarding accessibility and affordability as well as fairness and transparency in the biopharmaceutical industry. These disclosures include Lilly’s commitment to advocate for improvements to the United States health care system that align with the company’s core principles of (1) encouraging and protecting innovation, (2) fairness and transparency in the biopharmaceutical industry and all of health care, and (3) lowering costs at the pharmacy counter for patients who use our medicines. Lilly’s lobbying activities are aligned with these public policy positions and our actions also clearly demonstrate this alignment. For example, Lilly advocates for insurers to pass through its negotiated rebates directly to consumers at the pharmacy counter, is supportive of efforts to exempt health care services for chronic conditions from a health insurance plan’s deductible and Lilly passes through estimated rebates directly to its employees at the pharmacy counter under its own healthcare coverage. In our proxy statement and other public disclosures, the company also discloses its support for various transparency initiatives globally, and explains that the company seeks to collaborate with policy makers, industry colleagues and key stakeholders to align on approaches that achieve these objectives. As demonstrations of delivering on its commitment to its public policy positions regarding drug pricing and access, Lilly introduced two additional lower-priced versions of Humalog in January 2020 and added the Lilly Insulin Value Program to Lilly’s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7" w:name="page108"/>
    <w:bookmarkEnd w:id="107"/>
    <w:p>
      <w:pPr>
        <w:ind w:right="180"/>
        <w:spacing w:after="0" w:line="278" w:lineRule="auto"/>
        <w:rPr>
          <w:sz w:val="20"/>
          <w:szCs w:val="20"/>
          <w:color w:val="auto"/>
        </w:rPr>
      </w:pPr>
      <w:r>
        <w:rPr>
          <w:rFonts w:ascii="Arial" w:cs="Arial" w:eastAsia="Arial" w:hAnsi="Arial"/>
          <w:sz w:val="17"/>
          <w:szCs w:val="17"/>
          <w:color w:val="auto"/>
        </w:rPr>
        <w:t>comprehensive suite of insulin affordability solutions in September 2020, which now enables customers with commercial insurance or no insurance to purchase their monthly prescription of all Lilly insulins for $35. In addition, in September 2021, Lilly announced that it would lower the list price of all Lilly’s non-branded insulins, including Insulin Lispro Injection, by an additional 40 percent in the United States. That price reduction took effect January 1, 2022, effectively reducing the list price to 2008 levels. These examples, among others, demonstrate Lilly’s commitment to providing effective oversight over drug pricing and access as well as the public’s ability to evaluate this information.</w:t>
      </w:r>
    </w:p>
    <w:p>
      <w:pPr>
        <w:spacing w:after="0" w:line="110" w:lineRule="exact"/>
        <w:rPr>
          <w:sz w:val="20"/>
          <w:szCs w:val="20"/>
          <w:color w:val="auto"/>
        </w:rPr>
      </w:pPr>
    </w:p>
    <w:p>
      <w:pPr>
        <w:ind w:right="420"/>
        <w:spacing w:after="0" w:line="296" w:lineRule="auto"/>
        <w:rPr>
          <w:sz w:val="20"/>
          <w:szCs w:val="20"/>
          <w:color w:val="auto"/>
        </w:rPr>
      </w:pPr>
      <w:r>
        <w:rPr>
          <w:rFonts w:ascii="Arial" w:cs="Arial" w:eastAsia="Arial" w:hAnsi="Arial"/>
          <w:sz w:val="18"/>
          <w:szCs w:val="18"/>
          <w:b w:val="1"/>
          <w:bCs w:val="1"/>
          <w:color w:val="auto"/>
        </w:rPr>
        <w:t>Lilly already publicly discloses the information requested by the proposal regarding its oversight and plans to mitigate alleged risks presented by any misaligned lobbying activities.</w:t>
      </w:r>
    </w:p>
    <w:p>
      <w:pPr>
        <w:spacing w:after="0" w:line="8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 this proxy statement and the Political Participation Website, Lilly already discloses its governance and risk mitigation procedures that are in place to avoid and address any potential misalignment between Lilly’s lobbying activities and its public policy positions and statements.</w:t>
      </w:r>
    </w:p>
    <w:p>
      <w:pPr>
        <w:spacing w:after="0" w:line="9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For example, the board exercises oversight of Lilly’s political expenditures and lobbying activities to ensure the company fulfills its commitment to stewardship of corporate funds and minimizes risk with respect to such activities. The board receives regular updates from the executive vice president, corporate affairs and communications regarding public policy issues and the company’s direct and indirect lobbying activities and the board also receives semi-annual updates on the company’s direct and indirect lobbying activities and trade association memberships.</w:t>
      </w:r>
    </w:p>
    <w:p>
      <w:pPr>
        <w:spacing w:after="0" w:line="125"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Therefore, the board already takes substantial steps to oversee and mitigate the potential risks of misalignment between Lilly’s lobbying activities and public policy positions and statements and the company provides that information to the public.</w:t>
      </w:r>
    </w:p>
    <w:p>
      <w:pPr>
        <w:spacing w:after="0" w:line="99" w:lineRule="exact"/>
        <w:rPr>
          <w:sz w:val="20"/>
          <w:szCs w:val="20"/>
          <w:color w:val="auto"/>
        </w:rPr>
      </w:pPr>
    </w:p>
    <w:p>
      <w:pPr>
        <w:ind w:right="60"/>
        <w:spacing w:after="0" w:line="296" w:lineRule="auto"/>
        <w:rPr>
          <w:sz w:val="20"/>
          <w:szCs w:val="20"/>
          <w:color w:val="auto"/>
        </w:rPr>
      </w:pPr>
      <w:r>
        <w:rPr>
          <w:rFonts w:ascii="Arial" w:cs="Arial" w:eastAsia="Arial" w:hAnsi="Arial"/>
          <w:sz w:val="18"/>
          <w:szCs w:val="18"/>
          <w:b w:val="1"/>
          <w:bCs w:val="1"/>
          <w:color w:val="auto"/>
        </w:rPr>
        <w:t>Requiring Lilly to prepare a separate report with this information would place an undue administrative burden on the company and would not provide meaningful additional information to shareholders.</w:t>
      </w:r>
    </w:p>
    <w:p>
      <w:pPr>
        <w:spacing w:after="0" w:line="8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believe our existing disclosures regarding out lobbying activities provide meaningful information that allows shareholders to evaluate how our lobbying activities align with our public policy positions and statements. Additionally, we do not believe the standalone report requested by the proposal would provide meaningful additional information to shareholders to merit the resources required to provide the report. For these reasons, we believe the proposal is not in the best interests of the company and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5768975" cy="54864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5768975" cy="548640"/>
                    </a:xfrm>
                    <a:prstGeom prst="rect">
                      <a:avLst/>
                    </a:prstGeom>
                    <a:noFill/>
                  </pic:spPr>
                </pic:pic>
              </a:graphicData>
            </a:graphic>
          </wp:anchor>
        </w:drawing>
      </w:r>
    </w:p>
    <w:p>
      <w:pPr>
        <w:spacing w:after="0" w:line="259" w:lineRule="exact"/>
        <w:rPr>
          <w:sz w:val="20"/>
          <w:szCs w:val="20"/>
          <w:color w:val="auto"/>
        </w:rPr>
      </w:pPr>
    </w:p>
    <w:p>
      <w:pPr>
        <w:ind w:left="1040"/>
        <w:spacing w:after="0"/>
        <w:rPr>
          <w:sz w:val="20"/>
          <w:szCs w:val="20"/>
          <w:color w:val="auto"/>
        </w:rPr>
      </w:pPr>
      <w:r>
        <w:rPr>
          <w:rFonts w:ascii="Arial" w:cs="Arial" w:eastAsia="Arial" w:hAnsi="Arial"/>
          <w:sz w:val="20"/>
          <w:szCs w:val="20"/>
          <w:b w:val="1"/>
          <w:bCs w:val="1"/>
          <w:color w:val="D52B1E"/>
        </w:rPr>
        <w:t>RECOMMENDATION AGAINST</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The board recommends that you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this proposal.</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40"/>
        <w:spacing w:after="0" w:line="272" w:lineRule="auto"/>
        <w:rPr>
          <w:sz w:val="20"/>
          <w:szCs w:val="20"/>
          <w:color w:val="auto"/>
        </w:rPr>
      </w:pPr>
      <w:r>
        <w:rPr>
          <w:rFonts w:ascii="Arial" w:cs="Arial" w:eastAsia="Arial" w:hAnsi="Arial"/>
          <w:sz w:val="32"/>
          <w:szCs w:val="32"/>
          <w:b w:val="1"/>
          <w:bCs w:val="1"/>
          <w:color w:val="D52B1E"/>
        </w:rPr>
        <w:t>Item 12. Proposal to Report on Effectiveness of the Company’s Diversity, Equity, and Inclusion Efforts</w:t>
      </w:r>
    </w:p>
    <w:p>
      <w:pPr>
        <w:spacing w:after="0" w:line="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As You Sow, on behalf of Leslie Oelsner Bene IRA of S Berman (S), Sarah B Sonnenfeld Rev Tr (S), Curtis Overway and Marcelina Cravat-Overway, each a beneficial owner of shares of our common stock having a market value in excess of $2,000, has submitted the following proposal:</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RESOLVED: Shareholders request that Eli Lilly and Co. (“Eli Lilly”) report to shareholders on the effectiveness of the Company’s diversity, equity, and inclusion efforts. The report should be done at reasonable expense, exclude proprietary information, and provide transparency on outcomes, using quantitative metrics for hiring, retention, and promotion of employees, including data by gender, race, and ethnicity.</w:t>
      </w:r>
    </w:p>
    <w:p>
      <w:pPr>
        <w:spacing w:after="0" w:line="11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SUPPORTING STATEMENT: Quantitative data is sought so investors can assess and compare the effectiveness of the Company’s diversity, equity, and inclusion programs.</w:t>
      </w:r>
    </w:p>
    <w:p>
      <w:pPr>
        <w:spacing w:after="0" w:line="9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WHEREAS: Eli Lilly has not shared sufficient quantitative hiring, retention, and promotion data to allow investors to determine the effectiveness of its human capital management programs. Between September 2020 and September 2022, S&amp;P 100 companies increased by 298 percent their release of hiring rate data by gender, race,</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8" w:name="page109"/>
    <w:bookmarkEnd w:id="108"/>
    <w:p>
      <w:pPr>
        <w:ind w:right="220"/>
        <w:spacing w:after="0" w:line="232" w:lineRule="auto"/>
        <w:rPr>
          <w:sz w:val="20"/>
          <w:szCs w:val="20"/>
          <w:color w:val="auto"/>
        </w:rPr>
      </w:pPr>
      <w:r>
        <w:rPr>
          <w:rFonts w:ascii="Arial" w:cs="Arial" w:eastAsia="Arial" w:hAnsi="Arial"/>
          <w:sz w:val="18"/>
          <w:szCs w:val="18"/>
          <w:color w:val="auto"/>
        </w:rPr>
        <w:t>and ethnicity; retention rate data by 481 percent; and promotion rate data by 300 percent.</w:t>
      </w:r>
      <w:r>
        <w:rPr>
          <w:rFonts w:ascii="Arial" w:cs="Arial" w:eastAsia="Arial" w:hAnsi="Arial"/>
          <w:sz w:val="23"/>
          <w:szCs w:val="23"/>
          <w:color w:val="auto"/>
          <w:vertAlign w:val="superscript"/>
        </w:rPr>
        <w:t>31</w:t>
      </w:r>
      <w:r>
        <w:rPr>
          <w:rFonts w:ascii="Arial" w:cs="Arial" w:eastAsia="Arial" w:hAnsi="Arial"/>
          <w:sz w:val="18"/>
          <w:szCs w:val="18"/>
          <w:color w:val="auto"/>
        </w:rPr>
        <w:t xml:space="preserve"> Companies that release, or have committed to release, more inclusion data than Eli Lilly include CVS Health, Gilead Sciences, Illumina, Pfizer, and UnitedHealth Group.</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Numerous studies have pointed to the benefits of a diverse workforce. Their findings include:</w:t>
      </w:r>
    </w:p>
    <w:p>
      <w:pPr>
        <w:spacing w:after="0" w:line="169" w:lineRule="exact"/>
        <w:rPr>
          <w:sz w:val="20"/>
          <w:szCs w:val="20"/>
          <w:color w:val="auto"/>
        </w:rPr>
      </w:pPr>
    </w:p>
    <w:p>
      <w:pPr>
        <w:ind w:left="640" w:hanging="308"/>
        <w:spacing w:after="0"/>
        <w:tabs>
          <w:tab w:leader="none" w:pos="640" w:val="left"/>
        </w:tabs>
        <w:numPr>
          <w:ilvl w:val="0"/>
          <w:numId w:val="215"/>
        </w:numPr>
        <w:rPr>
          <w:rFonts w:ascii="Arial" w:cs="Arial" w:eastAsia="Arial" w:hAnsi="Arial"/>
          <w:sz w:val="16"/>
          <w:szCs w:val="16"/>
          <w:color w:val="auto"/>
        </w:rPr>
      </w:pPr>
      <w:r>
        <w:rPr>
          <w:rFonts w:ascii="Arial" w:cs="Arial" w:eastAsia="Arial" w:hAnsi="Arial"/>
          <w:sz w:val="18"/>
          <w:szCs w:val="18"/>
          <w:color w:val="auto"/>
        </w:rPr>
        <w:t>There is a positive association between diversity in management and cash flow, net profit, revenue, and return on equity.</w:t>
      </w:r>
      <w:r>
        <w:rPr>
          <w:rFonts w:ascii="Arial" w:cs="Arial" w:eastAsia="Arial" w:hAnsi="Arial"/>
          <w:sz w:val="23"/>
          <w:szCs w:val="23"/>
          <w:color w:val="auto"/>
          <w:vertAlign w:val="superscript"/>
        </w:rPr>
        <w:t>32</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15"/>
        </w:numPr>
        <w:rPr>
          <w:rFonts w:ascii="Arial" w:cs="Arial" w:eastAsia="Arial" w:hAnsi="Arial"/>
          <w:sz w:val="16"/>
          <w:szCs w:val="16"/>
          <w:color w:val="auto"/>
        </w:rPr>
      </w:pPr>
      <w:r>
        <w:rPr>
          <w:rFonts w:ascii="Arial" w:cs="Arial" w:eastAsia="Arial" w:hAnsi="Arial"/>
          <w:sz w:val="18"/>
          <w:szCs w:val="18"/>
          <w:color w:val="auto"/>
        </w:rPr>
        <w:t>Companies in the top quartile for gender diversity are 21 percent more likely to outperform on profitability.</w:t>
      </w:r>
      <w:r>
        <w:rPr>
          <w:rFonts w:ascii="Arial" w:cs="Arial" w:eastAsia="Arial" w:hAnsi="Arial"/>
          <w:sz w:val="23"/>
          <w:szCs w:val="23"/>
          <w:color w:val="auto"/>
          <w:vertAlign w:val="superscript"/>
        </w:rPr>
        <w:t>33</w:t>
      </w:r>
    </w:p>
    <w:p>
      <w:pPr>
        <w:spacing w:after="0" w:line="115" w:lineRule="exact"/>
        <w:rPr>
          <w:rFonts w:ascii="Arial" w:cs="Arial" w:eastAsia="Arial" w:hAnsi="Arial"/>
          <w:sz w:val="16"/>
          <w:szCs w:val="16"/>
          <w:color w:val="auto"/>
        </w:rPr>
      </w:pPr>
    </w:p>
    <w:p>
      <w:pPr>
        <w:ind w:left="660" w:right="380" w:hanging="328"/>
        <w:spacing w:after="0" w:line="287" w:lineRule="auto"/>
        <w:tabs>
          <w:tab w:leader="none" w:pos="649" w:val="left"/>
        </w:tabs>
        <w:numPr>
          <w:ilvl w:val="0"/>
          <w:numId w:val="215"/>
        </w:numPr>
        <w:rPr>
          <w:rFonts w:ascii="Arial" w:cs="Arial" w:eastAsia="Arial" w:hAnsi="Arial"/>
          <w:sz w:val="16"/>
          <w:szCs w:val="16"/>
          <w:color w:val="auto"/>
        </w:rPr>
      </w:pPr>
      <w:r>
        <w:rPr>
          <w:rFonts w:ascii="Arial" w:cs="Arial" w:eastAsia="Arial" w:hAnsi="Arial"/>
          <w:sz w:val="18"/>
          <w:szCs w:val="18"/>
          <w:color w:val="auto"/>
        </w:rPr>
        <w:t>The 20 most diverse companies had an average annual five year-stock return that was 5.8 percentage points higher than the 20 least diverse companies.</w:t>
      </w:r>
      <w:r>
        <w:rPr>
          <w:rFonts w:ascii="Arial" w:cs="Arial" w:eastAsia="Arial" w:hAnsi="Arial"/>
          <w:sz w:val="23"/>
          <w:szCs w:val="23"/>
          <w:color w:val="auto"/>
          <w:vertAlign w:val="superscript"/>
        </w:rPr>
        <w:t>34</w:t>
      </w:r>
    </w:p>
    <w:p>
      <w:pPr>
        <w:spacing w:after="0" w:line="3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Similar to how an income statement pairs with a balance sheet, hiring, promotion, and retention rate data show how well a company manages its workforce diversity. Without this data, investors are unable to assess the effectiveness of a company’s human capital management program. Companies should look to hire the best talent. However, Black and Latino applicants face hiring challenges. Results of a meta-analysis of 24 field experiments found that, with identical resumes, White applicants received an average of 36 percent more callbacks than Black applicants and 24 percent more callbacks than Latino applicants.</w:t>
      </w:r>
      <w:r>
        <w:rPr>
          <w:rFonts w:ascii="Arial" w:cs="Arial" w:eastAsia="Arial" w:hAnsi="Arial"/>
          <w:sz w:val="23"/>
          <w:szCs w:val="23"/>
          <w:color w:val="auto"/>
          <w:vertAlign w:val="superscript"/>
        </w:rPr>
        <w:t>35</w:t>
      </w:r>
    </w:p>
    <w:p>
      <w:pPr>
        <w:spacing w:after="0" w:line="5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Promotion rates show how well diverse talent is nurtured at a company. Unfortunately, women and employees of color experience “a broken rung” in their careers; for every 100 men who are promoted, only 86 women are. Women of color are particularly impacted, comprising 17 percent of the entry-level workforce and only four percent of executives.</w:t>
      </w:r>
      <w:r>
        <w:rPr>
          <w:rFonts w:ascii="Arial" w:cs="Arial" w:eastAsia="Arial" w:hAnsi="Arial"/>
          <w:sz w:val="23"/>
          <w:szCs w:val="23"/>
          <w:color w:val="auto"/>
          <w:vertAlign w:val="superscript"/>
        </w:rPr>
        <w:t>36</w:t>
      </w:r>
    </w:p>
    <w:p>
      <w:pPr>
        <w:spacing w:after="0" w:line="4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Retention rates show whether employees choose to remain at a company. Morgan Stanley has found that employee retention above industry average can indicate a competitive advantage and higher levels of future profitability.</w:t>
      </w:r>
      <w:r>
        <w:rPr>
          <w:rFonts w:ascii="Arial" w:cs="Arial" w:eastAsia="Arial" w:hAnsi="Arial"/>
          <w:sz w:val="23"/>
          <w:szCs w:val="23"/>
          <w:color w:val="auto"/>
          <w:vertAlign w:val="superscript"/>
        </w:rPr>
        <w:t>37</w:t>
      </w:r>
      <w:r>
        <w:rPr>
          <w:rFonts w:ascii="Arial" w:cs="Arial" w:eastAsia="Arial" w:hAnsi="Arial"/>
          <w:sz w:val="18"/>
          <w:szCs w:val="18"/>
          <w:color w:val="auto"/>
        </w:rPr>
        <w:t xml:space="preserve"> Companies with high employee satisfaction have also been linked to annualized outperformance of over two percent.</w:t>
      </w:r>
      <w:r>
        <w:rPr>
          <w:rFonts w:ascii="Arial" w:cs="Arial" w:eastAsia="Arial" w:hAnsi="Arial"/>
          <w:sz w:val="23"/>
          <w:szCs w:val="23"/>
          <w:color w:val="auto"/>
          <w:vertAlign w:val="superscript"/>
        </w:rPr>
        <w:t>38</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Investors have reason to be concerned as Eli Lilly has faced allegations of age, sex, and race discrimination.</w:t>
      </w:r>
    </w:p>
    <w:p>
      <w:pPr>
        <w:spacing w:after="0" w:line="229" w:lineRule="exact"/>
        <w:rPr>
          <w:sz w:val="20"/>
          <w:szCs w:val="20"/>
          <w:color w:val="auto"/>
        </w:rPr>
      </w:pPr>
    </w:p>
    <w:p>
      <w:pPr>
        <w:ind w:right="700"/>
        <w:spacing w:after="0" w:line="285" w:lineRule="auto"/>
        <w:rPr>
          <w:sz w:val="20"/>
          <w:szCs w:val="20"/>
          <w:color w:val="auto"/>
        </w:rPr>
      </w:pPr>
      <w:r>
        <w:rPr>
          <w:rFonts w:ascii="Arial" w:cs="Arial" w:eastAsia="Arial" w:hAnsi="Arial"/>
          <w:sz w:val="22"/>
          <w:szCs w:val="22"/>
          <w:b w:val="1"/>
          <w:bCs w:val="1"/>
          <w:color w:val="auto"/>
        </w:rPr>
        <w:t>Statement in Opposition to the Shareholder Proposal to Report on the Effectiveness of the Company’s Diversity, Equity, and Inclusion Efforts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board, after review by its Directors and Corporate Governance Committee, recommends a vote against this proposal.</w:t>
      </w:r>
    </w:p>
    <w:p>
      <w:pPr>
        <w:spacing w:after="0" w:line="171"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The proposal calls for the board to report to shareholders on the effectiveness of the company’s diversity, equity, and inclusion (DEI) efforts and provide transparency on outcomes using quantitative metrics hiring, retention, and promotion of employees, including data by gender, race, and ethnicity.</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report requested by the proposal is unnecessary because Lilly already establishes specific DEI goals, discloses progress towards these goals, and has consistently been evaluated and recognized by third parties for our DEI practices, programs and outcomes.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Lilly is committed to DEI.</w:t>
      </w:r>
    </w:p>
    <w:p>
      <w:pPr>
        <w:spacing w:after="0" w:line="171"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At Lilly, we believe in the power of DEI to fulfill our purpose of creating medicines that make life better for people around the world. At our core, we believe that by leveraging the varied backgrounds of our more than 39,000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1714500" cy="889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76" w:lineRule="exact"/>
        <w:rPr>
          <w:sz w:val="20"/>
          <w:szCs w:val="20"/>
          <w:color w:val="auto"/>
        </w:rPr>
      </w:pPr>
    </w:p>
    <w:p>
      <w:pPr>
        <w:ind w:left="180" w:hanging="172"/>
        <w:spacing w:after="0"/>
        <w:tabs>
          <w:tab w:leader="none" w:pos="180" w:val="left"/>
        </w:tabs>
        <w:numPr>
          <w:ilvl w:val="0"/>
          <w:numId w:val="216"/>
        </w:numPr>
        <w:rPr>
          <w:rFonts w:ascii="Arial" w:cs="Arial" w:eastAsia="Arial" w:hAnsi="Arial"/>
          <w:sz w:val="23"/>
          <w:szCs w:val="23"/>
          <w:color w:val="auto"/>
          <w:vertAlign w:val="superscript"/>
        </w:rPr>
      </w:pPr>
      <w:r>
        <w:rPr>
          <w:rFonts w:ascii="Arial" w:cs="Arial" w:eastAsia="Arial" w:hAnsi="Arial"/>
          <w:sz w:val="14"/>
          <w:szCs w:val="14"/>
          <w:color w:val="auto"/>
        </w:rPr>
        <w:t>https://www.asyousow.org/our-work/social-justice/workplace-equity</w:t>
      </w:r>
    </w:p>
    <w:p>
      <w:pPr>
        <w:spacing w:after="0" w:line="81" w:lineRule="exact"/>
        <w:rPr>
          <w:rFonts w:ascii="Arial" w:cs="Arial" w:eastAsia="Arial" w:hAnsi="Arial"/>
          <w:sz w:val="23"/>
          <w:szCs w:val="23"/>
          <w:color w:val="auto"/>
          <w:vertAlign w:val="superscript"/>
        </w:rPr>
      </w:pPr>
    </w:p>
    <w:p>
      <w:pPr>
        <w:ind w:left="180" w:hanging="172"/>
        <w:spacing w:after="0" w:line="187" w:lineRule="auto"/>
        <w:tabs>
          <w:tab w:leader="none" w:pos="180" w:val="left"/>
        </w:tabs>
        <w:numPr>
          <w:ilvl w:val="0"/>
          <w:numId w:val="216"/>
        </w:numPr>
        <w:rPr>
          <w:rFonts w:ascii="Arial" w:cs="Arial" w:eastAsia="Arial" w:hAnsi="Arial"/>
          <w:sz w:val="21"/>
          <w:szCs w:val="21"/>
          <w:color w:val="auto"/>
          <w:vertAlign w:val="superscript"/>
        </w:rPr>
      </w:pPr>
      <w:r>
        <w:rPr>
          <w:rFonts w:ascii="Arial" w:cs="Arial" w:eastAsia="Arial" w:hAnsi="Arial"/>
          <w:sz w:val="13"/>
          <w:szCs w:val="13"/>
          <w:color w:val="auto"/>
        </w:rPr>
        <w:t>https://www.asyousow.org/report-pages/workplace-diversity-and-financial-performance</w:t>
      </w:r>
    </w:p>
    <w:p>
      <w:pPr>
        <w:spacing w:after="0" w:line="51" w:lineRule="exact"/>
        <w:rPr>
          <w:rFonts w:ascii="Arial" w:cs="Arial" w:eastAsia="Arial" w:hAnsi="Arial"/>
          <w:sz w:val="21"/>
          <w:szCs w:val="21"/>
          <w:color w:val="auto"/>
          <w:vertAlign w:val="superscript"/>
        </w:rPr>
      </w:pPr>
    </w:p>
    <w:p>
      <w:pPr>
        <w:ind w:left="180" w:hanging="172"/>
        <w:spacing w:after="0" w:line="199" w:lineRule="auto"/>
        <w:tabs>
          <w:tab w:leader="none" w:pos="180" w:val="left"/>
        </w:tabs>
        <w:numPr>
          <w:ilvl w:val="0"/>
          <w:numId w:val="216"/>
        </w:numPr>
        <w:rPr>
          <w:rFonts w:ascii="Arial" w:cs="Arial" w:eastAsia="Arial" w:hAnsi="Arial"/>
          <w:sz w:val="23"/>
          <w:szCs w:val="23"/>
          <w:color w:val="auto"/>
          <w:vertAlign w:val="superscript"/>
        </w:rPr>
      </w:pPr>
      <w:r>
        <w:rPr>
          <w:rFonts w:ascii="Arial" w:cs="Arial" w:eastAsia="Arial" w:hAnsi="Arial"/>
          <w:sz w:val="14"/>
          <w:szCs w:val="14"/>
          <w:color w:val="auto"/>
        </w:rPr>
        <w:t>Ibid</w:t>
      </w:r>
    </w:p>
    <w:p>
      <w:pPr>
        <w:spacing w:after="0" w:line="81" w:lineRule="exact"/>
        <w:rPr>
          <w:rFonts w:ascii="Arial" w:cs="Arial" w:eastAsia="Arial" w:hAnsi="Arial"/>
          <w:sz w:val="23"/>
          <w:szCs w:val="23"/>
          <w:color w:val="auto"/>
          <w:vertAlign w:val="superscript"/>
        </w:rPr>
      </w:pPr>
    </w:p>
    <w:p>
      <w:pPr>
        <w:ind w:left="180" w:hanging="172"/>
        <w:spacing w:after="0" w:line="220" w:lineRule="auto"/>
        <w:tabs>
          <w:tab w:leader="none" w:pos="180" w:val="left"/>
        </w:tabs>
        <w:numPr>
          <w:ilvl w:val="0"/>
          <w:numId w:val="216"/>
        </w:numPr>
        <w:rPr>
          <w:rFonts w:ascii="Arial" w:cs="Arial" w:eastAsia="Arial" w:hAnsi="Arial"/>
          <w:sz w:val="23"/>
          <w:szCs w:val="23"/>
          <w:color w:val="auto"/>
          <w:vertAlign w:val="superscript"/>
        </w:rPr>
      </w:pPr>
      <w:r>
        <w:rPr>
          <w:rFonts w:ascii="Arial" w:cs="Arial" w:eastAsia="Arial" w:hAnsi="Arial"/>
          <w:sz w:val="14"/>
          <w:szCs w:val="14"/>
          <w:color w:val="auto"/>
        </w:rPr>
        <w:t>https://www.wsj.com/articles/the-business-case-for-more-diversity-11572091200</w:t>
      </w:r>
    </w:p>
    <w:p>
      <w:pPr>
        <w:spacing w:after="0" w:line="81" w:lineRule="exact"/>
        <w:rPr>
          <w:rFonts w:ascii="Arial" w:cs="Arial" w:eastAsia="Arial" w:hAnsi="Arial"/>
          <w:sz w:val="23"/>
          <w:szCs w:val="23"/>
          <w:color w:val="auto"/>
          <w:vertAlign w:val="superscript"/>
        </w:rPr>
      </w:pPr>
    </w:p>
    <w:p>
      <w:pPr>
        <w:ind w:left="180" w:hanging="172"/>
        <w:spacing w:after="0" w:line="220" w:lineRule="auto"/>
        <w:tabs>
          <w:tab w:leader="none" w:pos="180" w:val="left"/>
        </w:tabs>
        <w:numPr>
          <w:ilvl w:val="0"/>
          <w:numId w:val="216"/>
        </w:numPr>
        <w:rPr>
          <w:rFonts w:ascii="Arial" w:cs="Arial" w:eastAsia="Arial" w:hAnsi="Arial"/>
          <w:sz w:val="23"/>
          <w:szCs w:val="23"/>
          <w:color w:val="auto"/>
          <w:vertAlign w:val="superscript"/>
        </w:rPr>
      </w:pPr>
      <w:r>
        <w:rPr>
          <w:rFonts w:ascii="Arial" w:cs="Arial" w:eastAsia="Arial" w:hAnsi="Arial"/>
          <w:sz w:val="14"/>
          <w:szCs w:val="14"/>
          <w:color w:val="auto"/>
        </w:rPr>
        <w:t>https://www.hbr.org/2017/10/hiring-discrimination-against-black-amercians-hasnt-declined-in-25-years</w:t>
      </w:r>
    </w:p>
    <w:p>
      <w:pPr>
        <w:spacing w:after="0" w:line="81" w:lineRule="exact"/>
        <w:rPr>
          <w:rFonts w:ascii="Arial" w:cs="Arial" w:eastAsia="Arial" w:hAnsi="Arial"/>
          <w:sz w:val="23"/>
          <w:szCs w:val="23"/>
          <w:color w:val="auto"/>
          <w:vertAlign w:val="superscript"/>
        </w:rPr>
      </w:pPr>
    </w:p>
    <w:p>
      <w:pPr>
        <w:ind w:left="180" w:hanging="172"/>
        <w:spacing w:after="0" w:line="220" w:lineRule="auto"/>
        <w:tabs>
          <w:tab w:leader="none" w:pos="180" w:val="left"/>
        </w:tabs>
        <w:numPr>
          <w:ilvl w:val="0"/>
          <w:numId w:val="216"/>
        </w:numPr>
        <w:rPr>
          <w:rFonts w:ascii="Arial" w:cs="Arial" w:eastAsia="Arial" w:hAnsi="Arial"/>
          <w:sz w:val="23"/>
          <w:szCs w:val="23"/>
          <w:color w:val="auto"/>
          <w:vertAlign w:val="superscript"/>
        </w:rPr>
      </w:pPr>
      <w:r>
        <w:rPr>
          <w:rFonts w:ascii="Arial" w:cs="Arial" w:eastAsia="Arial" w:hAnsi="Arial"/>
          <w:sz w:val="14"/>
          <w:szCs w:val="14"/>
          <w:color w:val="auto"/>
        </w:rPr>
        <w:t>https://wiw-report.s3amazonaws.com/Women_in_the_Workplace_2021.pdf</w:t>
      </w:r>
    </w:p>
    <w:p>
      <w:pPr>
        <w:spacing w:after="0" w:line="81" w:lineRule="exact"/>
        <w:rPr>
          <w:rFonts w:ascii="Arial" w:cs="Arial" w:eastAsia="Arial" w:hAnsi="Arial"/>
          <w:sz w:val="23"/>
          <w:szCs w:val="23"/>
          <w:color w:val="auto"/>
          <w:vertAlign w:val="superscript"/>
        </w:rPr>
      </w:pPr>
    </w:p>
    <w:p>
      <w:pPr>
        <w:ind w:left="180" w:hanging="172"/>
        <w:spacing w:after="0" w:line="220" w:lineRule="auto"/>
        <w:tabs>
          <w:tab w:leader="none" w:pos="180" w:val="left"/>
        </w:tabs>
        <w:numPr>
          <w:ilvl w:val="0"/>
          <w:numId w:val="216"/>
        </w:numPr>
        <w:rPr>
          <w:rFonts w:ascii="Arial" w:cs="Arial" w:eastAsia="Arial" w:hAnsi="Arial"/>
          <w:sz w:val="23"/>
          <w:szCs w:val="23"/>
          <w:color w:val="auto"/>
          <w:vertAlign w:val="superscript"/>
        </w:rPr>
      </w:pPr>
      <w:r>
        <w:rPr>
          <w:rFonts w:ascii="Arial" w:cs="Arial" w:eastAsia="Arial" w:hAnsi="Arial"/>
          <w:sz w:val="14"/>
          <w:szCs w:val="14"/>
          <w:color w:val="auto"/>
        </w:rPr>
        <w:t>https://www.morganstanley.com/im/publication/insights/articles/article_culturequantframework_us.pdf</w:t>
      </w:r>
    </w:p>
    <w:p>
      <w:pPr>
        <w:spacing w:after="0" w:line="134" w:lineRule="exact"/>
        <w:rPr>
          <w:rFonts w:ascii="Arial" w:cs="Arial" w:eastAsia="Arial" w:hAnsi="Arial"/>
          <w:sz w:val="23"/>
          <w:szCs w:val="23"/>
          <w:color w:val="auto"/>
          <w:vertAlign w:val="superscript"/>
        </w:rPr>
      </w:pPr>
    </w:p>
    <w:p>
      <w:pPr>
        <w:ind w:left="180" w:right="2740" w:hanging="172"/>
        <w:spacing w:after="0" w:line="230" w:lineRule="auto"/>
        <w:tabs>
          <w:tab w:leader="none" w:pos="198" w:val="left"/>
        </w:tabs>
        <w:numPr>
          <w:ilvl w:val="0"/>
          <w:numId w:val="216"/>
        </w:numPr>
        <w:rPr>
          <w:rFonts w:ascii="Arial" w:cs="Arial" w:eastAsia="Arial" w:hAnsi="Arial"/>
          <w:sz w:val="23"/>
          <w:szCs w:val="23"/>
          <w:color w:val="auto"/>
          <w:vertAlign w:val="superscript"/>
        </w:rPr>
      </w:pPr>
      <w:r>
        <w:rPr>
          <w:rFonts w:ascii="Arial" w:cs="Arial" w:eastAsia="Arial" w:hAnsi="Arial"/>
          <w:sz w:val="14"/>
          <w:szCs w:val="14"/>
          <w:color w:val="auto"/>
        </w:rPr>
        <w:t>https://www.institutionalinvestor.com/article/b1tx0zzdhhnf5x/Want-to-Pick-the-Best-Stocks-Pick-the-Happiest-Companies? utm_medium=email&amp;utm_campaign=The%20Essential20II20100721&amp;utm_content= The20Essential%20II20100721%20CID_eb103a9e15359075f72a85f7ff534c79&amp;utm_source= CampaignMonitorEmail&amp;utm_term=Want%20to%20Pick%20the%20Best%20Stocks%20Pick%20the%20Happiest%20Companies</w:t>
      </w:r>
    </w:p>
    <w:p>
      <w:pPr>
        <w:sectPr>
          <w:pgSz w:w="11900" w:h="16838" w:orient="portrait"/>
          <w:cols w:equalWidth="0" w:num="1">
            <w:col w:w="11200"/>
          </w:cols>
          <w:pgMar w:left="320" w:top="766" w:right="37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6" w:right="379" w:bottom="1440" w:gutter="0" w:footer="0" w:header="0"/>
          <w:type w:val="continuous"/>
        </w:sectPr>
      </w:pPr>
    </w:p>
    <w:bookmarkStart w:id="109" w:name="page110"/>
    <w:bookmarkEnd w:id="109"/>
    <w:p>
      <w:pPr>
        <w:ind w:right="100"/>
        <w:spacing w:after="0" w:line="262" w:lineRule="auto"/>
        <w:rPr>
          <w:sz w:val="20"/>
          <w:szCs w:val="20"/>
          <w:color w:val="auto"/>
        </w:rPr>
      </w:pPr>
      <w:r>
        <w:rPr>
          <w:rFonts w:ascii="Arial" w:cs="Arial" w:eastAsia="Arial" w:hAnsi="Arial"/>
          <w:sz w:val="18"/>
          <w:szCs w:val="18"/>
          <w:color w:val="auto"/>
        </w:rPr>
        <w:t>employees—and by driving actionable and measurable strategies to improve DEI, including diversity within our clinical trials—we can better deliver scientific breakthroughs. We take a data-driven approach to DEI so that our business and employee base better reflect the world around us. We recognize that the wide array of races, ethnicities, abilities, ages, religions, sexual orientations, genders and political views in our communities serves as a catalyst for innovation and creativity that contributes to the health and prosperity of society.</w:t>
      </w:r>
    </w:p>
    <w:p>
      <w:pPr>
        <w:spacing w:after="0" w:line="12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DEI commitment at Lilly includes, among other things, high-level oversight, purposeful corporate culture and ongoing data analyses to inform our approach. Our CEO and Executive Committee (EC) consistently set expectations for inclusive leadership and hold leaders accountable for building diverse and inclusive teams. The EC is dedicated to advising and driving corporate DEI strategy in order to promote diverse talent development, recruitment, and retainment as highlighted in our proxy statement and other public disclosures. The EC regularly reviews progress towards aspirational goals for women and minority group member talent for both recruiting and representation in management along with other DEI metrics, including employee survey data. Lilly is committed to data-driven results, and metrics are used to develop annual DEI plans, track progress and implement Lilly’s strategies, which are reviewed at least annually by the Board.</w:t>
      </w:r>
    </w:p>
    <w:p>
      <w:pPr>
        <w:spacing w:after="0" w:line="1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executive leadership team purposefully integrates DEI within our human resources talent management organization. Lilly’s executive vice president for human resources and diversity, a member of the EC, reports directly to our chair and CEO and is ultimately accountable for DEI at Lilly. Our chief DEI officer is a senior vice president reporting to the executive vice president for human resources and diversity and is also responsible for leading our talent management functions. As a result, DEI is integrated into how we recruit, develop, promote and retain talent.</w:t>
      </w:r>
    </w:p>
    <w:p>
      <w:pPr>
        <w:spacing w:after="0" w:line="12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Employee resource groups (ERGs) are another important component of developing talent at Lilly. Our ERGs represent groups including women, minority group members, LGBTQ+ individuals, veterans and people with disabilities. ERGs offer our diverse workforce opportunities to build relationships, engage with senior leaders, advance our caring community, and offer unique insights and perspectives to improve our business.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Lilly already provides extensive information on its DEI efforts and has posted its consolidated EEO-1 reports.</w:t>
      </w:r>
    </w:p>
    <w:p>
      <w:pPr>
        <w:spacing w:after="0" w:line="171"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We already disclose Lilly’s DEI efforts, including the information provided above, in our proxy statement and other public disclosures along with quantitative diversity data, including the gender and ethnicity breakdown of both Lilly’s workforce and management. In addition, the company publishes its EEO-1 reports on the company’s website, which provides additional transparency and accountability with respect to Lilly’s workforce diversity data.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Lilly continues to be recognized for its DEI efforts.</w:t>
      </w:r>
    </w:p>
    <w:p>
      <w:pPr>
        <w:spacing w:after="0" w:line="17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Finally, Lilly has been recognized externally several times for its DEI efforts. Lilly is and has been ranked in the Top 5 Companies in effective DEI practices by DiversityInc for the past 4 years and in the Top 50 the past twelve (12) years running. DiversityInc has a systematic, rigorous process that reviews companies’ data across six categories: Leadership Accountability, Talent Programs, Human Capital and Diversity Metrics, Workplace Practices, Supplier Diversity and Philanthropy.</w:t>
      </w:r>
    </w:p>
    <w:p>
      <w:pPr>
        <w:spacing w:after="0" w:line="12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Additionally, Lilly has been recognized in Forbes, America’s Best Large Employers list; Seramount, Top Company for Executive Women and Best Company for Multicultural Women; DisabilityIN, Disability Equality Index Best Places to Work – Perfect Score; Human Rights Campaign Foundation, Corporate Equality Index – Perfect Score to name a few.</w:t>
      </w:r>
    </w:p>
    <w:p>
      <w:pPr>
        <w:spacing w:after="0" w:line="117" w:lineRule="exact"/>
        <w:rPr>
          <w:sz w:val="20"/>
          <w:szCs w:val="20"/>
          <w:color w:val="auto"/>
        </w:rPr>
      </w:pPr>
    </w:p>
    <w:p>
      <w:pPr>
        <w:jc w:val="both"/>
        <w:ind w:right="40"/>
        <w:spacing w:after="0" w:line="296" w:lineRule="auto"/>
        <w:rPr>
          <w:sz w:val="20"/>
          <w:szCs w:val="20"/>
          <w:color w:val="auto"/>
        </w:rPr>
      </w:pPr>
      <w:r>
        <w:rPr>
          <w:rFonts w:ascii="Arial" w:cs="Arial" w:eastAsia="Arial" w:hAnsi="Arial"/>
          <w:sz w:val="18"/>
          <w:szCs w:val="18"/>
          <w:b w:val="1"/>
          <w:bCs w:val="1"/>
          <w:color w:val="auto"/>
        </w:rPr>
        <w:t>Requiring Lilly to prepare a separate report with this information would place an undue administrative burden on the company and would not provide meaningful additional information to shareholders.</w:t>
      </w:r>
    </w:p>
    <w:p>
      <w:pPr>
        <w:spacing w:after="0" w:line="8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believe our existing DEI practices, and significant disclosures, provide meaningful information that allows shareholders to determine the effectiveness of our policies related to workplace diversity. Additionally, we do not believe the standalone report requested by the proposal would provide meaningful additional information to shareholders to merit the resources required to provide the report. For these reasons, we believe the proposal is not in the best interests of the company and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5768975" cy="54864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5768975" cy="548640"/>
                    </a:xfrm>
                    <a:prstGeom prst="rect">
                      <a:avLst/>
                    </a:prstGeom>
                    <a:noFill/>
                  </pic:spPr>
                </pic:pic>
              </a:graphicData>
            </a:graphic>
          </wp:anchor>
        </w:drawing>
      </w:r>
    </w:p>
    <w:p>
      <w:pPr>
        <w:spacing w:after="0" w:line="259" w:lineRule="exact"/>
        <w:rPr>
          <w:sz w:val="20"/>
          <w:szCs w:val="20"/>
          <w:color w:val="auto"/>
        </w:rPr>
      </w:pPr>
    </w:p>
    <w:p>
      <w:pPr>
        <w:ind w:left="1040"/>
        <w:spacing w:after="0"/>
        <w:rPr>
          <w:sz w:val="20"/>
          <w:szCs w:val="20"/>
          <w:color w:val="auto"/>
        </w:rPr>
      </w:pPr>
      <w:r>
        <w:rPr>
          <w:rFonts w:ascii="Arial" w:cs="Arial" w:eastAsia="Arial" w:hAnsi="Arial"/>
          <w:sz w:val="20"/>
          <w:szCs w:val="20"/>
          <w:b w:val="1"/>
          <w:bCs w:val="1"/>
          <w:color w:val="D52B1E"/>
        </w:rPr>
        <w:t>RECOMMENDATION AGAINST</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The board recommends that you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this proposal.</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10" w:name="page111"/>
    <w:bookmarkEnd w:id="110"/>
    <w:p>
      <w:pPr>
        <w:ind w:right="520"/>
        <w:spacing w:after="0" w:line="267" w:lineRule="auto"/>
        <w:rPr>
          <w:sz w:val="20"/>
          <w:szCs w:val="20"/>
          <w:color w:val="auto"/>
        </w:rPr>
      </w:pPr>
      <w:r>
        <w:rPr>
          <w:rFonts w:ascii="Arial" w:cs="Arial" w:eastAsia="Arial" w:hAnsi="Arial"/>
          <w:sz w:val="32"/>
          <w:szCs w:val="32"/>
          <w:b w:val="1"/>
          <w:bCs w:val="1"/>
          <w:color w:val="D52B1E"/>
        </w:rPr>
        <w:t>Item 13. Proposal to Adopt a Policy to Require Certain Third-Party Organizations to Annually Report Expenditures for Political Activities before Lilly Contributes to an Organization</w:t>
      </w:r>
    </w:p>
    <w:p>
      <w:pPr>
        <w:spacing w:after="0" w:line="2"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color w:val="auto"/>
        </w:rPr>
        <w:t>Change Finance, P.B.C., a beneficial owner of shares of our common stock having a market value in excess of $2,000, has submitted the following proposal:</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Eli Lilly &amp; Company Model Code Proposal</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The shareholders of Eli Lilly &amp; Company (“Lilly” or “Company”) ask the Company to adopt a policy requiring that, prior to making a</w:t>
      </w:r>
      <w:r>
        <w:rPr>
          <w:rFonts w:ascii="Arial" w:cs="Arial" w:eastAsia="Arial" w:hAnsi="Arial"/>
          <w:sz w:val="18"/>
          <w:szCs w:val="18"/>
          <w:b w:val="1"/>
          <w:bCs w:val="1"/>
          <w:color w:val="auto"/>
        </w:rPr>
        <w:t xml:space="preserve"> </w:t>
      </w:r>
      <w:r>
        <w:rPr>
          <w:rFonts w:ascii="Arial" w:cs="Arial" w:eastAsia="Arial" w:hAnsi="Arial"/>
          <w:sz w:val="18"/>
          <w:szCs w:val="18"/>
          <w:color w:val="auto"/>
        </w:rPr>
        <w:t>donation or expenditure that supports the political activities of any trade association, social welfare organization, or organization organized and operated primarily to engage in political activities, Lilly will require that the organization report, at least annually, the organization’s expenditures for political activities, including the amount spent and the recipient, and that each such report be posted on Lilly’s website. For purposes of this proposal, “political activities” are (i) influencing or attempting to influence the selection, nomination, election, or appointment of any individual to a public office; or (ii) supporting a party, committee, association, fund, or other organization organized and operated primarily for the purpose of directly or indirectly accepting contributions or making expenditures to engage in the activities described in (i). This proposal does not encompass lobbying spending.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Supporting Statement</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long-term Lilly shareholders we support transparency and accountability in corporate electoral spending, including indirect political spending that is the subject of this proposal. Misaligned or non-transparent funding creates reputational risk that can harm shareholder value and place a company in legal jeopardy. Without knowing which candidates and political causes its funds ultimately support, our Company cannot assure shareholders, employees, or other stakeholders that its spending aligns with core values, business objectives, and policy positions. Without this information, none of the board, senior management, or shareowners can assess the risks associated with political spending.</w:t>
      </w:r>
    </w:p>
    <w:p>
      <w:pPr>
        <w:spacing w:after="0" w:line="12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risks are especially serious when giving to trade associations, Super PACs, 527 committees, and “social welfare” organizations – groups that routinely pass money to or spend on behalf of candidates and political causes that a company might not otherwise wish to support. The Conference Board’s 2021 “Under a Microscope” report details these risks, discusses how to effectively manage them, and recommends the process suggested in this proposal. Media coverage amplifies the risk a company’s spending can pose and contributions to third-party groups can also embroil companies in scandal. Public records show Lilly has contributed at least $8.4 million in corporate funds to third-party groups dating to the 2010 election cycle. Beneficiaries of this spending have been tied to attacks on voting rights, efforts to deny climate change, and efforts to impose extreme restrictions on abortion – associations many companies wish to avoid.</w:t>
      </w:r>
    </w:p>
    <w:p>
      <w:pPr>
        <w:spacing w:after="0" w:line="12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It is unclear whether Lilly and its board received sufficient information from these groups to assess (a) the potential risks for the Company and stockholders, and (b) whether the groups’ expenditures aligned with our Company’s core values, business objectives, and policy positions. Mandating reports from third-party groups receiving Lilly political money would demonstrate our Company’s commitment to robust risk management and responsible civic engagement.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We urge a vote FOR the commonsense risk management measures contained in this proposal.</w:t>
      </w:r>
    </w:p>
    <w:p>
      <w:pPr>
        <w:spacing w:after="0" w:line="229" w:lineRule="exact"/>
        <w:rPr>
          <w:sz w:val="20"/>
          <w:szCs w:val="20"/>
          <w:color w:val="auto"/>
        </w:rPr>
      </w:pPr>
    </w:p>
    <w:p>
      <w:pPr>
        <w:ind w:right="780"/>
        <w:spacing w:after="0" w:line="270" w:lineRule="auto"/>
        <w:rPr>
          <w:sz w:val="20"/>
          <w:szCs w:val="20"/>
          <w:color w:val="auto"/>
        </w:rPr>
      </w:pPr>
      <w:r>
        <w:rPr>
          <w:rFonts w:ascii="Arial" w:cs="Arial" w:eastAsia="Arial" w:hAnsi="Arial"/>
          <w:sz w:val="22"/>
          <w:szCs w:val="22"/>
          <w:b w:val="1"/>
          <w:bCs w:val="1"/>
          <w:color w:val="auto"/>
        </w:rPr>
        <w:t>Statement in Opposition to the Shareholder Proposal to Adopt a Policy to Require Certain Third-Party Organizations to Annually Report Expenditures for Political Activities before Lilly Contributes to an Organization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board, after review by its Directors and Corporate Governance Committee, recommends a vote against this proposal.</w:t>
      </w:r>
    </w:p>
    <w:p>
      <w:pPr>
        <w:spacing w:after="0" w:line="171"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proposal calls for the board to adopt a policy requiring that, prior to making a contribution or expenditure that supports the political activities of any trade association, social welfare organization, or organization organized and operated primarily to engage in political activities, Lilly will require that the organization report, at least annually,</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5" w:right="379" w:bottom="1440" w:gutter="0" w:footer="0" w:header="0"/>
        </w:sectPr>
      </w:pPr>
    </w:p>
    <w:bookmarkStart w:id="111" w:name="page112"/>
    <w:bookmarkEnd w:id="111"/>
    <w:p>
      <w:pPr>
        <w:ind w:right="280"/>
        <w:spacing w:after="0" w:line="287" w:lineRule="auto"/>
        <w:rPr>
          <w:sz w:val="20"/>
          <w:szCs w:val="20"/>
          <w:color w:val="auto"/>
        </w:rPr>
      </w:pPr>
      <w:r>
        <w:rPr>
          <w:rFonts w:ascii="Arial" w:cs="Arial" w:eastAsia="Arial" w:hAnsi="Arial"/>
          <w:sz w:val="18"/>
          <w:szCs w:val="18"/>
          <w:color w:val="auto"/>
        </w:rPr>
        <w:t>the organization’s expenditures or political activities, including the amount spent and the recipient, and that each such report be posted on Lilly’s website.</w:t>
      </w:r>
    </w:p>
    <w:p>
      <w:pPr>
        <w:spacing w:after="0" w:line="99"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actions requested by the proposal are unnecessary, impracticable, and could exclude Lilly from important public policy discussions vital to Lilly’s business or restrict Lilly’s ability to further the public policy goals that are important to the company’s objectives.</w:t>
      </w:r>
    </w:p>
    <w:p>
      <w:pPr>
        <w:spacing w:after="0" w:line="99" w:lineRule="exact"/>
        <w:rPr>
          <w:sz w:val="20"/>
          <w:szCs w:val="20"/>
          <w:color w:val="auto"/>
        </w:rPr>
      </w:pPr>
    </w:p>
    <w:p>
      <w:pPr>
        <w:ind w:right="460"/>
        <w:spacing w:after="0" w:line="296" w:lineRule="auto"/>
        <w:rPr>
          <w:sz w:val="20"/>
          <w:szCs w:val="20"/>
          <w:color w:val="auto"/>
        </w:rPr>
      </w:pPr>
      <w:r>
        <w:rPr>
          <w:rFonts w:ascii="Arial" w:cs="Arial" w:eastAsia="Arial" w:hAnsi="Arial"/>
          <w:sz w:val="18"/>
          <w:szCs w:val="18"/>
          <w:b w:val="1"/>
          <w:bCs w:val="1"/>
          <w:color w:val="auto"/>
        </w:rPr>
        <w:t>Lilly already publicly discloses information regarding its lobbying activities and trade association memberships, including the extent of management and board oversight of the Company’s participation.</w:t>
      </w:r>
    </w:p>
    <w:p>
      <w:pPr>
        <w:spacing w:after="0" w:line="8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Lilly makes extensive disclosures regarding its lobbying activities in the political participation page of its website (Political Participation Website), its proxy materials, its environmental, social and governance report (ESG Report), and through other publicly available disclosures regarding its political activities. For example, Lilly voluntarily discloses its corporate political contributions on a biannual basis. In addition to the public disclosures of lobbying expenditures by trade associations through which Lilly conducts its indirect activities (which are evaluated annually by the company’s U.S. government affairs leaders), Lilly’s Political Participation Website also contains information regarding the company’s trade association memberships for which the company pays annual dues of $50,000 or more, as well as information regarding the percentage of dues collected by such trade associations that is utilized for federal and state lobbying and political expenditures. Additional details regarding the company’s corporate contributions, LillyPAC’s contributions (which are also voluntarily disclosed on an annual basis), contribution data, and the company’s direct lobbying expenses are also already made available to the public from numerous public sources.</w:t>
      </w:r>
    </w:p>
    <w:p>
      <w:pPr>
        <w:spacing w:after="0" w:line="120"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Our contributions to these organizations are evaluated annually by the company’s U.S. Government Affairs leaders based on these organizations’ expertise in healthcare policy and advocacy and support of key issues of importance to Lilly. In addition to their positions on health care and business policy issues, we recognize that these organizations may engage in a broad range of other issues that extend beyond matters of primary importance to Lilly.</w:t>
      </w:r>
    </w:p>
    <w:p>
      <w:pPr>
        <w:spacing w:after="0" w:line="12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If concerns arise about an organization’s activities or involvement, we convey our concerns to them and evaluate whether the organization’s actions align with our core values, business objectives, and policy positions such that Lilly should maintain its relationship with that organization. We contribute to and participate in certain organizations because we believe there is value in ensuring our positions on issues important to Lilly and our industry are communicated and understood within the trade associations to which we belong. Lilly’s membership in these groups comes with the understanding that we may not always agree with the positions of the larger organization and/or other members.</w:t>
      </w:r>
    </w:p>
    <w:p>
      <w:pPr>
        <w:spacing w:after="0" w:line="12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Furthermore, as described in this proxy statement and on our Political Participation Website, Lilly discloses its decision-making process and the board’s oversight over the company’s political expenditures and direct and indirect lobbying activities. The board receives regular updates from the executive vice president, corporate affairs and communications regarding public policy issues and the company’s direct and indirect lobbying activities and receives semi-annual updates on direct and indirect lobbying activities and trade association memberships. This communication enables the board to oversee the company’s fulfillment of its commitment to stewardship of corporate funds and minimizes risk with respect to such activities. See “</w:t>
      </w:r>
      <w:r>
        <w:rPr>
          <w:rFonts w:ascii="Arial" w:cs="Arial" w:eastAsia="Arial" w:hAnsi="Arial"/>
          <w:sz w:val="18"/>
          <w:szCs w:val="18"/>
          <w:u w:val="single" w:color="auto"/>
          <w:color w:val="0000FF"/>
        </w:rPr>
        <w:t>Governance—Governance Practices—Human Capital Management—Political and Policy</w:t>
      </w:r>
      <w:r>
        <w:rPr>
          <w:rFonts w:ascii="Arial" w:cs="Arial" w:eastAsia="Arial" w:hAnsi="Arial"/>
          <w:sz w:val="18"/>
          <w:szCs w:val="18"/>
          <w:color w:val="auto"/>
        </w:rPr>
        <w:t xml:space="preserve"> </w:t>
      </w:r>
      <w:r>
        <w:rPr>
          <w:rFonts w:ascii="Arial" w:cs="Arial" w:eastAsia="Arial" w:hAnsi="Arial"/>
          <w:sz w:val="18"/>
          <w:szCs w:val="18"/>
          <w:u w:val="single" w:color="auto"/>
          <w:color w:val="0000FF"/>
        </w:rPr>
        <w:t>Participation</w:t>
      </w:r>
      <w:r>
        <w:rPr>
          <w:rFonts w:ascii="Arial" w:cs="Arial" w:eastAsia="Arial" w:hAnsi="Arial"/>
          <w:sz w:val="18"/>
          <w:szCs w:val="18"/>
          <w:color w:val="000000"/>
        </w:rPr>
        <w:t>” for additional information. This robust internal oversight as well as the extensive public disclosure provided by the company</w:t>
      </w:r>
      <w:r>
        <w:rPr>
          <w:rFonts w:ascii="Arial" w:cs="Arial" w:eastAsia="Arial" w:hAnsi="Arial"/>
          <w:sz w:val="18"/>
          <w:szCs w:val="18"/>
          <w:color w:val="0000FF"/>
        </w:rPr>
        <w:t xml:space="preserve"> </w:t>
      </w:r>
      <w:r>
        <w:rPr>
          <w:rFonts w:ascii="Arial" w:cs="Arial" w:eastAsia="Arial" w:hAnsi="Arial"/>
          <w:sz w:val="18"/>
          <w:szCs w:val="18"/>
          <w:color w:val="000000"/>
        </w:rPr>
        <w:t>allow the board, senior management, and our shareholders to assess the risks associated with political spending.</w:t>
      </w:r>
    </w:p>
    <w:p>
      <w:pPr>
        <w:spacing w:after="0" w:line="131" w:lineRule="exact"/>
        <w:rPr>
          <w:sz w:val="20"/>
          <w:szCs w:val="20"/>
          <w:color w:val="auto"/>
        </w:rPr>
      </w:pPr>
    </w:p>
    <w:p>
      <w:pPr>
        <w:ind w:right="680"/>
        <w:spacing w:after="0" w:line="296" w:lineRule="auto"/>
        <w:rPr>
          <w:sz w:val="20"/>
          <w:szCs w:val="20"/>
          <w:color w:val="auto"/>
        </w:rPr>
      </w:pPr>
      <w:r>
        <w:rPr>
          <w:rFonts w:ascii="Arial" w:cs="Arial" w:eastAsia="Arial" w:hAnsi="Arial"/>
          <w:sz w:val="18"/>
          <w:szCs w:val="18"/>
          <w:b w:val="1"/>
          <w:bCs w:val="1"/>
          <w:color w:val="auto"/>
        </w:rPr>
        <w:t>Lilly does not have the power to control third-party disclosure and it is important for our business that we have flexibility to appropriately evaluate and engage in the public policymaking process.</w:t>
      </w:r>
    </w:p>
    <w:p>
      <w:pPr>
        <w:spacing w:after="0" w:line="8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believe our membership in, or association with, certain trade associations allow us to work collaboratively and create consensus with organizations with similar interests on key policy issues and advocate in favor of those interests. However, our limited participation does not afford us the influence to require third parties to provide the detailed reports requested by the proposal, and mandating that organizations must produce these reports in order to receive contributions from Lilly could severely limit the number and types of organizations in which we could participate. Most of these organizations already provide some level of disclosure regarding their political spending activities, either voluntarily or based on legal obligations to do so. Trade associations, for example, are subject to public disclosure obligations with respect to their lobbying and political contributions and expenditures.</w:t>
      </w:r>
    </w:p>
    <w:p>
      <w:pPr>
        <w:spacing w:after="0" w:line="129" w:lineRule="exact"/>
        <w:rPr>
          <w:sz w:val="20"/>
          <w:szCs w:val="20"/>
          <w:color w:val="auto"/>
        </w:rPr>
      </w:pPr>
    </w:p>
    <w:p>
      <w:pPr>
        <w:ind w:right="1060"/>
        <w:spacing w:after="0" w:line="287" w:lineRule="auto"/>
        <w:rPr>
          <w:sz w:val="20"/>
          <w:szCs w:val="20"/>
          <w:color w:val="auto"/>
        </w:rPr>
      </w:pPr>
      <w:r>
        <w:rPr>
          <w:rFonts w:ascii="Arial" w:cs="Arial" w:eastAsia="Arial" w:hAnsi="Arial"/>
          <w:sz w:val="18"/>
          <w:szCs w:val="18"/>
          <w:color w:val="auto"/>
        </w:rPr>
        <w:t>We do not believe that requiring additional disclosure from these groups would be beneficial to our shareholders and believe the disadvantage from more limited participation would far exceed any perceived advantage from</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2" w:name="page113"/>
    <w:bookmarkEnd w:id="112"/>
    <w:p>
      <w:pPr>
        <w:ind w:right="20"/>
        <w:spacing w:after="0" w:line="268" w:lineRule="auto"/>
        <w:rPr>
          <w:sz w:val="20"/>
          <w:szCs w:val="20"/>
          <w:color w:val="auto"/>
        </w:rPr>
      </w:pPr>
      <w:r>
        <w:rPr>
          <w:rFonts w:ascii="Arial" w:cs="Arial" w:eastAsia="Arial" w:hAnsi="Arial"/>
          <w:sz w:val="18"/>
          <w:szCs w:val="18"/>
          <w:color w:val="auto"/>
        </w:rPr>
        <w:t>more disclosure. In addition, even if we were to receive such reports from organizations, we do not have the ability to ensure that such reports are accurate prior to posting on our website. Inaccurate records could undermine the disclosure and subject Lilly to unnecessary risk without benefiting shareholders.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believe that our current practices, as described above, provide sufficient transparency and accountability with respect to our political spending and the governance and oversight of that spending, and that restricting the organizations that may receive contributions to those that are willing or able to prepare the reports requested by this proposal only harms Lilly by excluding the company from important public policy discussions that are critical to our business and restricting the furtherance of our public policy agenda. For these reasons, we believe the proposal is not in the best interests of the company and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5768975" cy="54864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5768975" cy="548640"/>
                    </a:xfrm>
                    <a:prstGeom prst="rect">
                      <a:avLst/>
                    </a:prstGeom>
                    <a:noFill/>
                  </pic:spPr>
                </pic:pic>
              </a:graphicData>
            </a:graphic>
          </wp:anchor>
        </w:drawing>
      </w:r>
    </w:p>
    <w:p>
      <w:pPr>
        <w:spacing w:after="0" w:line="262" w:lineRule="exact"/>
        <w:rPr>
          <w:sz w:val="20"/>
          <w:szCs w:val="20"/>
          <w:color w:val="auto"/>
        </w:rPr>
      </w:pPr>
    </w:p>
    <w:p>
      <w:pPr>
        <w:ind w:left="1040"/>
        <w:spacing w:after="0"/>
        <w:rPr>
          <w:sz w:val="20"/>
          <w:szCs w:val="20"/>
          <w:color w:val="auto"/>
        </w:rPr>
      </w:pPr>
      <w:r>
        <w:rPr>
          <w:rFonts w:ascii="Arial" w:cs="Arial" w:eastAsia="Arial" w:hAnsi="Arial"/>
          <w:sz w:val="20"/>
          <w:szCs w:val="20"/>
          <w:b w:val="1"/>
          <w:bCs w:val="1"/>
          <w:color w:val="D52B1E"/>
        </w:rPr>
        <w:t>RECOMMENDATION AGAINST</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The board recommends that you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this proposal.</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52"/>
          <w:szCs w:val="52"/>
          <w:b w:val="1"/>
          <w:bCs w:val="1"/>
          <w:color w:val="auto"/>
        </w:rPr>
        <w:t>Other Information</w:t>
      </w:r>
    </w:p>
    <w:p>
      <w:pPr>
        <w:spacing w:after="0" w:line="357"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Meeting and Voting Logistics</w:t>
      </w:r>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Quorum</w:t>
      </w:r>
    </w:p>
    <w:p>
      <w:pPr>
        <w:spacing w:after="0" w:line="61"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A majority of the outstanding shares entitled to vote, present or represented by proxy, constitutes a quorum for the Annual Meeting. As of February 21, 2023, 950,296,153 shares of company common stock were issued and outstanding.</w:t>
      </w:r>
    </w:p>
    <w:p>
      <w:pPr>
        <w:spacing w:after="0" w:line="111"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Who Can Vote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Shareholders as of the close of business on February 21, 2023 (the record date) may vote or have their shares voted at the Annual Meeting.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You have one vote for each share of common stock you held on the record date, including shares:</w:t>
      </w:r>
    </w:p>
    <w:p>
      <w:pPr>
        <w:spacing w:after="0" w:line="45" w:lineRule="exact"/>
        <w:rPr>
          <w:sz w:val="20"/>
          <w:szCs w:val="20"/>
          <w:color w:val="auto"/>
        </w:rPr>
      </w:pPr>
    </w:p>
    <w:p>
      <w:pPr>
        <w:ind w:left="320" w:hanging="150"/>
        <w:spacing w:after="0"/>
        <w:tabs>
          <w:tab w:leader="none" w:pos="3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held directly in your name as the shareholder of record;</w:t>
      </w:r>
    </w:p>
    <w:p>
      <w:pPr>
        <w:spacing w:after="0" w:line="63" w:lineRule="exact"/>
        <w:rPr>
          <w:rFonts w:ascii="Arial" w:cs="Arial" w:eastAsia="Arial" w:hAnsi="Arial"/>
          <w:sz w:val="18"/>
          <w:szCs w:val="18"/>
          <w:color w:val="auto"/>
        </w:rPr>
      </w:pPr>
    </w:p>
    <w:p>
      <w:pPr>
        <w:ind w:left="320" w:hanging="150"/>
        <w:spacing w:after="0"/>
        <w:tabs>
          <w:tab w:leader="none" w:pos="3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held for you in an account with a broker, bank, or other nominee; and</w:t>
      </w:r>
    </w:p>
    <w:p>
      <w:pPr>
        <w:spacing w:after="0" w:line="63" w:lineRule="exact"/>
        <w:rPr>
          <w:rFonts w:ascii="Arial" w:cs="Arial" w:eastAsia="Arial" w:hAnsi="Arial"/>
          <w:sz w:val="18"/>
          <w:szCs w:val="18"/>
          <w:color w:val="auto"/>
        </w:rPr>
      </w:pPr>
    </w:p>
    <w:p>
      <w:pPr>
        <w:ind w:left="320" w:hanging="150"/>
        <w:spacing w:after="0"/>
        <w:tabs>
          <w:tab w:leader="none" w:pos="3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attributed to your account in the company’s 401(k) Plan.</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Why You May Receive Multiple Notices, Proxy Materials, or Emails</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If you received more than one notice, full set of proxy materials, or email related to proxy materials, you hold shares in more than one account. </w:t>
      </w:r>
      <w:r>
        <w:rPr>
          <w:rFonts w:ascii="Arial" w:cs="Arial" w:eastAsia="Arial" w:hAnsi="Arial"/>
          <w:sz w:val="18"/>
          <w:szCs w:val="18"/>
          <w:b w:val="1"/>
          <w:bCs w:val="1"/>
          <w:color w:val="auto"/>
        </w:rPr>
        <w:t>You will need to cast a vote for each notice, full set of proxy materials, or email you receive.</w:t>
      </w:r>
      <w:r>
        <w:rPr>
          <w:rFonts w:ascii="Arial" w:cs="Arial" w:eastAsia="Arial" w:hAnsi="Arial"/>
          <w:sz w:val="18"/>
          <w:szCs w:val="18"/>
          <w:color w:val="auto"/>
        </w:rPr>
        <w:t xml:space="preserve"> If you do not receive a proxy card, you may have elected to receive your proxy statement electronically, in which case you should have received an email with directions on how to access this proxy statement and how to vote your shares. If you wish to request a paper copy of these materials and a proxy card, please call 1-800-579-1639 on or before April 17, 2023, to facilitate timely delivery.</w:t>
      </w: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113" w:name="page114"/>
    <w:bookmarkEnd w:id="113"/>
    <w:p>
      <w:pPr>
        <w:spacing w:after="0"/>
        <w:rPr>
          <w:sz w:val="20"/>
          <w:szCs w:val="20"/>
          <w:color w:val="auto"/>
        </w:rPr>
      </w:pPr>
      <w:r>
        <w:rPr>
          <w:rFonts w:ascii="Arial" w:cs="Arial" w:eastAsia="Arial" w:hAnsi="Arial"/>
          <w:sz w:val="25"/>
          <w:szCs w:val="25"/>
          <w:b w:val="1"/>
          <w:bCs w:val="1"/>
          <w:color w:val="00A1DE"/>
        </w:rPr>
        <w:t>Voting Choices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5777865" cy="8255"/>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Effect of</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Broker</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9"/>
              </w:rPr>
              <w:t>Effect of</w:t>
            </w:r>
          </w:p>
        </w:tc>
        <w:tc>
          <w:tcPr>
            <w:tcW w:w="0" w:type="dxa"/>
            <w:vAlign w:val="bottom"/>
          </w:tcPr>
          <w:p>
            <w:pPr>
              <w:spacing w:after="0"/>
              <w:rPr>
                <w:sz w:val="1"/>
                <w:szCs w:val="1"/>
                <w:color w:val="auto"/>
              </w:rPr>
            </w:pPr>
          </w:p>
        </w:tc>
      </w:tr>
      <w:tr>
        <w:trPr>
          <w:trHeight w:val="162"/>
        </w:trPr>
        <w:tc>
          <w:tcPr>
            <w:tcW w:w="2560" w:type="dxa"/>
            <w:vAlign w:val="bottom"/>
            <w:vMerge w:val="restart"/>
          </w:tcPr>
          <w:p>
            <w:pPr>
              <w:ind w:left="780"/>
              <w:spacing w:after="0"/>
              <w:rPr>
                <w:sz w:val="20"/>
                <w:szCs w:val="20"/>
                <w:color w:val="auto"/>
              </w:rPr>
            </w:pPr>
            <w:r>
              <w:rPr>
                <w:rFonts w:ascii="Arial" w:cs="Arial" w:eastAsia="Arial" w:hAnsi="Arial"/>
                <w:sz w:val="16"/>
                <w:szCs w:val="16"/>
                <w:b w:val="1"/>
                <w:bCs w:val="1"/>
                <w:color w:val="auto"/>
              </w:rPr>
              <w:t>Voting Matter</w:t>
            </w: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Required Vote</w:t>
            </w:r>
          </w:p>
        </w:tc>
        <w:tc>
          <w:tcPr>
            <w:tcW w:w="17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Voting Options</w:t>
            </w:r>
          </w:p>
        </w:tc>
        <w:tc>
          <w:tcPr>
            <w:tcW w:w="1240" w:type="dxa"/>
            <w:vAlign w:val="bottom"/>
            <w:vMerge w:val="continue"/>
          </w:tcPr>
          <w:p>
            <w:pPr>
              <w:spacing w:after="0"/>
              <w:rPr>
                <w:sz w:val="14"/>
                <w:szCs w:val="14"/>
                <w:color w:val="auto"/>
              </w:rPr>
            </w:pPr>
          </w:p>
        </w:tc>
        <w:tc>
          <w:tcPr>
            <w:tcW w:w="14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Discretionary</w:t>
            </w:r>
          </w:p>
        </w:tc>
        <w:tc>
          <w:tcPr>
            <w:tcW w:w="10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9"/>
              </w:rPr>
              <w:t>Broker Non-</w:t>
            </w:r>
          </w:p>
        </w:tc>
        <w:tc>
          <w:tcPr>
            <w:tcW w:w="0" w:type="dxa"/>
            <w:vAlign w:val="bottom"/>
          </w:tcPr>
          <w:p>
            <w:pPr>
              <w:spacing w:after="0"/>
              <w:rPr>
                <w:sz w:val="1"/>
                <w:szCs w:val="1"/>
                <w:color w:val="auto"/>
              </w:rPr>
            </w:pPr>
          </w:p>
        </w:tc>
      </w:tr>
      <w:tr>
        <w:trPr>
          <w:trHeight w:val="216"/>
        </w:trPr>
        <w:tc>
          <w:tcPr>
            <w:tcW w:w="2560" w:type="dxa"/>
            <w:vAlign w:val="bottom"/>
            <w:tcBorders>
              <w:bottom w:val="single" w:sz="8" w:color="666666"/>
            </w:tcBorders>
            <w:vMerge w:val="continue"/>
          </w:tcPr>
          <w:p>
            <w:pPr>
              <w:spacing w:after="0"/>
              <w:rPr>
                <w:sz w:val="18"/>
                <w:szCs w:val="18"/>
                <w:color w:val="auto"/>
              </w:rPr>
            </w:pPr>
          </w:p>
        </w:tc>
        <w:tc>
          <w:tcPr>
            <w:tcW w:w="1180" w:type="dxa"/>
            <w:vAlign w:val="bottom"/>
            <w:tcBorders>
              <w:bottom w:val="single" w:sz="8" w:color="666666"/>
            </w:tcBorders>
            <w:vMerge w:val="continue"/>
          </w:tcPr>
          <w:p>
            <w:pPr>
              <w:spacing w:after="0"/>
              <w:rPr>
                <w:sz w:val="18"/>
                <w:szCs w:val="18"/>
                <w:color w:val="auto"/>
              </w:rPr>
            </w:pPr>
          </w:p>
        </w:tc>
        <w:tc>
          <w:tcPr>
            <w:tcW w:w="1700" w:type="dxa"/>
            <w:vAlign w:val="bottom"/>
            <w:tcBorders>
              <w:bottom w:val="single" w:sz="8" w:color="666666"/>
            </w:tcBorders>
            <w:vMerge w:val="continue"/>
          </w:tcPr>
          <w:p>
            <w:pPr>
              <w:spacing w:after="0"/>
              <w:rPr>
                <w:sz w:val="18"/>
                <w:szCs w:val="18"/>
                <w:color w:val="auto"/>
              </w:rPr>
            </w:pPr>
          </w:p>
        </w:tc>
        <w:tc>
          <w:tcPr>
            <w:tcW w:w="1240" w:type="dxa"/>
            <w:vAlign w:val="bottom"/>
            <w:tcBorders>
              <w:bottom w:val="single" w:sz="8" w:color="666666"/>
            </w:tcBorders>
          </w:tcPr>
          <w:p>
            <w:pPr>
              <w:jc w:val="center"/>
              <w:spacing w:after="0"/>
              <w:rPr>
                <w:sz w:val="20"/>
                <w:szCs w:val="20"/>
                <w:color w:val="auto"/>
              </w:rPr>
            </w:pPr>
            <w:r>
              <w:rPr>
                <w:rFonts w:ascii="Arial" w:cs="Arial" w:eastAsia="Arial" w:hAnsi="Arial"/>
                <w:sz w:val="16"/>
                <w:szCs w:val="16"/>
                <w:b w:val="1"/>
                <w:bCs w:val="1"/>
                <w:color w:val="auto"/>
              </w:rPr>
              <w:t>Abstentions</w:t>
            </w:r>
          </w:p>
        </w:tc>
        <w:tc>
          <w:tcPr>
            <w:tcW w:w="1400" w:type="dxa"/>
            <w:vAlign w:val="bottom"/>
            <w:tcBorders>
              <w:bottom w:val="single" w:sz="8" w:color="666666"/>
            </w:tcBorders>
          </w:tcPr>
          <w:p>
            <w:pPr>
              <w:jc w:val="center"/>
              <w:spacing w:after="0"/>
              <w:rPr>
                <w:sz w:val="20"/>
                <w:szCs w:val="20"/>
                <w:color w:val="auto"/>
              </w:rPr>
            </w:pPr>
            <w:r>
              <w:rPr>
                <w:rFonts w:ascii="Arial" w:cs="Arial" w:eastAsia="Arial" w:hAnsi="Arial"/>
                <w:sz w:val="16"/>
                <w:szCs w:val="16"/>
                <w:b w:val="1"/>
                <w:bCs w:val="1"/>
                <w:color w:val="auto"/>
              </w:rPr>
              <w:t>Voting Allowed?</w:t>
            </w:r>
          </w:p>
        </w:tc>
        <w:tc>
          <w:tcPr>
            <w:tcW w:w="1020" w:type="dxa"/>
            <w:vAlign w:val="bottom"/>
            <w:tcBorders>
              <w:bottom w:val="single" w:sz="8" w:color="666666"/>
            </w:tcBorders>
          </w:tcPr>
          <w:p>
            <w:pPr>
              <w:jc w:val="center"/>
              <w:spacing w:after="0"/>
              <w:rPr>
                <w:sz w:val="20"/>
                <w:szCs w:val="20"/>
                <w:color w:val="auto"/>
              </w:rPr>
            </w:pPr>
            <w:r>
              <w:rPr>
                <w:rFonts w:ascii="Arial" w:cs="Arial" w:eastAsia="Arial" w:hAnsi="Arial"/>
                <w:sz w:val="16"/>
                <w:szCs w:val="16"/>
                <w:b w:val="1"/>
                <w:bCs w:val="1"/>
                <w:color w:val="auto"/>
              </w:rPr>
              <w:t>Votes</w:t>
            </w:r>
          </w:p>
        </w:tc>
        <w:tc>
          <w:tcPr>
            <w:tcW w:w="0" w:type="dxa"/>
            <w:vAlign w:val="bottom"/>
          </w:tcPr>
          <w:p>
            <w:pPr>
              <w:spacing w:after="0"/>
              <w:rPr>
                <w:sz w:val="1"/>
                <w:szCs w:val="1"/>
                <w:color w:val="auto"/>
              </w:rPr>
            </w:pPr>
          </w:p>
        </w:tc>
      </w:tr>
      <w:tr>
        <w:trPr>
          <w:trHeight w:val="155"/>
        </w:trPr>
        <w:tc>
          <w:tcPr>
            <w:tcW w:w="2560" w:type="dxa"/>
            <w:vAlign w:val="bottom"/>
            <w:shd w:val="clear" w:color="auto" w:fill="F2F2F2"/>
          </w:tcPr>
          <w:p>
            <w:pPr>
              <w:ind w:left="40"/>
              <w:spacing w:after="0" w:line="155" w:lineRule="exact"/>
              <w:rPr>
                <w:sz w:val="20"/>
                <w:szCs w:val="20"/>
                <w:color w:val="auto"/>
              </w:rPr>
            </w:pPr>
            <w:r>
              <w:rPr>
                <w:rFonts w:ascii="Arial" w:cs="Arial" w:eastAsia="Arial" w:hAnsi="Arial"/>
                <w:sz w:val="16"/>
                <w:szCs w:val="16"/>
                <w:b w:val="1"/>
                <w:bCs w:val="1"/>
                <w:color w:val="auto"/>
              </w:rPr>
              <w:t>Election of directors</w:t>
            </w:r>
          </w:p>
        </w:tc>
        <w:tc>
          <w:tcPr>
            <w:tcW w:w="1180" w:type="dxa"/>
            <w:vAlign w:val="bottom"/>
            <w:shd w:val="clear" w:color="auto" w:fill="F2F2F2"/>
          </w:tcPr>
          <w:p>
            <w:pPr>
              <w:jc w:val="center"/>
              <w:spacing w:after="0" w:line="155" w:lineRule="exact"/>
              <w:rPr>
                <w:sz w:val="20"/>
                <w:szCs w:val="20"/>
                <w:color w:val="auto"/>
              </w:rPr>
            </w:pPr>
            <w:r>
              <w:rPr>
                <w:rFonts w:ascii="Arial" w:cs="Arial" w:eastAsia="Arial" w:hAnsi="Arial"/>
                <w:sz w:val="16"/>
                <w:szCs w:val="16"/>
                <w:color w:val="auto"/>
              </w:rPr>
              <w:t>Majority of</w:t>
            </w:r>
          </w:p>
        </w:tc>
        <w:tc>
          <w:tcPr>
            <w:tcW w:w="1700" w:type="dxa"/>
            <w:vAlign w:val="bottom"/>
            <w:shd w:val="clear" w:color="auto" w:fill="F2F2F2"/>
          </w:tcPr>
          <w:p>
            <w:pPr>
              <w:jc w:val="center"/>
              <w:spacing w:after="0" w:line="155" w:lineRule="exact"/>
              <w:rPr>
                <w:sz w:val="20"/>
                <w:szCs w:val="20"/>
                <w:color w:val="auto"/>
              </w:rPr>
            </w:pPr>
            <w:r>
              <w:rPr>
                <w:rFonts w:ascii="Arial" w:cs="Arial" w:eastAsia="Arial" w:hAnsi="Arial"/>
                <w:sz w:val="16"/>
                <w:szCs w:val="16"/>
                <w:color w:val="auto"/>
              </w:rPr>
              <w:t>FOR, AGAINST or</w:t>
            </w:r>
          </w:p>
        </w:tc>
        <w:tc>
          <w:tcPr>
            <w:tcW w:w="1240" w:type="dxa"/>
            <w:vAlign w:val="bottom"/>
            <w:shd w:val="clear" w:color="auto" w:fill="F2F2F2"/>
          </w:tcPr>
          <w:p>
            <w:pPr>
              <w:jc w:val="center"/>
              <w:spacing w:after="0" w:line="155" w:lineRule="exact"/>
              <w:rPr>
                <w:sz w:val="20"/>
                <w:szCs w:val="20"/>
                <w:color w:val="auto"/>
              </w:rPr>
            </w:pPr>
            <w:r>
              <w:rPr>
                <w:rFonts w:ascii="Arial" w:cs="Arial" w:eastAsia="Arial" w:hAnsi="Arial"/>
                <w:sz w:val="16"/>
                <w:szCs w:val="16"/>
                <w:color w:val="auto"/>
              </w:rPr>
              <w:t>No effect - not</w:t>
            </w:r>
          </w:p>
        </w:tc>
        <w:tc>
          <w:tcPr>
            <w:tcW w:w="1400" w:type="dxa"/>
            <w:vAlign w:val="bottom"/>
            <w:shd w:val="clear" w:color="auto" w:fill="F2F2F2"/>
          </w:tcPr>
          <w:p>
            <w:pPr>
              <w:jc w:val="center"/>
              <w:spacing w:after="0" w:line="155" w:lineRule="exact"/>
              <w:rPr>
                <w:sz w:val="20"/>
                <w:szCs w:val="20"/>
                <w:color w:val="auto"/>
              </w:rPr>
            </w:pPr>
            <w:r>
              <w:rPr>
                <w:rFonts w:ascii="Arial" w:cs="Arial" w:eastAsia="Arial" w:hAnsi="Arial"/>
                <w:sz w:val="16"/>
                <w:szCs w:val="16"/>
                <w:color w:val="auto"/>
              </w:rPr>
              <w:t>No</w:t>
            </w:r>
          </w:p>
        </w:tc>
        <w:tc>
          <w:tcPr>
            <w:tcW w:w="1020" w:type="dxa"/>
            <w:vAlign w:val="bottom"/>
            <w:shd w:val="clear" w:color="auto" w:fill="F2F2F2"/>
          </w:tcPr>
          <w:p>
            <w:pPr>
              <w:jc w:val="center"/>
              <w:spacing w:after="0" w:line="155" w:lineRule="exact"/>
              <w:rPr>
                <w:sz w:val="20"/>
                <w:szCs w:val="20"/>
                <w:color w:val="auto"/>
              </w:rPr>
            </w:pPr>
            <w:r>
              <w:rPr>
                <w:rFonts w:ascii="Arial" w:cs="Arial" w:eastAsia="Arial" w:hAnsi="Arial"/>
                <w:sz w:val="16"/>
                <w:szCs w:val="16"/>
                <w:color w:val="auto"/>
                <w:w w:val="99"/>
              </w:rPr>
              <w:t>No effect</w:t>
            </w:r>
          </w:p>
        </w:tc>
        <w:tc>
          <w:tcPr>
            <w:tcW w:w="0" w:type="dxa"/>
            <w:vAlign w:val="bottom"/>
          </w:tcPr>
          <w:p>
            <w:pPr>
              <w:spacing w:after="0"/>
              <w:rPr>
                <w:sz w:val="1"/>
                <w:szCs w:val="1"/>
                <w:color w:val="auto"/>
              </w:rPr>
            </w:pPr>
          </w:p>
        </w:tc>
      </w:tr>
      <w:tr>
        <w:trPr>
          <w:trHeight w:val="162"/>
        </w:trPr>
        <w:tc>
          <w:tcPr>
            <w:tcW w:w="2560" w:type="dxa"/>
            <w:vAlign w:val="bottom"/>
            <w:shd w:val="clear" w:color="auto" w:fill="F2F2F2"/>
          </w:tcPr>
          <w:p>
            <w:pPr>
              <w:spacing w:after="0"/>
              <w:rPr>
                <w:sz w:val="14"/>
                <w:szCs w:val="14"/>
                <w:color w:val="auto"/>
              </w:rPr>
            </w:pPr>
          </w:p>
        </w:tc>
        <w:tc>
          <w:tcPr>
            <w:tcW w:w="118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rPr>
              <w:t>votes cast</w:t>
            </w:r>
          </w:p>
        </w:tc>
        <w:tc>
          <w:tcPr>
            <w:tcW w:w="170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w w:val="99"/>
              </w:rPr>
              <w:t>ABSTAIN (for each</w:t>
            </w:r>
          </w:p>
        </w:tc>
        <w:tc>
          <w:tcPr>
            <w:tcW w:w="124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rPr>
              <w:t>counted as a</w:t>
            </w:r>
          </w:p>
        </w:tc>
        <w:tc>
          <w:tcPr>
            <w:tcW w:w="1400" w:type="dxa"/>
            <w:vAlign w:val="bottom"/>
            <w:shd w:val="clear" w:color="auto" w:fill="F2F2F2"/>
          </w:tcPr>
          <w:p>
            <w:pPr>
              <w:spacing w:after="0"/>
              <w:rPr>
                <w:sz w:val="14"/>
                <w:szCs w:val="14"/>
                <w:color w:val="auto"/>
              </w:rPr>
            </w:pPr>
          </w:p>
        </w:tc>
        <w:tc>
          <w:tcPr>
            <w:tcW w:w="102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560" w:type="dxa"/>
            <w:vAlign w:val="bottom"/>
            <w:tcBorders>
              <w:bottom w:val="single" w:sz="8" w:color="F2F2F2"/>
            </w:tcBorders>
            <w:shd w:val="clear" w:color="auto" w:fill="F2F2F2"/>
          </w:tcPr>
          <w:p>
            <w:pPr>
              <w:spacing w:after="0"/>
              <w:rPr>
                <w:sz w:val="19"/>
                <w:szCs w:val="19"/>
                <w:color w:val="auto"/>
              </w:rPr>
            </w:pPr>
          </w:p>
        </w:tc>
        <w:tc>
          <w:tcPr>
            <w:tcW w:w="1180" w:type="dxa"/>
            <w:vAlign w:val="bottom"/>
            <w:tcBorders>
              <w:bottom w:val="single" w:sz="8" w:color="F2F2F2"/>
            </w:tcBorders>
            <w:shd w:val="clear" w:color="auto" w:fill="F2F2F2"/>
          </w:tcPr>
          <w:p>
            <w:pPr>
              <w:spacing w:after="0"/>
              <w:rPr>
                <w:sz w:val="19"/>
                <w:szCs w:val="19"/>
                <w:color w:val="auto"/>
              </w:rPr>
            </w:pPr>
          </w:p>
        </w:tc>
        <w:tc>
          <w:tcPr>
            <w:tcW w:w="1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director nominee)</w:t>
            </w:r>
          </w:p>
        </w:tc>
        <w:tc>
          <w:tcPr>
            <w:tcW w:w="12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“vote cast”</w:t>
            </w:r>
          </w:p>
        </w:tc>
        <w:tc>
          <w:tcPr>
            <w:tcW w:w="1400" w:type="dxa"/>
            <w:vAlign w:val="bottom"/>
            <w:tcBorders>
              <w:bottom w:val="single" w:sz="8" w:color="F2F2F2"/>
            </w:tcBorders>
            <w:shd w:val="clear" w:color="auto" w:fill="F2F2F2"/>
          </w:tcPr>
          <w:p>
            <w:pPr>
              <w:spacing w:after="0"/>
              <w:rPr>
                <w:sz w:val="19"/>
                <w:szCs w:val="19"/>
                <w:color w:val="auto"/>
              </w:rPr>
            </w:pPr>
          </w:p>
        </w:tc>
        <w:tc>
          <w:tcPr>
            <w:tcW w:w="1020" w:type="dxa"/>
            <w:vAlign w:val="bottom"/>
            <w:tcBorders>
              <w:bottom w:val="single" w:sz="8" w:color="F2F2F2"/>
            </w:tcBorders>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560" w:type="dxa"/>
            <w:vAlign w:val="bottom"/>
          </w:tcPr>
          <w:p>
            <w:pPr>
              <w:ind w:left="40"/>
              <w:spacing w:after="0" w:line="162" w:lineRule="exact"/>
              <w:rPr>
                <w:sz w:val="20"/>
                <w:szCs w:val="20"/>
                <w:color w:val="auto"/>
              </w:rPr>
            </w:pPr>
            <w:r>
              <w:rPr>
                <w:rFonts w:ascii="Arial" w:cs="Arial" w:eastAsia="Arial" w:hAnsi="Arial"/>
                <w:sz w:val="16"/>
                <w:szCs w:val="16"/>
                <w:b w:val="1"/>
                <w:bCs w:val="1"/>
                <w:color w:val="auto"/>
              </w:rPr>
              <w:t>Advisory vote on compensation</w:t>
            </w:r>
          </w:p>
        </w:tc>
        <w:tc>
          <w:tcPr>
            <w:tcW w:w="1180" w:type="dxa"/>
            <w:vAlign w:val="bottom"/>
          </w:tcPr>
          <w:p>
            <w:pPr>
              <w:jc w:val="center"/>
              <w:spacing w:after="0" w:line="162" w:lineRule="exact"/>
              <w:rPr>
                <w:sz w:val="20"/>
                <w:szCs w:val="20"/>
                <w:color w:val="auto"/>
              </w:rPr>
            </w:pPr>
            <w:r>
              <w:rPr>
                <w:rFonts w:ascii="Arial" w:cs="Arial" w:eastAsia="Arial" w:hAnsi="Arial"/>
                <w:sz w:val="16"/>
                <w:szCs w:val="16"/>
                <w:color w:val="auto"/>
              </w:rPr>
              <w:t>Majority of</w:t>
            </w:r>
          </w:p>
        </w:tc>
        <w:tc>
          <w:tcPr>
            <w:tcW w:w="1700" w:type="dxa"/>
            <w:vAlign w:val="bottom"/>
          </w:tcPr>
          <w:p>
            <w:pPr>
              <w:jc w:val="center"/>
              <w:spacing w:after="0" w:line="162" w:lineRule="exact"/>
              <w:rPr>
                <w:sz w:val="20"/>
                <w:szCs w:val="20"/>
                <w:color w:val="auto"/>
              </w:rPr>
            </w:pPr>
            <w:r>
              <w:rPr>
                <w:rFonts w:ascii="Arial" w:cs="Arial" w:eastAsia="Arial" w:hAnsi="Arial"/>
                <w:sz w:val="16"/>
                <w:szCs w:val="16"/>
                <w:color w:val="auto"/>
              </w:rPr>
              <w:t>FOR, AGAINST or</w:t>
            </w:r>
          </w:p>
        </w:tc>
        <w:tc>
          <w:tcPr>
            <w:tcW w:w="1240" w:type="dxa"/>
            <w:vAlign w:val="bottom"/>
          </w:tcPr>
          <w:p>
            <w:pPr>
              <w:jc w:val="center"/>
              <w:spacing w:after="0" w:line="162" w:lineRule="exact"/>
              <w:rPr>
                <w:sz w:val="20"/>
                <w:szCs w:val="20"/>
                <w:color w:val="auto"/>
              </w:rPr>
            </w:pPr>
            <w:r>
              <w:rPr>
                <w:rFonts w:ascii="Arial" w:cs="Arial" w:eastAsia="Arial" w:hAnsi="Arial"/>
                <w:sz w:val="16"/>
                <w:szCs w:val="16"/>
                <w:color w:val="auto"/>
              </w:rPr>
              <w:t>No effect - not</w:t>
            </w:r>
          </w:p>
        </w:tc>
        <w:tc>
          <w:tcPr>
            <w:tcW w:w="1400" w:type="dxa"/>
            <w:vAlign w:val="bottom"/>
          </w:tcPr>
          <w:p>
            <w:pPr>
              <w:jc w:val="center"/>
              <w:spacing w:after="0" w:line="162" w:lineRule="exact"/>
              <w:rPr>
                <w:sz w:val="20"/>
                <w:szCs w:val="20"/>
                <w:color w:val="auto"/>
              </w:rPr>
            </w:pPr>
            <w:r>
              <w:rPr>
                <w:rFonts w:ascii="Arial" w:cs="Arial" w:eastAsia="Arial" w:hAnsi="Arial"/>
                <w:sz w:val="16"/>
                <w:szCs w:val="16"/>
                <w:color w:val="auto"/>
              </w:rPr>
              <w:t>No</w:t>
            </w:r>
          </w:p>
        </w:tc>
        <w:tc>
          <w:tcPr>
            <w:tcW w:w="1020" w:type="dxa"/>
            <w:vAlign w:val="bottom"/>
          </w:tcPr>
          <w:p>
            <w:pPr>
              <w:jc w:val="center"/>
              <w:spacing w:after="0" w:line="162" w:lineRule="exact"/>
              <w:rPr>
                <w:sz w:val="20"/>
                <w:szCs w:val="20"/>
                <w:color w:val="auto"/>
              </w:rPr>
            </w:pPr>
            <w:r>
              <w:rPr>
                <w:rFonts w:ascii="Arial" w:cs="Arial" w:eastAsia="Arial" w:hAnsi="Arial"/>
                <w:sz w:val="16"/>
                <w:szCs w:val="16"/>
                <w:color w:val="auto"/>
                <w:w w:val="99"/>
              </w:rPr>
              <w:t>No effect</w:t>
            </w:r>
          </w:p>
        </w:tc>
        <w:tc>
          <w:tcPr>
            <w:tcW w:w="0" w:type="dxa"/>
            <w:vAlign w:val="bottom"/>
          </w:tcPr>
          <w:p>
            <w:pPr>
              <w:spacing w:after="0"/>
              <w:rPr>
                <w:sz w:val="1"/>
                <w:szCs w:val="1"/>
                <w:color w:val="auto"/>
              </w:rPr>
            </w:pPr>
          </w:p>
        </w:tc>
      </w:tr>
      <w:tr>
        <w:trPr>
          <w:trHeight w:val="162"/>
        </w:trPr>
        <w:tc>
          <w:tcPr>
            <w:tcW w:w="2560" w:type="dxa"/>
            <w:vAlign w:val="bottom"/>
          </w:tcPr>
          <w:p>
            <w:pPr>
              <w:ind w:left="40"/>
              <w:spacing w:after="0" w:line="162" w:lineRule="exact"/>
              <w:rPr>
                <w:sz w:val="20"/>
                <w:szCs w:val="20"/>
                <w:color w:val="auto"/>
              </w:rPr>
            </w:pPr>
            <w:r>
              <w:rPr>
                <w:rFonts w:ascii="Arial" w:cs="Arial" w:eastAsia="Arial" w:hAnsi="Arial"/>
                <w:sz w:val="16"/>
                <w:szCs w:val="16"/>
                <w:b w:val="1"/>
                <w:bCs w:val="1"/>
                <w:color w:val="auto"/>
              </w:rPr>
              <w:t>paid to named executive</w:t>
            </w:r>
          </w:p>
        </w:tc>
        <w:tc>
          <w:tcPr>
            <w:tcW w:w="1180" w:type="dxa"/>
            <w:vAlign w:val="bottom"/>
          </w:tcPr>
          <w:p>
            <w:pPr>
              <w:jc w:val="center"/>
              <w:spacing w:after="0" w:line="162" w:lineRule="exact"/>
              <w:rPr>
                <w:sz w:val="20"/>
                <w:szCs w:val="20"/>
                <w:color w:val="auto"/>
              </w:rPr>
            </w:pPr>
            <w:r>
              <w:rPr>
                <w:rFonts w:ascii="Arial" w:cs="Arial" w:eastAsia="Arial" w:hAnsi="Arial"/>
                <w:sz w:val="16"/>
                <w:szCs w:val="16"/>
                <w:color w:val="auto"/>
              </w:rPr>
              <w:t>votes cast</w:t>
            </w:r>
          </w:p>
        </w:tc>
        <w:tc>
          <w:tcPr>
            <w:tcW w:w="1700" w:type="dxa"/>
            <w:vAlign w:val="bottom"/>
          </w:tcPr>
          <w:p>
            <w:pPr>
              <w:jc w:val="center"/>
              <w:spacing w:after="0" w:line="162" w:lineRule="exact"/>
              <w:rPr>
                <w:sz w:val="20"/>
                <w:szCs w:val="20"/>
                <w:color w:val="auto"/>
              </w:rPr>
            </w:pPr>
            <w:r>
              <w:rPr>
                <w:rFonts w:ascii="Arial" w:cs="Arial" w:eastAsia="Arial" w:hAnsi="Arial"/>
                <w:sz w:val="16"/>
                <w:szCs w:val="16"/>
                <w:color w:val="auto"/>
                <w:w w:val="99"/>
              </w:rPr>
              <w:t>ABSTAIN</w:t>
            </w:r>
          </w:p>
        </w:tc>
        <w:tc>
          <w:tcPr>
            <w:tcW w:w="1240" w:type="dxa"/>
            <w:vAlign w:val="bottom"/>
          </w:tcPr>
          <w:p>
            <w:pPr>
              <w:jc w:val="center"/>
              <w:spacing w:after="0" w:line="162" w:lineRule="exact"/>
              <w:rPr>
                <w:sz w:val="20"/>
                <w:szCs w:val="20"/>
                <w:color w:val="auto"/>
              </w:rPr>
            </w:pPr>
            <w:r>
              <w:rPr>
                <w:rFonts w:ascii="Arial" w:cs="Arial" w:eastAsia="Arial" w:hAnsi="Arial"/>
                <w:sz w:val="16"/>
                <w:szCs w:val="16"/>
                <w:color w:val="auto"/>
              </w:rPr>
              <w:t>counted as a</w:t>
            </w: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40"/>
              <w:spacing w:after="0"/>
              <w:rPr>
                <w:sz w:val="20"/>
                <w:szCs w:val="20"/>
                <w:color w:val="auto"/>
              </w:rPr>
            </w:pPr>
            <w:r>
              <w:rPr>
                <w:rFonts w:ascii="Arial" w:cs="Arial" w:eastAsia="Arial" w:hAnsi="Arial"/>
                <w:sz w:val="16"/>
                <w:szCs w:val="16"/>
                <w:b w:val="1"/>
                <w:bCs w:val="1"/>
                <w:color w:val="auto"/>
              </w:rPr>
              <w:t>officers</w:t>
            </w:r>
          </w:p>
        </w:tc>
        <w:tc>
          <w:tcPr>
            <w:tcW w:w="1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“vote cast”</w:t>
            </w:r>
          </w:p>
        </w:tc>
        <w:tc>
          <w:tcPr>
            <w:tcW w:w="1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F2F2F2"/>
          </w:tcPr>
          <w:p>
            <w:pPr>
              <w:ind w:left="40"/>
              <w:spacing w:after="0"/>
              <w:rPr>
                <w:sz w:val="20"/>
                <w:szCs w:val="20"/>
                <w:color w:val="auto"/>
              </w:rPr>
            </w:pPr>
            <w:r>
              <w:rPr>
                <w:rFonts w:ascii="Arial" w:cs="Arial" w:eastAsia="Arial" w:hAnsi="Arial"/>
                <w:sz w:val="16"/>
                <w:szCs w:val="16"/>
                <w:b w:val="1"/>
                <w:bCs w:val="1"/>
                <w:color w:val="auto"/>
              </w:rPr>
              <w:t>Advisory vote on frequency of</w:t>
            </w:r>
          </w:p>
        </w:tc>
        <w:tc>
          <w:tcPr>
            <w:tcW w:w="118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Majority of</w:t>
            </w:r>
          </w:p>
        </w:tc>
        <w:tc>
          <w:tcPr>
            <w:tcW w:w="17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1 YEAR, 2 YEARS, 3</w:t>
            </w:r>
          </w:p>
        </w:tc>
        <w:tc>
          <w:tcPr>
            <w:tcW w:w="124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No effect - not</w:t>
            </w:r>
          </w:p>
        </w:tc>
        <w:tc>
          <w:tcPr>
            <w:tcW w:w="14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No</w:t>
            </w:r>
          </w:p>
        </w:tc>
        <w:tc>
          <w:tcPr>
            <w:tcW w:w="10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No effect</w:t>
            </w:r>
          </w:p>
        </w:tc>
        <w:tc>
          <w:tcPr>
            <w:tcW w:w="0" w:type="dxa"/>
            <w:vAlign w:val="bottom"/>
          </w:tcPr>
          <w:p>
            <w:pPr>
              <w:spacing w:after="0"/>
              <w:rPr>
                <w:sz w:val="1"/>
                <w:szCs w:val="1"/>
                <w:color w:val="auto"/>
              </w:rPr>
            </w:pPr>
          </w:p>
        </w:tc>
      </w:tr>
      <w:tr>
        <w:trPr>
          <w:trHeight w:val="162"/>
        </w:trPr>
        <w:tc>
          <w:tcPr>
            <w:tcW w:w="2560" w:type="dxa"/>
            <w:vAlign w:val="bottom"/>
            <w:shd w:val="clear" w:color="auto" w:fill="F2F2F2"/>
          </w:tcPr>
          <w:p>
            <w:pPr>
              <w:ind w:left="40"/>
              <w:spacing w:after="0" w:line="162" w:lineRule="exact"/>
              <w:rPr>
                <w:sz w:val="20"/>
                <w:szCs w:val="20"/>
                <w:color w:val="auto"/>
              </w:rPr>
            </w:pPr>
            <w:r>
              <w:rPr>
                <w:rFonts w:ascii="Arial" w:cs="Arial" w:eastAsia="Arial" w:hAnsi="Arial"/>
                <w:sz w:val="16"/>
                <w:szCs w:val="16"/>
                <w:b w:val="1"/>
                <w:bCs w:val="1"/>
                <w:color w:val="auto"/>
              </w:rPr>
              <w:t>future advisory votes on named</w:t>
            </w:r>
          </w:p>
        </w:tc>
        <w:tc>
          <w:tcPr>
            <w:tcW w:w="1180" w:type="dxa"/>
            <w:vAlign w:val="bottom"/>
            <w:shd w:val="clear" w:color="auto" w:fill="F2F2F2"/>
          </w:tcPr>
          <w:p>
            <w:pPr>
              <w:jc w:val="center"/>
              <w:spacing w:after="0" w:line="162" w:lineRule="exact"/>
              <w:rPr>
                <w:sz w:val="20"/>
                <w:szCs w:val="20"/>
                <w:color w:val="auto"/>
              </w:rPr>
            </w:pPr>
            <w:r>
              <w:rPr>
                <w:rFonts w:ascii="Arial" w:cs="Arial" w:eastAsia="Arial" w:hAnsi="Arial"/>
                <w:sz w:val="14"/>
                <w:szCs w:val="14"/>
                <w:color w:val="auto"/>
              </w:rPr>
              <w:t>votes cast</w:t>
            </w:r>
            <w:r>
              <w:rPr>
                <w:rFonts w:ascii="Arial" w:cs="Arial" w:eastAsia="Arial" w:hAnsi="Arial"/>
                <w:sz w:val="18"/>
                <w:szCs w:val="18"/>
                <w:color w:val="auto"/>
                <w:vertAlign w:val="superscript"/>
              </w:rPr>
              <w:t>1</w:t>
            </w:r>
          </w:p>
        </w:tc>
        <w:tc>
          <w:tcPr>
            <w:tcW w:w="170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rPr>
              <w:t>YEARS, ABSTAIN</w:t>
            </w:r>
          </w:p>
        </w:tc>
        <w:tc>
          <w:tcPr>
            <w:tcW w:w="124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rPr>
              <w:t>counted as a</w:t>
            </w:r>
          </w:p>
        </w:tc>
        <w:tc>
          <w:tcPr>
            <w:tcW w:w="1400" w:type="dxa"/>
            <w:vAlign w:val="bottom"/>
            <w:shd w:val="clear" w:color="auto" w:fill="F2F2F2"/>
          </w:tcPr>
          <w:p>
            <w:pPr>
              <w:spacing w:after="0"/>
              <w:rPr>
                <w:sz w:val="14"/>
                <w:szCs w:val="14"/>
                <w:color w:val="auto"/>
              </w:rPr>
            </w:pPr>
          </w:p>
        </w:tc>
        <w:tc>
          <w:tcPr>
            <w:tcW w:w="102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F2F2F2"/>
          </w:tcPr>
          <w:p>
            <w:pPr>
              <w:ind w:left="40"/>
              <w:spacing w:after="0"/>
              <w:rPr>
                <w:sz w:val="20"/>
                <w:szCs w:val="20"/>
                <w:color w:val="auto"/>
              </w:rPr>
            </w:pPr>
            <w:r>
              <w:rPr>
                <w:rFonts w:ascii="Arial" w:cs="Arial" w:eastAsia="Arial" w:hAnsi="Arial"/>
                <w:sz w:val="16"/>
                <w:szCs w:val="16"/>
                <w:b w:val="1"/>
                <w:bCs w:val="1"/>
                <w:color w:val="auto"/>
              </w:rPr>
              <w:t>executive officer compensation</w:t>
            </w:r>
          </w:p>
        </w:tc>
        <w:tc>
          <w:tcPr>
            <w:tcW w:w="1180" w:type="dxa"/>
            <w:vAlign w:val="bottom"/>
            <w:shd w:val="clear" w:color="auto" w:fill="F2F2F2"/>
          </w:tcPr>
          <w:p>
            <w:pPr>
              <w:spacing w:after="0"/>
              <w:rPr>
                <w:sz w:val="18"/>
                <w:szCs w:val="18"/>
                <w:color w:val="auto"/>
              </w:rPr>
            </w:pPr>
          </w:p>
        </w:tc>
        <w:tc>
          <w:tcPr>
            <w:tcW w:w="1700" w:type="dxa"/>
            <w:vAlign w:val="bottom"/>
            <w:shd w:val="clear" w:color="auto" w:fill="F2F2F2"/>
          </w:tcPr>
          <w:p>
            <w:pPr>
              <w:spacing w:after="0"/>
              <w:rPr>
                <w:sz w:val="18"/>
                <w:szCs w:val="18"/>
                <w:color w:val="auto"/>
              </w:rPr>
            </w:pPr>
          </w:p>
        </w:tc>
        <w:tc>
          <w:tcPr>
            <w:tcW w:w="124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“vote cast”</w:t>
            </w:r>
          </w:p>
        </w:tc>
        <w:tc>
          <w:tcPr>
            <w:tcW w:w="1400" w:type="dxa"/>
            <w:vAlign w:val="bottom"/>
            <w:shd w:val="clear" w:color="auto" w:fill="F2F2F2"/>
          </w:tcPr>
          <w:p>
            <w:pPr>
              <w:spacing w:after="0"/>
              <w:rPr>
                <w:sz w:val="18"/>
                <w:szCs w:val="18"/>
                <w:color w:val="auto"/>
              </w:rPr>
            </w:pPr>
          </w:p>
        </w:tc>
        <w:tc>
          <w:tcPr>
            <w:tcW w:w="102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60" w:type="dxa"/>
            <w:vAlign w:val="bottom"/>
          </w:tcPr>
          <w:p>
            <w:pPr>
              <w:ind w:left="40"/>
              <w:spacing w:after="0" w:line="162" w:lineRule="exact"/>
              <w:rPr>
                <w:sz w:val="20"/>
                <w:szCs w:val="20"/>
                <w:color w:val="auto"/>
              </w:rPr>
            </w:pPr>
            <w:r>
              <w:rPr>
                <w:rFonts w:ascii="Arial" w:cs="Arial" w:eastAsia="Arial" w:hAnsi="Arial"/>
                <w:sz w:val="16"/>
                <w:szCs w:val="16"/>
                <w:b w:val="1"/>
                <w:bCs w:val="1"/>
                <w:color w:val="auto"/>
              </w:rPr>
              <w:t>Ratification of the appointment</w:t>
            </w:r>
          </w:p>
        </w:tc>
        <w:tc>
          <w:tcPr>
            <w:tcW w:w="1180" w:type="dxa"/>
            <w:vAlign w:val="bottom"/>
          </w:tcPr>
          <w:p>
            <w:pPr>
              <w:jc w:val="center"/>
              <w:spacing w:after="0" w:line="162" w:lineRule="exact"/>
              <w:rPr>
                <w:sz w:val="20"/>
                <w:szCs w:val="20"/>
                <w:color w:val="auto"/>
              </w:rPr>
            </w:pPr>
            <w:r>
              <w:rPr>
                <w:rFonts w:ascii="Arial" w:cs="Arial" w:eastAsia="Arial" w:hAnsi="Arial"/>
                <w:sz w:val="16"/>
                <w:szCs w:val="16"/>
                <w:color w:val="auto"/>
              </w:rPr>
              <w:t>Majority of</w:t>
            </w:r>
          </w:p>
        </w:tc>
        <w:tc>
          <w:tcPr>
            <w:tcW w:w="1700" w:type="dxa"/>
            <w:vAlign w:val="bottom"/>
          </w:tcPr>
          <w:p>
            <w:pPr>
              <w:jc w:val="center"/>
              <w:spacing w:after="0" w:line="162" w:lineRule="exact"/>
              <w:rPr>
                <w:sz w:val="20"/>
                <w:szCs w:val="20"/>
                <w:color w:val="auto"/>
              </w:rPr>
            </w:pPr>
            <w:r>
              <w:rPr>
                <w:rFonts w:ascii="Arial" w:cs="Arial" w:eastAsia="Arial" w:hAnsi="Arial"/>
                <w:sz w:val="16"/>
                <w:szCs w:val="16"/>
                <w:color w:val="auto"/>
              </w:rPr>
              <w:t>FOR, AGAINST or</w:t>
            </w:r>
          </w:p>
        </w:tc>
        <w:tc>
          <w:tcPr>
            <w:tcW w:w="1240" w:type="dxa"/>
            <w:vAlign w:val="bottom"/>
          </w:tcPr>
          <w:p>
            <w:pPr>
              <w:jc w:val="center"/>
              <w:spacing w:after="0" w:line="162" w:lineRule="exact"/>
              <w:rPr>
                <w:sz w:val="20"/>
                <w:szCs w:val="20"/>
                <w:color w:val="auto"/>
              </w:rPr>
            </w:pPr>
            <w:r>
              <w:rPr>
                <w:rFonts w:ascii="Arial" w:cs="Arial" w:eastAsia="Arial" w:hAnsi="Arial"/>
                <w:sz w:val="16"/>
                <w:szCs w:val="16"/>
                <w:color w:val="auto"/>
              </w:rPr>
              <w:t>No effect - not</w:t>
            </w:r>
          </w:p>
        </w:tc>
        <w:tc>
          <w:tcPr>
            <w:tcW w:w="1400" w:type="dxa"/>
            <w:vAlign w:val="bottom"/>
          </w:tcPr>
          <w:p>
            <w:pPr>
              <w:jc w:val="center"/>
              <w:spacing w:after="0" w:line="162" w:lineRule="exact"/>
              <w:rPr>
                <w:sz w:val="20"/>
                <w:szCs w:val="20"/>
                <w:color w:val="auto"/>
              </w:rPr>
            </w:pPr>
            <w:r>
              <w:rPr>
                <w:rFonts w:ascii="Arial" w:cs="Arial" w:eastAsia="Arial" w:hAnsi="Arial"/>
                <w:sz w:val="16"/>
                <w:szCs w:val="16"/>
                <w:color w:val="auto"/>
                <w:w w:val="94"/>
              </w:rPr>
              <w:t>Yes</w:t>
            </w:r>
          </w:p>
        </w:tc>
        <w:tc>
          <w:tcPr>
            <w:tcW w:w="1020" w:type="dxa"/>
            <w:vAlign w:val="bottom"/>
          </w:tcPr>
          <w:p>
            <w:pPr>
              <w:jc w:val="center"/>
              <w:spacing w:after="0" w:line="162" w:lineRule="exact"/>
              <w:rPr>
                <w:sz w:val="20"/>
                <w:szCs w:val="20"/>
                <w:color w:val="auto"/>
              </w:rPr>
            </w:pPr>
            <w:r>
              <w:rPr>
                <w:rFonts w:ascii="Arial" w:cs="Arial" w:eastAsia="Arial" w:hAnsi="Arial"/>
                <w:sz w:val="16"/>
                <w:szCs w:val="16"/>
                <w:color w:val="auto"/>
                <w:w w:val="96"/>
              </w:rPr>
              <w:t>Not</w:t>
            </w:r>
          </w:p>
        </w:tc>
        <w:tc>
          <w:tcPr>
            <w:tcW w:w="0" w:type="dxa"/>
            <w:vAlign w:val="bottom"/>
          </w:tcPr>
          <w:p>
            <w:pPr>
              <w:spacing w:after="0"/>
              <w:rPr>
                <w:sz w:val="1"/>
                <w:szCs w:val="1"/>
                <w:color w:val="auto"/>
              </w:rPr>
            </w:pPr>
          </w:p>
        </w:tc>
      </w:tr>
      <w:tr>
        <w:trPr>
          <w:trHeight w:val="162"/>
        </w:trPr>
        <w:tc>
          <w:tcPr>
            <w:tcW w:w="2560" w:type="dxa"/>
            <w:vAlign w:val="bottom"/>
          </w:tcPr>
          <w:p>
            <w:pPr>
              <w:ind w:left="40"/>
              <w:spacing w:after="0" w:line="162" w:lineRule="exact"/>
              <w:rPr>
                <w:sz w:val="20"/>
                <w:szCs w:val="20"/>
                <w:color w:val="auto"/>
              </w:rPr>
            </w:pPr>
            <w:r>
              <w:rPr>
                <w:rFonts w:ascii="Arial" w:cs="Arial" w:eastAsia="Arial" w:hAnsi="Arial"/>
                <w:sz w:val="16"/>
                <w:szCs w:val="16"/>
                <w:b w:val="1"/>
                <w:bCs w:val="1"/>
                <w:color w:val="auto"/>
              </w:rPr>
              <w:t>of the independent auditor</w:t>
            </w:r>
          </w:p>
        </w:tc>
        <w:tc>
          <w:tcPr>
            <w:tcW w:w="1180" w:type="dxa"/>
            <w:vAlign w:val="bottom"/>
          </w:tcPr>
          <w:p>
            <w:pPr>
              <w:jc w:val="center"/>
              <w:spacing w:after="0" w:line="162" w:lineRule="exact"/>
              <w:rPr>
                <w:sz w:val="20"/>
                <w:szCs w:val="20"/>
                <w:color w:val="auto"/>
              </w:rPr>
            </w:pPr>
            <w:r>
              <w:rPr>
                <w:rFonts w:ascii="Arial" w:cs="Arial" w:eastAsia="Arial" w:hAnsi="Arial"/>
                <w:sz w:val="16"/>
                <w:szCs w:val="16"/>
                <w:color w:val="auto"/>
              </w:rPr>
              <w:t>votes cast</w:t>
            </w:r>
          </w:p>
        </w:tc>
        <w:tc>
          <w:tcPr>
            <w:tcW w:w="1700" w:type="dxa"/>
            <w:vAlign w:val="bottom"/>
          </w:tcPr>
          <w:p>
            <w:pPr>
              <w:jc w:val="center"/>
              <w:spacing w:after="0" w:line="162" w:lineRule="exact"/>
              <w:rPr>
                <w:sz w:val="20"/>
                <w:szCs w:val="20"/>
                <w:color w:val="auto"/>
              </w:rPr>
            </w:pPr>
            <w:r>
              <w:rPr>
                <w:rFonts w:ascii="Arial" w:cs="Arial" w:eastAsia="Arial" w:hAnsi="Arial"/>
                <w:sz w:val="16"/>
                <w:szCs w:val="16"/>
                <w:color w:val="auto"/>
                <w:w w:val="99"/>
              </w:rPr>
              <w:t>ABSTAIN</w:t>
            </w:r>
          </w:p>
        </w:tc>
        <w:tc>
          <w:tcPr>
            <w:tcW w:w="1240" w:type="dxa"/>
            <w:vAlign w:val="bottom"/>
          </w:tcPr>
          <w:p>
            <w:pPr>
              <w:jc w:val="center"/>
              <w:spacing w:after="0" w:line="162" w:lineRule="exact"/>
              <w:rPr>
                <w:sz w:val="20"/>
                <w:szCs w:val="20"/>
                <w:color w:val="auto"/>
              </w:rPr>
            </w:pPr>
            <w:r>
              <w:rPr>
                <w:rFonts w:ascii="Arial" w:cs="Arial" w:eastAsia="Arial" w:hAnsi="Arial"/>
                <w:sz w:val="16"/>
                <w:szCs w:val="16"/>
                <w:color w:val="auto"/>
              </w:rPr>
              <w:t>counted as a</w:t>
            </w:r>
          </w:p>
        </w:tc>
        <w:tc>
          <w:tcPr>
            <w:tcW w:w="1400" w:type="dxa"/>
            <w:vAlign w:val="bottom"/>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Arial" w:cs="Arial" w:eastAsia="Arial" w:hAnsi="Arial"/>
                <w:sz w:val="16"/>
                <w:szCs w:val="16"/>
                <w:color w:val="auto"/>
                <w:w w:val="99"/>
              </w:rPr>
              <w:t>applicable</w:t>
            </w:r>
          </w:p>
        </w:tc>
        <w:tc>
          <w:tcPr>
            <w:tcW w:w="0" w:type="dxa"/>
            <w:vAlign w:val="bottom"/>
          </w:tcPr>
          <w:p>
            <w:pPr>
              <w:spacing w:after="0"/>
              <w:rPr>
                <w:sz w:val="1"/>
                <w:szCs w:val="1"/>
                <w:color w:val="auto"/>
              </w:rPr>
            </w:pPr>
          </w:p>
        </w:tc>
      </w:tr>
      <w:tr>
        <w:trPr>
          <w:trHeight w:val="215"/>
        </w:trPr>
        <w:tc>
          <w:tcPr>
            <w:tcW w:w="2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“vote cast”</w:t>
            </w:r>
          </w:p>
        </w:tc>
        <w:tc>
          <w:tcPr>
            <w:tcW w:w="1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560" w:type="dxa"/>
            <w:vAlign w:val="bottom"/>
            <w:shd w:val="clear" w:color="auto" w:fill="F2F2F2"/>
          </w:tcPr>
          <w:p>
            <w:pPr>
              <w:ind w:left="40"/>
              <w:spacing w:after="0" w:line="163" w:lineRule="exact"/>
              <w:rPr>
                <w:sz w:val="20"/>
                <w:szCs w:val="20"/>
                <w:color w:val="auto"/>
              </w:rPr>
            </w:pPr>
            <w:r>
              <w:rPr>
                <w:rFonts w:ascii="Arial" w:cs="Arial" w:eastAsia="Arial" w:hAnsi="Arial"/>
                <w:sz w:val="16"/>
                <w:szCs w:val="16"/>
                <w:b w:val="1"/>
                <w:bCs w:val="1"/>
                <w:color w:val="auto"/>
              </w:rPr>
              <w:t>Proposal to amend the</w:t>
            </w:r>
          </w:p>
        </w:tc>
        <w:tc>
          <w:tcPr>
            <w:tcW w:w="1180" w:type="dxa"/>
            <w:vAlign w:val="bottom"/>
            <w:shd w:val="clear" w:color="auto" w:fill="F2F2F2"/>
          </w:tcPr>
          <w:p>
            <w:pPr>
              <w:jc w:val="center"/>
              <w:spacing w:after="0" w:line="163" w:lineRule="exact"/>
              <w:rPr>
                <w:sz w:val="20"/>
                <w:szCs w:val="20"/>
                <w:color w:val="auto"/>
              </w:rPr>
            </w:pPr>
            <w:r>
              <w:rPr>
                <w:rFonts w:ascii="Arial" w:cs="Arial" w:eastAsia="Arial" w:hAnsi="Arial"/>
                <w:sz w:val="16"/>
                <w:szCs w:val="16"/>
                <w:color w:val="auto"/>
              </w:rPr>
              <w:t>80% of</w:t>
            </w:r>
          </w:p>
        </w:tc>
        <w:tc>
          <w:tcPr>
            <w:tcW w:w="1700" w:type="dxa"/>
            <w:vAlign w:val="bottom"/>
            <w:shd w:val="clear" w:color="auto" w:fill="F2F2F2"/>
          </w:tcPr>
          <w:p>
            <w:pPr>
              <w:jc w:val="center"/>
              <w:spacing w:after="0" w:line="163" w:lineRule="exact"/>
              <w:rPr>
                <w:sz w:val="20"/>
                <w:szCs w:val="20"/>
                <w:color w:val="auto"/>
              </w:rPr>
            </w:pPr>
            <w:r>
              <w:rPr>
                <w:rFonts w:ascii="Arial" w:cs="Arial" w:eastAsia="Arial" w:hAnsi="Arial"/>
                <w:sz w:val="16"/>
                <w:szCs w:val="16"/>
                <w:color w:val="auto"/>
              </w:rPr>
              <w:t>FOR, AGAINST or</w:t>
            </w:r>
          </w:p>
        </w:tc>
        <w:tc>
          <w:tcPr>
            <w:tcW w:w="1240" w:type="dxa"/>
            <w:vAlign w:val="bottom"/>
            <w:shd w:val="clear" w:color="auto" w:fill="F2F2F2"/>
          </w:tcPr>
          <w:p>
            <w:pPr>
              <w:jc w:val="center"/>
              <w:spacing w:after="0" w:line="163" w:lineRule="exact"/>
              <w:rPr>
                <w:sz w:val="20"/>
                <w:szCs w:val="20"/>
                <w:color w:val="auto"/>
              </w:rPr>
            </w:pPr>
            <w:r>
              <w:rPr>
                <w:rFonts w:ascii="Arial" w:cs="Arial" w:eastAsia="Arial" w:hAnsi="Arial"/>
                <w:sz w:val="16"/>
                <w:szCs w:val="16"/>
                <w:color w:val="auto"/>
              </w:rPr>
              <w:t>Treated as a</w:t>
            </w:r>
          </w:p>
        </w:tc>
        <w:tc>
          <w:tcPr>
            <w:tcW w:w="1400" w:type="dxa"/>
            <w:vAlign w:val="bottom"/>
            <w:shd w:val="clear" w:color="auto" w:fill="F2F2F2"/>
          </w:tcPr>
          <w:p>
            <w:pPr>
              <w:jc w:val="center"/>
              <w:spacing w:after="0" w:line="163" w:lineRule="exact"/>
              <w:rPr>
                <w:sz w:val="20"/>
                <w:szCs w:val="20"/>
                <w:color w:val="auto"/>
              </w:rPr>
            </w:pPr>
            <w:r>
              <w:rPr>
                <w:rFonts w:ascii="Arial" w:cs="Arial" w:eastAsia="Arial" w:hAnsi="Arial"/>
                <w:sz w:val="16"/>
                <w:szCs w:val="16"/>
                <w:color w:val="auto"/>
              </w:rPr>
              <w:t>No</w:t>
            </w:r>
          </w:p>
        </w:tc>
        <w:tc>
          <w:tcPr>
            <w:tcW w:w="1020" w:type="dxa"/>
            <w:vAlign w:val="bottom"/>
            <w:shd w:val="clear" w:color="auto" w:fill="F2F2F2"/>
          </w:tcPr>
          <w:p>
            <w:pPr>
              <w:jc w:val="center"/>
              <w:spacing w:after="0" w:line="163" w:lineRule="exact"/>
              <w:rPr>
                <w:sz w:val="20"/>
                <w:szCs w:val="20"/>
                <w:color w:val="auto"/>
              </w:rPr>
            </w:pPr>
            <w:r>
              <w:rPr>
                <w:rFonts w:ascii="Arial" w:cs="Arial" w:eastAsia="Arial" w:hAnsi="Arial"/>
                <w:sz w:val="16"/>
                <w:szCs w:val="16"/>
                <w:color w:val="auto"/>
              </w:rPr>
              <w:t>Treated as a</w:t>
            </w:r>
          </w:p>
        </w:tc>
        <w:tc>
          <w:tcPr>
            <w:tcW w:w="0" w:type="dxa"/>
            <w:vAlign w:val="bottom"/>
          </w:tcPr>
          <w:p>
            <w:pPr>
              <w:spacing w:after="0"/>
              <w:rPr>
                <w:sz w:val="1"/>
                <w:szCs w:val="1"/>
                <w:color w:val="auto"/>
              </w:rPr>
            </w:pPr>
          </w:p>
        </w:tc>
      </w:tr>
      <w:tr>
        <w:trPr>
          <w:trHeight w:val="162"/>
        </w:trPr>
        <w:tc>
          <w:tcPr>
            <w:tcW w:w="2560" w:type="dxa"/>
            <w:vAlign w:val="bottom"/>
            <w:shd w:val="clear" w:color="auto" w:fill="F2F2F2"/>
          </w:tcPr>
          <w:p>
            <w:pPr>
              <w:ind w:left="40"/>
              <w:spacing w:after="0" w:line="162" w:lineRule="exact"/>
              <w:rPr>
                <w:sz w:val="20"/>
                <w:szCs w:val="20"/>
                <w:color w:val="auto"/>
              </w:rPr>
            </w:pPr>
            <w:r>
              <w:rPr>
                <w:rFonts w:ascii="Arial" w:cs="Arial" w:eastAsia="Arial" w:hAnsi="Arial"/>
                <w:sz w:val="16"/>
                <w:szCs w:val="16"/>
                <w:b w:val="1"/>
                <w:bCs w:val="1"/>
                <w:color w:val="auto"/>
              </w:rPr>
              <w:t>company's articles of</w:t>
            </w:r>
          </w:p>
        </w:tc>
        <w:tc>
          <w:tcPr>
            <w:tcW w:w="118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rPr>
              <w:t>outstanding</w:t>
            </w:r>
          </w:p>
        </w:tc>
        <w:tc>
          <w:tcPr>
            <w:tcW w:w="170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w w:val="99"/>
              </w:rPr>
              <w:t>ABSTAIN</w:t>
            </w:r>
          </w:p>
        </w:tc>
        <w:tc>
          <w:tcPr>
            <w:tcW w:w="124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rPr>
              <w:t>vote AGAINST</w:t>
            </w:r>
          </w:p>
        </w:tc>
        <w:tc>
          <w:tcPr>
            <w:tcW w:w="1400" w:type="dxa"/>
            <w:vAlign w:val="bottom"/>
            <w:shd w:val="clear" w:color="auto" w:fill="F2F2F2"/>
          </w:tcPr>
          <w:p>
            <w:pPr>
              <w:spacing w:after="0"/>
              <w:rPr>
                <w:sz w:val="14"/>
                <w:szCs w:val="14"/>
                <w:color w:val="auto"/>
              </w:rPr>
            </w:pPr>
          </w:p>
        </w:tc>
        <w:tc>
          <w:tcPr>
            <w:tcW w:w="102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rPr>
              <w:t>vote</w:t>
            </w:r>
          </w:p>
        </w:tc>
        <w:tc>
          <w:tcPr>
            <w:tcW w:w="0" w:type="dxa"/>
            <w:vAlign w:val="bottom"/>
          </w:tcPr>
          <w:p>
            <w:pPr>
              <w:spacing w:after="0"/>
              <w:rPr>
                <w:sz w:val="1"/>
                <w:szCs w:val="1"/>
                <w:color w:val="auto"/>
              </w:rPr>
            </w:pPr>
          </w:p>
        </w:tc>
      </w:tr>
      <w:tr>
        <w:trPr>
          <w:trHeight w:val="162"/>
        </w:trPr>
        <w:tc>
          <w:tcPr>
            <w:tcW w:w="2560" w:type="dxa"/>
            <w:vAlign w:val="bottom"/>
            <w:shd w:val="clear" w:color="auto" w:fill="F2F2F2"/>
          </w:tcPr>
          <w:p>
            <w:pPr>
              <w:ind w:left="40"/>
              <w:spacing w:after="0" w:line="162" w:lineRule="exact"/>
              <w:rPr>
                <w:sz w:val="20"/>
                <w:szCs w:val="20"/>
                <w:color w:val="auto"/>
              </w:rPr>
            </w:pPr>
            <w:r>
              <w:rPr>
                <w:rFonts w:ascii="Arial" w:cs="Arial" w:eastAsia="Arial" w:hAnsi="Arial"/>
                <w:sz w:val="16"/>
                <w:szCs w:val="16"/>
                <w:b w:val="1"/>
                <w:bCs w:val="1"/>
                <w:color w:val="auto"/>
              </w:rPr>
              <w:t>incorporation to eliminate the</w:t>
            </w:r>
          </w:p>
        </w:tc>
        <w:tc>
          <w:tcPr>
            <w:tcW w:w="118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w w:val="99"/>
              </w:rPr>
              <w:t>shares</w:t>
            </w:r>
          </w:p>
        </w:tc>
        <w:tc>
          <w:tcPr>
            <w:tcW w:w="1700" w:type="dxa"/>
            <w:vAlign w:val="bottom"/>
            <w:shd w:val="clear" w:color="auto" w:fill="F2F2F2"/>
          </w:tcPr>
          <w:p>
            <w:pPr>
              <w:spacing w:after="0"/>
              <w:rPr>
                <w:sz w:val="14"/>
                <w:szCs w:val="14"/>
                <w:color w:val="auto"/>
              </w:rPr>
            </w:pPr>
          </w:p>
        </w:tc>
        <w:tc>
          <w:tcPr>
            <w:tcW w:w="124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w w:val="99"/>
              </w:rPr>
              <w:t>the proposal</w:t>
            </w:r>
          </w:p>
        </w:tc>
        <w:tc>
          <w:tcPr>
            <w:tcW w:w="1400" w:type="dxa"/>
            <w:vAlign w:val="bottom"/>
            <w:shd w:val="clear" w:color="auto" w:fill="F2F2F2"/>
          </w:tcPr>
          <w:p>
            <w:pPr>
              <w:spacing w:after="0"/>
              <w:rPr>
                <w:sz w:val="14"/>
                <w:szCs w:val="14"/>
                <w:color w:val="auto"/>
              </w:rPr>
            </w:pPr>
          </w:p>
        </w:tc>
        <w:tc>
          <w:tcPr>
            <w:tcW w:w="102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rPr>
              <w:t>AGAINST</w:t>
            </w:r>
          </w:p>
        </w:tc>
        <w:tc>
          <w:tcPr>
            <w:tcW w:w="0" w:type="dxa"/>
            <w:vAlign w:val="bottom"/>
          </w:tcPr>
          <w:p>
            <w:pPr>
              <w:spacing w:after="0"/>
              <w:rPr>
                <w:sz w:val="1"/>
                <w:szCs w:val="1"/>
                <w:color w:val="auto"/>
              </w:rPr>
            </w:pPr>
          </w:p>
        </w:tc>
      </w:tr>
      <w:tr>
        <w:trPr>
          <w:trHeight w:val="223"/>
        </w:trPr>
        <w:tc>
          <w:tcPr>
            <w:tcW w:w="2560" w:type="dxa"/>
            <w:vAlign w:val="bottom"/>
            <w:shd w:val="clear" w:color="auto" w:fill="F2F2F2"/>
          </w:tcPr>
          <w:p>
            <w:pPr>
              <w:ind w:left="40"/>
              <w:spacing w:after="0"/>
              <w:rPr>
                <w:sz w:val="20"/>
                <w:szCs w:val="20"/>
                <w:color w:val="auto"/>
              </w:rPr>
            </w:pPr>
            <w:r>
              <w:rPr>
                <w:rFonts w:ascii="Arial" w:cs="Arial" w:eastAsia="Arial" w:hAnsi="Arial"/>
                <w:sz w:val="16"/>
                <w:szCs w:val="16"/>
                <w:b w:val="1"/>
                <w:bCs w:val="1"/>
                <w:color w:val="auto"/>
              </w:rPr>
              <w:t>classified board structure</w:t>
            </w:r>
          </w:p>
        </w:tc>
        <w:tc>
          <w:tcPr>
            <w:tcW w:w="1180" w:type="dxa"/>
            <w:vAlign w:val="bottom"/>
            <w:shd w:val="clear" w:color="auto" w:fill="F2F2F2"/>
          </w:tcPr>
          <w:p>
            <w:pPr>
              <w:spacing w:after="0"/>
              <w:rPr>
                <w:sz w:val="19"/>
                <w:szCs w:val="19"/>
                <w:color w:val="auto"/>
              </w:rPr>
            </w:pPr>
          </w:p>
        </w:tc>
        <w:tc>
          <w:tcPr>
            <w:tcW w:w="1700" w:type="dxa"/>
            <w:vAlign w:val="bottom"/>
            <w:shd w:val="clear" w:color="auto" w:fill="F2F2F2"/>
          </w:tcPr>
          <w:p>
            <w:pPr>
              <w:spacing w:after="0"/>
              <w:rPr>
                <w:sz w:val="19"/>
                <w:szCs w:val="19"/>
                <w:color w:val="auto"/>
              </w:rPr>
            </w:pPr>
          </w:p>
        </w:tc>
        <w:tc>
          <w:tcPr>
            <w:tcW w:w="1240" w:type="dxa"/>
            <w:vAlign w:val="bottom"/>
            <w:shd w:val="clear" w:color="auto" w:fill="F2F2F2"/>
          </w:tcPr>
          <w:p>
            <w:pPr>
              <w:spacing w:after="0"/>
              <w:rPr>
                <w:sz w:val="19"/>
                <w:szCs w:val="19"/>
                <w:color w:val="auto"/>
              </w:rPr>
            </w:pPr>
          </w:p>
        </w:tc>
        <w:tc>
          <w:tcPr>
            <w:tcW w:w="1400" w:type="dxa"/>
            <w:vAlign w:val="bottom"/>
            <w:shd w:val="clear" w:color="auto" w:fill="F2F2F2"/>
          </w:tcPr>
          <w:p>
            <w:pPr>
              <w:spacing w:after="0"/>
              <w:rPr>
                <w:sz w:val="19"/>
                <w:szCs w:val="19"/>
                <w:color w:val="auto"/>
              </w:rPr>
            </w:pPr>
          </w:p>
        </w:tc>
        <w:tc>
          <w:tcPr>
            <w:tcW w:w="10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the proposal</w:t>
            </w:r>
          </w:p>
        </w:tc>
        <w:tc>
          <w:tcPr>
            <w:tcW w:w="0" w:type="dxa"/>
            <w:vAlign w:val="bottom"/>
          </w:tcPr>
          <w:p>
            <w:pPr>
              <w:spacing w:after="0"/>
              <w:rPr>
                <w:sz w:val="1"/>
                <w:szCs w:val="1"/>
                <w:color w:val="auto"/>
              </w:rPr>
            </w:pPr>
          </w:p>
        </w:tc>
      </w:tr>
      <w:tr>
        <w:trPr>
          <w:trHeight w:val="196"/>
        </w:trPr>
        <w:tc>
          <w:tcPr>
            <w:tcW w:w="2560" w:type="dxa"/>
            <w:vAlign w:val="bottom"/>
            <w:shd w:val="clear" w:color="auto" w:fill="F2F2F2"/>
          </w:tcPr>
          <w:p>
            <w:pPr>
              <w:spacing w:after="0"/>
              <w:rPr>
                <w:sz w:val="17"/>
                <w:szCs w:val="17"/>
                <w:color w:val="auto"/>
              </w:rPr>
            </w:pPr>
          </w:p>
        </w:tc>
        <w:tc>
          <w:tcPr>
            <w:tcW w:w="1180" w:type="dxa"/>
            <w:vAlign w:val="bottom"/>
            <w:shd w:val="clear" w:color="auto" w:fill="F2F2F2"/>
          </w:tcPr>
          <w:p>
            <w:pPr>
              <w:spacing w:after="0"/>
              <w:rPr>
                <w:sz w:val="17"/>
                <w:szCs w:val="17"/>
                <w:color w:val="auto"/>
              </w:rPr>
            </w:pPr>
          </w:p>
        </w:tc>
        <w:tc>
          <w:tcPr>
            <w:tcW w:w="1700" w:type="dxa"/>
            <w:vAlign w:val="bottom"/>
            <w:shd w:val="clear" w:color="auto" w:fill="F2F2F2"/>
          </w:tcPr>
          <w:p>
            <w:pPr>
              <w:spacing w:after="0"/>
              <w:rPr>
                <w:sz w:val="17"/>
                <w:szCs w:val="17"/>
                <w:color w:val="auto"/>
              </w:rPr>
            </w:pPr>
          </w:p>
        </w:tc>
        <w:tc>
          <w:tcPr>
            <w:tcW w:w="1240" w:type="dxa"/>
            <w:vAlign w:val="bottom"/>
            <w:shd w:val="clear" w:color="auto" w:fill="F2F2F2"/>
          </w:tcPr>
          <w:p>
            <w:pPr>
              <w:spacing w:after="0"/>
              <w:rPr>
                <w:sz w:val="17"/>
                <w:szCs w:val="17"/>
                <w:color w:val="auto"/>
              </w:rPr>
            </w:pPr>
          </w:p>
        </w:tc>
        <w:tc>
          <w:tcPr>
            <w:tcW w:w="1400" w:type="dxa"/>
            <w:vAlign w:val="bottom"/>
            <w:shd w:val="clear" w:color="auto" w:fill="F2F2F2"/>
          </w:tcPr>
          <w:p>
            <w:pPr>
              <w:spacing w:after="0"/>
              <w:rPr>
                <w:sz w:val="17"/>
                <w:szCs w:val="17"/>
                <w:color w:val="auto"/>
              </w:rPr>
            </w:pPr>
          </w:p>
        </w:tc>
        <w:tc>
          <w:tcPr>
            <w:tcW w:w="102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560" w:type="dxa"/>
            <w:vAlign w:val="bottom"/>
          </w:tcPr>
          <w:p>
            <w:pPr>
              <w:ind w:left="40"/>
              <w:spacing w:after="0" w:line="162" w:lineRule="exact"/>
              <w:rPr>
                <w:sz w:val="20"/>
                <w:szCs w:val="20"/>
                <w:color w:val="auto"/>
              </w:rPr>
            </w:pPr>
            <w:r>
              <w:rPr>
                <w:rFonts w:ascii="Arial" w:cs="Arial" w:eastAsia="Arial" w:hAnsi="Arial"/>
                <w:sz w:val="16"/>
                <w:szCs w:val="16"/>
                <w:b w:val="1"/>
                <w:bCs w:val="1"/>
                <w:color w:val="auto"/>
              </w:rPr>
              <w:t>Proposal to amend the</w:t>
            </w:r>
          </w:p>
        </w:tc>
        <w:tc>
          <w:tcPr>
            <w:tcW w:w="1180" w:type="dxa"/>
            <w:vAlign w:val="bottom"/>
          </w:tcPr>
          <w:p>
            <w:pPr>
              <w:jc w:val="center"/>
              <w:spacing w:after="0" w:line="162" w:lineRule="exact"/>
              <w:rPr>
                <w:sz w:val="20"/>
                <w:szCs w:val="20"/>
                <w:color w:val="auto"/>
              </w:rPr>
            </w:pPr>
            <w:r>
              <w:rPr>
                <w:rFonts w:ascii="Arial" w:cs="Arial" w:eastAsia="Arial" w:hAnsi="Arial"/>
                <w:sz w:val="16"/>
                <w:szCs w:val="16"/>
                <w:color w:val="auto"/>
              </w:rPr>
              <w:t>80% of</w:t>
            </w:r>
          </w:p>
        </w:tc>
        <w:tc>
          <w:tcPr>
            <w:tcW w:w="1700" w:type="dxa"/>
            <w:vAlign w:val="bottom"/>
          </w:tcPr>
          <w:p>
            <w:pPr>
              <w:jc w:val="center"/>
              <w:spacing w:after="0" w:line="162" w:lineRule="exact"/>
              <w:rPr>
                <w:sz w:val="20"/>
                <w:szCs w:val="20"/>
                <w:color w:val="auto"/>
              </w:rPr>
            </w:pPr>
            <w:r>
              <w:rPr>
                <w:rFonts w:ascii="Arial" w:cs="Arial" w:eastAsia="Arial" w:hAnsi="Arial"/>
                <w:sz w:val="16"/>
                <w:szCs w:val="16"/>
                <w:color w:val="auto"/>
              </w:rPr>
              <w:t>FOR, AGAINST or</w:t>
            </w:r>
          </w:p>
        </w:tc>
        <w:tc>
          <w:tcPr>
            <w:tcW w:w="1240" w:type="dxa"/>
            <w:vAlign w:val="bottom"/>
          </w:tcPr>
          <w:p>
            <w:pPr>
              <w:jc w:val="center"/>
              <w:spacing w:after="0" w:line="162" w:lineRule="exact"/>
              <w:rPr>
                <w:sz w:val="20"/>
                <w:szCs w:val="20"/>
                <w:color w:val="auto"/>
              </w:rPr>
            </w:pPr>
            <w:r>
              <w:rPr>
                <w:rFonts w:ascii="Arial" w:cs="Arial" w:eastAsia="Arial" w:hAnsi="Arial"/>
                <w:sz w:val="16"/>
                <w:szCs w:val="16"/>
                <w:color w:val="auto"/>
              </w:rPr>
              <w:t>Treated as a</w:t>
            </w:r>
          </w:p>
        </w:tc>
        <w:tc>
          <w:tcPr>
            <w:tcW w:w="1400" w:type="dxa"/>
            <w:vAlign w:val="bottom"/>
          </w:tcPr>
          <w:p>
            <w:pPr>
              <w:jc w:val="center"/>
              <w:spacing w:after="0" w:line="162" w:lineRule="exact"/>
              <w:rPr>
                <w:sz w:val="20"/>
                <w:szCs w:val="20"/>
                <w:color w:val="auto"/>
              </w:rPr>
            </w:pPr>
            <w:r>
              <w:rPr>
                <w:rFonts w:ascii="Arial" w:cs="Arial" w:eastAsia="Arial" w:hAnsi="Arial"/>
                <w:sz w:val="16"/>
                <w:szCs w:val="16"/>
                <w:color w:val="auto"/>
              </w:rPr>
              <w:t>No</w:t>
            </w:r>
          </w:p>
        </w:tc>
        <w:tc>
          <w:tcPr>
            <w:tcW w:w="1020" w:type="dxa"/>
            <w:vAlign w:val="bottom"/>
          </w:tcPr>
          <w:p>
            <w:pPr>
              <w:jc w:val="center"/>
              <w:spacing w:after="0" w:line="162" w:lineRule="exact"/>
              <w:rPr>
                <w:sz w:val="20"/>
                <w:szCs w:val="20"/>
                <w:color w:val="auto"/>
              </w:rPr>
            </w:pPr>
            <w:r>
              <w:rPr>
                <w:rFonts w:ascii="Arial" w:cs="Arial" w:eastAsia="Arial" w:hAnsi="Arial"/>
                <w:sz w:val="16"/>
                <w:szCs w:val="16"/>
                <w:color w:val="auto"/>
              </w:rPr>
              <w:t>Treated as a</w:t>
            </w:r>
          </w:p>
        </w:tc>
        <w:tc>
          <w:tcPr>
            <w:tcW w:w="0" w:type="dxa"/>
            <w:vAlign w:val="bottom"/>
          </w:tcPr>
          <w:p>
            <w:pPr>
              <w:spacing w:after="0"/>
              <w:rPr>
                <w:sz w:val="1"/>
                <w:szCs w:val="1"/>
                <w:color w:val="auto"/>
              </w:rPr>
            </w:pPr>
          </w:p>
        </w:tc>
      </w:tr>
      <w:tr>
        <w:trPr>
          <w:trHeight w:val="162"/>
        </w:trPr>
        <w:tc>
          <w:tcPr>
            <w:tcW w:w="2560" w:type="dxa"/>
            <w:vAlign w:val="bottom"/>
          </w:tcPr>
          <w:p>
            <w:pPr>
              <w:ind w:left="40"/>
              <w:spacing w:after="0" w:line="162" w:lineRule="exact"/>
              <w:rPr>
                <w:sz w:val="20"/>
                <w:szCs w:val="20"/>
                <w:color w:val="auto"/>
              </w:rPr>
            </w:pPr>
            <w:r>
              <w:rPr>
                <w:rFonts w:ascii="Arial" w:cs="Arial" w:eastAsia="Arial" w:hAnsi="Arial"/>
                <w:sz w:val="16"/>
                <w:szCs w:val="16"/>
                <w:b w:val="1"/>
                <w:bCs w:val="1"/>
                <w:color w:val="auto"/>
              </w:rPr>
              <w:t>company's articles of</w:t>
            </w:r>
          </w:p>
        </w:tc>
        <w:tc>
          <w:tcPr>
            <w:tcW w:w="1180" w:type="dxa"/>
            <w:vAlign w:val="bottom"/>
          </w:tcPr>
          <w:p>
            <w:pPr>
              <w:jc w:val="center"/>
              <w:spacing w:after="0" w:line="162" w:lineRule="exact"/>
              <w:rPr>
                <w:sz w:val="20"/>
                <w:szCs w:val="20"/>
                <w:color w:val="auto"/>
              </w:rPr>
            </w:pPr>
            <w:r>
              <w:rPr>
                <w:rFonts w:ascii="Arial" w:cs="Arial" w:eastAsia="Arial" w:hAnsi="Arial"/>
                <w:sz w:val="16"/>
                <w:szCs w:val="16"/>
                <w:color w:val="auto"/>
              </w:rPr>
              <w:t>outstanding</w:t>
            </w:r>
          </w:p>
        </w:tc>
        <w:tc>
          <w:tcPr>
            <w:tcW w:w="1700" w:type="dxa"/>
            <w:vAlign w:val="bottom"/>
          </w:tcPr>
          <w:p>
            <w:pPr>
              <w:jc w:val="center"/>
              <w:spacing w:after="0" w:line="162" w:lineRule="exact"/>
              <w:rPr>
                <w:sz w:val="20"/>
                <w:szCs w:val="20"/>
                <w:color w:val="auto"/>
              </w:rPr>
            </w:pPr>
            <w:r>
              <w:rPr>
                <w:rFonts w:ascii="Arial" w:cs="Arial" w:eastAsia="Arial" w:hAnsi="Arial"/>
                <w:sz w:val="16"/>
                <w:szCs w:val="16"/>
                <w:color w:val="auto"/>
                <w:w w:val="99"/>
              </w:rPr>
              <w:t>ABSTAIN</w:t>
            </w:r>
          </w:p>
        </w:tc>
        <w:tc>
          <w:tcPr>
            <w:tcW w:w="1240" w:type="dxa"/>
            <w:vAlign w:val="bottom"/>
          </w:tcPr>
          <w:p>
            <w:pPr>
              <w:jc w:val="center"/>
              <w:spacing w:after="0" w:line="162" w:lineRule="exact"/>
              <w:rPr>
                <w:sz w:val="20"/>
                <w:szCs w:val="20"/>
                <w:color w:val="auto"/>
              </w:rPr>
            </w:pPr>
            <w:r>
              <w:rPr>
                <w:rFonts w:ascii="Arial" w:cs="Arial" w:eastAsia="Arial" w:hAnsi="Arial"/>
                <w:sz w:val="16"/>
                <w:szCs w:val="16"/>
                <w:color w:val="auto"/>
              </w:rPr>
              <w:t>vote AGAINST</w:t>
            </w:r>
          </w:p>
        </w:tc>
        <w:tc>
          <w:tcPr>
            <w:tcW w:w="1400" w:type="dxa"/>
            <w:vAlign w:val="bottom"/>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Arial" w:cs="Arial" w:eastAsia="Arial" w:hAnsi="Arial"/>
                <w:sz w:val="16"/>
                <w:szCs w:val="16"/>
                <w:color w:val="auto"/>
              </w:rPr>
              <w:t>vote</w:t>
            </w:r>
          </w:p>
        </w:tc>
        <w:tc>
          <w:tcPr>
            <w:tcW w:w="0" w:type="dxa"/>
            <w:vAlign w:val="bottom"/>
          </w:tcPr>
          <w:p>
            <w:pPr>
              <w:spacing w:after="0"/>
              <w:rPr>
                <w:sz w:val="1"/>
                <w:szCs w:val="1"/>
                <w:color w:val="auto"/>
              </w:rPr>
            </w:pPr>
          </w:p>
        </w:tc>
      </w:tr>
      <w:tr>
        <w:trPr>
          <w:trHeight w:val="162"/>
        </w:trPr>
        <w:tc>
          <w:tcPr>
            <w:tcW w:w="2560" w:type="dxa"/>
            <w:vAlign w:val="bottom"/>
          </w:tcPr>
          <w:p>
            <w:pPr>
              <w:ind w:left="40"/>
              <w:spacing w:after="0" w:line="162" w:lineRule="exact"/>
              <w:rPr>
                <w:sz w:val="20"/>
                <w:szCs w:val="20"/>
                <w:color w:val="auto"/>
              </w:rPr>
            </w:pPr>
            <w:r>
              <w:rPr>
                <w:rFonts w:ascii="Arial" w:cs="Arial" w:eastAsia="Arial" w:hAnsi="Arial"/>
                <w:sz w:val="16"/>
                <w:szCs w:val="16"/>
                <w:b w:val="1"/>
                <w:bCs w:val="1"/>
                <w:color w:val="auto"/>
              </w:rPr>
              <w:t>incorporation to eliminate</w:t>
            </w:r>
          </w:p>
        </w:tc>
        <w:tc>
          <w:tcPr>
            <w:tcW w:w="1180" w:type="dxa"/>
            <w:vAlign w:val="bottom"/>
          </w:tcPr>
          <w:p>
            <w:pPr>
              <w:jc w:val="center"/>
              <w:spacing w:after="0" w:line="162" w:lineRule="exact"/>
              <w:rPr>
                <w:sz w:val="20"/>
                <w:szCs w:val="20"/>
                <w:color w:val="auto"/>
              </w:rPr>
            </w:pPr>
            <w:r>
              <w:rPr>
                <w:rFonts w:ascii="Arial" w:cs="Arial" w:eastAsia="Arial" w:hAnsi="Arial"/>
                <w:sz w:val="16"/>
                <w:szCs w:val="16"/>
                <w:color w:val="auto"/>
                <w:w w:val="99"/>
              </w:rPr>
              <w:t>shares</w:t>
            </w:r>
          </w:p>
        </w:tc>
        <w:tc>
          <w:tcPr>
            <w:tcW w:w="1700" w:type="dxa"/>
            <w:vAlign w:val="bottom"/>
          </w:tcPr>
          <w:p>
            <w:pPr>
              <w:spacing w:after="0"/>
              <w:rPr>
                <w:sz w:val="14"/>
                <w:szCs w:val="14"/>
                <w:color w:val="auto"/>
              </w:rPr>
            </w:pPr>
          </w:p>
        </w:tc>
        <w:tc>
          <w:tcPr>
            <w:tcW w:w="1240" w:type="dxa"/>
            <w:vAlign w:val="bottom"/>
          </w:tcPr>
          <w:p>
            <w:pPr>
              <w:jc w:val="center"/>
              <w:spacing w:after="0" w:line="162" w:lineRule="exact"/>
              <w:rPr>
                <w:sz w:val="20"/>
                <w:szCs w:val="20"/>
                <w:color w:val="auto"/>
              </w:rPr>
            </w:pPr>
            <w:r>
              <w:rPr>
                <w:rFonts w:ascii="Arial" w:cs="Arial" w:eastAsia="Arial" w:hAnsi="Arial"/>
                <w:sz w:val="16"/>
                <w:szCs w:val="16"/>
                <w:color w:val="auto"/>
                <w:w w:val="99"/>
              </w:rPr>
              <w:t>the proposal</w:t>
            </w:r>
          </w:p>
        </w:tc>
        <w:tc>
          <w:tcPr>
            <w:tcW w:w="1400" w:type="dxa"/>
            <w:vAlign w:val="bottom"/>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Arial" w:cs="Arial" w:eastAsia="Arial" w:hAnsi="Arial"/>
                <w:sz w:val="16"/>
                <w:szCs w:val="16"/>
                <w:color w:val="auto"/>
              </w:rPr>
              <w:t>AGAINST</w:t>
            </w:r>
          </w:p>
        </w:tc>
        <w:tc>
          <w:tcPr>
            <w:tcW w:w="0" w:type="dxa"/>
            <w:vAlign w:val="bottom"/>
          </w:tcPr>
          <w:p>
            <w:pPr>
              <w:spacing w:after="0"/>
              <w:rPr>
                <w:sz w:val="1"/>
                <w:szCs w:val="1"/>
                <w:color w:val="auto"/>
              </w:rPr>
            </w:pPr>
          </w:p>
        </w:tc>
      </w:tr>
      <w:tr>
        <w:trPr>
          <w:trHeight w:val="223"/>
        </w:trPr>
        <w:tc>
          <w:tcPr>
            <w:tcW w:w="2560" w:type="dxa"/>
            <w:vAlign w:val="bottom"/>
          </w:tcPr>
          <w:p>
            <w:pPr>
              <w:ind w:left="40"/>
              <w:spacing w:after="0"/>
              <w:rPr>
                <w:sz w:val="20"/>
                <w:szCs w:val="20"/>
                <w:color w:val="auto"/>
              </w:rPr>
            </w:pPr>
            <w:r>
              <w:rPr>
                <w:rFonts w:ascii="Arial" w:cs="Arial" w:eastAsia="Arial" w:hAnsi="Arial"/>
                <w:sz w:val="16"/>
                <w:szCs w:val="16"/>
                <w:b w:val="1"/>
                <w:bCs w:val="1"/>
                <w:color w:val="auto"/>
              </w:rPr>
              <w:t>supermajority voting provisions</w:t>
            </w:r>
          </w:p>
        </w:tc>
        <w:tc>
          <w:tcPr>
            <w:tcW w:w="11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the proposal</w:t>
            </w:r>
          </w:p>
        </w:tc>
        <w:tc>
          <w:tcPr>
            <w:tcW w:w="0" w:type="dxa"/>
            <w:vAlign w:val="bottom"/>
          </w:tcPr>
          <w:p>
            <w:pPr>
              <w:spacing w:after="0"/>
              <w:rPr>
                <w:sz w:val="1"/>
                <w:szCs w:val="1"/>
                <w:color w:val="auto"/>
              </w:rPr>
            </w:pPr>
          </w:p>
        </w:tc>
      </w:tr>
      <w:tr>
        <w:trPr>
          <w:trHeight w:val="196"/>
        </w:trPr>
        <w:tc>
          <w:tcPr>
            <w:tcW w:w="2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560" w:type="dxa"/>
            <w:vAlign w:val="bottom"/>
            <w:shd w:val="clear" w:color="auto" w:fill="F2F2F2"/>
          </w:tcPr>
          <w:p>
            <w:pPr>
              <w:ind w:left="40"/>
              <w:spacing w:after="0" w:line="162" w:lineRule="exact"/>
              <w:rPr>
                <w:sz w:val="20"/>
                <w:szCs w:val="20"/>
                <w:color w:val="auto"/>
              </w:rPr>
            </w:pPr>
            <w:r>
              <w:rPr>
                <w:rFonts w:ascii="Arial" w:cs="Arial" w:eastAsia="Arial" w:hAnsi="Arial"/>
                <w:sz w:val="16"/>
                <w:szCs w:val="16"/>
                <w:b w:val="1"/>
                <w:bCs w:val="1"/>
                <w:color w:val="auto"/>
              </w:rPr>
              <w:t>Shareholder Proposals</w:t>
            </w:r>
          </w:p>
        </w:tc>
        <w:tc>
          <w:tcPr>
            <w:tcW w:w="118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rPr>
              <w:t>Majority of</w:t>
            </w:r>
          </w:p>
        </w:tc>
        <w:tc>
          <w:tcPr>
            <w:tcW w:w="170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rPr>
              <w:t>FOR, AGAINST or</w:t>
            </w:r>
          </w:p>
        </w:tc>
        <w:tc>
          <w:tcPr>
            <w:tcW w:w="124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rPr>
              <w:t>No effect - not</w:t>
            </w:r>
          </w:p>
        </w:tc>
        <w:tc>
          <w:tcPr>
            <w:tcW w:w="140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rPr>
              <w:t>No</w:t>
            </w:r>
          </w:p>
        </w:tc>
        <w:tc>
          <w:tcPr>
            <w:tcW w:w="102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w w:val="99"/>
              </w:rPr>
              <w:t>No effect</w:t>
            </w:r>
          </w:p>
        </w:tc>
        <w:tc>
          <w:tcPr>
            <w:tcW w:w="0" w:type="dxa"/>
            <w:vAlign w:val="bottom"/>
          </w:tcPr>
          <w:p>
            <w:pPr>
              <w:spacing w:after="0"/>
              <w:rPr>
                <w:sz w:val="1"/>
                <w:szCs w:val="1"/>
                <w:color w:val="auto"/>
              </w:rPr>
            </w:pPr>
          </w:p>
        </w:tc>
      </w:tr>
      <w:tr>
        <w:trPr>
          <w:trHeight w:val="162"/>
        </w:trPr>
        <w:tc>
          <w:tcPr>
            <w:tcW w:w="2560" w:type="dxa"/>
            <w:vAlign w:val="bottom"/>
            <w:shd w:val="clear" w:color="auto" w:fill="F2F2F2"/>
          </w:tcPr>
          <w:p>
            <w:pPr>
              <w:spacing w:after="0"/>
              <w:rPr>
                <w:sz w:val="14"/>
                <w:szCs w:val="14"/>
                <w:color w:val="auto"/>
              </w:rPr>
            </w:pPr>
          </w:p>
        </w:tc>
        <w:tc>
          <w:tcPr>
            <w:tcW w:w="118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rPr>
              <w:t>votes cast</w:t>
            </w:r>
          </w:p>
        </w:tc>
        <w:tc>
          <w:tcPr>
            <w:tcW w:w="170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w w:val="99"/>
              </w:rPr>
              <w:t>ABSTAIN (for each</w:t>
            </w:r>
          </w:p>
        </w:tc>
        <w:tc>
          <w:tcPr>
            <w:tcW w:w="124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rPr>
              <w:t>counted as a</w:t>
            </w:r>
          </w:p>
        </w:tc>
        <w:tc>
          <w:tcPr>
            <w:tcW w:w="1400" w:type="dxa"/>
            <w:vAlign w:val="bottom"/>
            <w:shd w:val="clear" w:color="auto" w:fill="F2F2F2"/>
          </w:tcPr>
          <w:p>
            <w:pPr>
              <w:spacing w:after="0"/>
              <w:rPr>
                <w:sz w:val="14"/>
                <w:szCs w:val="14"/>
                <w:color w:val="auto"/>
              </w:rPr>
            </w:pPr>
          </w:p>
        </w:tc>
        <w:tc>
          <w:tcPr>
            <w:tcW w:w="102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560" w:type="dxa"/>
            <w:vAlign w:val="bottom"/>
            <w:tcBorders>
              <w:bottom w:val="single" w:sz="8" w:color="F2F2F2"/>
            </w:tcBorders>
            <w:shd w:val="clear" w:color="auto" w:fill="F2F2F2"/>
          </w:tcPr>
          <w:p>
            <w:pPr>
              <w:spacing w:after="0"/>
              <w:rPr>
                <w:sz w:val="20"/>
                <w:szCs w:val="20"/>
                <w:color w:val="auto"/>
              </w:rPr>
            </w:pPr>
          </w:p>
        </w:tc>
        <w:tc>
          <w:tcPr>
            <w:tcW w:w="1180" w:type="dxa"/>
            <w:vAlign w:val="bottom"/>
            <w:tcBorders>
              <w:bottom w:val="single" w:sz="8" w:color="F2F2F2"/>
            </w:tcBorders>
            <w:shd w:val="clear" w:color="auto" w:fill="F2F2F2"/>
          </w:tcPr>
          <w:p>
            <w:pPr>
              <w:spacing w:after="0"/>
              <w:rPr>
                <w:sz w:val="20"/>
                <w:szCs w:val="20"/>
                <w:color w:val="auto"/>
              </w:rPr>
            </w:pPr>
          </w:p>
        </w:tc>
        <w:tc>
          <w:tcPr>
            <w:tcW w:w="1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shareholder proposal)</w:t>
            </w:r>
          </w:p>
        </w:tc>
        <w:tc>
          <w:tcPr>
            <w:tcW w:w="12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“vote cast”</w:t>
            </w:r>
          </w:p>
        </w:tc>
        <w:tc>
          <w:tcPr>
            <w:tcW w:w="1400" w:type="dxa"/>
            <w:vAlign w:val="bottom"/>
            <w:tcBorders>
              <w:bottom w:val="single" w:sz="8" w:color="F2F2F2"/>
            </w:tcBorders>
            <w:shd w:val="clear" w:color="auto" w:fill="F2F2F2"/>
          </w:tcPr>
          <w:p>
            <w:pPr>
              <w:spacing w:after="0"/>
              <w:rPr>
                <w:sz w:val="20"/>
                <w:szCs w:val="20"/>
                <w:color w:val="auto"/>
              </w:rPr>
            </w:pPr>
          </w:p>
        </w:tc>
        <w:tc>
          <w:tcPr>
            <w:tcW w:w="1020" w:type="dxa"/>
            <w:vAlign w:val="bottom"/>
            <w:tcBorders>
              <w:bottom w:val="single" w:sz="8" w:color="F2F2F2"/>
            </w:tcBorders>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180" w:right="360" w:hanging="172"/>
        <w:spacing w:after="0" w:line="231" w:lineRule="auto"/>
        <w:tabs>
          <w:tab w:leader="none" w:pos="230" w:val="left"/>
        </w:tabs>
        <w:numPr>
          <w:ilvl w:val="0"/>
          <w:numId w:val="218"/>
        </w:numPr>
        <w:rPr>
          <w:rFonts w:ascii="Arial" w:cs="Arial" w:eastAsia="Arial" w:hAnsi="Arial"/>
          <w:sz w:val="19"/>
          <w:szCs w:val="19"/>
          <w:color w:val="auto"/>
          <w:vertAlign w:val="superscript"/>
        </w:rPr>
      </w:pPr>
      <w:r>
        <w:rPr>
          <w:rFonts w:ascii="Arial" w:cs="Arial" w:eastAsia="Arial" w:hAnsi="Arial"/>
          <w:sz w:val="14"/>
          <w:szCs w:val="14"/>
          <w:color w:val="auto"/>
        </w:rPr>
        <w:t>If no frequency receives a majority of votes cast, then we will consider the option that receives the highest number of votes cast to be the frequency recommended by shareholders.</w:t>
      </w:r>
    </w:p>
    <w:p>
      <w:pPr>
        <w:spacing w:after="0" w:line="133"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Additional Items of Business</w:t>
      </w:r>
    </w:p>
    <w:p>
      <w:pPr>
        <w:spacing w:after="0" w:line="69"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color w:val="auto"/>
        </w:rPr>
        <w:t>We do not expect any items of business to be submitted to shareholders at the Annual Meeting other than the proposals referred to in this proxy statement. Nonetheless, if necessary, the persons named on the proxy have discretionary authority to vote the shares represented thereby with respect to any other matters that might be brought before the meeting. Those persons intend to vote on any such matters in accordance with their best judgment.</w:t>
      </w:r>
    </w:p>
    <w:p>
      <w:pPr>
        <w:spacing w:after="0" w:line="117"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Vote Tabulation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Votes are tabulated by an independent inspector of election, Broadridge Financial Solutions, Inc.</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List of Shareholders of Record</w:t>
      </w:r>
    </w:p>
    <w:p>
      <w:pPr>
        <w:spacing w:after="0" w:line="8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A list of the names of shareholders entitled to vote at the Annual Meeting will be available to shareholders for five business days prior to the Annual Meeting for any purpose germane to the Annual Meeting. Please contact us at </w:t>
      </w:r>
      <w:r>
        <w:rPr>
          <w:rFonts w:ascii="Arial" w:cs="Arial" w:eastAsia="Arial" w:hAnsi="Arial"/>
          <w:sz w:val="18"/>
          <w:szCs w:val="18"/>
          <w:color w:val="D52B1E"/>
        </w:rPr>
        <w:t>shareholderproposals@lilly.com</w:t>
      </w:r>
      <w:r>
        <w:rPr>
          <w:rFonts w:ascii="Arial" w:cs="Arial" w:eastAsia="Arial" w:hAnsi="Arial"/>
          <w:sz w:val="18"/>
          <w:szCs w:val="18"/>
          <w:color w:val="auto"/>
        </w:rPr>
        <w:t xml:space="preserve"> if you wish to examine the list prior to the Annual Meeting. The shareholder list will also be available during the virtual Annual Meeting for examination by shareholders who access the Annual Meeting using their 16-digit control number at </w:t>
      </w:r>
      <w:r>
        <w:rPr>
          <w:rFonts w:ascii="Arial" w:cs="Arial" w:eastAsia="Arial" w:hAnsi="Arial"/>
          <w:sz w:val="18"/>
          <w:szCs w:val="18"/>
          <w:color w:val="D52B1E"/>
        </w:rPr>
        <w:t>virtualshareholdermeeting.com/LLY2023</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The 2024 Annual Meeting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company’s 2024 annual meeting of shareholders is currently scheduled for May 6, 2024.</w:t>
      </w:r>
    </w:p>
    <w:p>
      <w:pPr>
        <w:spacing w:after="0" w:line="200" w:lineRule="exact"/>
        <w:rPr>
          <w:sz w:val="20"/>
          <w:szCs w:val="20"/>
          <w:color w:val="auto"/>
        </w:rPr>
      </w:pPr>
    </w:p>
    <w:p>
      <w:pPr>
        <w:spacing w:after="0" w:line="381" w:lineRule="exact"/>
        <w:rPr>
          <w:sz w:val="20"/>
          <w:szCs w:val="20"/>
          <w:color w:val="auto"/>
        </w:rPr>
      </w:pPr>
    </w:p>
    <w:p>
      <w:pPr>
        <w:jc w:val="center"/>
        <w:ind w:right="-159"/>
        <w:spacing w:after="0"/>
        <w:rPr>
          <w:sz w:val="20"/>
          <w:szCs w:val="20"/>
          <w:color w:val="auto"/>
        </w:rPr>
      </w:pPr>
      <w:r>
        <w:rPr>
          <w:rFonts w:ascii="Arial" w:cs="Arial" w:eastAsia="Arial" w:hAnsi="Arial"/>
          <w:sz w:val="19"/>
          <w:szCs w:val="19"/>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25" w:right="479" w:bottom="1440" w:gutter="0" w:footer="0" w:header="0"/>
        </w:sectPr>
      </w:pPr>
    </w:p>
    <w:bookmarkStart w:id="114" w:name="page115"/>
    <w:bookmarkEnd w:id="114"/>
    <w:p>
      <w:pPr>
        <w:spacing w:after="0"/>
        <w:rPr>
          <w:sz w:val="20"/>
          <w:szCs w:val="20"/>
          <w:color w:val="auto"/>
        </w:rPr>
      </w:pPr>
      <w:r>
        <w:rPr>
          <w:rFonts w:ascii="Arial" w:cs="Arial" w:eastAsia="Arial" w:hAnsi="Arial"/>
          <w:sz w:val="25"/>
          <w:szCs w:val="25"/>
          <w:b w:val="1"/>
          <w:bCs w:val="1"/>
          <w:color w:val="00A1DE"/>
        </w:rPr>
        <w:t>How to Vote</w:t>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color w:val="auto"/>
        </w:rPr>
        <w:t>You may vote by any one of the following methods: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80" w:type="dxa"/>
            <w:vAlign w:val="bottom"/>
            <w:tcBorders>
              <w:top w:val="single" w:sz="8" w:color="auto"/>
            </w:tcBorders>
            <w:vMerge w:val="restart"/>
          </w:tcPr>
          <w:p>
            <w:pPr>
              <w:ind w:left="1660"/>
              <w:spacing w:after="0"/>
              <w:rPr>
                <w:sz w:val="20"/>
                <w:szCs w:val="20"/>
                <w:color w:val="auto"/>
              </w:rPr>
            </w:pPr>
            <w:r>
              <w:rPr>
                <w:rFonts w:ascii="Arial" w:cs="Arial" w:eastAsia="Arial" w:hAnsi="Arial"/>
                <w:sz w:val="18"/>
                <w:szCs w:val="18"/>
                <w:b w:val="1"/>
                <w:bCs w:val="1"/>
                <w:color w:val="auto"/>
              </w:rPr>
              <w:t>Shareholders of Record</w:t>
            </w:r>
          </w:p>
        </w:tc>
        <w:tc>
          <w:tcPr>
            <w:tcW w:w="2680" w:type="dxa"/>
            <w:vAlign w:val="bottom"/>
            <w:tcBorders>
              <w:top w:val="single" w:sz="8" w:color="auto"/>
            </w:tcBorders>
            <w:vMerge w:val="restart"/>
          </w:tcPr>
          <w:p>
            <w:pPr>
              <w:ind w:left="380"/>
              <w:spacing w:after="0"/>
              <w:rPr>
                <w:sz w:val="20"/>
                <w:szCs w:val="20"/>
                <w:color w:val="auto"/>
              </w:rPr>
            </w:pPr>
            <w:r>
              <w:rPr>
                <w:rFonts w:ascii="Arial" w:cs="Arial" w:eastAsia="Arial" w:hAnsi="Arial"/>
                <w:sz w:val="18"/>
                <w:szCs w:val="18"/>
                <w:b w:val="1"/>
                <w:bCs w:val="1"/>
                <w:color w:val="auto"/>
              </w:rPr>
              <w:t>Shares Held by a Broker</w:t>
            </w:r>
          </w:p>
        </w:tc>
        <w:tc>
          <w:tcPr>
            <w:tcW w:w="23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rPr>
              <w:t>Shares Held in the</w:t>
            </w:r>
          </w:p>
        </w:tc>
        <w:tc>
          <w:tcPr>
            <w:tcW w:w="0" w:type="dxa"/>
            <w:vAlign w:val="bottom"/>
          </w:tcPr>
          <w:p>
            <w:pPr>
              <w:spacing w:after="0"/>
              <w:rPr>
                <w:sz w:val="1"/>
                <w:szCs w:val="1"/>
                <w:color w:val="auto"/>
              </w:rPr>
            </w:pPr>
          </w:p>
        </w:tc>
      </w:tr>
      <w:tr>
        <w:trPr>
          <w:trHeight w:val="243"/>
        </w:trPr>
        <w:tc>
          <w:tcPr>
            <w:tcW w:w="4080" w:type="dxa"/>
            <w:vAlign w:val="bottom"/>
            <w:tcBorders>
              <w:bottom w:val="single" w:sz="8" w:color="auto"/>
            </w:tcBorders>
            <w:vMerge w:val="continue"/>
          </w:tcPr>
          <w:p>
            <w:pPr>
              <w:spacing w:after="0"/>
              <w:rPr>
                <w:sz w:val="21"/>
                <w:szCs w:val="21"/>
                <w:color w:val="auto"/>
              </w:rPr>
            </w:pPr>
          </w:p>
        </w:tc>
        <w:tc>
          <w:tcPr>
            <w:tcW w:w="2680" w:type="dxa"/>
            <w:vAlign w:val="bottom"/>
            <w:tcBorders>
              <w:bottom w:val="single" w:sz="8" w:color="auto"/>
            </w:tcBorders>
            <w:vMerge w:val="continue"/>
          </w:tcPr>
          <w:p>
            <w:pPr>
              <w:spacing w:after="0"/>
              <w:rPr>
                <w:sz w:val="21"/>
                <w:szCs w:val="21"/>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Company 401(k) Plan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760720" cy="4029075"/>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5760720" cy="402907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left="100"/>
        <w:spacing w:after="0"/>
        <w:rPr>
          <w:sz w:val="20"/>
          <w:szCs w:val="20"/>
          <w:color w:val="auto"/>
        </w:rPr>
      </w:pPr>
      <w:r>
        <w:rPr>
          <w:rFonts w:ascii="Arial" w:cs="Arial" w:eastAsia="Arial" w:hAnsi="Arial"/>
          <w:sz w:val="18"/>
          <w:szCs w:val="18"/>
          <w:b w:val="1"/>
          <w:bCs w:val="1"/>
          <w:color w:val="auto"/>
        </w:rPr>
        <w:t>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52070</wp:posOffset>
            </wp:positionV>
            <wp:extent cx="514350" cy="51435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clrChange>
                        <a:clrFrom>
                          <a:srgbClr val="000000"/>
                        </a:clrFrom>
                        <a:clrTo>
                          <a:srgbClr val="000000">
                            <a:alpha val="0"/>
                          </a:srgbClr>
                        </a:clrTo>
                      </a:clrChange>
                      <a:extLst>
                        <a:ext uri="{28A0092B-C50C-407E-A947-70E740481C1C}"/>
                      </a:extLst>
                    </a:blip>
                    <a:srcRect/>
                    <a:stretch>
                      <a:fillRect/>
                    </a:stretch>
                  </pic:blipFill>
                  <pic:spPr bwMode="auto">
                    <a:xfrm>
                      <a:off x="0" y="0"/>
                      <a:ext cx="514350" cy="51435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52070</wp:posOffset>
            </wp:positionV>
            <wp:extent cx="514350" cy="51435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clrChange>
                        <a:clrFrom>
                          <a:srgbClr val="FFFFFF"/>
                        </a:clrFrom>
                        <a:clrTo>
                          <a:srgbClr val="FFFFFF">
                            <a:alpha val="0"/>
                          </a:srgbClr>
                        </a:clrTo>
                      </a:clrChange>
                      <a:extLst>
                        <a:ext uri="{28A0092B-C50C-407E-A947-70E740481C1C}"/>
                      </a:extLst>
                    </a:blip>
                    <a:srcRect/>
                    <a:stretch>
                      <a:fillRect/>
                    </a:stretch>
                  </pic:blipFill>
                  <pic:spPr bwMode="auto">
                    <a:xfrm>
                      <a:off x="0" y="0"/>
                      <a:ext cx="51435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Telephone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140"/>
        <w:spacing w:after="0"/>
        <w:rPr>
          <w:sz w:val="20"/>
          <w:szCs w:val="20"/>
          <w:color w:val="auto"/>
        </w:rPr>
      </w:pPr>
      <w:r>
        <w:rPr>
          <w:rFonts w:ascii="Arial" w:cs="Arial" w:eastAsia="Arial" w:hAnsi="Arial"/>
          <w:sz w:val="18"/>
          <w:szCs w:val="18"/>
          <w:b w:val="1"/>
          <w:bCs w:val="1"/>
          <w:color w:val="auto"/>
        </w:rPr>
        <w:t>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154940</wp:posOffset>
            </wp:positionV>
            <wp:extent cx="514350" cy="51435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clrChange>
                        <a:clrFrom>
                          <a:srgbClr val="000000"/>
                        </a:clrFrom>
                        <a:clrTo>
                          <a:srgbClr val="000000">
                            <a:alpha val="0"/>
                          </a:srgbClr>
                        </a:clrTo>
                      </a:clrChange>
                      <a:extLst>
                        <a:ext uri="{28A0092B-C50C-407E-A947-70E740481C1C}"/>
                      </a:extLst>
                    </a:blip>
                    <a:srcRect/>
                    <a:stretch>
                      <a:fillRect/>
                    </a:stretch>
                  </pic:blipFill>
                  <pic:spPr bwMode="auto">
                    <a:xfrm>
                      <a:off x="0" y="0"/>
                      <a:ext cx="514350" cy="51435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154940</wp:posOffset>
            </wp:positionV>
            <wp:extent cx="514350" cy="51435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clrChange>
                        <a:clrFrom>
                          <a:srgbClr val="FFFFFF"/>
                        </a:clrFrom>
                        <a:clrTo>
                          <a:srgbClr val="FFFFFF">
                            <a:alpha val="0"/>
                          </a:srgbClr>
                        </a:clrTo>
                      </a:clrChange>
                      <a:extLst>
                        <a:ext uri="{28A0092B-C50C-407E-A947-70E740481C1C}"/>
                      </a:extLst>
                    </a:blip>
                    <a:srcRect/>
                    <a:stretch>
                      <a:fillRect/>
                    </a:stretch>
                  </pic:blipFill>
                  <pic:spPr bwMode="auto">
                    <a:xfrm>
                      <a:off x="0" y="0"/>
                      <a:ext cx="51435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left="100"/>
        <w:spacing w:after="0"/>
        <w:rPr>
          <w:sz w:val="20"/>
          <w:szCs w:val="20"/>
          <w:color w:val="auto"/>
        </w:rPr>
      </w:pPr>
      <w:r>
        <w:rPr>
          <w:rFonts w:ascii="Arial" w:cs="Arial" w:eastAsia="Arial" w:hAnsi="Arial"/>
          <w:sz w:val="18"/>
          <w:szCs w:val="18"/>
          <w:b w:val="1"/>
          <w:bCs w:val="1"/>
          <w:color w:val="auto"/>
        </w:rPr>
        <w:t>At the</w:t>
      </w:r>
    </w:p>
    <w:p>
      <w:pPr>
        <w:spacing w:after="0" w:line="27" w:lineRule="exact"/>
        <w:rPr>
          <w:sz w:val="20"/>
          <w:szCs w:val="20"/>
          <w:color w:val="auto"/>
        </w:rPr>
      </w:pPr>
    </w:p>
    <w:p>
      <w:pPr>
        <w:jc w:val="center"/>
        <w:ind w:left="100"/>
        <w:spacing w:after="0"/>
        <w:rPr>
          <w:sz w:val="20"/>
          <w:szCs w:val="20"/>
          <w:color w:val="auto"/>
        </w:rPr>
      </w:pPr>
      <w:r>
        <w:rPr>
          <w:rFonts w:ascii="Arial" w:cs="Arial" w:eastAsia="Arial" w:hAnsi="Arial"/>
          <w:sz w:val="18"/>
          <w:szCs w:val="18"/>
          <w:b w:val="1"/>
          <w:bCs w:val="1"/>
          <w:color w:val="auto"/>
        </w:rPr>
        <w:t>Meeting</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820" w:type="dxa"/>
            <w:vAlign w:val="bottom"/>
            <w:vMerge w:val="restart"/>
          </w:tcPr>
          <w:p>
            <w:pPr>
              <w:spacing w:after="0"/>
              <w:rPr>
                <w:sz w:val="20"/>
                <w:szCs w:val="20"/>
                <w:color w:val="auto"/>
              </w:rPr>
            </w:pPr>
            <w:r>
              <w:rPr>
                <w:rFonts w:ascii="Arial" w:cs="Arial" w:eastAsia="Arial" w:hAnsi="Arial"/>
                <w:sz w:val="18"/>
                <w:szCs w:val="18"/>
                <w:color w:val="auto"/>
              </w:rPr>
              <w:t xml:space="preserve">Vote online at </w:t>
            </w:r>
            <w:r>
              <w:rPr>
                <w:rFonts w:ascii="Arial" w:cs="Arial" w:eastAsia="Arial" w:hAnsi="Arial"/>
                <w:sz w:val="18"/>
                <w:szCs w:val="18"/>
                <w:color w:val="D52B1E"/>
              </w:rPr>
              <w:t>ProxyVote.com</w:t>
            </w:r>
            <w:r>
              <w:rPr>
                <w:rFonts w:ascii="Arial" w:cs="Arial" w:eastAsia="Arial" w:hAnsi="Arial"/>
                <w:sz w:val="18"/>
                <w:szCs w:val="18"/>
                <w:color w:val="auto"/>
              </w:rPr>
              <w:t>.</w:t>
            </w:r>
          </w:p>
        </w:tc>
        <w:tc>
          <w:tcPr>
            <w:tcW w:w="4060" w:type="dxa"/>
            <w:vAlign w:val="bottom"/>
          </w:tcPr>
          <w:p>
            <w:pPr>
              <w:ind w:left="2800"/>
              <w:spacing w:after="0"/>
              <w:rPr>
                <w:sz w:val="20"/>
                <w:szCs w:val="20"/>
                <w:color w:val="auto"/>
              </w:rPr>
            </w:pPr>
            <w:r>
              <w:rPr>
                <w:rFonts w:ascii="Arial" w:cs="Arial" w:eastAsia="Arial" w:hAnsi="Arial"/>
                <w:sz w:val="18"/>
                <w:szCs w:val="18"/>
                <w:color w:val="auto"/>
              </w:rPr>
              <w:t>Vote online at</w:t>
            </w:r>
          </w:p>
        </w:tc>
        <w:tc>
          <w:tcPr>
            <w:tcW w:w="0" w:type="dxa"/>
            <w:vAlign w:val="bottom"/>
          </w:tcPr>
          <w:p>
            <w:pPr>
              <w:spacing w:after="0"/>
              <w:rPr>
                <w:sz w:val="1"/>
                <w:szCs w:val="1"/>
                <w:color w:val="auto"/>
              </w:rPr>
            </w:pPr>
          </w:p>
        </w:tc>
      </w:tr>
      <w:tr>
        <w:trPr>
          <w:trHeight w:val="166"/>
        </w:trPr>
        <w:tc>
          <w:tcPr>
            <w:tcW w:w="2820" w:type="dxa"/>
            <w:vAlign w:val="bottom"/>
            <w:vMerge w:val="continue"/>
          </w:tcPr>
          <w:p>
            <w:pPr>
              <w:spacing w:after="0"/>
              <w:rPr>
                <w:sz w:val="14"/>
                <w:szCs w:val="14"/>
                <w:color w:val="auto"/>
              </w:rPr>
            </w:pPr>
          </w:p>
        </w:tc>
        <w:tc>
          <w:tcPr>
            <w:tcW w:w="4060" w:type="dxa"/>
            <w:vAlign w:val="bottom"/>
            <w:vMerge w:val="restart"/>
          </w:tcPr>
          <w:p>
            <w:pPr>
              <w:ind w:left="440"/>
              <w:spacing w:after="0" w:line="216" w:lineRule="exact"/>
              <w:rPr>
                <w:sz w:val="20"/>
                <w:szCs w:val="20"/>
                <w:color w:val="auto"/>
              </w:rPr>
            </w:pPr>
            <w:r>
              <w:rPr>
                <w:rFonts w:ascii="Arial" w:cs="Arial" w:eastAsia="Arial" w:hAnsi="Arial"/>
                <w:sz w:val="14"/>
                <w:szCs w:val="14"/>
                <w:color w:val="auto"/>
              </w:rPr>
              <w:t xml:space="preserve">The broker will ask you how  </w:t>
            </w:r>
            <w:r>
              <w:rPr>
                <w:rFonts w:ascii="Arial" w:cs="Arial" w:eastAsia="Arial" w:hAnsi="Arial"/>
                <w:sz w:val="25"/>
                <w:szCs w:val="25"/>
                <w:color w:val="D52B1E"/>
                <w:vertAlign w:val="subscript"/>
              </w:rPr>
              <w:t>ProxyVote.com</w:t>
            </w:r>
            <w:r>
              <w:rPr>
                <w:rFonts w:ascii="Arial" w:cs="Arial" w:eastAsia="Arial" w:hAnsi="Arial"/>
                <w:sz w:val="25"/>
                <w:szCs w:val="25"/>
                <w:color w:val="auto"/>
                <w:vertAlign w:val="subscript"/>
              </w:rPr>
              <w:t>.</w:t>
            </w:r>
          </w:p>
        </w:tc>
        <w:tc>
          <w:tcPr>
            <w:tcW w:w="0" w:type="dxa"/>
            <w:vAlign w:val="bottom"/>
          </w:tcPr>
          <w:p>
            <w:pPr>
              <w:spacing w:after="0"/>
              <w:rPr>
                <w:sz w:val="1"/>
                <w:szCs w:val="1"/>
                <w:color w:val="auto"/>
              </w:rPr>
            </w:pPr>
          </w:p>
        </w:tc>
      </w:tr>
      <w:tr>
        <w:trPr>
          <w:trHeight w:val="50"/>
        </w:trPr>
        <w:tc>
          <w:tcPr>
            <w:tcW w:w="2820" w:type="dxa"/>
            <w:vAlign w:val="bottom"/>
          </w:tcPr>
          <w:p>
            <w:pPr>
              <w:spacing w:after="0"/>
              <w:rPr>
                <w:sz w:val="4"/>
                <w:szCs w:val="4"/>
                <w:color w:val="auto"/>
              </w:rPr>
            </w:pPr>
          </w:p>
        </w:tc>
        <w:tc>
          <w:tcPr>
            <w:tcW w:w="4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2820" w:type="dxa"/>
            <w:vAlign w:val="bottom"/>
          </w:tcPr>
          <w:p>
            <w:pPr>
              <w:spacing w:after="0"/>
              <w:rPr>
                <w:sz w:val="18"/>
                <w:szCs w:val="18"/>
                <w:color w:val="auto"/>
              </w:rPr>
            </w:pPr>
          </w:p>
        </w:tc>
        <w:tc>
          <w:tcPr>
            <w:tcW w:w="4060" w:type="dxa"/>
            <w:vAlign w:val="bottom"/>
          </w:tcPr>
          <w:p>
            <w:pPr>
              <w:ind w:left="440"/>
              <w:spacing w:after="0"/>
              <w:rPr>
                <w:sz w:val="20"/>
                <w:szCs w:val="20"/>
                <w:color w:val="auto"/>
              </w:rPr>
            </w:pPr>
            <w:r>
              <w:rPr>
                <w:rFonts w:ascii="Arial" w:cs="Arial" w:eastAsia="Arial" w:hAnsi="Arial"/>
                <w:sz w:val="18"/>
                <w:szCs w:val="18"/>
                <w:color w:val="auto"/>
              </w:rPr>
              <w:t>you want your shares to be</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4060" w:type="dxa"/>
            <w:vAlign w:val="bottom"/>
          </w:tcPr>
          <w:p>
            <w:pPr>
              <w:ind w:left="440"/>
              <w:spacing w:after="0"/>
              <w:rPr>
                <w:sz w:val="20"/>
                <w:szCs w:val="20"/>
                <w:color w:val="auto"/>
              </w:rPr>
            </w:pPr>
            <w:r>
              <w:rPr>
                <w:rFonts w:ascii="Arial" w:cs="Arial" w:eastAsia="Arial" w:hAnsi="Arial"/>
                <w:sz w:val="18"/>
                <w:szCs w:val="18"/>
                <w:color w:val="auto"/>
              </w:rPr>
              <w:t>voted. You may instruct your</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4060" w:type="dxa"/>
            <w:vAlign w:val="bottom"/>
          </w:tcPr>
          <w:p>
            <w:pPr>
              <w:ind w:left="440"/>
              <w:spacing w:after="0"/>
              <w:rPr>
                <w:sz w:val="20"/>
                <w:szCs w:val="20"/>
                <w:color w:val="auto"/>
              </w:rPr>
            </w:pPr>
            <w:r>
              <w:rPr>
                <w:rFonts w:ascii="Arial" w:cs="Arial" w:eastAsia="Arial" w:hAnsi="Arial"/>
                <w:sz w:val="18"/>
                <w:szCs w:val="18"/>
                <w:color w:val="auto"/>
              </w:rPr>
              <w:t>broker or other nominee to</w:t>
            </w:r>
          </w:p>
        </w:tc>
        <w:tc>
          <w:tcPr>
            <w:tcW w:w="0" w:type="dxa"/>
            <w:vAlign w:val="bottom"/>
          </w:tcPr>
          <w:p>
            <w:pPr>
              <w:spacing w:after="0"/>
              <w:rPr>
                <w:sz w:val="1"/>
                <w:szCs w:val="1"/>
                <w:color w:val="auto"/>
              </w:rPr>
            </w:pPr>
          </w:p>
        </w:tc>
      </w:tr>
      <w:tr>
        <w:trPr>
          <w:trHeight w:val="207"/>
        </w:trPr>
        <w:tc>
          <w:tcPr>
            <w:tcW w:w="2820" w:type="dxa"/>
            <w:vAlign w:val="bottom"/>
          </w:tcPr>
          <w:p>
            <w:pPr>
              <w:spacing w:after="0"/>
              <w:rPr>
                <w:sz w:val="18"/>
                <w:szCs w:val="18"/>
                <w:color w:val="auto"/>
              </w:rPr>
            </w:pPr>
          </w:p>
        </w:tc>
        <w:tc>
          <w:tcPr>
            <w:tcW w:w="4060" w:type="dxa"/>
            <w:vAlign w:val="bottom"/>
          </w:tcPr>
          <w:p>
            <w:pPr>
              <w:ind w:left="440"/>
              <w:spacing w:after="0"/>
              <w:rPr>
                <w:sz w:val="20"/>
                <w:szCs w:val="20"/>
                <w:color w:val="auto"/>
              </w:rPr>
            </w:pPr>
            <w:r>
              <w:rPr>
                <w:rFonts w:ascii="Arial" w:cs="Arial" w:eastAsia="Arial" w:hAnsi="Arial"/>
                <w:sz w:val="18"/>
                <w:szCs w:val="18"/>
                <w:color w:val="auto"/>
              </w:rPr>
              <w:t>vote your shares by following</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620" w:type="dxa"/>
            <w:vAlign w:val="bottom"/>
            <w:gridSpan w:val="2"/>
          </w:tcPr>
          <w:p>
            <w:pPr>
              <w:ind w:left="20"/>
              <w:spacing w:after="0" w:line="198" w:lineRule="exact"/>
              <w:rPr>
                <w:sz w:val="20"/>
                <w:szCs w:val="20"/>
                <w:color w:val="auto"/>
              </w:rPr>
            </w:pPr>
            <w:r>
              <w:rPr>
                <w:rFonts w:ascii="Arial" w:cs="Arial" w:eastAsia="Arial" w:hAnsi="Arial"/>
                <w:sz w:val="18"/>
                <w:szCs w:val="18"/>
                <w:color w:val="auto"/>
              </w:rPr>
              <w:t>Call 1-800-690-6903 using a touch-tone instructions that the broker or</w:t>
            </w:r>
          </w:p>
        </w:tc>
        <w:tc>
          <w:tcPr>
            <w:tcW w:w="2380" w:type="dxa"/>
            <w:vAlign w:val="bottom"/>
          </w:tcPr>
          <w:p>
            <w:pPr>
              <w:spacing w:after="0" w:line="198" w:lineRule="exact"/>
              <w:rPr>
                <w:sz w:val="20"/>
                <w:szCs w:val="20"/>
                <w:color w:val="auto"/>
              </w:rPr>
            </w:pPr>
            <w:r>
              <w:rPr>
                <w:rFonts w:ascii="Arial" w:cs="Arial" w:eastAsia="Arial" w:hAnsi="Arial"/>
                <w:sz w:val="18"/>
                <w:szCs w:val="18"/>
                <w:color w:val="auto"/>
              </w:rPr>
              <w:t>Call 1-800-690-6903 using a</w:t>
            </w:r>
          </w:p>
        </w:tc>
        <w:tc>
          <w:tcPr>
            <w:tcW w:w="0" w:type="dxa"/>
            <w:vAlign w:val="bottom"/>
          </w:tcPr>
          <w:p>
            <w:pPr>
              <w:spacing w:after="0"/>
              <w:rPr>
                <w:sz w:val="1"/>
                <w:szCs w:val="1"/>
                <w:color w:val="auto"/>
              </w:rPr>
            </w:pPr>
          </w:p>
        </w:tc>
      </w:tr>
      <w:tr>
        <w:trPr>
          <w:trHeight w:val="216"/>
        </w:trPr>
        <w:tc>
          <w:tcPr>
            <w:tcW w:w="3200" w:type="dxa"/>
            <w:vAlign w:val="bottom"/>
          </w:tcPr>
          <w:p>
            <w:pPr>
              <w:jc w:val="center"/>
              <w:spacing w:after="0"/>
              <w:rPr>
                <w:sz w:val="20"/>
                <w:szCs w:val="20"/>
                <w:color w:val="auto"/>
              </w:rPr>
            </w:pPr>
            <w:r>
              <w:rPr>
                <w:rFonts w:ascii="Arial" w:cs="Arial" w:eastAsia="Arial" w:hAnsi="Arial"/>
                <w:sz w:val="18"/>
                <w:szCs w:val="18"/>
                <w:color w:val="auto"/>
                <w:w w:val="99"/>
              </w:rPr>
              <w:t>phone and follow the instructions</w:t>
            </w:r>
          </w:p>
        </w:tc>
        <w:tc>
          <w:tcPr>
            <w:tcW w:w="2420" w:type="dxa"/>
            <w:vAlign w:val="bottom"/>
          </w:tcPr>
          <w:p>
            <w:pPr>
              <w:ind w:left="60"/>
              <w:spacing w:after="0"/>
              <w:rPr>
                <w:sz w:val="20"/>
                <w:szCs w:val="20"/>
                <w:color w:val="auto"/>
              </w:rPr>
            </w:pPr>
            <w:r>
              <w:rPr>
                <w:rFonts w:ascii="Arial" w:cs="Arial" w:eastAsia="Arial" w:hAnsi="Arial"/>
                <w:sz w:val="18"/>
                <w:szCs w:val="18"/>
                <w:color w:val="auto"/>
              </w:rPr>
              <w:t>nominee provides to you.</w:t>
            </w:r>
          </w:p>
        </w:tc>
        <w:tc>
          <w:tcPr>
            <w:tcW w:w="2380" w:type="dxa"/>
            <w:vAlign w:val="bottom"/>
          </w:tcPr>
          <w:p>
            <w:pPr>
              <w:spacing w:after="0"/>
              <w:rPr>
                <w:sz w:val="20"/>
                <w:szCs w:val="20"/>
                <w:color w:val="auto"/>
              </w:rPr>
            </w:pPr>
            <w:r>
              <w:rPr>
                <w:rFonts w:ascii="Arial" w:cs="Arial" w:eastAsia="Arial" w:hAnsi="Arial"/>
                <w:sz w:val="18"/>
                <w:szCs w:val="18"/>
                <w:color w:val="auto"/>
              </w:rPr>
              <w:t>touch-tone phone and follow</w:t>
            </w:r>
          </w:p>
        </w:tc>
        <w:tc>
          <w:tcPr>
            <w:tcW w:w="0" w:type="dxa"/>
            <w:vAlign w:val="bottom"/>
          </w:tcPr>
          <w:p>
            <w:pPr>
              <w:spacing w:after="0"/>
              <w:rPr>
                <w:sz w:val="1"/>
                <w:szCs w:val="1"/>
                <w:color w:val="auto"/>
              </w:rPr>
            </w:pPr>
          </w:p>
        </w:tc>
      </w:tr>
      <w:tr>
        <w:trPr>
          <w:trHeight w:val="243"/>
        </w:trPr>
        <w:tc>
          <w:tcPr>
            <w:tcW w:w="3200" w:type="dxa"/>
            <w:vAlign w:val="bottom"/>
          </w:tcPr>
          <w:p>
            <w:pPr>
              <w:jc w:val="center"/>
              <w:spacing w:after="0"/>
              <w:rPr>
                <w:sz w:val="20"/>
                <w:szCs w:val="20"/>
                <w:color w:val="auto"/>
              </w:rPr>
            </w:pPr>
            <w:r>
              <w:rPr>
                <w:rFonts w:ascii="Arial" w:cs="Arial" w:eastAsia="Arial" w:hAnsi="Arial"/>
                <w:sz w:val="18"/>
                <w:szCs w:val="18"/>
                <w:color w:val="auto"/>
                <w:w w:val="99"/>
              </w:rPr>
              <w:t>provided.</w:t>
            </w:r>
          </w:p>
        </w:tc>
        <w:tc>
          <w:tcPr>
            <w:tcW w:w="2420" w:type="dxa"/>
            <w:vAlign w:val="bottom"/>
          </w:tcPr>
          <w:p>
            <w:pPr>
              <w:ind w:left="60"/>
              <w:spacing w:after="0"/>
              <w:rPr>
                <w:sz w:val="20"/>
                <w:szCs w:val="20"/>
                <w:color w:val="auto"/>
              </w:rPr>
            </w:pPr>
            <w:r>
              <w:rPr>
                <w:rFonts w:ascii="Arial" w:cs="Arial" w:eastAsia="Arial" w:hAnsi="Arial"/>
                <w:sz w:val="18"/>
                <w:szCs w:val="18"/>
                <w:color w:val="auto"/>
              </w:rPr>
              <w:t>Most brokers offer voting by</w:t>
            </w:r>
          </w:p>
        </w:tc>
        <w:tc>
          <w:tcPr>
            <w:tcW w:w="2380" w:type="dxa"/>
            <w:vAlign w:val="bottom"/>
          </w:tcPr>
          <w:p>
            <w:pPr>
              <w:spacing w:after="0"/>
              <w:rPr>
                <w:sz w:val="20"/>
                <w:szCs w:val="20"/>
                <w:color w:val="auto"/>
              </w:rPr>
            </w:pPr>
            <w:r>
              <w:rPr>
                <w:rFonts w:ascii="Arial" w:cs="Arial" w:eastAsia="Arial" w:hAnsi="Arial"/>
                <w:sz w:val="18"/>
                <w:szCs w:val="18"/>
                <w:color w:val="auto"/>
              </w:rPr>
              <w:t>the instructions provided.</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2420" w:type="dxa"/>
            <w:vAlign w:val="bottom"/>
          </w:tcPr>
          <w:p>
            <w:pPr>
              <w:ind w:left="60"/>
              <w:spacing w:after="0"/>
              <w:rPr>
                <w:sz w:val="20"/>
                <w:szCs w:val="20"/>
                <w:color w:val="auto"/>
              </w:rPr>
            </w:pPr>
            <w:r>
              <w:rPr>
                <w:rFonts w:ascii="Arial" w:cs="Arial" w:eastAsia="Arial" w:hAnsi="Arial"/>
                <w:sz w:val="18"/>
                <w:szCs w:val="18"/>
                <w:color w:val="auto"/>
              </w:rPr>
              <w:t>mail, by telephone, and</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3200" w:type="dxa"/>
            <w:vAlign w:val="bottom"/>
          </w:tcPr>
          <w:p>
            <w:pPr>
              <w:spacing w:after="0"/>
              <w:rPr>
                <w:sz w:val="11"/>
                <w:szCs w:val="11"/>
                <w:color w:val="auto"/>
              </w:rPr>
            </w:pPr>
          </w:p>
        </w:tc>
        <w:tc>
          <w:tcPr>
            <w:tcW w:w="2420" w:type="dxa"/>
            <w:vAlign w:val="bottom"/>
            <w:vMerge w:val="restart"/>
          </w:tcPr>
          <w:p>
            <w:pPr>
              <w:ind w:left="60"/>
              <w:spacing w:after="0"/>
              <w:rPr>
                <w:sz w:val="20"/>
                <w:szCs w:val="20"/>
                <w:color w:val="auto"/>
              </w:rPr>
            </w:pPr>
            <w:r>
              <w:rPr>
                <w:rFonts w:ascii="Arial" w:cs="Arial" w:eastAsia="Arial" w:hAnsi="Arial"/>
                <w:sz w:val="18"/>
                <w:szCs w:val="18"/>
                <w:color w:val="auto"/>
              </w:rPr>
              <w:t>online. You may submit new</w:t>
            </w:r>
          </w:p>
        </w:tc>
        <w:tc>
          <w:tcPr>
            <w:tcW w:w="2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3200" w:type="dxa"/>
            <w:vAlign w:val="bottom"/>
          </w:tcPr>
          <w:p>
            <w:pPr>
              <w:spacing w:after="0"/>
              <w:rPr>
                <w:sz w:val="7"/>
                <w:szCs w:val="7"/>
                <w:color w:val="auto"/>
              </w:rPr>
            </w:pPr>
          </w:p>
        </w:tc>
        <w:tc>
          <w:tcPr>
            <w:tcW w:w="2420" w:type="dxa"/>
            <w:vAlign w:val="bottom"/>
            <w:vMerge w:val="continue"/>
          </w:tcPr>
          <w:p>
            <w:pPr>
              <w:spacing w:after="0"/>
              <w:rPr>
                <w:sz w:val="7"/>
                <w:szCs w:val="7"/>
                <w:color w:val="auto"/>
              </w:rPr>
            </w:pPr>
          </w:p>
        </w:tc>
        <w:tc>
          <w:tcPr>
            <w:tcW w:w="238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2420" w:type="dxa"/>
            <w:vAlign w:val="bottom"/>
          </w:tcPr>
          <w:p>
            <w:pPr>
              <w:ind w:left="60"/>
              <w:spacing w:after="0"/>
              <w:rPr>
                <w:sz w:val="20"/>
                <w:szCs w:val="20"/>
                <w:color w:val="auto"/>
              </w:rPr>
            </w:pPr>
            <w:r>
              <w:rPr>
                <w:rFonts w:ascii="Arial" w:cs="Arial" w:eastAsia="Arial" w:hAnsi="Arial"/>
                <w:sz w:val="18"/>
                <w:szCs w:val="18"/>
                <w:color w:val="auto"/>
              </w:rPr>
              <w:t>voting instructions by</w:t>
            </w:r>
          </w:p>
        </w:tc>
        <w:tc>
          <w:tcPr>
            <w:tcW w:w="2380" w:type="dxa"/>
            <w:vAlign w:val="bottom"/>
            <w:vMerge w:val="restart"/>
            <w:shd w:val="clear" w:color="auto" w:fill="F2F2F2"/>
          </w:tcPr>
          <w:p>
            <w:pPr>
              <w:spacing w:after="0"/>
              <w:rPr>
                <w:sz w:val="20"/>
                <w:szCs w:val="20"/>
                <w:color w:val="auto"/>
              </w:rPr>
            </w:pPr>
            <w:r>
              <w:rPr>
                <w:rFonts w:ascii="Arial" w:cs="Arial" w:eastAsia="Arial" w:hAnsi="Arial"/>
                <w:sz w:val="18"/>
                <w:szCs w:val="18"/>
                <w:color w:val="auto"/>
              </w:rPr>
              <w:t>Sign, date, and return the</w:t>
            </w: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2420" w:type="dxa"/>
            <w:vAlign w:val="bottom"/>
            <w:vMerge w:val="restart"/>
          </w:tcPr>
          <w:p>
            <w:pPr>
              <w:ind w:left="60"/>
              <w:spacing w:after="0"/>
              <w:rPr>
                <w:sz w:val="20"/>
                <w:szCs w:val="20"/>
                <w:color w:val="auto"/>
              </w:rPr>
            </w:pPr>
            <w:r>
              <w:rPr>
                <w:rFonts w:ascii="Arial" w:cs="Arial" w:eastAsia="Arial" w:hAnsi="Arial"/>
                <w:sz w:val="18"/>
                <w:szCs w:val="18"/>
                <w:color w:val="auto"/>
              </w:rPr>
              <w:t>contacting your broker or</w:t>
            </w:r>
          </w:p>
        </w:tc>
        <w:tc>
          <w:tcPr>
            <w:tcW w:w="2380" w:type="dxa"/>
            <w:vAlign w:val="bottom"/>
            <w:vMerge w:val="continue"/>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200" w:type="dxa"/>
            <w:vAlign w:val="bottom"/>
            <w:vMerge w:val="restart"/>
          </w:tcPr>
          <w:p>
            <w:pPr>
              <w:jc w:val="center"/>
              <w:spacing w:after="0"/>
              <w:rPr>
                <w:sz w:val="20"/>
                <w:szCs w:val="20"/>
                <w:color w:val="auto"/>
              </w:rPr>
            </w:pPr>
            <w:r>
              <w:rPr>
                <w:rFonts w:ascii="Arial" w:cs="Arial" w:eastAsia="Arial" w:hAnsi="Arial"/>
                <w:sz w:val="18"/>
                <w:szCs w:val="18"/>
                <w:color w:val="auto"/>
                <w:w w:val="99"/>
              </w:rPr>
              <w:t>Sign, date, and return each proxy card</w:t>
            </w:r>
          </w:p>
        </w:tc>
        <w:tc>
          <w:tcPr>
            <w:tcW w:w="2420" w:type="dxa"/>
            <w:vAlign w:val="bottom"/>
            <w:vMerge w:val="continue"/>
          </w:tcPr>
          <w:p>
            <w:pPr>
              <w:spacing w:after="0"/>
              <w:rPr>
                <w:sz w:val="8"/>
                <w:szCs w:val="8"/>
                <w:color w:val="auto"/>
              </w:rPr>
            </w:pPr>
          </w:p>
        </w:tc>
        <w:tc>
          <w:tcPr>
            <w:tcW w:w="2380" w:type="dxa"/>
            <w:vAlign w:val="bottom"/>
            <w:vMerge w:val="restart"/>
            <w:shd w:val="clear" w:color="auto" w:fill="F2F2F2"/>
          </w:tcPr>
          <w:p>
            <w:pPr>
              <w:spacing w:after="0"/>
              <w:rPr>
                <w:sz w:val="20"/>
                <w:szCs w:val="20"/>
                <w:color w:val="auto"/>
              </w:rPr>
            </w:pPr>
            <w:r>
              <w:rPr>
                <w:rFonts w:ascii="Arial" w:cs="Arial" w:eastAsia="Arial" w:hAnsi="Arial"/>
                <w:sz w:val="18"/>
                <w:szCs w:val="18"/>
                <w:color w:val="auto"/>
              </w:rPr>
              <w:t>voting instruction form you</w:t>
            </w:r>
          </w:p>
        </w:tc>
        <w:tc>
          <w:tcPr>
            <w:tcW w:w="0" w:type="dxa"/>
            <w:vAlign w:val="bottom"/>
          </w:tcPr>
          <w:p>
            <w:pPr>
              <w:spacing w:after="0"/>
              <w:rPr>
                <w:sz w:val="1"/>
                <w:szCs w:val="1"/>
                <w:color w:val="auto"/>
              </w:rPr>
            </w:pPr>
          </w:p>
        </w:tc>
      </w:tr>
      <w:tr>
        <w:trPr>
          <w:trHeight w:val="181"/>
        </w:trPr>
        <w:tc>
          <w:tcPr>
            <w:tcW w:w="3200" w:type="dxa"/>
            <w:vAlign w:val="bottom"/>
            <w:vMerge w:val="continue"/>
          </w:tcPr>
          <w:p>
            <w:pPr>
              <w:spacing w:after="0"/>
              <w:rPr>
                <w:sz w:val="15"/>
                <w:szCs w:val="15"/>
                <w:color w:val="auto"/>
              </w:rPr>
            </w:pPr>
          </w:p>
        </w:tc>
        <w:tc>
          <w:tcPr>
            <w:tcW w:w="2420" w:type="dxa"/>
            <w:vAlign w:val="bottom"/>
          </w:tcPr>
          <w:p>
            <w:pPr>
              <w:ind w:left="60"/>
              <w:spacing w:after="0" w:line="181" w:lineRule="exact"/>
              <w:rPr>
                <w:sz w:val="20"/>
                <w:szCs w:val="20"/>
                <w:color w:val="auto"/>
              </w:rPr>
            </w:pPr>
            <w:r>
              <w:rPr>
                <w:rFonts w:ascii="Arial" w:cs="Arial" w:eastAsia="Arial" w:hAnsi="Arial"/>
                <w:sz w:val="18"/>
                <w:szCs w:val="18"/>
                <w:color w:val="auto"/>
              </w:rPr>
              <w:t>other nominee or, if your</w:t>
            </w:r>
          </w:p>
        </w:tc>
        <w:tc>
          <w:tcPr>
            <w:tcW w:w="2380" w:type="dxa"/>
            <w:vAlign w:val="bottom"/>
            <w:vMerge w:val="continue"/>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00" w:type="dxa"/>
            <w:vAlign w:val="bottom"/>
          </w:tcPr>
          <w:p>
            <w:pPr>
              <w:jc w:val="center"/>
              <w:spacing w:after="0"/>
              <w:rPr>
                <w:sz w:val="20"/>
                <w:szCs w:val="20"/>
                <w:color w:val="auto"/>
              </w:rPr>
            </w:pPr>
            <w:r>
              <w:rPr>
                <w:rFonts w:ascii="Arial" w:cs="Arial" w:eastAsia="Arial" w:hAnsi="Arial"/>
                <w:sz w:val="18"/>
                <w:szCs w:val="18"/>
                <w:color w:val="auto"/>
                <w:w w:val="99"/>
              </w:rPr>
              <w:t>you received in the prepaid envelope.</w:t>
            </w:r>
          </w:p>
        </w:tc>
        <w:tc>
          <w:tcPr>
            <w:tcW w:w="2420" w:type="dxa"/>
            <w:vAlign w:val="bottom"/>
          </w:tcPr>
          <w:p>
            <w:pPr>
              <w:ind w:left="60"/>
              <w:spacing w:after="0"/>
              <w:rPr>
                <w:sz w:val="20"/>
                <w:szCs w:val="20"/>
                <w:color w:val="auto"/>
              </w:rPr>
            </w:pPr>
            <w:r>
              <w:rPr>
                <w:rFonts w:ascii="Arial" w:cs="Arial" w:eastAsia="Arial" w:hAnsi="Arial"/>
                <w:sz w:val="18"/>
                <w:szCs w:val="18"/>
                <w:color w:val="auto"/>
              </w:rPr>
              <w:t>broker provides you with a</w:t>
            </w:r>
          </w:p>
        </w:tc>
        <w:tc>
          <w:tcPr>
            <w:tcW w:w="2380" w:type="dxa"/>
            <w:vAlign w:val="bottom"/>
            <w:shd w:val="clear" w:color="auto" w:fill="F2F2F2"/>
          </w:tcPr>
          <w:p>
            <w:pPr>
              <w:spacing w:after="0"/>
              <w:rPr>
                <w:sz w:val="20"/>
                <w:szCs w:val="20"/>
                <w:color w:val="auto"/>
              </w:rPr>
            </w:pPr>
            <w:r>
              <w:rPr>
                <w:rFonts w:ascii="Arial" w:cs="Arial" w:eastAsia="Arial" w:hAnsi="Arial"/>
                <w:sz w:val="18"/>
                <w:szCs w:val="18"/>
                <w:color w:val="auto"/>
              </w:rPr>
              <w:t>received in the prepaid</w:t>
            </w:r>
          </w:p>
        </w:tc>
        <w:tc>
          <w:tcPr>
            <w:tcW w:w="0" w:type="dxa"/>
            <w:vAlign w:val="bottom"/>
          </w:tcPr>
          <w:p>
            <w:pPr>
              <w:spacing w:after="0"/>
              <w:rPr>
                <w:sz w:val="1"/>
                <w:szCs w:val="1"/>
                <w:color w:val="auto"/>
              </w:rPr>
            </w:pPr>
          </w:p>
        </w:tc>
      </w:tr>
      <w:tr>
        <w:trPr>
          <w:trHeight w:val="251"/>
        </w:trPr>
        <w:tc>
          <w:tcPr>
            <w:tcW w:w="3200" w:type="dxa"/>
            <w:vAlign w:val="bottom"/>
          </w:tcPr>
          <w:p>
            <w:pPr>
              <w:spacing w:after="0"/>
              <w:rPr>
                <w:sz w:val="21"/>
                <w:szCs w:val="21"/>
                <w:color w:val="auto"/>
              </w:rPr>
            </w:pPr>
          </w:p>
        </w:tc>
        <w:tc>
          <w:tcPr>
            <w:tcW w:w="2420" w:type="dxa"/>
            <w:vAlign w:val="bottom"/>
          </w:tcPr>
          <w:p>
            <w:pPr>
              <w:ind w:left="60"/>
              <w:spacing w:after="0"/>
              <w:rPr>
                <w:sz w:val="20"/>
                <w:szCs w:val="20"/>
                <w:color w:val="auto"/>
              </w:rPr>
            </w:pPr>
            <w:r>
              <w:rPr>
                <w:rFonts w:ascii="Arial" w:cs="Arial" w:eastAsia="Arial" w:hAnsi="Arial"/>
                <w:sz w:val="18"/>
                <w:szCs w:val="18"/>
                <w:color w:val="auto"/>
                <w:w w:val="99"/>
              </w:rPr>
              <w:t>16-digit control number found</w:t>
            </w:r>
          </w:p>
        </w:tc>
        <w:tc>
          <w:tcPr>
            <w:tcW w:w="2380" w:type="dxa"/>
            <w:vAlign w:val="bottom"/>
            <w:shd w:val="clear" w:color="auto" w:fill="F2F2F2"/>
          </w:tcPr>
          <w:p>
            <w:pPr>
              <w:spacing w:after="0"/>
              <w:rPr>
                <w:sz w:val="20"/>
                <w:szCs w:val="20"/>
                <w:color w:val="auto"/>
              </w:rPr>
            </w:pPr>
            <w:r>
              <w:rPr>
                <w:rFonts w:ascii="Arial" w:cs="Arial" w:eastAsia="Arial" w:hAnsi="Arial"/>
                <w:sz w:val="18"/>
                <w:szCs w:val="18"/>
                <w:color w:val="auto"/>
              </w:rPr>
              <w:t>envelope.</w:t>
            </w:r>
          </w:p>
        </w:tc>
        <w:tc>
          <w:tcPr>
            <w:tcW w:w="0" w:type="dxa"/>
            <w:vAlign w:val="bottom"/>
          </w:tcPr>
          <w:p>
            <w:pPr>
              <w:spacing w:after="0"/>
              <w:rPr>
                <w:sz w:val="1"/>
                <w:szCs w:val="1"/>
                <w:color w:val="auto"/>
              </w:rPr>
            </w:pPr>
          </w:p>
        </w:tc>
      </w:tr>
      <w:tr>
        <w:trPr>
          <w:trHeight w:val="167"/>
        </w:trPr>
        <w:tc>
          <w:tcPr>
            <w:tcW w:w="3200" w:type="dxa"/>
            <w:vAlign w:val="bottom"/>
          </w:tcPr>
          <w:p>
            <w:pPr>
              <w:spacing w:after="0"/>
              <w:rPr>
                <w:sz w:val="14"/>
                <w:szCs w:val="14"/>
                <w:color w:val="auto"/>
              </w:rPr>
            </w:pPr>
          </w:p>
        </w:tc>
        <w:tc>
          <w:tcPr>
            <w:tcW w:w="2420" w:type="dxa"/>
            <w:vAlign w:val="bottom"/>
            <w:vMerge w:val="restart"/>
          </w:tcPr>
          <w:p>
            <w:pPr>
              <w:ind w:left="60"/>
              <w:spacing w:after="0"/>
              <w:rPr>
                <w:sz w:val="20"/>
                <w:szCs w:val="20"/>
                <w:color w:val="auto"/>
              </w:rPr>
            </w:pPr>
            <w:r>
              <w:rPr>
                <w:rFonts w:ascii="Arial" w:cs="Arial" w:eastAsia="Arial" w:hAnsi="Arial"/>
                <w:sz w:val="18"/>
                <w:szCs w:val="18"/>
                <w:color w:val="auto"/>
              </w:rPr>
              <w:t>on the voting instruction form</w:t>
            </w:r>
          </w:p>
        </w:tc>
        <w:tc>
          <w:tcPr>
            <w:tcW w:w="238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320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2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3200" w:type="dxa"/>
            <w:vAlign w:val="bottom"/>
          </w:tcPr>
          <w:p>
            <w:pPr>
              <w:spacing w:after="0"/>
              <w:rPr>
                <w:sz w:val="20"/>
                <w:szCs w:val="20"/>
                <w:color w:val="auto"/>
              </w:rPr>
            </w:pPr>
          </w:p>
        </w:tc>
        <w:tc>
          <w:tcPr>
            <w:tcW w:w="2420" w:type="dxa"/>
            <w:vAlign w:val="bottom"/>
          </w:tcPr>
          <w:p>
            <w:pPr>
              <w:ind w:left="60"/>
              <w:spacing w:after="0"/>
              <w:rPr>
                <w:sz w:val="20"/>
                <w:szCs w:val="20"/>
                <w:color w:val="auto"/>
              </w:rPr>
            </w:pPr>
            <w:r>
              <w:rPr>
                <w:rFonts w:ascii="Arial" w:cs="Arial" w:eastAsia="Arial" w:hAnsi="Arial"/>
                <w:sz w:val="18"/>
                <w:szCs w:val="18"/>
                <w:color w:val="auto"/>
              </w:rPr>
              <w:t>for ProxyVote.com, by</w:t>
            </w:r>
          </w:p>
        </w:tc>
        <w:tc>
          <w:tcPr>
            <w:tcW w:w="2380" w:type="dxa"/>
            <w:vAlign w:val="bottom"/>
          </w:tcPr>
          <w:p>
            <w:pPr>
              <w:spacing w:after="0"/>
              <w:rPr>
                <w:sz w:val="20"/>
                <w:szCs w:val="20"/>
                <w:color w:val="auto"/>
              </w:rPr>
            </w:pPr>
            <w:r>
              <w:rPr>
                <w:rFonts w:ascii="Arial" w:cs="Arial" w:eastAsia="Arial" w:hAnsi="Arial"/>
                <w:sz w:val="18"/>
                <w:szCs w:val="18"/>
                <w:color w:val="FFFFFF"/>
              </w:rPr>
              <w:t>Plan shares cannot be voted</w:t>
            </w:r>
          </w:p>
        </w:tc>
        <w:tc>
          <w:tcPr>
            <w:tcW w:w="0" w:type="dxa"/>
            <w:vAlign w:val="bottom"/>
          </w:tcPr>
          <w:p>
            <w:pPr>
              <w:spacing w:after="0"/>
              <w:rPr>
                <w:sz w:val="1"/>
                <w:szCs w:val="1"/>
                <w:color w:val="auto"/>
              </w:rPr>
            </w:pPr>
          </w:p>
        </w:tc>
      </w:tr>
      <w:tr>
        <w:trPr>
          <w:trHeight w:val="243"/>
        </w:trPr>
        <w:tc>
          <w:tcPr>
            <w:tcW w:w="3200" w:type="dxa"/>
            <w:vAlign w:val="bottom"/>
          </w:tcPr>
          <w:p>
            <w:pPr>
              <w:jc w:val="center"/>
              <w:spacing w:after="0"/>
              <w:rPr>
                <w:sz w:val="20"/>
                <w:szCs w:val="20"/>
                <w:color w:val="auto"/>
              </w:rPr>
            </w:pPr>
            <w:r>
              <w:rPr>
                <w:rFonts w:ascii="Arial" w:cs="Arial" w:eastAsia="Arial" w:hAnsi="Arial"/>
                <w:sz w:val="18"/>
                <w:szCs w:val="18"/>
                <w:color w:val="auto"/>
                <w:w w:val="99"/>
              </w:rPr>
              <w:t>Follow the instructions at</w:t>
            </w:r>
          </w:p>
        </w:tc>
        <w:tc>
          <w:tcPr>
            <w:tcW w:w="2420" w:type="dxa"/>
            <w:vAlign w:val="bottom"/>
          </w:tcPr>
          <w:p>
            <w:pPr>
              <w:ind w:left="60"/>
              <w:spacing w:after="0"/>
              <w:rPr>
                <w:sz w:val="20"/>
                <w:szCs w:val="20"/>
                <w:color w:val="auto"/>
              </w:rPr>
            </w:pPr>
            <w:r>
              <w:rPr>
                <w:rFonts w:ascii="Arial" w:cs="Arial" w:eastAsia="Arial" w:hAnsi="Arial"/>
                <w:sz w:val="18"/>
                <w:szCs w:val="18"/>
                <w:color w:val="auto"/>
              </w:rPr>
              <w:t>signing in with your 16-digit</w:t>
            </w:r>
          </w:p>
        </w:tc>
        <w:tc>
          <w:tcPr>
            <w:tcW w:w="2380" w:type="dxa"/>
            <w:vAlign w:val="bottom"/>
          </w:tcPr>
          <w:p>
            <w:pPr>
              <w:spacing w:after="0"/>
              <w:rPr>
                <w:sz w:val="20"/>
                <w:szCs w:val="20"/>
                <w:color w:val="auto"/>
              </w:rPr>
            </w:pPr>
            <w:r>
              <w:rPr>
                <w:rFonts w:ascii="Arial" w:cs="Arial" w:eastAsia="Arial" w:hAnsi="Arial"/>
                <w:sz w:val="18"/>
                <w:szCs w:val="18"/>
                <w:color w:val="FFFFFF"/>
              </w:rPr>
              <w:t>at the meeting. The Trustee</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line="216" w:lineRule="exact"/>
              <w:rPr>
                <w:sz w:val="20"/>
                <w:szCs w:val="20"/>
                <w:color w:val="auto"/>
              </w:rPr>
            </w:pPr>
            <w:r>
              <w:rPr>
                <w:rFonts w:ascii="Arial" w:cs="Arial" w:eastAsia="Arial" w:hAnsi="Arial"/>
                <w:sz w:val="14"/>
                <w:szCs w:val="14"/>
                <w:color w:val="D52B1E"/>
              </w:rPr>
              <w:t xml:space="preserve">virtualshareholdermeeting.com/LLY2023 </w:t>
            </w:r>
            <w:r>
              <w:rPr>
                <w:rFonts w:ascii="Arial" w:cs="Arial" w:eastAsia="Arial" w:hAnsi="Arial"/>
                <w:sz w:val="25"/>
                <w:szCs w:val="25"/>
                <w:color w:val="000000"/>
                <w:vertAlign w:val="superscript"/>
              </w:rPr>
              <w:t>control number and voting at</w:t>
            </w:r>
          </w:p>
        </w:tc>
        <w:tc>
          <w:tcPr>
            <w:tcW w:w="2380" w:type="dxa"/>
            <w:vAlign w:val="bottom"/>
          </w:tcPr>
          <w:p>
            <w:pPr>
              <w:spacing w:after="0"/>
              <w:rPr>
                <w:sz w:val="20"/>
                <w:szCs w:val="20"/>
                <w:color w:val="auto"/>
              </w:rPr>
            </w:pPr>
            <w:r>
              <w:rPr>
                <w:rFonts w:ascii="Arial" w:cs="Arial" w:eastAsia="Arial" w:hAnsi="Arial"/>
                <w:sz w:val="18"/>
                <w:szCs w:val="18"/>
                <w:color w:val="FFFFFF"/>
              </w:rPr>
              <w:t>must receive your</w:t>
            </w:r>
          </w:p>
        </w:tc>
        <w:tc>
          <w:tcPr>
            <w:tcW w:w="0" w:type="dxa"/>
            <w:vAlign w:val="bottom"/>
          </w:tcPr>
          <w:p>
            <w:pPr>
              <w:spacing w:after="0"/>
              <w:rPr>
                <w:sz w:val="1"/>
                <w:szCs w:val="1"/>
                <w:color w:val="auto"/>
              </w:rPr>
            </w:pPr>
          </w:p>
        </w:tc>
      </w:tr>
      <w:tr>
        <w:trPr>
          <w:trHeight w:val="242"/>
        </w:trPr>
        <w:tc>
          <w:tcPr>
            <w:tcW w:w="3200" w:type="dxa"/>
            <w:vAlign w:val="bottom"/>
          </w:tcPr>
          <w:p>
            <w:pPr>
              <w:jc w:val="center"/>
              <w:spacing w:after="0"/>
              <w:rPr>
                <w:sz w:val="20"/>
                <w:szCs w:val="20"/>
                <w:color w:val="auto"/>
              </w:rPr>
            </w:pPr>
            <w:r>
              <w:rPr>
                <w:rFonts w:ascii="Arial" w:cs="Arial" w:eastAsia="Arial" w:hAnsi="Arial"/>
                <w:sz w:val="18"/>
                <w:szCs w:val="18"/>
                <w:color w:val="auto"/>
                <w:w w:val="99"/>
              </w:rPr>
              <w:t>to vote during the meeting</w:t>
            </w:r>
          </w:p>
        </w:tc>
        <w:tc>
          <w:tcPr>
            <w:tcW w:w="2420" w:type="dxa"/>
            <w:vAlign w:val="bottom"/>
          </w:tcPr>
          <w:p>
            <w:pPr>
              <w:ind w:left="60"/>
              <w:spacing w:after="0"/>
              <w:rPr>
                <w:sz w:val="20"/>
                <w:szCs w:val="20"/>
                <w:color w:val="auto"/>
              </w:rPr>
            </w:pPr>
            <w:r>
              <w:rPr>
                <w:rFonts w:ascii="Arial" w:cs="Arial" w:eastAsia="Arial" w:hAnsi="Arial"/>
                <w:sz w:val="18"/>
                <w:szCs w:val="18"/>
                <w:color w:val="auto"/>
              </w:rPr>
              <w:t>the Annual Meeting.</w:t>
            </w:r>
          </w:p>
        </w:tc>
        <w:tc>
          <w:tcPr>
            <w:tcW w:w="2380" w:type="dxa"/>
            <w:vAlign w:val="bottom"/>
          </w:tcPr>
          <w:p>
            <w:pPr>
              <w:spacing w:after="0"/>
              <w:rPr>
                <w:sz w:val="20"/>
                <w:szCs w:val="20"/>
                <w:color w:val="auto"/>
              </w:rPr>
            </w:pPr>
            <w:r>
              <w:rPr>
                <w:rFonts w:ascii="Arial" w:cs="Arial" w:eastAsia="Arial" w:hAnsi="Arial"/>
                <w:sz w:val="18"/>
                <w:szCs w:val="18"/>
                <w:color w:val="FFFFFF"/>
              </w:rPr>
              <w:t>instructions by one of the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-624840</wp:posOffset>
            </wp:positionV>
            <wp:extent cx="1517015" cy="986155"/>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1517015" cy="986155"/>
                    </a:xfrm>
                    <a:prstGeom prst="rect">
                      <a:avLst/>
                    </a:prstGeom>
                    <a:noFill/>
                  </pic:spPr>
                </pic:pic>
              </a:graphicData>
            </a:graphic>
          </wp:anchor>
        </w:drawing>
        <w:drawing>
          <wp:anchor simplePos="0" relativeHeight="251657728" behindDoc="1" locked="0" layoutInCell="0" allowOverlap="1">
            <wp:simplePos x="0" y="0"/>
            <wp:positionH relativeFrom="column">
              <wp:posOffset>-680085</wp:posOffset>
            </wp:positionH>
            <wp:positionV relativeFrom="paragraph">
              <wp:posOffset>-1473200</wp:posOffset>
            </wp:positionV>
            <wp:extent cx="2734310" cy="848995"/>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2734310" cy="848995"/>
                    </a:xfrm>
                    <a:prstGeom prst="rect">
                      <a:avLst/>
                    </a:prstGeom>
                    <a:noFill/>
                  </pic:spPr>
                </pic:pic>
              </a:graphicData>
            </a:graphic>
          </wp:anchor>
        </w:drawing>
        <w:drawing>
          <wp:anchor simplePos="0" relativeHeight="251657728" behindDoc="1" locked="0" layoutInCell="0" allowOverlap="1">
            <wp:simplePos x="0" y="0"/>
            <wp:positionH relativeFrom="column">
              <wp:posOffset>-680085</wp:posOffset>
            </wp:positionH>
            <wp:positionV relativeFrom="paragraph">
              <wp:posOffset>-1473200</wp:posOffset>
            </wp:positionV>
            <wp:extent cx="2734310" cy="848995"/>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2734310" cy="84899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FFFFFF"/>
        </w:rPr>
        <w:t>methods above by April 26,</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FFFFFF"/>
        </w:rPr>
        <w:t>2023.</w:t>
      </w:r>
    </w:p>
    <w:p>
      <w:pPr>
        <w:spacing w:after="0" w:line="125" w:lineRule="exact"/>
        <w:rPr>
          <w:sz w:val="20"/>
          <w:szCs w:val="20"/>
          <w:color w:val="auto"/>
        </w:rPr>
      </w:pPr>
    </w:p>
    <w:p>
      <w:pPr>
        <w:sectPr>
          <w:pgSz w:w="11900" w:h="16838" w:orient="portrait"/>
          <w:cols w:equalWidth="0" w:num="2">
            <w:col w:w="980" w:space="100"/>
            <w:col w:w="10160"/>
          </w:cols>
          <w:pgMar w:left="320" w:top="925" w:right="3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1060" w:type="dxa"/>
            <w:vAlign w:val="bottom"/>
            <w:tcBorders>
              <w:top w:val="single" w:sz="8" w:color="auto"/>
            </w:tcBorders>
          </w:tcPr>
          <w:p>
            <w:pPr>
              <w:spacing w:after="0"/>
              <w:rPr>
                <w:sz w:val="20"/>
                <w:szCs w:val="20"/>
                <w:color w:val="auto"/>
              </w:rPr>
            </w:pPr>
          </w:p>
        </w:tc>
        <w:tc>
          <w:tcPr>
            <w:tcW w:w="3260" w:type="dxa"/>
            <w:vAlign w:val="bottom"/>
            <w:tcBorders>
              <w:top w:val="single" w:sz="8" w:color="auto"/>
            </w:tcBorders>
            <w:shd w:val="clear" w:color="auto" w:fill="F2F2F2"/>
          </w:tcPr>
          <w:p>
            <w:pPr>
              <w:spacing w:after="0"/>
              <w:rPr>
                <w:sz w:val="20"/>
                <w:szCs w:val="20"/>
                <w:color w:val="auto"/>
              </w:rPr>
            </w:pPr>
          </w:p>
        </w:tc>
        <w:tc>
          <w:tcPr>
            <w:tcW w:w="2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Please refer to the</w:t>
            </w:r>
          </w:p>
        </w:tc>
        <w:tc>
          <w:tcPr>
            <w:tcW w:w="2380" w:type="dxa"/>
            <w:vAlign w:val="bottom"/>
            <w:tcBorders>
              <w:top w:val="single" w:sz="8" w:color="auto"/>
            </w:tcBorders>
            <w:shd w:val="clear" w:color="auto" w:fill="F2F2F2"/>
          </w:tcPr>
          <w:p>
            <w:pPr>
              <w:spacing w:after="0"/>
              <w:rPr>
                <w:sz w:val="20"/>
                <w:szCs w:val="20"/>
                <w:color w:val="auto"/>
              </w:rPr>
            </w:pP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6"/>
              </w:rPr>
              <w:t>Voting</w:t>
            </w:r>
          </w:p>
        </w:tc>
        <w:tc>
          <w:tcPr>
            <w:tcW w:w="3260" w:type="dxa"/>
            <w:vAlign w:val="bottom"/>
            <w:shd w:val="clear" w:color="auto" w:fill="F2F2F2"/>
          </w:tcPr>
          <w:p>
            <w:pPr>
              <w:ind w:left="20"/>
              <w:spacing w:after="0"/>
              <w:rPr>
                <w:sz w:val="20"/>
                <w:szCs w:val="20"/>
                <w:color w:val="auto"/>
              </w:rPr>
            </w:pPr>
            <w:r>
              <w:rPr>
                <w:rFonts w:ascii="Arial" w:cs="Arial" w:eastAsia="Arial" w:hAnsi="Arial"/>
                <w:sz w:val="18"/>
                <w:szCs w:val="18"/>
                <w:color w:val="auto"/>
              </w:rPr>
              <w:t>11:59 p.m. EDT on April 30, 2023,</w:t>
            </w:r>
          </w:p>
        </w:tc>
        <w:tc>
          <w:tcPr>
            <w:tcW w:w="2380" w:type="dxa"/>
            <w:vAlign w:val="bottom"/>
          </w:tcPr>
          <w:p>
            <w:pPr>
              <w:ind w:left="20"/>
              <w:spacing w:after="0"/>
              <w:rPr>
                <w:sz w:val="20"/>
                <w:szCs w:val="20"/>
                <w:color w:val="auto"/>
              </w:rPr>
            </w:pPr>
            <w:r>
              <w:rPr>
                <w:rFonts w:ascii="Arial" w:cs="Arial" w:eastAsia="Arial" w:hAnsi="Arial"/>
                <w:sz w:val="18"/>
                <w:szCs w:val="18"/>
                <w:color w:val="auto"/>
              </w:rPr>
              <w:t>information</w:t>
            </w:r>
          </w:p>
        </w:tc>
        <w:tc>
          <w:tcPr>
            <w:tcW w:w="2380" w:type="dxa"/>
            <w:vAlign w:val="bottom"/>
            <w:shd w:val="clear" w:color="auto" w:fill="F2F2F2"/>
          </w:tcPr>
          <w:p>
            <w:pPr>
              <w:spacing w:after="0"/>
              <w:rPr>
                <w:sz w:val="20"/>
                <w:szCs w:val="20"/>
                <w:color w:val="auto"/>
              </w:rPr>
            </w:pPr>
            <w:r>
              <w:rPr>
                <w:rFonts w:ascii="Arial" w:cs="Arial" w:eastAsia="Arial" w:hAnsi="Arial"/>
                <w:sz w:val="18"/>
                <w:szCs w:val="18"/>
                <w:color w:val="auto"/>
              </w:rPr>
              <w:t>11:59 p.m. EDT on April 26,</w:t>
            </w: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8"/>
              </w:rPr>
              <w:t>Deadline</w:t>
            </w:r>
          </w:p>
        </w:tc>
        <w:tc>
          <w:tcPr>
            <w:tcW w:w="3260" w:type="dxa"/>
            <w:vAlign w:val="bottom"/>
            <w:shd w:val="clear" w:color="auto" w:fill="F2F2F2"/>
          </w:tcPr>
          <w:p>
            <w:pPr>
              <w:ind w:left="20"/>
              <w:spacing w:after="0"/>
              <w:rPr>
                <w:sz w:val="20"/>
                <w:szCs w:val="20"/>
                <w:color w:val="auto"/>
              </w:rPr>
            </w:pPr>
            <w:r>
              <w:rPr>
                <w:rFonts w:ascii="Arial" w:cs="Arial" w:eastAsia="Arial" w:hAnsi="Arial"/>
                <w:sz w:val="18"/>
                <w:szCs w:val="18"/>
                <w:color w:val="auto"/>
              </w:rPr>
              <w:t>unless you are voting at the meeting</w:t>
            </w:r>
          </w:p>
        </w:tc>
        <w:tc>
          <w:tcPr>
            <w:tcW w:w="2380" w:type="dxa"/>
            <w:vAlign w:val="bottom"/>
          </w:tcPr>
          <w:p>
            <w:pPr>
              <w:ind w:left="20"/>
              <w:spacing w:after="0"/>
              <w:rPr>
                <w:sz w:val="20"/>
                <w:szCs w:val="20"/>
                <w:color w:val="auto"/>
              </w:rPr>
            </w:pPr>
            <w:r>
              <w:rPr>
                <w:rFonts w:ascii="Arial" w:cs="Arial" w:eastAsia="Arial" w:hAnsi="Arial"/>
                <w:sz w:val="18"/>
                <w:szCs w:val="18"/>
                <w:color w:val="auto"/>
              </w:rPr>
              <w:t>provided by your broker,</w:t>
            </w:r>
          </w:p>
        </w:tc>
        <w:tc>
          <w:tcPr>
            <w:tcW w:w="2380" w:type="dxa"/>
            <w:vAlign w:val="bottom"/>
            <w:shd w:val="clear" w:color="auto" w:fill="F2F2F2"/>
          </w:tcPr>
          <w:p>
            <w:pPr>
              <w:spacing w:after="0"/>
              <w:rPr>
                <w:sz w:val="20"/>
                <w:szCs w:val="20"/>
                <w:color w:val="auto"/>
              </w:rPr>
            </w:pPr>
            <w:r>
              <w:rPr>
                <w:rFonts w:ascii="Arial" w:cs="Arial" w:eastAsia="Arial" w:hAnsi="Arial"/>
                <w:sz w:val="18"/>
                <w:szCs w:val="18"/>
                <w:color w:val="auto"/>
              </w:rPr>
              <w:t>2023</w:t>
            </w:r>
          </w:p>
        </w:tc>
      </w:tr>
      <w:tr>
        <w:trPr>
          <w:trHeight w:val="242"/>
        </w:trPr>
        <w:tc>
          <w:tcPr>
            <w:tcW w:w="1060" w:type="dxa"/>
            <w:vAlign w:val="bottom"/>
          </w:tcPr>
          <w:p>
            <w:pPr>
              <w:spacing w:after="0"/>
              <w:rPr>
                <w:sz w:val="21"/>
                <w:szCs w:val="21"/>
                <w:color w:val="auto"/>
              </w:rPr>
            </w:pPr>
          </w:p>
        </w:tc>
        <w:tc>
          <w:tcPr>
            <w:tcW w:w="3260" w:type="dxa"/>
            <w:vAlign w:val="bottom"/>
            <w:tcBorders>
              <w:bottom w:val="single" w:sz="8" w:color="F2F2F2"/>
            </w:tcBorders>
            <w:shd w:val="clear" w:color="auto" w:fill="F2F2F2"/>
          </w:tcPr>
          <w:p>
            <w:pPr>
              <w:spacing w:after="0"/>
              <w:rPr>
                <w:sz w:val="21"/>
                <w:szCs w:val="21"/>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bank or other nominee</w:t>
            </w:r>
          </w:p>
        </w:tc>
        <w:tc>
          <w:tcPr>
            <w:tcW w:w="2380" w:type="dxa"/>
            <w:vAlign w:val="bottom"/>
            <w:tcBorders>
              <w:bottom w:val="single" w:sz="8" w:color="F2F2F2"/>
            </w:tcBorders>
            <w:shd w:val="clear" w:color="auto" w:fill="F2F2F2"/>
          </w:tcPr>
          <w:p>
            <w:pPr>
              <w:spacing w:after="0"/>
              <w:rPr>
                <w:sz w:val="21"/>
                <w:szCs w:val="21"/>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760720" cy="179705"/>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5760720" cy="179705"/>
                    </a:xfrm>
                    <a:prstGeom prst="rect">
                      <a:avLst/>
                    </a:prstGeom>
                    <a:noFill/>
                  </pic:spPr>
                </pic:pic>
              </a:graphicData>
            </a:graphic>
          </wp:anchor>
        </w:drawing>
      </w:r>
    </w:p>
    <w:p>
      <w:pPr>
        <w:ind w:left="700"/>
        <w:spacing w:after="0"/>
        <w:rPr>
          <w:sz w:val="20"/>
          <w:szCs w:val="20"/>
          <w:color w:val="auto"/>
        </w:rPr>
      </w:pPr>
      <w:r>
        <w:rPr>
          <w:rFonts w:ascii="Calibri" w:cs="Calibri" w:eastAsia="Calibri" w:hAnsi="Calibri"/>
          <w:sz w:val="18"/>
          <w:szCs w:val="18"/>
          <w:b w:val="1"/>
          <w:bCs w:val="1"/>
          <w:color w:val="FFFFFF"/>
        </w:rPr>
        <w:t>We encourage you to vote by mail, by telephone, or online even if you plan to atend the Annual Meetng.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760720" cy="889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339" w:lineRule="exact"/>
        <w:rPr>
          <w:sz w:val="20"/>
          <w:szCs w:val="20"/>
          <w:color w:val="auto"/>
        </w:rPr>
      </w:pPr>
    </w:p>
    <w:p>
      <w:pPr>
        <w:ind w:right="240"/>
        <w:spacing w:after="0" w:line="292" w:lineRule="auto"/>
        <w:rPr>
          <w:sz w:val="20"/>
          <w:szCs w:val="20"/>
          <w:color w:val="auto"/>
        </w:rPr>
      </w:pPr>
      <w:r>
        <w:rPr>
          <w:rFonts w:ascii="Arial" w:cs="Arial" w:eastAsia="Arial" w:hAnsi="Arial"/>
          <w:sz w:val="22"/>
          <w:szCs w:val="22"/>
          <w:b w:val="1"/>
          <w:bCs w:val="1"/>
          <w:color w:val="auto"/>
        </w:rPr>
        <w:t>General</w:t>
      </w:r>
      <w:r>
        <w:rPr>
          <w:rFonts w:ascii="Arial" w:cs="Arial" w:eastAsia="Arial" w:hAnsi="Arial"/>
          <w:sz w:val="17"/>
          <w:szCs w:val="17"/>
          <w:color w:val="auto"/>
        </w:rPr>
        <w:t>: Follow the instructions on your proxy card, voting instruction form or notice. If you received these materials electronically, follow</w:t>
      </w:r>
      <w:r>
        <w:rPr>
          <w:rFonts w:ascii="Arial" w:cs="Arial" w:eastAsia="Arial" w:hAnsi="Arial"/>
          <w:sz w:val="22"/>
          <w:szCs w:val="22"/>
          <w:b w:val="1"/>
          <w:bCs w:val="1"/>
          <w:color w:val="auto"/>
        </w:rPr>
        <w:t xml:space="preserve"> </w:t>
      </w:r>
      <w:r>
        <w:rPr>
          <w:rFonts w:ascii="Arial" w:cs="Arial" w:eastAsia="Arial" w:hAnsi="Arial"/>
          <w:sz w:val="17"/>
          <w:szCs w:val="17"/>
          <w:color w:val="auto"/>
        </w:rPr>
        <w:t>the instructions in the email message that notified you of their availability.</w:t>
      </w:r>
    </w:p>
    <w:p>
      <w:pPr>
        <w:spacing w:after="0" w:line="143" w:lineRule="exact"/>
        <w:rPr>
          <w:sz w:val="20"/>
          <w:szCs w:val="20"/>
          <w:color w:val="auto"/>
        </w:rPr>
      </w:pPr>
    </w:p>
    <w:p>
      <w:pPr>
        <w:ind w:right="80"/>
        <w:spacing w:after="0" w:line="267" w:lineRule="auto"/>
        <w:rPr>
          <w:sz w:val="20"/>
          <w:szCs w:val="20"/>
          <w:color w:val="auto"/>
        </w:rPr>
      </w:pPr>
      <w:r>
        <w:rPr>
          <w:rFonts w:ascii="Arial" w:cs="Arial" w:eastAsia="Arial" w:hAnsi="Arial"/>
          <w:sz w:val="22"/>
          <w:szCs w:val="22"/>
          <w:b w:val="1"/>
          <w:bCs w:val="1"/>
          <w:color w:val="auto"/>
        </w:rPr>
        <w:t xml:space="preserve">Signing your proxy card or voting instruction form: </w:t>
      </w:r>
      <w:r>
        <w:rPr>
          <w:rFonts w:ascii="Arial" w:cs="Arial" w:eastAsia="Arial" w:hAnsi="Arial"/>
          <w:sz w:val="17"/>
          <w:szCs w:val="17"/>
          <w:color w:val="auto"/>
        </w:rPr>
        <w:t>Sign your name exactly as it appears. If you are signing in a</w:t>
      </w:r>
      <w:r>
        <w:rPr>
          <w:rFonts w:ascii="Arial" w:cs="Arial" w:eastAsia="Arial" w:hAnsi="Arial"/>
          <w:sz w:val="22"/>
          <w:szCs w:val="22"/>
          <w:b w:val="1"/>
          <w:bCs w:val="1"/>
          <w:color w:val="auto"/>
        </w:rPr>
        <w:t xml:space="preserve"> </w:t>
      </w:r>
      <w:r>
        <w:rPr>
          <w:rFonts w:ascii="Arial" w:cs="Arial" w:eastAsia="Arial" w:hAnsi="Arial"/>
          <w:sz w:val="17"/>
          <w:szCs w:val="17"/>
          <w:color w:val="auto"/>
        </w:rPr>
        <w:t>representative capacity (for example, as an attorney-in-fact, executor, administrator, guardian, trustee, or the officer or agent of a corporation or partnership), please indicate your name and your title or capacity. If the stock is held in custody for a minor (for example, under the Uniform Transfers to Minors Act), the custodian should sign, not the minor. If the stock is held in joint ownership, one owner may sign on behalf of all owners. If you return your signed proxy but do not indicate your voting preferences, the proxy holder will vote on your behalf based upon the board’s recommendations.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Deadlines:</w:t>
      </w:r>
    </w:p>
    <w:p>
      <w:pPr>
        <w:spacing w:after="0" w:line="108" w:lineRule="exact"/>
        <w:rPr>
          <w:sz w:val="20"/>
          <w:szCs w:val="20"/>
          <w:color w:val="auto"/>
        </w:rPr>
      </w:pPr>
    </w:p>
    <w:p>
      <w:pPr>
        <w:ind w:left="660" w:hanging="328"/>
        <w:spacing w:after="0" w:line="259" w:lineRule="auto"/>
        <w:tabs>
          <w:tab w:leader="none" w:pos="649" w:val="left"/>
        </w:tabs>
        <w:numPr>
          <w:ilvl w:val="0"/>
          <w:numId w:val="219"/>
        </w:numPr>
        <w:rPr>
          <w:rFonts w:ascii="Arial" w:cs="Arial" w:eastAsia="Arial" w:hAnsi="Arial"/>
          <w:sz w:val="16"/>
          <w:szCs w:val="16"/>
          <w:color w:val="auto"/>
        </w:rPr>
      </w:pPr>
      <w:r>
        <w:rPr>
          <w:rFonts w:ascii="Arial" w:cs="Arial" w:eastAsia="Arial" w:hAnsi="Arial"/>
          <w:sz w:val="18"/>
          <w:szCs w:val="18"/>
          <w:color w:val="auto"/>
        </w:rPr>
        <w:t>Shareholders of record may vote their shares prior to the Annual Meeting until 11:59 p.m. EDT on April 30, 2023, by mail, online, or by telephone. If you are voting by mail, your marked, signed, and dated proxy card must be received by April 30, 2023. You have the right to change your vote or revoke your proxy before it is voted at the Annual Meeting by (i) timely notifying the General Counsel and Secretary in writing, (ii) timely delivering a later-dated proxy by mail, (iii) timely casting a new vote online or by telephone, or (iv) voting at the Annual Meeting.</w:t>
      </w:r>
    </w:p>
    <w:p>
      <w:pPr>
        <w:spacing w:after="0" w:line="125" w:lineRule="exact"/>
        <w:rPr>
          <w:rFonts w:ascii="Arial" w:cs="Arial" w:eastAsia="Arial" w:hAnsi="Arial"/>
          <w:sz w:val="16"/>
          <w:szCs w:val="16"/>
          <w:color w:val="auto"/>
        </w:rPr>
      </w:pPr>
    </w:p>
    <w:p>
      <w:pPr>
        <w:ind w:left="660" w:right="620" w:hanging="328"/>
        <w:spacing w:after="0" w:line="287" w:lineRule="auto"/>
        <w:tabs>
          <w:tab w:leader="none" w:pos="649" w:val="left"/>
        </w:tabs>
        <w:numPr>
          <w:ilvl w:val="0"/>
          <w:numId w:val="219"/>
        </w:numPr>
        <w:rPr>
          <w:rFonts w:ascii="Arial" w:cs="Arial" w:eastAsia="Arial" w:hAnsi="Arial"/>
          <w:sz w:val="16"/>
          <w:szCs w:val="16"/>
          <w:color w:val="auto"/>
        </w:rPr>
      </w:pPr>
      <w:r>
        <w:rPr>
          <w:rFonts w:ascii="Arial" w:cs="Arial" w:eastAsia="Arial" w:hAnsi="Arial"/>
          <w:sz w:val="18"/>
          <w:szCs w:val="18"/>
          <w:color w:val="auto"/>
        </w:rPr>
        <w:t>Shareholders who hold their shares in the 401(k) Plan must vote by 11:59 p.m. EDT on April 26, 2023 (mailed ballots must be received by the trustee by this time), so the plan trustee can vote the shares accordingly.</w:t>
      </w:r>
    </w:p>
    <w:p>
      <w:pPr>
        <w:spacing w:after="0" w:line="98" w:lineRule="exact"/>
        <w:rPr>
          <w:rFonts w:ascii="Arial" w:cs="Arial" w:eastAsia="Arial" w:hAnsi="Arial"/>
          <w:sz w:val="16"/>
          <w:szCs w:val="16"/>
          <w:color w:val="auto"/>
        </w:rPr>
      </w:pPr>
    </w:p>
    <w:p>
      <w:pPr>
        <w:ind w:left="660" w:right="280" w:hanging="328"/>
        <w:spacing w:after="0" w:line="287" w:lineRule="auto"/>
        <w:tabs>
          <w:tab w:leader="none" w:pos="649" w:val="left"/>
        </w:tabs>
        <w:numPr>
          <w:ilvl w:val="0"/>
          <w:numId w:val="219"/>
        </w:numPr>
        <w:rPr>
          <w:rFonts w:ascii="Arial" w:cs="Arial" w:eastAsia="Arial" w:hAnsi="Arial"/>
          <w:sz w:val="16"/>
          <w:szCs w:val="16"/>
          <w:color w:val="auto"/>
        </w:rPr>
      </w:pPr>
      <w:r>
        <w:rPr>
          <w:rFonts w:ascii="Arial" w:cs="Arial" w:eastAsia="Arial" w:hAnsi="Arial"/>
          <w:sz w:val="18"/>
          <w:szCs w:val="18"/>
          <w:color w:val="auto"/>
        </w:rPr>
        <w:t>Shareholders whose shares are held by a broker should follow the instructions and deadlines on your proxy card, voter instruction form or notice. If you received these materials electronically, follow the</w:t>
      </w:r>
    </w:p>
    <w:p>
      <w:pPr>
        <w:sectPr>
          <w:pgSz w:w="11900" w:h="16838" w:orient="portrait"/>
          <w:cols w:equalWidth="0" w:num="1">
            <w:col w:w="11240"/>
          </w:cols>
          <w:pgMar w:left="320" w:top="925" w:right="339"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type w:val="continuous"/>
        </w:sectPr>
      </w:pPr>
    </w:p>
    <w:bookmarkStart w:id="115" w:name="page116"/>
    <w:bookmarkEnd w:id="115"/>
    <w:p>
      <w:pPr>
        <w:ind w:left="660" w:right="340"/>
        <w:spacing w:after="0" w:line="287" w:lineRule="auto"/>
        <w:rPr>
          <w:sz w:val="20"/>
          <w:szCs w:val="20"/>
          <w:color w:val="auto"/>
        </w:rPr>
      </w:pPr>
      <w:r>
        <w:rPr>
          <w:rFonts w:ascii="Arial" w:cs="Arial" w:eastAsia="Arial" w:hAnsi="Arial"/>
          <w:sz w:val="18"/>
          <w:szCs w:val="18"/>
          <w:color w:val="auto"/>
        </w:rPr>
        <w:t>instructions in the email message that notified you of their availability. You may submit new voting instructions by contacting your broker or other nominee or by voting at the Annual Meeting.</w:t>
      </w:r>
    </w:p>
    <w:p>
      <w:pPr>
        <w:spacing w:after="0" w:line="157" w:lineRule="exact"/>
        <w:rPr>
          <w:sz w:val="20"/>
          <w:szCs w:val="20"/>
          <w:color w:val="auto"/>
        </w:rPr>
      </w:pPr>
    </w:p>
    <w:p>
      <w:pPr>
        <w:spacing w:after="0" w:line="266" w:lineRule="auto"/>
        <w:rPr>
          <w:sz w:val="20"/>
          <w:szCs w:val="20"/>
          <w:color w:val="auto"/>
        </w:rPr>
      </w:pPr>
      <w:r>
        <w:rPr>
          <w:rFonts w:ascii="Arial" w:cs="Arial" w:eastAsia="Arial" w:hAnsi="Arial"/>
          <w:sz w:val="22"/>
          <w:szCs w:val="22"/>
          <w:b w:val="1"/>
          <w:bCs w:val="1"/>
          <w:color w:val="auto"/>
        </w:rPr>
        <w:t xml:space="preserve">Broker Non-Votes: </w:t>
      </w:r>
      <w:r>
        <w:rPr>
          <w:rFonts w:ascii="Arial" w:cs="Arial" w:eastAsia="Arial" w:hAnsi="Arial"/>
          <w:sz w:val="17"/>
          <w:szCs w:val="17"/>
          <w:color w:val="auto"/>
        </w:rPr>
        <w:t>If your shares are held through a broker and you give the broker instructions, your shares will be voted as you direct.</w:t>
      </w:r>
      <w:r>
        <w:rPr>
          <w:rFonts w:ascii="Arial" w:cs="Arial" w:eastAsia="Arial" w:hAnsi="Arial"/>
          <w:sz w:val="22"/>
          <w:szCs w:val="22"/>
          <w:b w:val="1"/>
          <w:bCs w:val="1"/>
          <w:color w:val="auto"/>
        </w:rPr>
        <w:t xml:space="preserve"> </w:t>
      </w:r>
      <w:r>
        <w:rPr>
          <w:rFonts w:ascii="Arial" w:cs="Arial" w:eastAsia="Arial" w:hAnsi="Arial"/>
          <w:sz w:val="17"/>
          <w:szCs w:val="17"/>
          <w:color w:val="auto"/>
        </w:rPr>
        <w:t>If you do not provide voting instructions, your shares will not be voted on any proposal on which the broker does not have discretionary authority to vote. This is called a “broker non-vote.” In these cases, the broker can register your shares as being present at the Annual Meeting for purposes of determining the presence of a quorum and will be able to use their discretionary voting authority under NYSE rules to vote your shares on the ratification of EY as the independent auditor for 2023. However, the broker will not be able to vote on those matters for which specific authorization is required under NYSE rules, such as to vote on the election of directors, the advisory approval of executive compensation, the advisory approval on frequency of future advisory votes on executive compensation, or the shareholder or management proposals without instructions from you, in which case a broker non-vote will occur, and your shares will not be voted on these matters.</w:t>
      </w:r>
    </w:p>
    <w:p>
      <w:pPr>
        <w:spacing w:after="0" w:line="200" w:lineRule="exact"/>
        <w:rPr>
          <w:sz w:val="20"/>
          <w:szCs w:val="20"/>
          <w:color w:val="auto"/>
        </w:rPr>
      </w:pPr>
    </w:p>
    <w:p>
      <w:pPr>
        <w:spacing w:after="0" w:line="204" w:lineRule="exact"/>
        <w:rPr>
          <w:sz w:val="20"/>
          <w:szCs w:val="20"/>
          <w:color w:val="auto"/>
        </w:rPr>
      </w:pPr>
    </w:p>
    <w:p>
      <w:pPr>
        <w:ind w:right="320"/>
        <w:spacing w:after="0" w:line="249" w:lineRule="auto"/>
        <w:rPr>
          <w:sz w:val="20"/>
          <w:szCs w:val="20"/>
          <w:color w:val="auto"/>
        </w:rPr>
      </w:pPr>
      <w:r>
        <w:rPr>
          <w:rFonts w:ascii="Arial" w:cs="Arial" w:eastAsia="Arial" w:hAnsi="Arial"/>
          <w:sz w:val="22"/>
          <w:szCs w:val="22"/>
          <w:b w:val="1"/>
          <w:bCs w:val="1"/>
          <w:color w:val="auto"/>
        </w:rPr>
        <w:t xml:space="preserve">Additional Voting Information for shares held in the company 401(k) Plan: </w:t>
      </w:r>
      <w:r>
        <w:rPr>
          <w:rFonts w:ascii="Arial" w:cs="Arial" w:eastAsia="Arial" w:hAnsi="Arial"/>
          <w:sz w:val="17"/>
          <w:szCs w:val="17"/>
          <w:color w:val="auto"/>
        </w:rPr>
        <w:t>If you hold shares in the company 401(k)</w:t>
      </w:r>
      <w:r>
        <w:rPr>
          <w:rFonts w:ascii="Arial" w:cs="Arial" w:eastAsia="Arial" w:hAnsi="Arial"/>
          <w:sz w:val="22"/>
          <w:szCs w:val="22"/>
          <w:b w:val="1"/>
          <w:bCs w:val="1"/>
          <w:color w:val="auto"/>
        </w:rPr>
        <w:t xml:space="preserve"> </w:t>
      </w:r>
      <w:r>
        <w:rPr>
          <w:rFonts w:ascii="Arial" w:cs="Arial" w:eastAsia="Arial" w:hAnsi="Arial"/>
          <w:sz w:val="17"/>
          <w:szCs w:val="17"/>
          <w:color w:val="auto"/>
        </w:rPr>
        <w:t>Plan, unless you decline, your vote will apply to a proportionate number of other shares held by participants in the 401(k) Plan for which voting directions are not received (except for a small number of shares from a prior stock ownership plan, which can be voted only on the directions of the participants to whose accounts the shares are credited).</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All participants are named fiduciaries under the terms of the 401(k) Plan and under the Employee Retirement Income Security Act (ERISA) for the limited purpose of voting shares credited to their accounts and the portion of undirected shares to which their vote applies. Under ERISA, fiduciaries are required to act prudently in making voting decisions.</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If you do not want to have your vote applied to the undirected shares, you must so indicate when you vote. Otherwise, the trustee will automatically apply your voting preferences to the undirected shares proportionally with all other participants who elected to have their votes applied in this manner.</w:t>
      </w:r>
    </w:p>
    <w:p>
      <w:pPr>
        <w:spacing w:after="0" w:line="11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If you do not vote by the deadline, your shares will be voted in accordance with instructions received from other plan participants who have elected to have their voting preferences applied proportionally to all shares for which voting instructions are not otherwise received.</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Attending the Annual Meeting</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Who</w:t>
      </w:r>
      <w:r>
        <w:rPr>
          <w:rFonts w:ascii="Arial" w:cs="Arial" w:eastAsia="Arial" w:hAnsi="Arial"/>
          <w:sz w:val="17"/>
          <w:szCs w:val="17"/>
          <w:color w:val="auto"/>
        </w:rPr>
        <w:t>: All shareholders as of close of business on February 21, 2023 are entitled to participate.</w:t>
      </w:r>
    </w:p>
    <w:p>
      <w:pPr>
        <w:spacing w:after="0" w:line="220" w:lineRule="exact"/>
        <w:rPr>
          <w:sz w:val="20"/>
          <w:szCs w:val="20"/>
          <w:color w:val="auto"/>
        </w:rPr>
      </w:pPr>
    </w:p>
    <w:p>
      <w:pPr>
        <w:ind w:right="420"/>
        <w:spacing w:after="0" w:line="233" w:lineRule="auto"/>
        <w:rPr>
          <w:sz w:val="20"/>
          <w:szCs w:val="20"/>
          <w:color w:val="auto"/>
        </w:rPr>
      </w:pPr>
      <w:r>
        <w:rPr>
          <w:rFonts w:ascii="Arial" w:cs="Arial" w:eastAsia="Arial" w:hAnsi="Arial"/>
          <w:sz w:val="22"/>
          <w:szCs w:val="22"/>
          <w:b w:val="1"/>
          <w:bCs w:val="1"/>
          <w:color w:val="auto"/>
        </w:rPr>
        <w:t>When</w:t>
      </w:r>
      <w:r>
        <w:rPr>
          <w:rFonts w:ascii="Arial" w:cs="Arial" w:eastAsia="Arial" w:hAnsi="Arial"/>
          <w:sz w:val="17"/>
          <w:szCs w:val="17"/>
          <w:color w:val="auto"/>
        </w:rPr>
        <w:t>: Monday, May 1, 2023, starting at 8:30 a.m. EDT and ending at or before 9:15 a.m. EDT. Following the formal meeting and after</w:t>
      </w:r>
      <w:r>
        <w:rPr>
          <w:rFonts w:ascii="Arial" w:cs="Arial" w:eastAsia="Arial" w:hAnsi="Arial"/>
          <w:sz w:val="22"/>
          <w:szCs w:val="22"/>
          <w:b w:val="1"/>
          <w:bCs w:val="1"/>
          <w:color w:val="auto"/>
        </w:rPr>
        <w:t xml:space="preserve"> </w:t>
      </w:r>
      <w:r>
        <w:rPr>
          <w:rFonts w:ascii="Arial" w:cs="Arial" w:eastAsia="Arial" w:hAnsi="Arial"/>
          <w:sz w:val="17"/>
          <w:szCs w:val="17"/>
          <w:color w:val="auto"/>
        </w:rPr>
        <w:t>agenda items are addressed there will be an opportunity for shareholder questions.</w:t>
      </w:r>
    </w:p>
    <w:p>
      <w:pPr>
        <w:spacing w:after="0" w:line="197" w:lineRule="exact"/>
        <w:rPr>
          <w:sz w:val="20"/>
          <w:szCs w:val="20"/>
          <w:color w:val="auto"/>
        </w:rPr>
      </w:pPr>
    </w:p>
    <w:p>
      <w:pPr>
        <w:ind w:right="20"/>
        <w:spacing w:after="0" w:line="252" w:lineRule="auto"/>
        <w:rPr>
          <w:sz w:val="20"/>
          <w:szCs w:val="20"/>
          <w:color w:val="auto"/>
        </w:rPr>
      </w:pPr>
      <w:r>
        <w:rPr>
          <w:rFonts w:ascii="Arial" w:cs="Arial" w:eastAsia="Arial" w:hAnsi="Arial"/>
          <w:sz w:val="22"/>
          <w:szCs w:val="22"/>
          <w:b w:val="1"/>
          <w:bCs w:val="1"/>
          <w:color w:val="auto"/>
        </w:rPr>
        <w:t>Where</w:t>
      </w:r>
      <w:r>
        <w:rPr>
          <w:rFonts w:ascii="Arial" w:cs="Arial" w:eastAsia="Arial" w:hAnsi="Arial"/>
          <w:sz w:val="17"/>
          <w:szCs w:val="17"/>
          <w:color w:val="auto"/>
        </w:rPr>
        <w:t>: The live webcast of the Annual Meeting can be accessed by shareholders on the day of the meeting at</w:t>
      </w:r>
      <w:r>
        <w:rPr>
          <w:rFonts w:ascii="Arial" w:cs="Arial" w:eastAsia="Arial" w:hAnsi="Arial"/>
          <w:sz w:val="22"/>
          <w:szCs w:val="22"/>
          <w:b w:val="1"/>
          <w:bCs w:val="1"/>
          <w:color w:val="auto"/>
        </w:rPr>
        <w:t xml:space="preserve"> </w:t>
      </w:r>
      <w:r>
        <w:rPr>
          <w:rFonts w:ascii="Arial" w:cs="Arial" w:eastAsia="Arial" w:hAnsi="Arial"/>
          <w:sz w:val="17"/>
          <w:szCs w:val="17"/>
          <w:color w:val="D52B1E"/>
        </w:rPr>
        <w:t>virtualshareholdermeeting.com/LLY2023</w:t>
      </w:r>
      <w:r>
        <w:rPr>
          <w:rFonts w:ascii="Arial" w:cs="Arial" w:eastAsia="Arial" w:hAnsi="Arial"/>
          <w:sz w:val="18"/>
          <w:szCs w:val="18"/>
          <w:color w:val="D52B1E"/>
        </w:rPr>
        <w:t>.</w:t>
      </w:r>
      <w:r>
        <w:rPr>
          <w:rFonts w:ascii="Arial" w:cs="Arial" w:eastAsia="Arial" w:hAnsi="Arial"/>
          <w:sz w:val="17"/>
          <w:szCs w:val="17"/>
          <w:color w:val="D52B1E"/>
        </w:rPr>
        <w:t xml:space="preserve"> </w:t>
      </w:r>
      <w:r>
        <w:rPr>
          <w:rFonts w:ascii="Arial" w:cs="Arial" w:eastAsia="Arial" w:hAnsi="Arial"/>
          <w:sz w:val="17"/>
          <w:szCs w:val="17"/>
          <w:color w:val="000000"/>
        </w:rPr>
        <w:t>To attend the Annual Meeting, you will need to log in to</w:t>
      </w:r>
      <w:r>
        <w:rPr>
          <w:rFonts w:ascii="Arial" w:cs="Arial" w:eastAsia="Arial" w:hAnsi="Arial"/>
          <w:sz w:val="17"/>
          <w:szCs w:val="17"/>
          <w:color w:val="D52B1E"/>
        </w:rPr>
        <w:t xml:space="preserve"> virtualshareholdermeeting.com/LLY2023 </w:t>
      </w:r>
      <w:r>
        <w:rPr>
          <w:rFonts w:ascii="Arial" w:cs="Arial" w:eastAsia="Arial" w:hAnsi="Arial"/>
          <w:sz w:val="17"/>
          <w:szCs w:val="17"/>
          <w:color w:val="000000"/>
        </w:rPr>
        <w:t>using the 16-digit control number found on the proxy card, voting instruction form, or notice you previously received. This website can be accessed on a computer, tablet, or phone with internet connection. Online access to the webcast will open 15 minutes prior to the start of the Annual Meeting to allow time to log in and test your device’s audio system. We encourage you to access the meeting in advance of the designated start time.</w:t>
      </w:r>
    </w:p>
    <w:p>
      <w:pPr>
        <w:spacing w:after="0" w:line="36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Although you will not be able to attend the Annual Meeting at a physical location, we have designed the Annual Meeting live webcast to provide shareholders the opportunity to participate virtually to facilitate shareholder attendance and provide a consistent experience to all shareholders, regardless of location.</w:t>
      </w:r>
    </w:p>
    <w:p>
      <w:pPr>
        <w:spacing w:after="0" w:line="174" w:lineRule="exact"/>
        <w:rPr>
          <w:sz w:val="20"/>
          <w:szCs w:val="20"/>
          <w:color w:val="auto"/>
        </w:rPr>
      </w:pPr>
    </w:p>
    <w:p>
      <w:pPr>
        <w:ind w:right="40"/>
        <w:spacing w:after="0" w:line="272" w:lineRule="auto"/>
        <w:rPr>
          <w:sz w:val="20"/>
          <w:szCs w:val="20"/>
          <w:color w:val="auto"/>
        </w:rPr>
      </w:pPr>
      <w:r>
        <w:rPr>
          <w:rFonts w:ascii="Arial" w:cs="Arial" w:eastAsia="Arial" w:hAnsi="Arial"/>
          <w:sz w:val="22"/>
          <w:szCs w:val="22"/>
          <w:b w:val="1"/>
          <w:bCs w:val="1"/>
          <w:color w:val="auto"/>
        </w:rPr>
        <w:t>Asking Questions</w:t>
      </w:r>
      <w:r>
        <w:rPr>
          <w:rFonts w:ascii="Arial" w:cs="Arial" w:eastAsia="Arial" w:hAnsi="Arial"/>
          <w:sz w:val="17"/>
          <w:szCs w:val="17"/>
          <w:color w:val="auto"/>
        </w:rPr>
        <w:t>: To submit questions in advance of the Annual Meeting, visit</w:t>
      </w:r>
      <w:r>
        <w:rPr>
          <w:rFonts w:ascii="Arial" w:cs="Arial" w:eastAsia="Arial" w:hAnsi="Arial"/>
          <w:sz w:val="22"/>
          <w:szCs w:val="22"/>
          <w:b w:val="1"/>
          <w:bCs w:val="1"/>
          <w:color w:val="auto"/>
        </w:rPr>
        <w:t xml:space="preserve"> </w:t>
      </w:r>
      <w:r>
        <w:rPr>
          <w:rFonts w:ascii="Arial" w:cs="Arial" w:eastAsia="Arial" w:hAnsi="Arial"/>
          <w:sz w:val="17"/>
          <w:szCs w:val="17"/>
          <w:color w:val="D52B1E"/>
        </w:rPr>
        <w:t>ProxyVote.com</w:t>
      </w:r>
      <w:r>
        <w:rPr>
          <w:rFonts w:ascii="Arial" w:cs="Arial" w:eastAsia="Arial" w:hAnsi="Arial"/>
          <w:sz w:val="22"/>
          <w:szCs w:val="22"/>
          <w:b w:val="1"/>
          <w:bCs w:val="1"/>
          <w:color w:val="auto"/>
        </w:rPr>
        <w:t xml:space="preserve"> </w:t>
      </w:r>
      <w:r>
        <w:rPr>
          <w:rFonts w:ascii="Arial" w:cs="Arial" w:eastAsia="Arial" w:hAnsi="Arial"/>
          <w:sz w:val="17"/>
          <w:szCs w:val="17"/>
          <w:color w:val="auto"/>
        </w:rPr>
        <w:t xml:space="preserve">before May 1, 2023, and enter your 16-digit control number. During the meeting, if you wish to submit a question, log into the virtual meeting website at </w:t>
      </w:r>
      <w:r>
        <w:rPr>
          <w:rFonts w:ascii="Arial" w:cs="Arial" w:eastAsia="Arial" w:hAnsi="Arial"/>
          <w:sz w:val="17"/>
          <w:szCs w:val="17"/>
          <w:color w:val="D52B1E"/>
        </w:rPr>
        <w:t>virtualshareholdermeeting.com/LLY2023</w:t>
      </w:r>
      <w:r>
        <w:rPr>
          <w:rFonts w:ascii="Arial" w:cs="Arial" w:eastAsia="Arial" w:hAnsi="Arial"/>
          <w:sz w:val="17"/>
          <w:szCs w:val="17"/>
          <w:color w:val="000000"/>
        </w:rPr>
        <w:t>, click on “Q&amp;A,” type your question into the “Submit a Question” field, and click “Submit.” In order to</w:t>
      </w:r>
      <w:r>
        <w:rPr>
          <w:rFonts w:ascii="Arial" w:cs="Arial" w:eastAsia="Arial" w:hAnsi="Arial"/>
          <w:sz w:val="17"/>
          <w:szCs w:val="17"/>
          <w:color w:val="D52B1E"/>
        </w:rPr>
        <w:t xml:space="preserve"> </w:t>
      </w:r>
      <w:r>
        <w:rPr>
          <w:rFonts w:ascii="Arial" w:cs="Arial" w:eastAsia="Arial" w:hAnsi="Arial"/>
          <w:sz w:val="17"/>
          <w:szCs w:val="17"/>
          <w:color w:val="000000"/>
        </w:rPr>
        <w:t>provide an opportunity to as many shareholders as possible who wish to ask a question, each shareholder will be limited to one question. Shareholders may ask a second question if all other shareholders have had an opportunity to ask a question and if time allows. We will endeavor to answer as many questions submitted by shareholders as time permits. We reserve the right to edit</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16" w:name="page117"/>
    <w:bookmarkEnd w:id="116"/>
    <w:p>
      <w:pPr>
        <w:ind w:right="120"/>
        <w:spacing w:after="0" w:line="259" w:lineRule="auto"/>
        <w:rPr>
          <w:sz w:val="20"/>
          <w:szCs w:val="20"/>
          <w:color w:val="auto"/>
        </w:rPr>
      </w:pPr>
      <w:r>
        <w:rPr>
          <w:rFonts w:ascii="Arial" w:cs="Arial" w:eastAsia="Arial" w:hAnsi="Arial"/>
          <w:sz w:val="18"/>
          <w:szCs w:val="18"/>
          <w:color w:val="auto"/>
        </w:rPr>
        <w:t>profanity or other inappropriate language, to simplify language and to exclude questions regarding topics that are not pertinent to meeting matters or company business. If we receive substantially similar questions, we may group such questions together and provide a single response to avoid repetition. As appropriate, responses to questions relevant to meeting matters that we do not have time to respond to by the 9:15 a.m. EDT end time will be posted to our website following the meeting. Questions regarding topics that are not pertinent to meeting matters or company business will not be answered.</w:t>
      </w:r>
    </w:p>
    <w:p>
      <w:pPr>
        <w:spacing w:after="0" w:line="183" w:lineRule="exact"/>
        <w:rPr>
          <w:sz w:val="20"/>
          <w:szCs w:val="20"/>
          <w:color w:val="auto"/>
        </w:rPr>
      </w:pPr>
    </w:p>
    <w:p>
      <w:pPr>
        <w:ind w:right="180"/>
        <w:spacing w:after="0" w:line="309" w:lineRule="auto"/>
        <w:rPr>
          <w:sz w:val="20"/>
          <w:szCs w:val="20"/>
          <w:color w:val="auto"/>
        </w:rPr>
      </w:pPr>
      <w:r>
        <w:rPr>
          <w:rFonts w:ascii="Arial" w:cs="Arial" w:eastAsia="Arial" w:hAnsi="Arial"/>
          <w:sz w:val="22"/>
          <w:szCs w:val="22"/>
          <w:b w:val="1"/>
          <w:bCs w:val="1"/>
          <w:color w:val="auto"/>
        </w:rPr>
        <w:t>Technical Assistance</w:t>
      </w:r>
      <w:r>
        <w:rPr>
          <w:rFonts w:ascii="Arial" w:cs="Arial" w:eastAsia="Arial" w:hAnsi="Arial"/>
          <w:sz w:val="18"/>
          <w:szCs w:val="18"/>
          <w:b w:val="1"/>
          <w:bCs w:val="1"/>
          <w:i w:val="1"/>
          <w:iCs w:val="1"/>
          <w:color w:val="auto"/>
        </w:rPr>
        <w:t>:</w:t>
      </w:r>
      <w:r>
        <w:rPr>
          <w:rFonts w:ascii="Arial" w:cs="Arial" w:eastAsia="Arial" w:hAnsi="Arial"/>
          <w:sz w:val="22"/>
          <w:szCs w:val="22"/>
          <w:b w:val="1"/>
          <w:bCs w:val="1"/>
          <w:color w:val="auto"/>
        </w:rPr>
        <w:t xml:space="preserve"> </w:t>
      </w:r>
      <w:r>
        <w:rPr>
          <w:rFonts w:ascii="Arial" w:cs="Arial" w:eastAsia="Arial" w:hAnsi="Arial"/>
          <w:sz w:val="17"/>
          <w:szCs w:val="17"/>
          <w:color w:val="auto"/>
        </w:rPr>
        <w:t>Support staff will be available on the meeting day should you experience any technical difficulties in accessing</w:t>
      </w:r>
      <w:r>
        <w:rPr>
          <w:rFonts w:ascii="Arial" w:cs="Arial" w:eastAsia="Arial" w:hAnsi="Arial"/>
          <w:sz w:val="22"/>
          <w:szCs w:val="22"/>
          <w:b w:val="1"/>
          <w:bCs w:val="1"/>
          <w:color w:val="auto"/>
        </w:rPr>
        <w:t xml:space="preserve"> </w:t>
      </w:r>
      <w:r>
        <w:rPr>
          <w:rFonts w:ascii="Arial" w:cs="Arial" w:eastAsia="Arial" w:hAnsi="Arial"/>
          <w:sz w:val="17"/>
          <w:szCs w:val="17"/>
          <w:color w:val="auto"/>
        </w:rPr>
        <w:t xml:space="preserve">the virtual meeting. Instructions for requesting technical assistance will be available at </w:t>
      </w:r>
      <w:r>
        <w:rPr>
          <w:rFonts w:ascii="Arial" w:cs="Arial" w:eastAsia="Arial" w:hAnsi="Arial"/>
          <w:sz w:val="17"/>
          <w:szCs w:val="17"/>
          <w:color w:val="D52B1E"/>
        </w:rPr>
        <w:t>virtualshareholdermeeting.com/LLY2023.</w:t>
      </w:r>
    </w:p>
    <w:p>
      <w:pPr>
        <w:spacing w:after="0" w:line="271"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Other Matters</w:t>
      </w:r>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Notice and Access</w:t>
      </w:r>
    </w:p>
    <w:p>
      <w:pPr>
        <w:spacing w:after="0" w:line="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distribute proxy materials to many shareholders via the internet under the SEC’s “Notice and Access” rules to reduce production and mailing costs and to help preserve environmental resources. Using this method of distribution, on or about March 17, 2023, we mailed the Notice Regarding the Availability of Proxy Materials that contains basic information about the Annual Meeting and instructions on how to view all proxy materials and vote. If you receive the notice and prefer to receive proxy materials by regular mail or email, follow the instructions in the notice for making this request, and the materials will be sent promptly to you via the preferred method. If you prefer to vote by phone rather than online, the website listed on the notice (</w:t>
      </w:r>
      <w:r>
        <w:rPr>
          <w:rFonts w:ascii="Arial" w:cs="Arial" w:eastAsia="Arial" w:hAnsi="Arial"/>
          <w:sz w:val="18"/>
          <w:szCs w:val="18"/>
          <w:color w:val="D52B1E"/>
        </w:rPr>
        <w:t>ProxyVote.com</w:t>
      </w:r>
      <w:r>
        <w:rPr>
          <w:rFonts w:ascii="Arial" w:cs="Arial" w:eastAsia="Arial" w:hAnsi="Arial"/>
          <w:sz w:val="18"/>
          <w:szCs w:val="18"/>
          <w:color w:val="auto"/>
        </w:rPr>
        <w:t>) has instructions for voting by phone.</w:t>
      </w:r>
    </w:p>
    <w:p>
      <w:pPr>
        <w:spacing w:after="0" w:line="123"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Householding</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adopted a procedure approved by the SEC called “householding.” Under the householding procedure, certain shareholders, whether they own registered shares or shares in street name, who have the same address and who receive either notices or paper copies of the proxy materials in the mail will receive only one copy of our proxy materials, or a single notice, for all shareholders at that address, unless one or more of the shareholders at that address has previously notified us that they want to receive separate copies. Each 401(k) Plan participant will continue to receive a copy of all of the proxy materials. Regardless of how you own your shares, if you received a single set of proxy materials as a result of householding, and one or more shareholders at your address would like to have separate copies of these materials with respect to the Annual Meeting or in the future, or if you would like to request that only a single set of proxy materials be sent to the household, please contact Broadridge Financial Solutions, Inc., at 1-866-540-7095 or 51 Mercedes Way, Edgewood, NY 11717.</w:t>
      </w:r>
    </w:p>
    <w:p>
      <w:pPr>
        <w:spacing w:after="0" w:line="125"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Other Information Regarding the Company’s Proxy Solicitation</w:t>
      </w:r>
    </w:p>
    <w:p>
      <w:pPr>
        <w:spacing w:after="0" w:line="6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board is soliciting proxies for the Annual Meeting. We will pay all expenses in connection with our solicitation of proxies. We will pay brokers, nominees, fiduciaries, or other custodians their reasonable expenses for sending proxy material to and obtaining instructions from persons for whom they hold stock of the company. We expect to solicit proxies primarily by mail and email, but directors, officers, and other employees of the company may also solicit in person or by telephone, fax, or email. We have retained Georgeson LLC to assist in the distribution and solicitation of proxies. Georgeson may solicit proxies by personal interview, telephone, fax, mail, and email. We expect that the fee for those services will not exceed $17,500 plus reimbursement of customary out-of-pocket expenses.</w:t>
      </w:r>
    </w:p>
    <w:p>
      <w:pPr>
        <w:spacing w:after="0" w:line="123"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Corporate Governance Materials</w:t>
      </w:r>
    </w:p>
    <w:p>
      <w:pPr>
        <w:spacing w:after="0" w:line="8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The company’s main corporate website address is </w:t>
      </w:r>
      <w:r>
        <w:rPr>
          <w:rFonts w:ascii="Arial" w:cs="Arial" w:eastAsia="Arial" w:hAnsi="Arial"/>
          <w:sz w:val="18"/>
          <w:szCs w:val="18"/>
          <w:color w:val="D52B1E"/>
        </w:rPr>
        <w:t>lilly.com</w:t>
      </w:r>
      <w:r>
        <w:rPr>
          <w:rFonts w:ascii="Arial" w:cs="Arial" w:eastAsia="Arial" w:hAnsi="Arial"/>
          <w:sz w:val="18"/>
          <w:szCs w:val="18"/>
          <w:color w:val="auto"/>
        </w:rPr>
        <w:t xml:space="preserve">. We also make available through our investor relations website, free of charge, our company filings with the SEC as soon as reasonably practicable after we electronically file them with, or furnish them to, the SEC. The reports we make available include annual reports on Form 10-K, quarterly reports on Form 10-Q, current reports on Form 8-K, proxy statements, registration statements, and any amendments to those documents. The website link to our SEC filings is </w:t>
      </w:r>
      <w:r>
        <w:rPr>
          <w:rFonts w:ascii="Arial" w:cs="Arial" w:eastAsia="Arial" w:hAnsi="Arial"/>
          <w:sz w:val="18"/>
          <w:szCs w:val="18"/>
          <w:color w:val="D52B1E"/>
        </w:rPr>
        <w:t>investor.lilly.com/sec.cfm</w:t>
      </w:r>
      <w:r>
        <w:rPr>
          <w:rFonts w:ascii="Arial" w:cs="Arial" w:eastAsia="Arial" w:hAnsi="Arial"/>
          <w:sz w:val="18"/>
          <w:szCs w:val="18"/>
          <w:color w:val="000000"/>
        </w:rPr>
        <w:t>. This proxy statement and the annual report to shareholders are also available at</w:t>
      </w:r>
      <w:r>
        <w:rPr>
          <w:rFonts w:ascii="Arial" w:cs="Arial" w:eastAsia="Arial" w:hAnsi="Arial"/>
          <w:sz w:val="18"/>
          <w:szCs w:val="18"/>
          <w:color w:val="D52B1E"/>
        </w:rPr>
        <w:t xml:space="preserve"> ProxyVote.com </w:t>
      </w:r>
      <w:r>
        <w:rPr>
          <w:rFonts w:ascii="Arial" w:cs="Arial" w:eastAsia="Arial" w:hAnsi="Arial"/>
          <w:sz w:val="18"/>
          <w:szCs w:val="18"/>
          <w:color w:val="000000"/>
        </w:rPr>
        <w:t>as well as on our</w:t>
      </w:r>
      <w:r>
        <w:rPr>
          <w:rFonts w:ascii="Arial" w:cs="Arial" w:eastAsia="Arial" w:hAnsi="Arial"/>
          <w:sz w:val="18"/>
          <w:szCs w:val="18"/>
          <w:color w:val="D52B1E"/>
        </w:rPr>
        <w:t xml:space="preserve"> </w:t>
      </w:r>
      <w:r>
        <w:rPr>
          <w:rFonts w:ascii="Arial" w:cs="Arial" w:eastAsia="Arial" w:hAnsi="Arial"/>
          <w:sz w:val="18"/>
          <w:szCs w:val="18"/>
          <w:color w:val="000000"/>
        </w:rPr>
        <w:t xml:space="preserve">website at </w:t>
      </w:r>
      <w:r>
        <w:rPr>
          <w:rFonts w:ascii="Arial" w:cs="Arial" w:eastAsia="Arial" w:hAnsi="Arial"/>
          <w:sz w:val="18"/>
          <w:szCs w:val="18"/>
          <w:color w:val="D52B1E"/>
        </w:rPr>
        <w:t>lilly.com/policies-reports/annual-report</w:t>
      </w:r>
      <w:r>
        <w:rPr>
          <w:rFonts w:ascii="Arial" w:cs="Arial" w:eastAsia="Arial" w:hAnsi="Arial"/>
          <w:sz w:val="18"/>
          <w:szCs w:val="18"/>
          <w:color w:val="000000"/>
        </w:rPr>
        <w:t xml:space="preserve">, and the articles of incorporation, bylaws, and all committee charters are available online at </w:t>
      </w:r>
      <w:r>
        <w:rPr>
          <w:rFonts w:ascii="Arial" w:cs="Arial" w:eastAsia="Arial" w:hAnsi="Arial"/>
          <w:sz w:val="18"/>
          <w:szCs w:val="18"/>
          <w:color w:val="D52B1E"/>
        </w:rPr>
        <w:t>lilly.com/leadership/governance</w:t>
      </w:r>
      <w:r>
        <w:rPr>
          <w:rFonts w:ascii="Arial" w:cs="Arial" w:eastAsia="Arial" w:hAnsi="Arial"/>
          <w:sz w:val="18"/>
          <w:szCs w:val="18"/>
          <w:color w:val="000000"/>
        </w:rPr>
        <w:t>. Certain documents and information referenced in this proxy statement are available on our website.</w:t>
      </w:r>
      <w:r>
        <w:rPr>
          <w:rFonts w:ascii="Arial" w:cs="Arial" w:eastAsia="Arial" w:hAnsi="Arial"/>
          <w:sz w:val="18"/>
          <w:szCs w:val="18"/>
          <w:color w:val="D52B1E"/>
        </w:rPr>
        <w:t xml:space="preserve"> </w:t>
      </w:r>
      <w:r>
        <w:rPr>
          <w:rFonts w:ascii="Arial" w:cs="Arial" w:eastAsia="Arial" w:hAnsi="Arial"/>
          <w:sz w:val="18"/>
          <w:szCs w:val="18"/>
          <w:color w:val="000000"/>
        </w:rPr>
        <w:t>However, except as otherwise expressly provided in this proxy statement, we are not including the information contained on our website, or any information that may</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t>be accessed by links on our website, as part of, or incorporating it by reference into, this proxy statement.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Anat Hakim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General Counsel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D52B1E"/>
        </w:rPr>
        <w:t>Voluntary Electronic Delivery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-41910</wp:posOffset>
            </wp:positionV>
            <wp:extent cx="5631815" cy="266573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5631815" cy="2665730"/>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00A1DE"/>
        </w:rPr>
        <w:t>Help us Reduce Environmental Waste</w:t>
      </w:r>
    </w:p>
    <w:p>
      <w:pPr>
        <w:spacing w:after="0" w:line="171" w:lineRule="exact"/>
        <w:rPr>
          <w:sz w:val="20"/>
          <w:szCs w:val="20"/>
          <w:color w:val="auto"/>
        </w:rPr>
      </w:pPr>
    </w:p>
    <w:p>
      <w:pPr>
        <w:ind w:left="440" w:right="120"/>
        <w:spacing w:after="0" w:line="262" w:lineRule="auto"/>
        <w:rPr>
          <w:sz w:val="20"/>
          <w:szCs w:val="20"/>
          <w:color w:val="auto"/>
        </w:rPr>
      </w:pPr>
      <w:r>
        <w:rPr>
          <w:rFonts w:ascii="Arial" w:cs="Arial" w:eastAsia="Arial" w:hAnsi="Arial"/>
          <w:sz w:val="18"/>
          <w:szCs w:val="18"/>
          <w:color w:val="auto"/>
        </w:rPr>
        <w:t>We encourage shareholders to voluntarily elect to receive future proxy materials and annual reports electronically to help contribute to our sustainability efforts.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benefits include:</w:t>
      </w:r>
    </w:p>
    <w:p>
      <w:pPr>
        <w:spacing w:after="0" w:line="171" w:lineRule="exact"/>
        <w:rPr>
          <w:sz w:val="20"/>
          <w:szCs w:val="20"/>
          <w:color w:val="auto"/>
        </w:rPr>
      </w:pPr>
    </w:p>
    <w:p>
      <w:pPr>
        <w:ind w:left="1000" w:right="100" w:hanging="326"/>
        <w:spacing w:after="0" w:line="318" w:lineRule="auto"/>
        <w:tabs>
          <w:tab w:leader="none" w:pos="989" w:val="left"/>
        </w:tabs>
        <w:numPr>
          <w:ilvl w:val="0"/>
          <w:numId w:val="220"/>
        </w:numPr>
        <w:rPr>
          <w:rFonts w:ascii="Arial" w:cs="Arial" w:eastAsia="Arial" w:hAnsi="Arial"/>
          <w:sz w:val="15"/>
          <w:szCs w:val="15"/>
          <w:color w:val="auto"/>
        </w:rPr>
      </w:pPr>
      <w:r>
        <w:rPr>
          <w:rFonts w:ascii="Arial" w:cs="Arial" w:eastAsia="Arial" w:hAnsi="Arial"/>
          <w:sz w:val="17"/>
          <w:szCs w:val="17"/>
          <w:color w:val="auto"/>
        </w:rPr>
        <w:t>you receive immediate and convenient access to the materials,</w:t>
      </w:r>
    </w:p>
    <w:p>
      <w:pPr>
        <w:spacing w:after="0" w:line="75" w:lineRule="exact"/>
        <w:rPr>
          <w:rFonts w:ascii="Arial" w:cs="Arial" w:eastAsia="Arial" w:hAnsi="Arial"/>
          <w:sz w:val="15"/>
          <w:szCs w:val="15"/>
          <w:color w:val="auto"/>
        </w:rPr>
      </w:pPr>
    </w:p>
    <w:p>
      <w:pPr>
        <w:ind w:left="1000" w:right="160" w:hanging="326"/>
        <w:spacing w:after="0" w:line="287" w:lineRule="auto"/>
        <w:tabs>
          <w:tab w:leader="none" w:pos="989" w:val="left"/>
        </w:tabs>
        <w:numPr>
          <w:ilvl w:val="0"/>
          <w:numId w:val="220"/>
        </w:numPr>
        <w:rPr>
          <w:rFonts w:ascii="Arial" w:cs="Arial" w:eastAsia="Arial" w:hAnsi="Arial"/>
          <w:sz w:val="16"/>
          <w:szCs w:val="16"/>
          <w:color w:val="auto"/>
        </w:rPr>
      </w:pPr>
      <w:r>
        <w:rPr>
          <w:rFonts w:ascii="Arial" w:cs="Arial" w:eastAsia="Arial" w:hAnsi="Arial"/>
          <w:sz w:val="18"/>
          <w:szCs w:val="18"/>
          <w:color w:val="auto"/>
        </w:rPr>
        <w:t>you can help reduce our impact on the environment, and</w:t>
      </w:r>
    </w:p>
    <w:p>
      <w:pPr>
        <w:spacing w:after="0" w:line="98" w:lineRule="exact"/>
        <w:rPr>
          <w:rFonts w:ascii="Arial" w:cs="Arial" w:eastAsia="Arial" w:hAnsi="Arial"/>
          <w:sz w:val="16"/>
          <w:szCs w:val="16"/>
          <w:color w:val="auto"/>
        </w:rPr>
      </w:pPr>
    </w:p>
    <w:p>
      <w:pPr>
        <w:ind w:left="1000" w:hanging="326"/>
        <w:spacing w:after="0" w:line="287" w:lineRule="auto"/>
        <w:tabs>
          <w:tab w:leader="none" w:pos="989" w:val="left"/>
        </w:tabs>
        <w:numPr>
          <w:ilvl w:val="0"/>
          <w:numId w:val="220"/>
        </w:numPr>
        <w:rPr>
          <w:rFonts w:ascii="Arial" w:cs="Arial" w:eastAsia="Arial" w:hAnsi="Arial"/>
          <w:sz w:val="16"/>
          <w:szCs w:val="16"/>
          <w:color w:val="auto"/>
        </w:rPr>
      </w:pPr>
      <w:r>
        <w:rPr>
          <w:rFonts w:ascii="Arial" w:cs="Arial" w:eastAsia="Arial" w:hAnsi="Arial"/>
          <w:sz w:val="18"/>
          <w:szCs w:val="18"/>
          <w:color w:val="auto"/>
        </w:rPr>
        <w:t>you can help reduce our printing and mailing costs.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63"/>
        </w:trPr>
        <w:tc>
          <w:tcPr>
            <w:tcW w:w="1540" w:type="dxa"/>
            <w:vAlign w:val="bottom"/>
            <w:shd w:val="clear" w:color="auto" w:fill="DBDBDB"/>
          </w:tcPr>
          <w:p>
            <w:pPr>
              <w:spacing w:after="0"/>
              <w:rPr>
                <w:sz w:val="24"/>
                <w:szCs w:val="24"/>
                <w:color w:val="auto"/>
              </w:rPr>
            </w:pPr>
          </w:p>
        </w:tc>
        <w:tc>
          <w:tcPr>
            <w:tcW w:w="298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How to Enroll</w:t>
            </w:r>
          </w:p>
        </w:tc>
      </w:tr>
      <w:tr>
        <w:trPr>
          <w:trHeight w:val="560"/>
        </w:trPr>
        <w:tc>
          <w:tcPr>
            <w:tcW w:w="4520" w:type="dxa"/>
            <w:vAlign w:val="bottom"/>
            <w:tcBorders>
              <w:bottom w:val="single" w:sz="8" w:color="DBDBDB"/>
            </w:tcBorders>
            <w:gridSpan w:val="2"/>
            <w:shd w:val="clear" w:color="auto" w:fill="DBDBDB"/>
          </w:tcPr>
          <w:p>
            <w:pPr>
              <w:ind w:left="180"/>
              <w:spacing w:after="0"/>
              <w:rPr>
                <w:sz w:val="20"/>
                <w:szCs w:val="20"/>
                <w:color w:val="auto"/>
              </w:rPr>
            </w:pPr>
            <w:r>
              <w:rPr>
                <w:rFonts w:ascii="Arial" w:cs="Arial" w:eastAsia="Arial" w:hAnsi="Arial"/>
                <w:sz w:val="18"/>
                <w:szCs w:val="18"/>
                <w:color w:val="auto"/>
              </w:rPr>
              <w:t>Shareholders of Record</w:t>
            </w:r>
          </w:p>
        </w:tc>
      </w:tr>
      <w:tr>
        <w:trPr>
          <w:trHeight w:val="218"/>
        </w:trPr>
        <w:tc>
          <w:tcPr>
            <w:tcW w:w="1540" w:type="dxa"/>
            <w:vAlign w:val="bottom"/>
            <w:tcBorders>
              <w:top w:val="single" w:sz="8" w:color="6D6D6D"/>
            </w:tcBorders>
            <w:shd w:val="clear" w:color="auto" w:fill="DBDBDB"/>
          </w:tcPr>
          <w:p>
            <w:pPr>
              <w:jc w:val="right"/>
              <w:ind w:right="190"/>
              <w:spacing w:after="0"/>
              <w:rPr>
                <w:sz w:val="20"/>
                <w:szCs w:val="20"/>
                <w:color w:val="auto"/>
              </w:rPr>
            </w:pPr>
            <w:r>
              <w:rPr>
                <w:rFonts w:ascii="Arial" w:cs="Arial" w:eastAsia="Arial" w:hAnsi="Arial"/>
                <w:sz w:val="18"/>
                <w:szCs w:val="18"/>
                <w:color w:val="auto"/>
              </w:rPr>
              <w:t>Internet</w:t>
            </w:r>
          </w:p>
        </w:tc>
        <w:tc>
          <w:tcPr>
            <w:tcW w:w="2980" w:type="dxa"/>
            <w:vAlign w:val="bottom"/>
            <w:tcBorders>
              <w:top w:val="single" w:sz="8" w:color="6D6D6D"/>
            </w:tcBorders>
            <w:shd w:val="clear" w:color="auto" w:fill="DBDBDB"/>
          </w:tcPr>
          <w:p>
            <w:pPr>
              <w:ind w:left="20"/>
              <w:spacing w:after="0"/>
              <w:rPr>
                <w:sz w:val="20"/>
                <w:szCs w:val="20"/>
                <w:color w:val="auto"/>
              </w:rPr>
            </w:pPr>
            <w:r>
              <w:rPr>
                <w:rFonts w:ascii="Arial" w:cs="Arial" w:eastAsia="Arial" w:hAnsi="Arial"/>
                <w:sz w:val="18"/>
                <w:szCs w:val="18"/>
                <w:color w:val="auto"/>
              </w:rPr>
              <w:t>www.proxyvote.com under the</w:t>
            </w:r>
          </w:p>
        </w:tc>
      </w:tr>
      <w:tr>
        <w:trPr>
          <w:trHeight w:val="267"/>
        </w:trPr>
        <w:tc>
          <w:tcPr>
            <w:tcW w:w="1540" w:type="dxa"/>
            <w:vAlign w:val="bottom"/>
            <w:tcBorders>
              <w:bottom w:val="single" w:sz="8" w:color="DBDBDB"/>
            </w:tcBorders>
            <w:shd w:val="clear" w:color="auto" w:fill="DBDBDB"/>
          </w:tcPr>
          <w:p>
            <w:pPr>
              <w:spacing w:after="0"/>
              <w:rPr>
                <w:sz w:val="22"/>
                <w:szCs w:val="22"/>
                <w:color w:val="auto"/>
              </w:rPr>
            </w:pPr>
          </w:p>
        </w:tc>
        <w:tc>
          <w:tcPr>
            <w:tcW w:w="2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“Delivery Settings” tab</w:t>
            </w:r>
          </w:p>
        </w:tc>
      </w:tr>
      <w:tr>
        <w:trPr>
          <w:trHeight w:val="231"/>
        </w:trPr>
        <w:tc>
          <w:tcPr>
            <w:tcW w:w="1540" w:type="dxa"/>
            <w:vAlign w:val="bottom"/>
            <w:tcBorders>
              <w:top w:val="single" w:sz="8" w:color="B6B6B6"/>
            </w:tcBorders>
            <w:shd w:val="clear" w:color="auto" w:fill="DBDBDB"/>
          </w:tcPr>
          <w:p>
            <w:pPr>
              <w:jc w:val="right"/>
              <w:ind w:right="190"/>
              <w:spacing w:after="0"/>
              <w:rPr>
                <w:sz w:val="20"/>
                <w:szCs w:val="20"/>
                <w:color w:val="auto"/>
              </w:rPr>
            </w:pPr>
            <w:r>
              <w:rPr>
                <w:rFonts w:ascii="Arial" w:cs="Arial" w:eastAsia="Arial" w:hAnsi="Arial"/>
                <w:sz w:val="18"/>
                <w:szCs w:val="18"/>
                <w:color w:val="auto"/>
              </w:rPr>
              <w:t>Telephone</w:t>
            </w:r>
          </w:p>
        </w:tc>
        <w:tc>
          <w:tcPr>
            <w:tcW w:w="2980" w:type="dxa"/>
            <w:vAlign w:val="bottom"/>
            <w:tcBorders>
              <w:top w:val="single" w:sz="8" w:color="B6B6B6"/>
            </w:tcBorders>
            <w:shd w:val="clear" w:color="auto" w:fill="DBDBDB"/>
          </w:tcPr>
          <w:p>
            <w:pPr>
              <w:ind w:left="20"/>
              <w:spacing w:after="0"/>
              <w:rPr>
                <w:sz w:val="20"/>
                <w:szCs w:val="20"/>
                <w:color w:val="auto"/>
              </w:rPr>
            </w:pPr>
            <w:r>
              <w:rPr>
                <w:rFonts w:ascii="Arial" w:cs="Arial" w:eastAsia="Arial" w:hAnsi="Arial"/>
                <w:sz w:val="18"/>
                <w:szCs w:val="18"/>
                <w:color w:val="auto"/>
              </w:rPr>
              <w:t>1-800-690-6903 and follow the</w:t>
            </w:r>
          </w:p>
        </w:tc>
      </w:tr>
      <w:tr>
        <w:trPr>
          <w:trHeight w:val="280"/>
        </w:trPr>
        <w:tc>
          <w:tcPr>
            <w:tcW w:w="1540" w:type="dxa"/>
            <w:vAlign w:val="bottom"/>
            <w:tcBorders>
              <w:bottom w:val="single" w:sz="8" w:color="DBDBDB"/>
            </w:tcBorders>
            <w:shd w:val="clear" w:color="auto" w:fill="DBDBDB"/>
          </w:tcPr>
          <w:p>
            <w:pPr>
              <w:spacing w:after="0"/>
              <w:rPr>
                <w:sz w:val="23"/>
                <w:szCs w:val="23"/>
                <w:color w:val="auto"/>
              </w:rPr>
            </w:pPr>
          </w:p>
        </w:tc>
        <w:tc>
          <w:tcPr>
            <w:tcW w:w="2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instructions provided</w:t>
            </w:r>
          </w:p>
        </w:tc>
      </w:tr>
      <w:tr>
        <w:trPr>
          <w:trHeight w:val="218"/>
        </w:trPr>
        <w:tc>
          <w:tcPr>
            <w:tcW w:w="1540" w:type="dxa"/>
            <w:vAlign w:val="bottom"/>
            <w:tcBorders>
              <w:top w:val="single" w:sz="8" w:color="B6B6B6"/>
            </w:tcBorders>
            <w:shd w:val="clear" w:color="auto" w:fill="DBDBDB"/>
          </w:tcPr>
          <w:p>
            <w:pPr>
              <w:jc w:val="right"/>
              <w:ind w:right="170"/>
              <w:spacing w:after="0"/>
              <w:rPr>
                <w:sz w:val="20"/>
                <w:szCs w:val="20"/>
                <w:color w:val="auto"/>
              </w:rPr>
            </w:pPr>
            <w:r>
              <w:rPr>
                <w:rFonts w:ascii="Arial" w:cs="Arial" w:eastAsia="Arial" w:hAnsi="Arial"/>
                <w:sz w:val="18"/>
                <w:szCs w:val="18"/>
                <w:color w:val="auto"/>
              </w:rPr>
              <w:t>Email</w:t>
            </w:r>
          </w:p>
        </w:tc>
        <w:tc>
          <w:tcPr>
            <w:tcW w:w="2980" w:type="dxa"/>
            <w:vAlign w:val="bottom"/>
            <w:tcBorders>
              <w:top w:val="single" w:sz="8" w:color="B6B6B6"/>
            </w:tcBorders>
            <w:shd w:val="clear" w:color="auto" w:fill="DBDBDB"/>
          </w:tcPr>
          <w:p>
            <w:pPr>
              <w:ind w:left="20"/>
              <w:spacing w:after="0"/>
              <w:rPr>
                <w:sz w:val="20"/>
                <w:szCs w:val="20"/>
                <w:color w:val="auto"/>
              </w:rPr>
            </w:pPr>
            <w:r>
              <w:rPr>
                <w:rFonts w:ascii="Arial" w:cs="Arial" w:eastAsia="Arial" w:hAnsi="Arial"/>
                <w:sz w:val="18"/>
                <w:szCs w:val="18"/>
                <w:color w:val="auto"/>
              </w:rPr>
              <w:t>Send a blank email with your control</w:t>
            </w:r>
          </w:p>
        </w:tc>
      </w:tr>
      <w:tr>
        <w:trPr>
          <w:trHeight w:val="216"/>
        </w:trPr>
        <w:tc>
          <w:tcPr>
            <w:tcW w:w="1540" w:type="dxa"/>
            <w:vAlign w:val="bottom"/>
            <w:shd w:val="clear" w:color="auto" w:fill="DBDBDB"/>
          </w:tcPr>
          <w:p>
            <w:pPr>
              <w:spacing w:after="0"/>
              <w:rPr>
                <w:sz w:val="18"/>
                <w:szCs w:val="18"/>
                <w:color w:val="auto"/>
              </w:rPr>
            </w:pPr>
          </w:p>
        </w:tc>
        <w:tc>
          <w:tcPr>
            <w:tcW w:w="2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number in the subject line to:</w:t>
            </w:r>
          </w:p>
        </w:tc>
      </w:tr>
      <w:tr>
        <w:trPr>
          <w:trHeight w:val="239"/>
        </w:trPr>
        <w:tc>
          <w:tcPr>
            <w:tcW w:w="1540" w:type="dxa"/>
            <w:vAlign w:val="bottom"/>
            <w:shd w:val="clear" w:color="auto" w:fill="DBDBDB"/>
          </w:tcPr>
          <w:p>
            <w:pPr>
              <w:spacing w:after="0"/>
              <w:rPr>
                <w:sz w:val="20"/>
                <w:szCs w:val="20"/>
                <w:color w:val="auto"/>
              </w:rPr>
            </w:pPr>
          </w:p>
        </w:tc>
        <w:tc>
          <w:tcPr>
            <w:tcW w:w="2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sendmaterial@proxyvote.com</w:t>
            </w:r>
          </w:p>
        </w:tc>
      </w:tr>
      <w:tr>
        <w:trPr>
          <w:trHeight w:val="352"/>
        </w:trPr>
        <w:tc>
          <w:tcPr>
            <w:tcW w:w="4520" w:type="dxa"/>
            <w:vAlign w:val="bottom"/>
            <w:tcBorders>
              <w:bottom w:val="single" w:sz="8" w:color="DBDBDB"/>
            </w:tcBorders>
            <w:gridSpan w:val="2"/>
            <w:shd w:val="clear" w:color="auto" w:fill="DBDBDB"/>
          </w:tcPr>
          <w:p>
            <w:pPr>
              <w:ind w:left="180"/>
              <w:spacing w:after="0"/>
              <w:rPr>
                <w:sz w:val="20"/>
                <w:szCs w:val="20"/>
                <w:color w:val="auto"/>
              </w:rPr>
            </w:pPr>
            <w:r>
              <w:rPr>
                <w:rFonts w:ascii="Arial" w:cs="Arial" w:eastAsia="Arial" w:hAnsi="Arial"/>
                <w:sz w:val="18"/>
                <w:szCs w:val="18"/>
                <w:color w:val="auto"/>
              </w:rPr>
              <w:t>Shares Held by Broker</w:t>
            </w:r>
          </w:p>
        </w:tc>
      </w:tr>
      <w:tr>
        <w:trPr>
          <w:trHeight w:val="218"/>
        </w:trPr>
        <w:tc>
          <w:tcPr>
            <w:tcW w:w="1540" w:type="dxa"/>
            <w:vAlign w:val="bottom"/>
            <w:tcBorders>
              <w:top w:val="single" w:sz="8" w:color="6D6D6D"/>
            </w:tcBorders>
            <w:shd w:val="clear" w:color="auto" w:fill="DBDBDB"/>
          </w:tcPr>
          <w:p>
            <w:pPr>
              <w:jc w:val="right"/>
              <w:ind w:right="170"/>
              <w:spacing w:after="0"/>
              <w:rPr>
                <w:sz w:val="20"/>
                <w:szCs w:val="20"/>
                <w:color w:val="auto"/>
              </w:rPr>
            </w:pPr>
            <w:r>
              <w:rPr>
                <w:rFonts w:ascii="Arial" w:cs="Arial" w:eastAsia="Arial" w:hAnsi="Arial"/>
                <w:sz w:val="18"/>
                <w:szCs w:val="18"/>
                <w:color w:val="auto"/>
              </w:rPr>
              <w:t>Contact</w:t>
            </w:r>
          </w:p>
        </w:tc>
        <w:tc>
          <w:tcPr>
            <w:tcW w:w="2980" w:type="dxa"/>
            <w:vAlign w:val="bottom"/>
            <w:tcBorders>
              <w:top w:val="single" w:sz="8" w:color="6D6D6D"/>
            </w:tcBorders>
            <w:shd w:val="clear" w:color="auto" w:fill="DBDBDB"/>
          </w:tcPr>
          <w:p>
            <w:pPr>
              <w:ind w:left="180"/>
              <w:spacing w:after="0"/>
              <w:rPr>
                <w:sz w:val="20"/>
                <w:szCs w:val="20"/>
                <w:color w:val="auto"/>
              </w:rPr>
            </w:pPr>
            <w:r>
              <w:rPr>
                <w:rFonts w:ascii="Arial" w:cs="Arial" w:eastAsia="Arial" w:hAnsi="Arial"/>
                <w:sz w:val="18"/>
                <w:szCs w:val="18"/>
                <w:color w:val="auto"/>
              </w:rPr>
              <w:t>Contact your bank, broker or other</w:t>
            </w:r>
          </w:p>
        </w:tc>
      </w:tr>
      <w:tr>
        <w:trPr>
          <w:trHeight w:val="239"/>
        </w:trPr>
        <w:tc>
          <w:tcPr>
            <w:tcW w:w="1540" w:type="dxa"/>
            <w:vAlign w:val="bottom"/>
            <w:shd w:val="clear" w:color="auto" w:fill="DBDBDB"/>
          </w:tcPr>
          <w:p>
            <w:pPr>
              <w:spacing w:after="0"/>
              <w:rPr>
                <w:sz w:val="20"/>
                <w:szCs w:val="20"/>
                <w:color w:val="auto"/>
              </w:rPr>
            </w:pPr>
          </w:p>
        </w:tc>
        <w:tc>
          <w:tcPr>
            <w:tcW w:w="2980" w:type="dxa"/>
            <w:vAlign w:val="bottom"/>
            <w:shd w:val="clear" w:color="auto" w:fill="DBDBDB"/>
          </w:tcPr>
          <w:p>
            <w:pPr>
              <w:ind w:left="180"/>
              <w:spacing w:after="0"/>
              <w:rPr>
                <w:sz w:val="20"/>
                <w:szCs w:val="20"/>
                <w:color w:val="auto"/>
              </w:rPr>
            </w:pPr>
            <w:r>
              <w:rPr>
                <w:rFonts w:ascii="Arial" w:cs="Arial" w:eastAsia="Arial" w:hAnsi="Arial"/>
                <w:sz w:val="18"/>
                <w:szCs w:val="18"/>
                <w:color w:val="auto"/>
              </w:rPr>
              <w:t>nominee</w:t>
            </w:r>
          </w:p>
        </w:tc>
      </w:tr>
      <w:tr>
        <w:trPr>
          <w:trHeight w:val="320"/>
        </w:trPr>
        <w:tc>
          <w:tcPr>
            <w:tcW w:w="1540" w:type="dxa"/>
            <w:vAlign w:val="bottom"/>
            <w:shd w:val="clear" w:color="auto" w:fill="DBDBDB"/>
          </w:tcPr>
          <w:p>
            <w:pPr>
              <w:spacing w:after="0"/>
              <w:rPr>
                <w:sz w:val="24"/>
                <w:szCs w:val="24"/>
                <w:color w:val="auto"/>
              </w:rPr>
            </w:pPr>
          </w:p>
        </w:tc>
        <w:tc>
          <w:tcPr>
            <w:tcW w:w="2980" w:type="dxa"/>
            <w:vAlign w:val="bottom"/>
            <w:shd w:val="clear" w:color="auto" w:fill="DBDBDB"/>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2">
            <w:col w:w="3900" w:space="300"/>
            <w:col w:w="5939"/>
          </w:cols>
          <w:pgMar w:left="320" w:top="76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157720" cy="42545"/>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type w:val="continuous"/>
        </w:sectPr>
      </w:pPr>
    </w:p>
    <w:bookmarkStart w:id="118" w:name="page119"/>
    <w:bookmarkEnd w:id="118"/>
    <w:p>
      <w:pPr>
        <w:ind w:right="920"/>
        <w:spacing w:after="0" w:line="276" w:lineRule="auto"/>
        <w:rPr>
          <w:sz w:val="20"/>
          <w:szCs w:val="20"/>
          <w:color w:val="auto"/>
        </w:rPr>
      </w:pPr>
      <w:r>
        <w:rPr>
          <w:rFonts w:ascii="Arial" w:cs="Arial" w:eastAsia="Arial" w:hAnsi="Arial"/>
          <w:sz w:val="32"/>
          <w:szCs w:val="32"/>
          <w:b w:val="1"/>
          <w:bCs w:val="1"/>
          <w:color w:val="D52B1E"/>
        </w:rPr>
        <w:t>Appendix A - Summary of Adjustments Related to the Annual Cash Bonus and Performance Award</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Consistent with past practice, the Talent and Compensation Committee adjusted the reported financial results on which the 2022 annual cash bonus and the 2021-2023 performance awards were determined to eliminate the distorting effect of certain unusual items on incentive compensation performance measures. The adjustments were intended to:</w:t>
      </w:r>
    </w:p>
    <w:p>
      <w:pPr>
        <w:spacing w:after="0" w:line="117" w:lineRule="exact"/>
        <w:rPr>
          <w:sz w:val="20"/>
          <w:szCs w:val="20"/>
          <w:color w:val="auto"/>
        </w:rPr>
      </w:pPr>
    </w:p>
    <w:p>
      <w:pPr>
        <w:ind w:left="640" w:hanging="308"/>
        <w:spacing w:after="0"/>
        <w:tabs>
          <w:tab w:leader="none" w:pos="640" w:val="left"/>
        </w:tabs>
        <w:numPr>
          <w:ilvl w:val="0"/>
          <w:numId w:val="221"/>
        </w:numPr>
        <w:rPr>
          <w:rFonts w:ascii="Arial" w:cs="Arial" w:eastAsia="Arial" w:hAnsi="Arial"/>
          <w:sz w:val="16"/>
          <w:szCs w:val="16"/>
          <w:color w:val="auto"/>
        </w:rPr>
      </w:pPr>
      <w:r>
        <w:rPr>
          <w:rFonts w:ascii="Arial" w:cs="Arial" w:eastAsia="Arial" w:hAnsi="Arial"/>
          <w:sz w:val="18"/>
          <w:szCs w:val="18"/>
          <w:color w:val="auto"/>
        </w:rPr>
        <w:t>align award payments with the underlying performance of the core business</w:t>
      </w:r>
    </w:p>
    <w:p>
      <w:pPr>
        <w:spacing w:after="0" w:line="171" w:lineRule="exact"/>
        <w:rPr>
          <w:rFonts w:ascii="Arial" w:cs="Arial" w:eastAsia="Arial" w:hAnsi="Arial"/>
          <w:sz w:val="16"/>
          <w:szCs w:val="16"/>
          <w:color w:val="auto"/>
        </w:rPr>
      </w:pPr>
    </w:p>
    <w:p>
      <w:pPr>
        <w:ind w:left="660" w:right="320" w:hanging="328"/>
        <w:spacing w:after="0" w:line="287" w:lineRule="auto"/>
        <w:tabs>
          <w:tab w:leader="none" w:pos="649" w:val="left"/>
        </w:tabs>
        <w:numPr>
          <w:ilvl w:val="0"/>
          <w:numId w:val="221"/>
        </w:numPr>
        <w:rPr>
          <w:rFonts w:ascii="Arial" w:cs="Arial" w:eastAsia="Arial" w:hAnsi="Arial"/>
          <w:sz w:val="16"/>
          <w:szCs w:val="16"/>
          <w:color w:val="auto"/>
        </w:rPr>
      </w:pPr>
      <w:r>
        <w:rPr>
          <w:rFonts w:ascii="Arial" w:cs="Arial" w:eastAsia="Arial" w:hAnsi="Arial"/>
          <w:sz w:val="18"/>
          <w:szCs w:val="18"/>
          <w:color w:val="auto"/>
        </w:rPr>
        <w:t>avoid volatile, artificial inflation or deflation of awards due to unusual items during any year in the performance period, and, where relevant, the previous (comparator) year</w:t>
      </w:r>
    </w:p>
    <w:p>
      <w:pPr>
        <w:spacing w:after="0" w:line="98" w:lineRule="exact"/>
        <w:rPr>
          <w:rFonts w:ascii="Arial" w:cs="Arial" w:eastAsia="Arial" w:hAnsi="Arial"/>
          <w:sz w:val="16"/>
          <w:szCs w:val="16"/>
          <w:color w:val="auto"/>
        </w:rPr>
      </w:pPr>
    </w:p>
    <w:p>
      <w:pPr>
        <w:ind w:left="660" w:right="420" w:hanging="328"/>
        <w:spacing w:after="0" w:line="287" w:lineRule="auto"/>
        <w:tabs>
          <w:tab w:leader="none" w:pos="649" w:val="left"/>
        </w:tabs>
        <w:numPr>
          <w:ilvl w:val="0"/>
          <w:numId w:val="221"/>
        </w:numPr>
        <w:rPr>
          <w:rFonts w:ascii="Arial" w:cs="Arial" w:eastAsia="Arial" w:hAnsi="Arial"/>
          <w:sz w:val="16"/>
          <w:szCs w:val="16"/>
          <w:color w:val="auto"/>
        </w:rPr>
      </w:pPr>
      <w:r>
        <w:rPr>
          <w:rFonts w:ascii="Arial" w:cs="Arial" w:eastAsia="Arial" w:hAnsi="Arial"/>
          <w:sz w:val="18"/>
          <w:szCs w:val="18"/>
          <w:color w:val="auto"/>
        </w:rPr>
        <w:t>eliminate certain counterproductive short-term incentives—for example, incentives to refrain from acquiring new technologies, to defer disposing of underutilized assets, or to defer settling legacy legal proceedings to protect current bonus payments</w:t>
      </w:r>
    </w:p>
    <w:p>
      <w:pPr>
        <w:spacing w:after="0" w:line="98" w:lineRule="exact"/>
        <w:rPr>
          <w:rFonts w:ascii="Arial" w:cs="Arial" w:eastAsia="Arial" w:hAnsi="Arial"/>
          <w:sz w:val="16"/>
          <w:szCs w:val="16"/>
          <w:color w:val="auto"/>
        </w:rPr>
      </w:pPr>
    </w:p>
    <w:p>
      <w:pPr>
        <w:ind w:left="640" w:hanging="308"/>
        <w:spacing w:after="0"/>
        <w:tabs>
          <w:tab w:leader="none" w:pos="640" w:val="left"/>
        </w:tabs>
        <w:numPr>
          <w:ilvl w:val="0"/>
          <w:numId w:val="221"/>
        </w:numPr>
        <w:rPr>
          <w:rFonts w:ascii="Arial" w:cs="Arial" w:eastAsia="Arial" w:hAnsi="Arial"/>
          <w:sz w:val="16"/>
          <w:szCs w:val="16"/>
          <w:color w:val="auto"/>
        </w:rPr>
      </w:pPr>
      <w:r>
        <w:rPr>
          <w:rFonts w:ascii="Arial" w:cs="Arial" w:eastAsia="Arial" w:hAnsi="Arial"/>
          <w:sz w:val="18"/>
          <w:szCs w:val="18"/>
          <w:color w:val="auto"/>
        </w:rPr>
        <w:t>facilitate comparisons with peer companies.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 ensure the integrity of the adjustments, the Talent and Compensation Committee reviews and approves adjustment guidelines at least annually. These guidelines are generally consistent with the company guidelines for reporting non-GAAP financial measures to the investment community, which are reviewed by the Audit Committee. The adjustments apply equally to income and expense items. The Talent and Compensation Committee reviews all adjustments and retains downward discretion (i.e., discretion to reduce compensation below the amounts that are yielded by the adjustment guidelines).</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Adjustments for 2022 Bonus Plan</w:t>
      </w:r>
    </w:p>
    <w:p>
      <w:pPr>
        <w:spacing w:after="0" w:line="69"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For 2022 bonus calculations, the Talent and Compensation Committee made the following adjustments to reported EPS consistent with our external reporting of non-GAAP financial measures:</w:t>
      </w:r>
    </w:p>
    <w:p>
      <w:pPr>
        <w:spacing w:after="0" w:line="99" w:lineRule="exact"/>
        <w:rPr>
          <w:sz w:val="20"/>
          <w:szCs w:val="20"/>
          <w:color w:val="auto"/>
        </w:rPr>
      </w:pPr>
    </w:p>
    <w:p>
      <w:pPr>
        <w:ind w:left="640" w:hanging="308"/>
        <w:spacing w:after="0"/>
        <w:tabs>
          <w:tab w:leader="none" w:pos="640" w:val="left"/>
        </w:tabs>
        <w:numPr>
          <w:ilvl w:val="0"/>
          <w:numId w:val="222"/>
        </w:numPr>
        <w:rPr>
          <w:rFonts w:ascii="Arial" w:cs="Arial" w:eastAsia="Arial" w:hAnsi="Arial"/>
          <w:sz w:val="16"/>
          <w:szCs w:val="16"/>
          <w:color w:val="auto"/>
        </w:rPr>
      </w:pPr>
      <w:r>
        <w:rPr>
          <w:rFonts w:ascii="Arial" w:cs="Arial" w:eastAsia="Arial" w:hAnsi="Arial"/>
          <w:sz w:val="18"/>
          <w:szCs w:val="18"/>
          <w:color w:val="auto"/>
        </w:rPr>
        <w:t>Eliminated the impact of amortization of intangible assets</w:t>
      </w:r>
    </w:p>
    <w:p>
      <w:pPr>
        <w:spacing w:after="0" w:line="171" w:lineRule="exact"/>
        <w:rPr>
          <w:rFonts w:ascii="Arial" w:cs="Arial" w:eastAsia="Arial" w:hAnsi="Arial"/>
          <w:sz w:val="16"/>
          <w:szCs w:val="16"/>
          <w:color w:val="auto"/>
        </w:rPr>
      </w:pPr>
    </w:p>
    <w:p>
      <w:pPr>
        <w:ind w:left="640" w:hanging="308"/>
        <w:spacing w:after="0"/>
        <w:tabs>
          <w:tab w:leader="none" w:pos="640" w:val="left"/>
        </w:tabs>
        <w:numPr>
          <w:ilvl w:val="0"/>
          <w:numId w:val="222"/>
        </w:numPr>
        <w:rPr>
          <w:rFonts w:ascii="Arial" w:cs="Arial" w:eastAsia="Arial" w:hAnsi="Arial"/>
          <w:sz w:val="16"/>
          <w:szCs w:val="16"/>
          <w:color w:val="auto"/>
        </w:rPr>
      </w:pPr>
      <w:r>
        <w:rPr>
          <w:rFonts w:ascii="Arial" w:cs="Arial" w:eastAsia="Arial" w:hAnsi="Arial"/>
          <w:sz w:val="18"/>
          <w:szCs w:val="18"/>
          <w:color w:val="auto"/>
        </w:rPr>
        <w:t>Eliminated the impact of asset impairments, restructuring, and other special charges</w:t>
      </w:r>
    </w:p>
    <w:p>
      <w:pPr>
        <w:spacing w:after="0" w:line="171" w:lineRule="exact"/>
        <w:rPr>
          <w:rFonts w:ascii="Arial" w:cs="Arial" w:eastAsia="Arial" w:hAnsi="Arial"/>
          <w:sz w:val="16"/>
          <w:szCs w:val="16"/>
          <w:color w:val="auto"/>
        </w:rPr>
      </w:pPr>
    </w:p>
    <w:p>
      <w:pPr>
        <w:ind w:left="640" w:hanging="308"/>
        <w:spacing w:after="0"/>
        <w:tabs>
          <w:tab w:leader="none" w:pos="640" w:val="left"/>
        </w:tabs>
        <w:numPr>
          <w:ilvl w:val="0"/>
          <w:numId w:val="222"/>
        </w:numPr>
        <w:rPr>
          <w:rFonts w:ascii="Arial" w:cs="Arial" w:eastAsia="Arial" w:hAnsi="Arial"/>
          <w:sz w:val="16"/>
          <w:szCs w:val="16"/>
          <w:color w:val="auto"/>
        </w:rPr>
      </w:pPr>
      <w:r>
        <w:rPr>
          <w:rFonts w:ascii="Arial" w:cs="Arial" w:eastAsia="Arial" w:hAnsi="Arial"/>
          <w:sz w:val="18"/>
          <w:szCs w:val="18"/>
          <w:color w:val="auto"/>
        </w:rPr>
        <w:t>Eliminated the impact of net gains and losses on investments in equity securities</w:t>
      </w:r>
    </w:p>
    <w:p>
      <w:pPr>
        <w:spacing w:after="0" w:line="171"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In addition to the adjustments consistent with our reporting of non-GAAP financial measures, the Talent and Compensation Committee made the following adjustments:</w:t>
      </w:r>
    </w:p>
    <w:p>
      <w:pPr>
        <w:spacing w:after="0" w:line="99" w:lineRule="exact"/>
        <w:rPr>
          <w:sz w:val="20"/>
          <w:szCs w:val="20"/>
          <w:color w:val="auto"/>
        </w:rPr>
      </w:pPr>
    </w:p>
    <w:p>
      <w:pPr>
        <w:ind w:left="660" w:right="100" w:hanging="328"/>
        <w:spacing w:after="0" w:line="255" w:lineRule="auto"/>
        <w:tabs>
          <w:tab w:leader="none" w:pos="649" w:val="left"/>
        </w:tabs>
        <w:numPr>
          <w:ilvl w:val="0"/>
          <w:numId w:val="223"/>
        </w:numPr>
        <w:rPr>
          <w:rFonts w:ascii="Arial" w:cs="Arial" w:eastAsia="Arial" w:hAnsi="Arial"/>
          <w:sz w:val="16"/>
          <w:szCs w:val="16"/>
          <w:color w:val="auto"/>
        </w:rPr>
      </w:pPr>
      <w:r>
        <w:rPr>
          <w:rFonts w:ascii="Arial" w:cs="Arial" w:eastAsia="Arial" w:hAnsi="Arial"/>
          <w:sz w:val="18"/>
          <w:szCs w:val="18"/>
          <w:color w:val="auto"/>
        </w:rPr>
        <w:t>Eliminated the impact of acquired in-process research and development (IPR&amp;D) and development milestone charges. When the Talent and Compensation Committee set 2022 bonus targets, the Earnings Per Share (EPS) target included estimated development milestone charges but did not include estimated acquired IPR&amp;D charges for potential business development transactions. Concurrent with the company’s changes to the presentation of acquired IPR&amp;D and development milestone charges for purposes of non-GAAP EPS measures, the Talent and Compensation Committee subsequently adopted a policy to eliminate acquired IPR&amp;D and development milestone charges from EPS for compensation purposes. To avoid eliminating charges that were included in the EPS target, the eliminated acquired IPR&amp;D and development milestone charges were adjusted by the development milestone charges in the EPS target.</w:t>
      </w:r>
    </w:p>
    <w:p>
      <w:pPr>
        <w:spacing w:after="0" w:line="130" w:lineRule="exact"/>
        <w:rPr>
          <w:rFonts w:ascii="Arial" w:cs="Arial" w:eastAsia="Arial" w:hAnsi="Arial"/>
          <w:sz w:val="16"/>
          <w:szCs w:val="16"/>
          <w:color w:val="auto"/>
        </w:rPr>
      </w:pPr>
    </w:p>
    <w:p>
      <w:pPr>
        <w:ind w:left="660" w:right="620" w:hanging="328"/>
        <w:spacing w:after="0" w:line="287" w:lineRule="auto"/>
        <w:tabs>
          <w:tab w:leader="none" w:pos="649" w:val="left"/>
        </w:tabs>
        <w:numPr>
          <w:ilvl w:val="0"/>
          <w:numId w:val="223"/>
        </w:numPr>
        <w:rPr>
          <w:rFonts w:ascii="Arial" w:cs="Arial" w:eastAsia="Arial" w:hAnsi="Arial"/>
          <w:sz w:val="16"/>
          <w:szCs w:val="16"/>
          <w:color w:val="auto"/>
        </w:rPr>
      </w:pPr>
      <w:r>
        <w:rPr>
          <w:rFonts w:ascii="Arial" w:cs="Arial" w:eastAsia="Arial" w:hAnsi="Arial"/>
          <w:sz w:val="18"/>
          <w:szCs w:val="18"/>
          <w:color w:val="auto"/>
        </w:rPr>
        <w:t>Eliminated the Revenue and EPS impacts of foreign exchange rates in excess of a pre-determined tolerable ranges that were approved by the Talent and Compensation Committee at the beginning of the year.</w:t>
      </w:r>
    </w:p>
    <w:p>
      <w:pPr>
        <w:spacing w:after="0" w:line="98" w:lineRule="exact"/>
        <w:rPr>
          <w:rFonts w:ascii="Arial" w:cs="Arial" w:eastAsia="Arial" w:hAnsi="Arial"/>
          <w:sz w:val="16"/>
          <w:szCs w:val="16"/>
          <w:color w:val="auto"/>
        </w:rPr>
      </w:pPr>
    </w:p>
    <w:p>
      <w:pPr>
        <w:ind w:left="660" w:right="200" w:hanging="328"/>
        <w:spacing w:after="0" w:line="257" w:lineRule="auto"/>
        <w:tabs>
          <w:tab w:leader="none" w:pos="649" w:val="left"/>
        </w:tabs>
        <w:numPr>
          <w:ilvl w:val="0"/>
          <w:numId w:val="223"/>
        </w:numPr>
        <w:rPr>
          <w:rFonts w:ascii="Arial" w:cs="Arial" w:eastAsia="Arial" w:hAnsi="Arial"/>
          <w:sz w:val="16"/>
          <w:szCs w:val="16"/>
          <w:color w:val="auto"/>
        </w:rPr>
      </w:pPr>
      <w:r>
        <w:rPr>
          <w:rFonts w:ascii="Arial" w:cs="Arial" w:eastAsia="Arial" w:hAnsi="Arial"/>
          <w:sz w:val="18"/>
          <w:szCs w:val="18"/>
          <w:color w:val="auto"/>
        </w:rPr>
        <w:t>The company’s 2022 financial results include a favorable impact related to implementation of the provision of the 2017 Tax Act that requires capitalization and amortization of research and development expenses for tax purposes. When the Talent and Compensation Committee set 2022 bonus targets, the EPS target included an assumption that this provision of the 2017 Tax Act would be deferred or repealed by Congress effective for 2022. The year ended without a deferral or repeal of the provision by Congress, resulting in lower tax expense for the company. The Talent and Compensation Committee eliminated the beneficial EPS impact associated with this item for the purposes of the bonus calculation.</w:t>
      </w:r>
    </w:p>
    <w:p>
      <w:pPr>
        <w:sectPr>
          <w:pgSz w:w="11900" w:h="16838" w:orient="portrait"/>
          <w:cols w:equalWidth="0" w:num="1">
            <w:col w:w="11240"/>
          </w:cols>
          <w:pgMar w:left="320" w:top="1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8"/>
          <w:szCs w:val="18"/>
          <w:color w:val="auto"/>
        </w:rPr>
        <w:t>A reconciliation of adjustments to our reported revenue is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2022</w:t>
            </w:r>
          </w:p>
        </w:tc>
        <w:tc>
          <w:tcPr>
            <w:tcW w:w="40" w:type="dxa"/>
            <w:vAlign w:val="bottom"/>
          </w:tcPr>
          <w:p>
            <w:pPr>
              <w:spacing w:after="0"/>
              <w:rPr>
                <w:sz w:val="16"/>
                <w:szCs w:val="16"/>
                <w:color w:val="auto"/>
              </w:rPr>
            </w:pPr>
          </w:p>
        </w:tc>
      </w:tr>
      <w:tr>
        <w:trPr>
          <w:trHeight w:val="29"/>
        </w:trPr>
        <w:tc>
          <w:tcPr>
            <w:tcW w:w="6980" w:type="dxa"/>
            <w:vAlign w:val="bottom"/>
            <w:tcBorders>
              <w:bottom w:val="single" w:sz="8" w:color="auto"/>
            </w:tcBorders>
            <w:gridSpan w:val="2"/>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41"/>
        </w:trPr>
        <w:tc>
          <w:tcPr>
            <w:tcW w:w="698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 as reported</w:t>
            </w:r>
          </w:p>
        </w:tc>
        <w:tc>
          <w:tcPr>
            <w:tcW w:w="1840" w:type="dxa"/>
            <w:vAlign w:val="bottom"/>
          </w:tcPr>
          <w:p>
            <w:pPr>
              <w:jc w:val="right"/>
              <w:spacing w:after="0"/>
              <w:rPr>
                <w:sz w:val="20"/>
                <w:szCs w:val="20"/>
                <w:color w:val="auto"/>
              </w:rPr>
            </w:pPr>
            <w:r>
              <w:rPr>
                <w:rFonts w:ascii="Arial" w:cs="Arial" w:eastAsia="Arial" w:hAnsi="Arial"/>
                <w:sz w:val="14"/>
                <w:szCs w:val="14"/>
                <w:b w:val="1"/>
                <w:bCs w:val="1"/>
                <w:color w:val="auto"/>
              </w:rPr>
              <w:t>$28,541.4</w:t>
            </w:r>
          </w:p>
        </w:tc>
        <w:tc>
          <w:tcPr>
            <w:tcW w:w="40" w:type="dxa"/>
            <w:vAlign w:val="bottom"/>
          </w:tcPr>
          <w:p>
            <w:pPr>
              <w:spacing w:after="0"/>
              <w:rPr>
                <w:sz w:val="20"/>
                <w:szCs w:val="20"/>
                <w:color w:val="auto"/>
              </w:rPr>
            </w:pPr>
          </w:p>
        </w:tc>
      </w:tr>
      <w:tr>
        <w:trPr>
          <w:trHeight w:val="279"/>
        </w:trPr>
        <w:tc>
          <w:tcPr>
            <w:tcW w:w="6820" w:type="dxa"/>
            <w:vAlign w:val="bottom"/>
          </w:tcPr>
          <w:p>
            <w:pPr>
              <w:ind w:left="20"/>
              <w:spacing w:after="0"/>
              <w:rPr>
                <w:sz w:val="20"/>
                <w:szCs w:val="20"/>
                <w:color w:val="auto"/>
              </w:rPr>
            </w:pPr>
            <w:r>
              <w:rPr>
                <w:rFonts w:ascii="Arial" w:cs="Arial" w:eastAsia="Arial" w:hAnsi="Arial"/>
                <w:sz w:val="14"/>
                <w:szCs w:val="14"/>
                <w:color w:val="auto"/>
              </w:rPr>
              <w:t>Foreign exchange rate impact in excess of pre-determined tolerable range</w:t>
            </w:r>
          </w:p>
        </w:tc>
        <w:tc>
          <w:tcPr>
            <w:tcW w:w="1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240.2</w:t>
            </w:r>
          </w:p>
        </w:tc>
        <w:tc>
          <w:tcPr>
            <w:tcW w:w="40" w:type="dxa"/>
            <w:vAlign w:val="bottom"/>
          </w:tcPr>
          <w:p>
            <w:pPr>
              <w:spacing w:after="0"/>
              <w:rPr>
                <w:sz w:val="24"/>
                <w:szCs w:val="24"/>
                <w:color w:val="auto"/>
              </w:rPr>
            </w:pPr>
          </w:p>
        </w:tc>
      </w:tr>
      <w:tr>
        <w:trPr>
          <w:trHeight w:val="241"/>
        </w:trPr>
        <w:tc>
          <w:tcPr>
            <w:tcW w:w="698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revenue</w:t>
            </w:r>
          </w:p>
        </w:tc>
        <w:tc>
          <w:tcPr>
            <w:tcW w:w="1840" w:type="dxa"/>
            <w:vAlign w:val="bottom"/>
          </w:tcPr>
          <w:p>
            <w:pPr>
              <w:jc w:val="right"/>
              <w:spacing w:after="0"/>
              <w:rPr>
                <w:sz w:val="20"/>
                <w:szCs w:val="20"/>
                <w:color w:val="auto"/>
              </w:rPr>
            </w:pPr>
            <w:r>
              <w:rPr>
                <w:rFonts w:ascii="Arial" w:cs="Arial" w:eastAsia="Arial" w:hAnsi="Arial"/>
                <w:sz w:val="14"/>
                <w:szCs w:val="14"/>
                <w:b w:val="1"/>
                <w:bCs w:val="1"/>
                <w:color w:val="auto"/>
              </w:rPr>
              <w:t>$28,781.6</w:t>
            </w:r>
          </w:p>
        </w:tc>
        <w:tc>
          <w:tcPr>
            <w:tcW w:w="40" w:type="dxa"/>
            <w:vAlign w:val="bottom"/>
          </w:tcPr>
          <w:p>
            <w:pPr>
              <w:spacing w:after="0"/>
              <w:rPr>
                <w:sz w:val="20"/>
                <w:szCs w:val="20"/>
                <w:color w:val="auto"/>
              </w:rPr>
            </w:pPr>
          </w:p>
        </w:tc>
      </w:tr>
      <w:tr>
        <w:trPr>
          <w:trHeight w:val="438"/>
        </w:trPr>
        <w:tc>
          <w:tcPr>
            <w:tcW w:w="6980" w:type="dxa"/>
            <w:vAlign w:val="bottom"/>
            <w:gridSpan w:val="2"/>
          </w:tcPr>
          <w:p>
            <w:pPr>
              <w:spacing w:after="0"/>
              <w:rPr>
                <w:sz w:val="20"/>
                <w:szCs w:val="20"/>
                <w:color w:val="auto"/>
              </w:rPr>
            </w:pPr>
            <w:r>
              <w:rPr>
                <w:rFonts w:ascii="Arial" w:cs="Arial" w:eastAsia="Arial" w:hAnsi="Arial"/>
                <w:sz w:val="18"/>
                <w:szCs w:val="18"/>
                <w:color w:val="auto"/>
              </w:rPr>
              <w:t>A reconciliation of adjustments to our reported EPS is below:</w:t>
            </w: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3"/>
        </w:trPr>
        <w:tc>
          <w:tcPr>
            <w:tcW w:w="6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4"/>
                <w:szCs w:val="14"/>
                <w:color w:val="auto"/>
              </w:rPr>
              <w:t>2022</w:t>
            </w:r>
          </w:p>
        </w:tc>
      </w:tr>
      <w:tr>
        <w:trPr>
          <w:trHeight w:val="22"/>
        </w:trPr>
        <w:tc>
          <w:tcPr>
            <w:tcW w:w="6980" w:type="dxa"/>
            <w:vAlign w:val="bottom"/>
            <w:tcBorders>
              <w:bottom w:val="single" w:sz="8" w:color="auto"/>
            </w:tcBorders>
            <w:gridSpan w:val="2"/>
          </w:tcPr>
          <w:p>
            <w:pPr>
              <w:spacing w:after="0" w:line="20" w:lineRule="exact"/>
              <w:rPr>
                <w:sz w:val="1"/>
                <w:szCs w:val="1"/>
                <w:color w:val="auto"/>
              </w:rPr>
            </w:pPr>
          </w:p>
        </w:tc>
        <w:tc>
          <w:tcPr>
            <w:tcW w:w="1880" w:type="dxa"/>
            <w:vAlign w:val="bottom"/>
            <w:tcBorders>
              <w:bottom w:val="single" w:sz="8" w:color="auto"/>
            </w:tcBorders>
            <w:gridSpan w:val="2"/>
          </w:tcPr>
          <w:p>
            <w:pPr>
              <w:spacing w:after="0" w:line="20" w:lineRule="exact"/>
              <w:rPr>
                <w:sz w:val="1"/>
                <w:szCs w:val="1"/>
                <w:color w:val="auto"/>
              </w:rPr>
            </w:pPr>
          </w:p>
        </w:tc>
      </w:tr>
      <w:tr>
        <w:trPr>
          <w:trHeight w:val="221"/>
        </w:trPr>
        <w:tc>
          <w:tcPr>
            <w:tcW w:w="6980" w:type="dxa"/>
            <w:vAlign w:val="bottom"/>
            <w:gridSpan w:val="2"/>
          </w:tcPr>
          <w:p>
            <w:pPr>
              <w:ind w:left="20"/>
              <w:spacing w:after="0"/>
              <w:rPr>
                <w:sz w:val="20"/>
                <w:szCs w:val="20"/>
                <w:color w:val="auto"/>
              </w:rPr>
            </w:pPr>
            <w:r>
              <w:rPr>
                <w:rFonts w:ascii="Arial" w:cs="Arial" w:eastAsia="Arial" w:hAnsi="Arial"/>
                <w:sz w:val="14"/>
                <w:szCs w:val="14"/>
                <w:b w:val="1"/>
                <w:bCs w:val="1"/>
                <w:color w:val="auto"/>
              </w:rPr>
              <w:t>EPS as reported</w:t>
            </w:r>
          </w:p>
        </w:tc>
        <w:tc>
          <w:tcPr>
            <w:tcW w:w="18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$6.90</w:t>
            </w:r>
          </w:p>
        </w:tc>
      </w:tr>
      <w:tr>
        <w:trPr>
          <w:trHeight w:val="224"/>
        </w:trPr>
        <w:tc>
          <w:tcPr>
            <w:tcW w:w="6980" w:type="dxa"/>
            <w:vAlign w:val="bottom"/>
            <w:gridSpan w:val="2"/>
          </w:tcPr>
          <w:p>
            <w:pPr>
              <w:ind w:left="20"/>
              <w:spacing w:after="0"/>
              <w:rPr>
                <w:sz w:val="20"/>
                <w:szCs w:val="20"/>
                <w:color w:val="auto"/>
              </w:rPr>
            </w:pPr>
            <w:r>
              <w:rPr>
                <w:rFonts w:ascii="Arial" w:cs="Arial" w:eastAsia="Arial" w:hAnsi="Arial"/>
                <w:sz w:val="14"/>
                <w:szCs w:val="14"/>
                <w:color w:val="auto"/>
              </w:rPr>
              <w:t>Amortization of intangible assets</w:t>
            </w:r>
          </w:p>
        </w:tc>
        <w:tc>
          <w:tcPr>
            <w:tcW w:w="1880" w:type="dxa"/>
            <w:vAlign w:val="bottom"/>
            <w:gridSpan w:val="2"/>
          </w:tcPr>
          <w:p>
            <w:pPr>
              <w:jc w:val="right"/>
              <w:ind w:right="20"/>
              <w:spacing w:after="0"/>
              <w:rPr>
                <w:sz w:val="20"/>
                <w:szCs w:val="20"/>
                <w:color w:val="auto"/>
              </w:rPr>
            </w:pPr>
            <w:r>
              <w:rPr>
                <w:rFonts w:ascii="Arial" w:cs="Arial" w:eastAsia="Arial" w:hAnsi="Arial"/>
                <w:sz w:val="14"/>
                <w:szCs w:val="14"/>
                <w:color w:val="auto"/>
              </w:rPr>
              <w:t>0.50</w:t>
            </w:r>
          </w:p>
        </w:tc>
      </w:tr>
      <w:tr>
        <w:trPr>
          <w:trHeight w:val="229"/>
        </w:trPr>
        <w:tc>
          <w:tcPr>
            <w:tcW w:w="6980" w:type="dxa"/>
            <w:vAlign w:val="bottom"/>
            <w:gridSpan w:val="2"/>
          </w:tcPr>
          <w:p>
            <w:pPr>
              <w:ind w:left="20"/>
              <w:spacing w:after="0"/>
              <w:rPr>
                <w:sz w:val="20"/>
                <w:szCs w:val="20"/>
                <w:color w:val="auto"/>
              </w:rPr>
            </w:pPr>
            <w:r>
              <w:rPr>
                <w:rFonts w:ascii="Arial" w:cs="Arial" w:eastAsia="Arial" w:hAnsi="Arial"/>
                <w:sz w:val="14"/>
                <w:szCs w:val="14"/>
                <w:color w:val="auto"/>
              </w:rPr>
              <w:t>Asset impairments, restructuring, and other special charges</w:t>
            </w:r>
          </w:p>
        </w:tc>
        <w:tc>
          <w:tcPr>
            <w:tcW w:w="1880" w:type="dxa"/>
            <w:vAlign w:val="bottom"/>
            <w:gridSpan w:val="2"/>
          </w:tcPr>
          <w:p>
            <w:pPr>
              <w:jc w:val="right"/>
              <w:ind w:right="20"/>
              <w:spacing w:after="0"/>
              <w:rPr>
                <w:sz w:val="20"/>
                <w:szCs w:val="20"/>
                <w:color w:val="auto"/>
              </w:rPr>
            </w:pPr>
            <w:r>
              <w:rPr>
                <w:rFonts w:ascii="Arial" w:cs="Arial" w:eastAsia="Arial" w:hAnsi="Arial"/>
                <w:sz w:val="14"/>
                <w:szCs w:val="14"/>
                <w:color w:val="auto"/>
              </w:rPr>
              <w:t>0.21</w:t>
            </w:r>
          </w:p>
        </w:tc>
      </w:tr>
      <w:tr>
        <w:trPr>
          <w:trHeight w:val="230"/>
        </w:trPr>
        <w:tc>
          <w:tcPr>
            <w:tcW w:w="6980" w:type="dxa"/>
            <w:vAlign w:val="bottom"/>
            <w:gridSpan w:val="2"/>
          </w:tcPr>
          <w:p>
            <w:pPr>
              <w:ind w:left="20"/>
              <w:spacing w:after="0"/>
              <w:rPr>
                <w:sz w:val="20"/>
                <w:szCs w:val="20"/>
                <w:color w:val="auto"/>
              </w:rPr>
            </w:pPr>
            <w:r>
              <w:rPr>
                <w:rFonts w:ascii="Arial" w:cs="Arial" w:eastAsia="Arial" w:hAnsi="Arial"/>
                <w:sz w:val="14"/>
                <w:szCs w:val="14"/>
                <w:color w:val="auto"/>
              </w:rPr>
              <w:t>Net losses on investments in equity securities</w:t>
            </w:r>
          </w:p>
        </w:tc>
        <w:tc>
          <w:tcPr>
            <w:tcW w:w="1880" w:type="dxa"/>
            <w:vAlign w:val="bottom"/>
            <w:gridSpan w:val="2"/>
          </w:tcPr>
          <w:p>
            <w:pPr>
              <w:jc w:val="right"/>
              <w:ind w:right="20"/>
              <w:spacing w:after="0"/>
              <w:rPr>
                <w:sz w:val="20"/>
                <w:szCs w:val="20"/>
                <w:color w:val="auto"/>
              </w:rPr>
            </w:pPr>
            <w:r>
              <w:rPr>
                <w:rFonts w:ascii="Arial" w:cs="Arial" w:eastAsia="Arial" w:hAnsi="Arial"/>
                <w:sz w:val="14"/>
                <w:szCs w:val="14"/>
                <w:color w:val="auto"/>
              </w:rPr>
              <w:t>0.33</w:t>
            </w:r>
          </w:p>
        </w:tc>
      </w:tr>
      <w:tr>
        <w:trPr>
          <w:trHeight w:val="22"/>
        </w:trPr>
        <w:tc>
          <w:tcPr>
            <w:tcW w:w="6980" w:type="dxa"/>
            <w:vAlign w:val="bottom"/>
            <w:gridSpan w:val="2"/>
          </w:tcPr>
          <w:p>
            <w:pPr>
              <w:spacing w:after="0" w:line="20" w:lineRule="exact"/>
              <w:rPr>
                <w:sz w:val="1"/>
                <w:szCs w:val="1"/>
                <w:color w:val="auto"/>
              </w:rPr>
            </w:pPr>
          </w:p>
        </w:tc>
        <w:tc>
          <w:tcPr>
            <w:tcW w:w="1880" w:type="dxa"/>
            <w:vAlign w:val="bottom"/>
            <w:tcBorders>
              <w:bottom w:val="single" w:sz="8" w:color="auto"/>
            </w:tcBorders>
            <w:gridSpan w:val="2"/>
          </w:tcPr>
          <w:p>
            <w:pPr>
              <w:spacing w:after="0" w:line="20" w:lineRule="exact"/>
              <w:rPr>
                <w:sz w:val="1"/>
                <w:szCs w:val="1"/>
                <w:color w:val="auto"/>
              </w:rPr>
            </w:pPr>
          </w:p>
        </w:tc>
      </w:tr>
      <w:tr>
        <w:trPr>
          <w:trHeight w:val="207"/>
        </w:trPr>
        <w:tc>
          <w:tcPr>
            <w:tcW w:w="6980" w:type="dxa"/>
            <w:vAlign w:val="bottom"/>
            <w:gridSpan w:val="2"/>
          </w:tcPr>
          <w:p>
            <w:pPr>
              <w:ind w:left="20"/>
              <w:spacing w:after="0"/>
              <w:rPr>
                <w:sz w:val="20"/>
                <w:szCs w:val="20"/>
                <w:color w:val="auto"/>
              </w:rPr>
            </w:pPr>
            <w:r>
              <w:rPr>
                <w:rFonts w:ascii="Arial" w:cs="Arial" w:eastAsia="Arial" w:hAnsi="Arial"/>
                <w:sz w:val="14"/>
                <w:szCs w:val="14"/>
                <w:b w:val="1"/>
                <w:bCs w:val="1"/>
                <w:color w:val="auto"/>
              </w:rPr>
              <w:t>Non-GAAP EPS</w:t>
            </w:r>
          </w:p>
        </w:tc>
        <w:tc>
          <w:tcPr>
            <w:tcW w:w="18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7.94</w:t>
            </w:r>
          </w:p>
        </w:tc>
      </w:tr>
      <w:tr>
        <w:trPr>
          <w:trHeight w:val="182"/>
        </w:trPr>
        <w:tc>
          <w:tcPr>
            <w:tcW w:w="6980" w:type="dxa"/>
            <w:vAlign w:val="bottom"/>
            <w:gridSpan w:val="2"/>
          </w:tcPr>
          <w:p>
            <w:pPr>
              <w:ind w:left="20"/>
              <w:spacing w:after="0"/>
              <w:rPr>
                <w:sz w:val="20"/>
                <w:szCs w:val="20"/>
                <w:color w:val="auto"/>
              </w:rPr>
            </w:pPr>
            <w:r>
              <w:rPr>
                <w:rFonts w:ascii="Arial" w:cs="Arial" w:eastAsia="Arial" w:hAnsi="Arial"/>
                <w:sz w:val="14"/>
                <w:szCs w:val="14"/>
                <w:color w:val="auto"/>
              </w:rPr>
              <w:t>Acquired IPR&amp;D and development milestone charges ($0.90), net of development milestone charges in EPS</w:t>
            </w: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0"/>
        </w:trPr>
        <w:tc>
          <w:tcPr>
            <w:tcW w:w="6980" w:type="dxa"/>
            <w:vAlign w:val="bottom"/>
            <w:gridSpan w:val="2"/>
          </w:tcPr>
          <w:p>
            <w:pPr>
              <w:ind w:left="20"/>
              <w:spacing w:after="0"/>
              <w:rPr>
                <w:sz w:val="20"/>
                <w:szCs w:val="20"/>
                <w:color w:val="auto"/>
              </w:rPr>
            </w:pPr>
            <w:r>
              <w:rPr>
                <w:rFonts w:ascii="Arial" w:cs="Arial" w:eastAsia="Arial" w:hAnsi="Arial"/>
                <w:sz w:val="14"/>
                <w:szCs w:val="14"/>
                <w:color w:val="auto"/>
              </w:rPr>
              <w:t>target ($0.13)</w:t>
            </w:r>
          </w:p>
        </w:tc>
        <w:tc>
          <w:tcPr>
            <w:tcW w:w="1880" w:type="dxa"/>
            <w:vAlign w:val="bottom"/>
            <w:gridSpan w:val="2"/>
          </w:tcPr>
          <w:p>
            <w:pPr>
              <w:jc w:val="right"/>
              <w:ind w:right="20"/>
              <w:spacing w:after="0"/>
              <w:rPr>
                <w:sz w:val="20"/>
                <w:szCs w:val="20"/>
                <w:color w:val="auto"/>
              </w:rPr>
            </w:pPr>
            <w:r>
              <w:rPr>
                <w:rFonts w:ascii="Arial" w:cs="Arial" w:eastAsia="Arial" w:hAnsi="Arial"/>
                <w:sz w:val="14"/>
                <w:szCs w:val="14"/>
                <w:color w:val="auto"/>
              </w:rPr>
              <w:t>0.77</w:t>
            </w:r>
          </w:p>
        </w:tc>
      </w:tr>
      <w:tr>
        <w:trPr>
          <w:trHeight w:val="229"/>
        </w:trPr>
        <w:tc>
          <w:tcPr>
            <w:tcW w:w="6980" w:type="dxa"/>
            <w:vAlign w:val="bottom"/>
            <w:gridSpan w:val="2"/>
          </w:tcPr>
          <w:p>
            <w:pPr>
              <w:ind w:left="20"/>
              <w:spacing w:after="0"/>
              <w:rPr>
                <w:sz w:val="20"/>
                <w:szCs w:val="20"/>
                <w:color w:val="auto"/>
              </w:rPr>
            </w:pPr>
            <w:r>
              <w:rPr>
                <w:rFonts w:ascii="Arial" w:cs="Arial" w:eastAsia="Arial" w:hAnsi="Arial"/>
                <w:sz w:val="14"/>
                <w:szCs w:val="14"/>
                <w:color w:val="auto"/>
              </w:rPr>
              <w:t>Foreign exchange rate impact in excess of pre-determined tolerable range</w:t>
            </w:r>
          </w:p>
        </w:tc>
        <w:tc>
          <w:tcPr>
            <w:tcW w:w="1880" w:type="dxa"/>
            <w:vAlign w:val="bottom"/>
            <w:gridSpan w:val="2"/>
          </w:tcPr>
          <w:p>
            <w:pPr>
              <w:jc w:val="right"/>
              <w:ind w:right="20"/>
              <w:spacing w:after="0"/>
              <w:rPr>
                <w:sz w:val="20"/>
                <w:szCs w:val="20"/>
                <w:color w:val="auto"/>
              </w:rPr>
            </w:pPr>
            <w:r>
              <w:rPr>
                <w:rFonts w:ascii="Arial" w:cs="Arial" w:eastAsia="Arial" w:hAnsi="Arial"/>
                <w:sz w:val="14"/>
                <w:szCs w:val="14"/>
                <w:color w:val="auto"/>
              </w:rPr>
              <w:t>0.17</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4"/>
                <w:szCs w:val="14"/>
                <w:color w:val="auto"/>
              </w:rPr>
              <w:t>Tax legislation impact</w:t>
            </w:r>
          </w:p>
        </w:tc>
        <w:tc>
          <w:tcPr>
            <w:tcW w:w="1880" w:type="dxa"/>
            <w:vAlign w:val="bottom"/>
            <w:gridSpan w:val="2"/>
          </w:tcPr>
          <w:p>
            <w:pPr>
              <w:jc w:val="right"/>
              <w:ind w:right="20"/>
              <w:spacing w:after="0"/>
              <w:rPr>
                <w:sz w:val="20"/>
                <w:szCs w:val="20"/>
                <w:color w:val="auto"/>
              </w:rPr>
            </w:pPr>
            <w:r>
              <w:rPr>
                <w:rFonts w:ascii="Arial" w:cs="Arial" w:eastAsia="Arial" w:hAnsi="Arial"/>
                <w:sz w:val="14"/>
                <w:szCs w:val="14"/>
                <w:color w:val="auto"/>
              </w:rPr>
              <w:t>(0.33)</w:t>
            </w:r>
          </w:p>
        </w:tc>
      </w:tr>
      <w:tr>
        <w:trPr>
          <w:trHeight w:val="22"/>
        </w:trPr>
        <w:tc>
          <w:tcPr>
            <w:tcW w:w="6980" w:type="dxa"/>
            <w:vAlign w:val="bottom"/>
            <w:gridSpan w:val="2"/>
          </w:tcPr>
          <w:p>
            <w:pPr>
              <w:spacing w:after="0" w:line="20" w:lineRule="exact"/>
              <w:rPr>
                <w:sz w:val="1"/>
                <w:szCs w:val="1"/>
                <w:color w:val="auto"/>
              </w:rPr>
            </w:pPr>
          </w:p>
        </w:tc>
        <w:tc>
          <w:tcPr>
            <w:tcW w:w="1880" w:type="dxa"/>
            <w:vAlign w:val="bottom"/>
            <w:tcBorders>
              <w:bottom w:val="single" w:sz="8" w:color="auto"/>
            </w:tcBorders>
            <w:gridSpan w:val="2"/>
          </w:tcPr>
          <w:p>
            <w:pPr>
              <w:spacing w:after="0" w:line="20" w:lineRule="exact"/>
              <w:rPr>
                <w:sz w:val="1"/>
                <w:szCs w:val="1"/>
                <w:color w:val="auto"/>
              </w:rPr>
            </w:pPr>
          </w:p>
        </w:tc>
      </w:tr>
      <w:tr>
        <w:trPr>
          <w:trHeight w:val="207"/>
        </w:trPr>
        <w:tc>
          <w:tcPr>
            <w:tcW w:w="698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Non-GAAP EPS for purposes of annual cash bonus</w:t>
            </w:r>
          </w:p>
        </w:tc>
        <w:tc>
          <w:tcPr>
            <w:tcW w:w="18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$8.55</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Adjustments for 2021-2023 Performance Award</w:t>
      </w:r>
    </w:p>
    <w:p>
      <w:pPr>
        <w:spacing w:after="0" w:line="83"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For the 2021-2023 performance award payout calculations, the Talent and Compensation Committee made the following adjustments to reported EPS consistent with our reporting of non-GAAP financial measures:</w:t>
      </w:r>
    </w:p>
    <w:p>
      <w:pPr>
        <w:spacing w:after="0" w:line="99" w:lineRule="exact"/>
        <w:rPr>
          <w:sz w:val="20"/>
          <w:szCs w:val="20"/>
          <w:color w:val="auto"/>
        </w:rPr>
      </w:pPr>
    </w:p>
    <w:p>
      <w:pPr>
        <w:ind w:left="640" w:hanging="308"/>
        <w:spacing w:after="0"/>
        <w:tabs>
          <w:tab w:leader="none" w:pos="640" w:val="left"/>
        </w:tabs>
        <w:numPr>
          <w:ilvl w:val="0"/>
          <w:numId w:val="224"/>
        </w:numPr>
        <w:rPr>
          <w:rFonts w:ascii="Arial" w:cs="Arial" w:eastAsia="Arial" w:hAnsi="Arial"/>
          <w:sz w:val="16"/>
          <w:szCs w:val="16"/>
          <w:color w:val="auto"/>
        </w:rPr>
      </w:pPr>
      <w:r>
        <w:rPr>
          <w:rFonts w:ascii="Arial" w:cs="Arial" w:eastAsia="Arial" w:hAnsi="Arial"/>
          <w:sz w:val="18"/>
          <w:szCs w:val="18"/>
          <w:color w:val="auto"/>
        </w:rPr>
        <w:t>2022, 2021, and 2020: Eliminated the impact of amortization of intangible assets</w:t>
      </w:r>
    </w:p>
    <w:p>
      <w:pPr>
        <w:spacing w:after="0" w:line="171" w:lineRule="exact"/>
        <w:rPr>
          <w:rFonts w:ascii="Arial" w:cs="Arial" w:eastAsia="Arial" w:hAnsi="Arial"/>
          <w:sz w:val="16"/>
          <w:szCs w:val="16"/>
          <w:color w:val="auto"/>
        </w:rPr>
      </w:pPr>
    </w:p>
    <w:p>
      <w:pPr>
        <w:ind w:left="640" w:hanging="308"/>
        <w:spacing w:after="0"/>
        <w:tabs>
          <w:tab w:leader="none" w:pos="640" w:val="left"/>
        </w:tabs>
        <w:numPr>
          <w:ilvl w:val="0"/>
          <w:numId w:val="224"/>
        </w:numPr>
        <w:rPr>
          <w:rFonts w:ascii="Arial" w:cs="Arial" w:eastAsia="Arial" w:hAnsi="Arial"/>
          <w:sz w:val="16"/>
          <w:szCs w:val="16"/>
          <w:color w:val="auto"/>
        </w:rPr>
      </w:pPr>
      <w:r>
        <w:rPr>
          <w:rFonts w:ascii="Arial" w:cs="Arial" w:eastAsia="Arial" w:hAnsi="Arial"/>
          <w:sz w:val="18"/>
          <w:szCs w:val="18"/>
          <w:color w:val="auto"/>
        </w:rPr>
        <w:t>2022, 2021, and 2020: Eliminated the impact of asset impairments, restructuring, and other special charges</w:t>
      </w:r>
    </w:p>
    <w:p>
      <w:pPr>
        <w:spacing w:after="0" w:line="171" w:lineRule="exact"/>
        <w:rPr>
          <w:rFonts w:ascii="Arial" w:cs="Arial" w:eastAsia="Arial" w:hAnsi="Arial"/>
          <w:sz w:val="16"/>
          <w:szCs w:val="16"/>
          <w:color w:val="auto"/>
        </w:rPr>
      </w:pPr>
    </w:p>
    <w:p>
      <w:pPr>
        <w:ind w:left="640" w:hanging="308"/>
        <w:spacing w:after="0"/>
        <w:tabs>
          <w:tab w:leader="none" w:pos="640" w:val="left"/>
        </w:tabs>
        <w:numPr>
          <w:ilvl w:val="0"/>
          <w:numId w:val="224"/>
        </w:numPr>
        <w:rPr>
          <w:rFonts w:ascii="Arial" w:cs="Arial" w:eastAsia="Arial" w:hAnsi="Arial"/>
          <w:sz w:val="16"/>
          <w:szCs w:val="16"/>
          <w:color w:val="auto"/>
        </w:rPr>
      </w:pPr>
      <w:r>
        <w:rPr>
          <w:rFonts w:ascii="Arial" w:cs="Arial" w:eastAsia="Arial" w:hAnsi="Arial"/>
          <w:sz w:val="18"/>
          <w:szCs w:val="18"/>
          <w:color w:val="auto"/>
        </w:rPr>
        <w:t>2022, 2021, and 2020: Eliminated the impact of net gains and losses on investments in equity securities</w:t>
      </w:r>
    </w:p>
    <w:p>
      <w:pPr>
        <w:spacing w:after="0" w:line="171" w:lineRule="exact"/>
        <w:rPr>
          <w:rFonts w:ascii="Arial" w:cs="Arial" w:eastAsia="Arial" w:hAnsi="Arial"/>
          <w:sz w:val="16"/>
          <w:szCs w:val="16"/>
          <w:color w:val="auto"/>
        </w:rPr>
      </w:pPr>
    </w:p>
    <w:p>
      <w:pPr>
        <w:ind w:left="640" w:hanging="308"/>
        <w:spacing w:after="0"/>
        <w:tabs>
          <w:tab w:leader="none" w:pos="640" w:val="left"/>
        </w:tabs>
        <w:numPr>
          <w:ilvl w:val="0"/>
          <w:numId w:val="224"/>
        </w:numPr>
        <w:rPr>
          <w:rFonts w:ascii="Arial" w:cs="Arial" w:eastAsia="Arial" w:hAnsi="Arial"/>
          <w:sz w:val="16"/>
          <w:szCs w:val="16"/>
          <w:color w:val="auto"/>
        </w:rPr>
      </w:pPr>
      <w:r>
        <w:rPr>
          <w:rFonts w:ascii="Arial" w:cs="Arial" w:eastAsia="Arial" w:hAnsi="Arial"/>
          <w:sz w:val="18"/>
          <w:szCs w:val="18"/>
          <w:color w:val="auto"/>
        </w:rPr>
        <w:t>2021: Eliminated the impact of charge related to the repurchase of debt</w:t>
      </w:r>
    </w:p>
    <w:p>
      <w:pPr>
        <w:spacing w:after="0" w:line="171" w:lineRule="exact"/>
        <w:rPr>
          <w:rFonts w:ascii="Arial" w:cs="Arial" w:eastAsia="Arial" w:hAnsi="Arial"/>
          <w:sz w:val="16"/>
          <w:szCs w:val="16"/>
          <w:color w:val="auto"/>
        </w:rPr>
      </w:pPr>
    </w:p>
    <w:p>
      <w:pPr>
        <w:ind w:left="660" w:right="80" w:hanging="328"/>
        <w:spacing w:after="0" w:line="287" w:lineRule="auto"/>
        <w:tabs>
          <w:tab w:leader="none" w:pos="649" w:val="left"/>
        </w:tabs>
        <w:numPr>
          <w:ilvl w:val="0"/>
          <w:numId w:val="224"/>
        </w:numPr>
        <w:rPr>
          <w:rFonts w:ascii="Arial" w:cs="Arial" w:eastAsia="Arial" w:hAnsi="Arial"/>
          <w:sz w:val="16"/>
          <w:szCs w:val="16"/>
          <w:color w:val="auto"/>
        </w:rPr>
      </w:pPr>
      <w:r>
        <w:rPr>
          <w:rFonts w:ascii="Arial" w:cs="Arial" w:eastAsia="Arial" w:hAnsi="Arial"/>
          <w:sz w:val="18"/>
          <w:szCs w:val="18"/>
          <w:color w:val="auto"/>
        </w:rPr>
        <w:t>2021: Eliminated the impact of COVID-19 antibodies inventory charges that were recognized primarily due to changes in forecasted demand from U.S. and international governments</w:t>
      </w:r>
    </w:p>
    <w:p>
      <w:pPr>
        <w:spacing w:after="0" w:line="9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 addition to the adjustments consistent with our reporting of non-GAAP financial measures, the Talent and Compensation Committee made the following adjustment:</w:t>
      </w:r>
    </w:p>
    <w:p>
      <w:pPr>
        <w:spacing w:after="0" w:line="99" w:lineRule="exact"/>
        <w:rPr>
          <w:sz w:val="20"/>
          <w:szCs w:val="20"/>
          <w:color w:val="auto"/>
        </w:rPr>
      </w:pPr>
    </w:p>
    <w:p>
      <w:pPr>
        <w:ind w:left="640" w:hanging="308"/>
        <w:spacing w:after="0"/>
        <w:tabs>
          <w:tab w:leader="none" w:pos="640" w:val="left"/>
        </w:tabs>
        <w:numPr>
          <w:ilvl w:val="0"/>
          <w:numId w:val="225"/>
        </w:numPr>
        <w:rPr>
          <w:rFonts w:ascii="Arial" w:cs="Arial" w:eastAsia="Arial" w:hAnsi="Arial"/>
          <w:sz w:val="16"/>
          <w:szCs w:val="16"/>
          <w:color w:val="auto"/>
        </w:rPr>
      </w:pPr>
      <w:r>
        <w:rPr>
          <w:rFonts w:ascii="Arial" w:cs="Arial" w:eastAsia="Arial" w:hAnsi="Arial"/>
          <w:sz w:val="18"/>
          <w:szCs w:val="18"/>
          <w:color w:val="auto"/>
        </w:rPr>
        <w:t>2022, 2021, and 2020: Eliminated the impact of charges recognized for acquired IPR&amp;D and development milestone charges</w:t>
      </w:r>
    </w:p>
    <w:p>
      <w:pPr>
        <w:spacing w:after="0" w:line="200" w:lineRule="exact"/>
        <w:rPr>
          <w:rFonts w:ascii="Arial" w:cs="Arial" w:eastAsia="Arial" w:hAnsi="Arial"/>
          <w:sz w:val="16"/>
          <w:szCs w:val="16"/>
          <w:color w:val="auto"/>
        </w:rPr>
      </w:pPr>
    </w:p>
    <w:p>
      <w:pPr>
        <w:spacing w:after="0" w:line="295" w:lineRule="exact"/>
        <w:rPr>
          <w:rFonts w:ascii="Arial" w:cs="Arial" w:eastAsia="Arial" w:hAnsi="Arial"/>
          <w:sz w:val="16"/>
          <w:szCs w:val="16"/>
          <w:color w:val="auto"/>
        </w:rPr>
      </w:pPr>
    </w:p>
    <w:p>
      <w:pPr>
        <w:ind w:left="5480"/>
        <w:spacing w:after="0"/>
        <w:rPr>
          <w:rFonts w:ascii="Arial" w:cs="Arial" w:eastAsia="Arial" w:hAnsi="Arial"/>
          <w:sz w:val="16"/>
          <w:szCs w:val="16"/>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t>A reconciliation of adjustments to our reported EPS is below:</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355"/>
        </w:trPr>
        <w:tc>
          <w:tcPr>
            <w:tcW w:w="3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120" w:type="dxa"/>
            <w:vAlign w:val="bottom"/>
            <w:tcBorders>
              <w:top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 Growth</w:t>
            </w:r>
          </w:p>
        </w:tc>
        <w:tc>
          <w:tcPr>
            <w:tcW w:w="960" w:type="dxa"/>
            <w:vAlign w:val="bottom"/>
            <w:tcBorders>
              <w:right w:val="single" w:sz="8" w:color="auto"/>
            </w:tcBorders>
          </w:tcPr>
          <w:p>
            <w:pPr>
              <w:spacing w:after="0"/>
              <w:rPr>
                <w:sz w:val="24"/>
                <w:szCs w:val="24"/>
                <w:color w:val="auto"/>
              </w:rPr>
            </w:pPr>
          </w:p>
        </w:tc>
        <w:tc>
          <w:tcPr>
            <w:tcW w:w="11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 Growth 2021</w:t>
            </w:r>
          </w:p>
        </w:tc>
        <w:tc>
          <w:tcPr>
            <w:tcW w:w="0" w:type="dxa"/>
            <w:vAlign w:val="bottom"/>
          </w:tcPr>
          <w:p>
            <w:pPr>
              <w:spacing w:after="0"/>
              <w:rPr>
                <w:sz w:val="1"/>
                <w:szCs w:val="1"/>
                <w:color w:val="auto"/>
              </w:rPr>
            </w:pPr>
          </w:p>
        </w:tc>
      </w:tr>
      <w:tr>
        <w:trPr>
          <w:trHeight w:val="219"/>
        </w:trPr>
        <w:tc>
          <w:tcPr>
            <w:tcW w:w="37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860" w:type="dxa"/>
            <w:vAlign w:val="bottom"/>
            <w:tcBorders>
              <w:bottom w:val="single" w:sz="8" w:color="auto"/>
              <w:right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112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2022 vs. 2021</w:t>
            </w:r>
          </w:p>
        </w:tc>
        <w:tc>
          <w:tcPr>
            <w:tcW w:w="96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100" w:type="dxa"/>
            <w:vAlign w:val="bottom"/>
            <w:tcBorders>
              <w:bottom w:val="single" w:sz="8" w:color="auto"/>
              <w:right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vs. 2020</w:t>
            </w:r>
          </w:p>
        </w:tc>
        <w:tc>
          <w:tcPr>
            <w:tcW w:w="0" w:type="dxa"/>
            <w:vAlign w:val="bottom"/>
          </w:tcPr>
          <w:p>
            <w:pPr>
              <w:spacing w:after="0"/>
              <w:rPr>
                <w:sz w:val="1"/>
                <w:szCs w:val="1"/>
                <w:color w:val="auto"/>
              </w:rPr>
            </w:pPr>
          </w:p>
        </w:tc>
      </w:tr>
      <w:tr>
        <w:trPr>
          <w:trHeight w:val="227"/>
        </w:trPr>
        <w:tc>
          <w:tcPr>
            <w:tcW w:w="3700" w:type="dxa"/>
            <w:vAlign w:val="bottom"/>
          </w:tcPr>
          <w:p>
            <w:pPr>
              <w:ind w:left="20"/>
              <w:spacing w:after="0"/>
              <w:rPr>
                <w:sz w:val="20"/>
                <w:szCs w:val="20"/>
                <w:color w:val="auto"/>
              </w:rPr>
            </w:pPr>
            <w:r>
              <w:rPr>
                <w:rFonts w:ascii="Arial" w:cs="Arial" w:eastAsia="Arial" w:hAnsi="Arial"/>
                <w:sz w:val="14"/>
                <w:szCs w:val="14"/>
                <w:b w:val="1"/>
                <w:bCs w:val="1"/>
                <w:color w:val="auto"/>
              </w:rPr>
              <w:t>EPS as reported</w:t>
            </w:r>
          </w:p>
        </w:tc>
        <w:tc>
          <w:tcPr>
            <w:tcW w:w="980" w:type="dxa"/>
            <w:vAlign w:val="bottom"/>
          </w:tcPr>
          <w:p>
            <w:pPr>
              <w:jc w:val="right"/>
              <w:ind w:right="168"/>
              <w:spacing w:after="0"/>
              <w:rPr>
                <w:sz w:val="20"/>
                <w:szCs w:val="20"/>
                <w:color w:val="auto"/>
              </w:rPr>
            </w:pPr>
            <w:r>
              <w:rPr>
                <w:rFonts w:ascii="Arial" w:cs="Arial" w:eastAsia="Arial" w:hAnsi="Arial"/>
                <w:sz w:val="14"/>
                <w:szCs w:val="14"/>
                <w:b w:val="1"/>
                <w:bCs w:val="1"/>
                <w:color w:val="auto"/>
              </w:rPr>
              <w:t>$6.90</w:t>
            </w:r>
          </w:p>
        </w:tc>
        <w:tc>
          <w:tcPr>
            <w:tcW w:w="8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$6.12</w:t>
            </w:r>
          </w:p>
        </w:tc>
        <w:tc>
          <w:tcPr>
            <w:tcW w:w="112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12.7 %</w:t>
            </w:r>
          </w:p>
        </w:tc>
        <w:tc>
          <w:tcPr>
            <w:tcW w:w="96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$6.79</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(9.9)%</w:t>
            </w:r>
          </w:p>
        </w:tc>
        <w:tc>
          <w:tcPr>
            <w:tcW w:w="0" w:type="dxa"/>
            <w:vAlign w:val="bottom"/>
          </w:tcPr>
          <w:p>
            <w:pPr>
              <w:spacing w:after="0"/>
              <w:rPr>
                <w:sz w:val="1"/>
                <w:szCs w:val="1"/>
                <w:color w:val="auto"/>
              </w:rPr>
            </w:pPr>
          </w:p>
        </w:tc>
      </w:tr>
      <w:tr>
        <w:trPr>
          <w:trHeight w:val="251"/>
        </w:trPr>
        <w:tc>
          <w:tcPr>
            <w:tcW w:w="3700" w:type="dxa"/>
            <w:vAlign w:val="bottom"/>
          </w:tcPr>
          <w:p>
            <w:pPr>
              <w:ind w:left="300"/>
              <w:spacing w:after="0"/>
              <w:rPr>
                <w:sz w:val="20"/>
                <w:szCs w:val="20"/>
                <w:color w:val="auto"/>
              </w:rPr>
            </w:pPr>
            <w:r>
              <w:rPr>
                <w:rFonts w:ascii="Arial" w:cs="Arial" w:eastAsia="Arial" w:hAnsi="Arial"/>
                <w:sz w:val="14"/>
                <w:szCs w:val="14"/>
                <w:color w:val="auto"/>
              </w:rPr>
              <w:t>Amortization of intangible assets</w:t>
            </w: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0.50</w:t>
            </w:r>
          </w:p>
        </w:tc>
        <w:tc>
          <w:tcPr>
            <w:tcW w:w="8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0.53</w:t>
            </w:r>
          </w:p>
        </w:tc>
        <w:tc>
          <w:tcPr>
            <w:tcW w:w="1120" w:type="dxa"/>
            <w:vAlign w:val="bottom"/>
            <w:tcBorders>
              <w:right w:val="single" w:sz="8" w:color="auto"/>
            </w:tcBorders>
          </w:tcPr>
          <w:p>
            <w:pPr>
              <w:spacing w:after="0"/>
              <w:rPr>
                <w:sz w:val="21"/>
                <w:szCs w:val="21"/>
                <w:color w:val="auto"/>
              </w:rPr>
            </w:pPr>
          </w:p>
        </w:tc>
        <w:tc>
          <w:tcPr>
            <w:tcW w:w="96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0.36</w:t>
            </w:r>
          </w:p>
        </w:tc>
        <w:tc>
          <w:tcPr>
            <w:tcW w:w="1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700" w:type="dxa"/>
            <w:vAlign w:val="bottom"/>
          </w:tcPr>
          <w:p>
            <w:pPr>
              <w:ind w:left="300"/>
              <w:spacing w:after="0"/>
              <w:rPr>
                <w:sz w:val="20"/>
                <w:szCs w:val="20"/>
                <w:color w:val="auto"/>
              </w:rPr>
            </w:pPr>
            <w:r>
              <w:rPr>
                <w:rFonts w:ascii="Arial" w:cs="Arial" w:eastAsia="Arial" w:hAnsi="Arial"/>
                <w:sz w:val="14"/>
                <w:szCs w:val="14"/>
                <w:color w:val="auto"/>
              </w:rPr>
              <w:t>Asset impairment, restructuring, and other</w:t>
            </w:r>
          </w:p>
        </w:tc>
        <w:tc>
          <w:tcPr>
            <w:tcW w:w="9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700" w:type="dxa"/>
            <w:vAlign w:val="bottom"/>
          </w:tcPr>
          <w:p>
            <w:pPr>
              <w:ind w:left="300"/>
              <w:spacing w:after="0"/>
              <w:rPr>
                <w:sz w:val="20"/>
                <w:szCs w:val="20"/>
                <w:color w:val="auto"/>
              </w:rPr>
            </w:pPr>
            <w:r>
              <w:rPr>
                <w:rFonts w:ascii="Arial" w:cs="Arial" w:eastAsia="Arial" w:hAnsi="Arial"/>
                <w:sz w:val="14"/>
                <w:szCs w:val="14"/>
                <w:color w:val="auto"/>
              </w:rPr>
              <w:t>special charges</w:t>
            </w: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0.21</w:t>
            </w:r>
          </w:p>
        </w:tc>
        <w:tc>
          <w:tcPr>
            <w:tcW w:w="8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0.28</w:t>
            </w:r>
          </w:p>
        </w:tc>
        <w:tc>
          <w:tcPr>
            <w:tcW w:w="112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0.14</w:t>
            </w:r>
          </w:p>
        </w:tc>
        <w:tc>
          <w:tcPr>
            <w:tcW w:w="1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700" w:type="dxa"/>
            <w:vAlign w:val="bottom"/>
          </w:tcPr>
          <w:p>
            <w:pPr>
              <w:ind w:left="300"/>
              <w:spacing w:after="0"/>
              <w:rPr>
                <w:sz w:val="20"/>
                <w:szCs w:val="20"/>
                <w:color w:val="auto"/>
              </w:rPr>
            </w:pPr>
            <w:r>
              <w:rPr>
                <w:rFonts w:ascii="Arial" w:cs="Arial" w:eastAsia="Arial" w:hAnsi="Arial"/>
                <w:sz w:val="14"/>
                <w:szCs w:val="14"/>
                <w:color w:val="auto"/>
              </w:rPr>
              <w:t>Net losses (gains) on investments in equity</w:t>
            </w:r>
          </w:p>
        </w:tc>
        <w:tc>
          <w:tcPr>
            <w:tcW w:w="9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700" w:type="dxa"/>
            <w:vAlign w:val="bottom"/>
          </w:tcPr>
          <w:p>
            <w:pPr>
              <w:ind w:left="300"/>
              <w:spacing w:after="0"/>
              <w:rPr>
                <w:sz w:val="20"/>
                <w:szCs w:val="20"/>
                <w:color w:val="auto"/>
              </w:rPr>
            </w:pPr>
            <w:r>
              <w:rPr>
                <w:rFonts w:ascii="Arial" w:cs="Arial" w:eastAsia="Arial" w:hAnsi="Arial"/>
                <w:sz w:val="14"/>
                <w:szCs w:val="14"/>
                <w:color w:val="auto"/>
              </w:rPr>
              <w:t>securities</w:t>
            </w:r>
            <w:r>
              <w:rPr>
                <w:rFonts w:ascii="Arial" w:cs="Arial" w:eastAsia="Arial" w:hAnsi="Arial"/>
                <w:sz w:val="18"/>
                <w:szCs w:val="18"/>
                <w:color w:val="auto"/>
                <w:vertAlign w:val="superscript"/>
              </w:rPr>
              <w:t>(a)</w:t>
            </w: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0.33</w:t>
            </w:r>
          </w:p>
        </w:tc>
        <w:tc>
          <w:tcPr>
            <w:tcW w:w="8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(0.16)</w:t>
            </w:r>
          </w:p>
        </w:tc>
        <w:tc>
          <w:tcPr>
            <w:tcW w:w="1120" w:type="dxa"/>
            <w:vAlign w:val="bottom"/>
            <w:tcBorders>
              <w:right w:val="single" w:sz="8" w:color="auto"/>
            </w:tcBorders>
          </w:tcPr>
          <w:p>
            <w:pPr>
              <w:spacing w:after="0"/>
              <w:rPr>
                <w:sz w:val="21"/>
                <w:szCs w:val="21"/>
                <w:color w:val="auto"/>
              </w:rPr>
            </w:pPr>
          </w:p>
        </w:tc>
        <w:tc>
          <w:tcPr>
            <w:tcW w:w="96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(1.15)</w:t>
            </w:r>
          </w:p>
        </w:tc>
        <w:tc>
          <w:tcPr>
            <w:tcW w:w="1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3700" w:type="dxa"/>
            <w:vAlign w:val="bottom"/>
          </w:tcPr>
          <w:p>
            <w:pPr>
              <w:ind w:left="300"/>
              <w:spacing w:after="0"/>
              <w:rPr>
                <w:sz w:val="20"/>
                <w:szCs w:val="20"/>
                <w:color w:val="auto"/>
              </w:rPr>
            </w:pPr>
            <w:r>
              <w:rPr>
                <w:rFonts w:ascii="Arial" w:cs="Arial" w:eastAsia="Arial" w:hAnsi="Arial"/>
                <w:sz w:val="14"/>
                <w:szCs w:val="14"/>
                <w:color w:val="auto"/>
              </w:rPr>
              <w:t>Charge related to repurchase of debt</w:t>
            </w: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0.35</w:t>
            </w:r>
          </w:p>
        </w:tc>
        <w:tc>
          <w:tcPr>
            <w:tcW w:w="112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3700" w:type="dxa"/>
            <w:vAlign w:val="bottom"/>
          </w:tcPr>
          <w:p>
            <w:pPr>
              <w:ind w:left="300"/>
              <w:spacing w:after="0"/>
              <w:rPr>
                <w:sz w:val="20"/>
                <w:szCs w:val="20"/>
                <w:color w:val="auto"/>
              </w:rPr>
            </w:pPr>
            <w:r>
              <w:rPr>
                <w:rFonts w:ascii="Arial" w:cs="Arial" w:eastAsia="Arial" w:hAnsi="Arial"/>
                <w:sz w:val="14"/>
                <w:szCs w:val="14"/>
                <w:color w:val="auto"/>
              </w:rPr>
              <w:t>COVID-19 antibodies inventory charges</w:t>
            </w: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0.25</w:t>
            </w:r>
          </w:p>
        </w:tc>
        <w:tc>
          <w:tcPr>
            <w:tcW w:w="112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3700" w:type="dxa"/>
            <w:vAlign w:val="bottom"/>
          </w:tcPr>
          <w:p>
            <w:pPr>
              <w:ind w:left="20"/>
              <w:spacing w:after="0"/>
              <w:rPr>
                <w:sz w:val="20"/>
                <w:szCs w:val="20"/>
                <w:color w:val="auto"/>
              </w:rPr>
            </w:pPr>
            <w:r>
              <w:rPr>
                <w:rFonts w:ascii="Arial" w:cs="Arial" w:eastAsia="Arial" w:hAnsi="Arial"/>
                <w:sz w:val="14"/>
                <w:szCs w:val="14"/>
                <w:b w:val="1"/>
                <w:bCs w:val="1"/>
                <w:color w:val="auto"/>
              </w:rPr>
              <w:t>Non-GAAP EPS</w:t>
            </w:r>
          </w:p>
        </w:tc>
        <w:tc>
          <w:tcPr>
            <w:tcW w:w="980" w:type="dxa"/>
            <w:vAlign w:val="bottom"/>
          </w:tcPr>
          <w:p>
            <w:pPr>
              <w:jc w:val="right"/>
              <w:ind w:right="168"/>
              <w:spacing w:after="0"/>
              <w:rPr>
                <w:sz w:val="20"/>
                <w:szCs w:val="20"/>
                <w:color w:val="auto"/>
              </w:rPr>
            </w:pPr>
            <w:r>
              <w:rPr>
                <w:rFonts w:ascii="Arial" w:cs="Arial" w:eastAsia="Arial" w:hAnsi="Arial"/>
                <w:sz w:val="14"/>
                <w:szCs w:val="14"/>
                <w:b w:val="1"/>
                <w:bCs w:val="1"/>
                <w:color w:val="auto"/>
              </w:rPr>
              <w:t>7.94</w:t>
            </w:r>
          </w:p>
        </w:tc>
        <w:tc>
          <w:tcPr>
            <w:tcW w:w="8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7.39</w:t>
            </w:r>
          </w:p>
        </w:tc>
        <w:tc>
          <w:tcPr>
            <w:tcW w:w="112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6.14</w:t>
            </w:r>
          </w:p>
        </w:tc>
        <w:tc>
          <w:tcPr>
            <w:tcW w:w="1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700" w:type="dxa"/>
            <w:vAlign w:val="bottom"/>
          </w:tcPr>
          <w:p>
            <w:pPr>
              <w:ind w:left="300"/>
              <w:spacing w:after="0"/>
              <w:rPr>
                <w:sz w:val="20"/>
                <w:szCs w:val="20"/>
                <w:color w:val="auto"/>
              </w:rPr>
            </w:pPr>
            <w:r>
              <w:rPr>
                <w:rFonts w:ascii="Arial" w:cs="Arial" w:eastAsia="Arial" w:hAnsi="Arial"/>
                <w:sz w:val="14"/>
                <w:szCs w:val="14"/>
                <w:color w:val="auto"/>
              </w:rPr>
              <w:t>Acquired IPR&amp;D and development milestone</w:t>
            </w:r>
          </w:p>
        </w:tc>
        <w:tc>
          <w:tcPr>
            <w:tcW w:w="980" w:type="dxa"/>
            <w:vAlign w:val="bottom"/>
            <w:vMerge w:val="restart"/>
          </w:tcPr>
          <w:p>
            <w:pPr>
              <w:jc w:val="right"/>
              <w:ind w:right="168"/>
              <w:spacing w:after="0"/>
              <w:rPr>
                <w:sz w:val="20"/>
                <w:szCs w:val="20"/>
                <w:color w:val="auto"/>
              </w:rPr>
            </w:pPr>
            <w:r>
              <w:rPr>
                <w:rFonts w:ascii="Arial" w:cs="Arial" w:eastAsia="Arial" w:hAnsi="Arial"/>
                <w:sz w:val="14"/>
                <w:szCs w:val="14"/>
                <w:color w:val="auto"/>
              </w:rPr>
              <w:t>0.90</w:t>
            </w:r>
          </w:p>
        </w:tc>
        <w:tc>
          <w:tcPr>
            <w:tcW w:w="860" w:type="dxa"/>
            <w:vAlign w:val="bottom"/>
            <w:tcBorders>
              <w:right w:val="single" w:sz="8" w:color="auto"/>
            </w:tcBorders>
            <w:vMerge w:val="restart"/>
          </w:tcPr>
          <w:p>
            <w:pPr>
              <w:jc w:val="right"/>
              <w:ind w:right="168"/>
              <w:spacing w:after="0"/>
              <w:rPr>
                <w:sz w:val="20"/>
                <w:szCs w:val="20"/>
                <w:color w:val="auto"/>
              </w:rPr>
            </w:pPr>
            <w:r>
              <w:rPr>
                <w:rFonts w:ascii="Arial" w:cs="Arial" w:eastAsia="Arial" w:hAnsi="Arial"/>
                <w:sz w:val="14"/>
                <w:szCs w:val="14"/>
                <w:color w:val="auto"/>
              </w:rPr>
              <w:t>0.86</w:t>
            </w:r>
          </w:p>
        </w:tc>
        <w:tc>
          <w:tcPr>
            <w:tcW w:w="112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vMerge w:val="restart"/>
          </w:tcPr>
          <w:p>
            <w:pPr>
              <w:jc w:val="right"/>
              <w:ind w:right="148"/>
              <w:spacing w:after="0"/>
              <w:rPr>
                <w:sz w:val="20"/>
                <w:szCs w:val="20"/>
                <w:color w:val="auto"/>
              </w:rPr>
            </w:pPr>
            <w:r>
              <w:rPr>
                <w:rFonts w:ascii="Arial" w:cs="Arial" w:eastAsia="Arial" w:hAnsi="Arial"/>
                <w:sz w:val="14"/>
                <w:szCs w:val="14"/>
                <w:color w:val="auto"/>
              </w:rPr>
              <w:t>0.75</w:t>
            </w:r>
          </w:p>
        </w:tc>
        <w:tc>
          <w:tcPr>
            <w:tcW w:w="1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300"/>
              <w:spacing w:after="0" w:line="201" w:lineRule="exact"/>
              <w:rPr>
                <w:sz w:val="20"/>
                <w:szCs w:val="20"/>
                <w:color w:val="auto"/>
              </w:rPr>
            </w:pPr>
            <w:r>
              <w:rPr>
                <w:rFonts w:ascii="Arial" w:cs="Arial" w:eastAsia="Arial" w:hAnsi="Arial"/>
                <w:sz w:val="14"/>
                <w:szCs w:val="14"/>
                <w:color w:val="auto"/>
              </w:rPr>
              <w:t>charges</w:t>
            </w:r>
            <w:r>
              <w:rPr>
                <w:rFonts w:ascii="Arial" w:cs="Arial" w:eastAsia="Arial" w:hAnsi="Arial"/>
                <w:sz w:val="18"/>
                <w:szCs w:val="18"/>
                <w:color w:val="auto"/>
                <w:vertAlign w:val="superscript"/>
              </w:rPr>
              <w:t>(b)</w:t>
            </w:r>
          </w:p>
        </w:tc>
        <w:tc>
          <w:tcPr>
            <w:tcW w:w="98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right w:val="single" w:sz="8" w:color="auto"/>
            </w:tcBorders>
            <w:vMerge w:val="continue"/>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vMerge w:val="continue"/>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700" w:type="dxa"/>
            <w:vAlign w:val="bottom"/>
          </w:tcPr>
          <w:p>
            <w:pPr>
              <w:ind w:left="20"/>
              <w:spacing w:after="0"/>
              <w:rPr>
                <w:sz w:val="20"/>
                <w:szCs w:val="20"/>
                <w:color w:val="auto"/>
              </w:rPr>
            </w:pPr>
            <w:r>
              <w:rPr>
                <w:rFonts w:ascii="Arial" w:cs="Arial" w:eastAsia="Arial" w:hAnsi="Arial"/>
                <w:sz w:val="14"/>
                <w:szCs w:val="14"/>
                <w:b w:val="1"/>
                <w:bCs w:val="1"/>
                <w:color w:val="auto"/>
              </w:rPr>
              <w:t>Adjusted Non-GAAP EPS for purposes of</w:t>
            </w:r>
          </w:p>
        </w:tc>
        <w:tc>
          <w:tcPr>
            <w:tcW w:w="98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700" w:type="dxa"/>
            <w:vAlign w:val="bottom"/>
          </w:tcPr>
          <w:p>
            <w:pPr>
              <w:ind w:left="20"/>
              <w:spacing w:after="0"/>
              <w:rPr>
                <w:sz w:val="20"/>
                <w:szCs w:val="20"/>
                <w:color w:val="auto"/>
              </w:rPr>
            </w:pPr>
            <w:r>
              <w:rPr>
                <w:rFonts w:ascii="Arial" w:cs="Arial" w:eastAsia="Arial" w:hAnsi="Arial"/>
                <w:sz w:val="14"/>
                <w:szCs w:val="14"/>
                <w:b w:val="1"/>
                <w:bCs w:val="1"/>
                <w:color w:val="auto"/>
              </w:rPr>
              <w:t>performance awards</w:t>
            </w:r>
          </w:p>
        </w:tc>
        <w:tc>
          <w:tcPr>
            <w:tcW w:w="980" w:type="dxa"/>
            <w:vAlign w:val="bottom"/>
          </w:tcPr>
          <w:p>
            <w:pPr>
              <w:jc w:val="right"/>
              <w:ind w:right="168"/>
              <w:spacing w:after="0"/>
              <w:rPr>
                <w:sz w:val="20"/>
                <w:szCs w:val="20"/>
                <w:color w:val="auto"/>
              </w:rPr>
            </w:pPr>
            <w:r>
              <w:rPr>
                <w:rFonts w:ascii="Arial" w:cs="Arial" w:eastAsia="Arial" w:hAnsi="Arial"/>
                <w:sz w:val="14"/>
                <w:szCs w:val="14"/>
                <w:b w:val="1"/>
                <w:bCs w:val="1"/>
                <w:color w:val="auto"/>
              </w:rPr>
              <w:t>$8.84</w:t>
            </w:r>
          </w:p>
        </w:tc>
        <w:tc>
          <w:tcPr>
            <w:tcW w:w="8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$8.25</w:t>
            </w:r>
          </w:p>
        </w:tc>
        <w:tc>
          <w:tcPr>
            <w:tcW w:w="112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7.2 %</w:t>
            </w:r>
          </w:p>
        </w:tc>
        <w:tc>
          <w:tcPr>
            <w:tcW w:w="96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$6.89</w:t>
            </w: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19.7 %</w:t>
            </w: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244" w:lineRule="exact"/>
        <w:rPr>
          <w:sz w:val="20"/>
          <w:szCs w:val="20"/>
          <w:color w:val="auto"/>
        </w:rPr>
      </w:pPr>
    </w:p>
    <w:p>
      <w:pPr>
        <w:ind w:left="180" w:hanging="172"/>
        <w:spacing w:after="0" w:line="283" w:lineRule="auto"/>
        <w:tabs>
          <w:tab w:leader="none" w:pos="172" w:val="left"/>
        </w:tabs>
        <w:numPr>
          <w:ilvl w:val="0"/>
          <w:numId w:val="226"/>
        </w:numPr>
        <w:rPr>
          <w:rFonts w:ascii="Arial" w:cs="Arial" w:eastAsia="Arial" w:hAnsi="Arial"/>
          <w:sz w:val="9"/>
          <w:szCs w:val="9"/>
          <w:color w:val="auto"/>
        </w:rPr>
      </w:pPr>
      <w:r>
        <w:rPr>
          <w:rFonts w:ascii="Arial" w:cs="Arial" w:eastAsia="Arial" w:hAnsi="Arial"/>
          <w:sz w:val="14"/>
          <w:szCs w:val="14"/>
          <w:color w:val="auto"/>
        </w:rPr>
        <w:t>In 2021, the company began excluding gains and losses on investments in equity securities from non-GAAP measures. The Talent and Compensation Committee recast 2020 non-GAAP EPS to be consistent with the 2021 non-GAAP EPS treatment of gains and losses on investments in equity securities. Those adjusted 2020 results are presented in this table for comparability.</w:t>
      </w:r>
    </w:p>
    <w:p>
      <w:pPr>
        <w:spacing w:after="0" w:line="10" w:lineRule="exact"/>
        <w:rPr>
          <w:rFonts w:ascii="Arial" w:cs="Arial" w:eastAsia="Arial" w:hAnsi="Arial"/>
          <w:sz w:val="9"/>
          <w:szCs w:val="9"/>
          <w:color w:val="auto"/>
        </w:rPr>
      </w:pPr>
    </w:p>
    <w:p>
      <w:pPr>
        <w:ind w:left="180" w:hanging="172"/>
        <w:spacing w:after="0"/>
        <w:tabs>
          <w:tab w:leader="none" w:pos="172" w:val="left"/>
        </w:tabs>
        <w:numPr>
          <w:ilvl w:val="0"/>
          <w:numId w:val="226"/>
        </w:numPr>
        <w:rPr>
          <w:rFonts w:ascii="Arial" w:cs="Arial" w:eastAsia="Arial" w:hAnsi="Arial"/>
          <w:sz w:val="19"/>
          <w:szCs w:val="19"/>
          <w:color w:val="auto"/>
          <w:vertAlign w:val="superscript"/>
        </w:rPr>
      </w:pPr>
      <w:r>
        <w:rPr>
          <w:rFonts w:ascii="Arial" w:cs="Arial" w:eastAsia="Arial" w:hAnsi="Arial"/>
          <w:sz w:val="14"/>
          <w:szCs w:val="14"/>
          <w:color w:val="auto"/>
        </w:rPr>
        <w:t>In 2022, the company began excluding acquired in process research development milestone charges from Adjusted Non-GAAP EPS for purposes of the performance awards. For the 2021-2022 performance award, the Talent and Compensation Committee adjusted the 2020 base-year results to which the expected industry growth rates are applied to derive the two-year cumulative EPS goals and recast 2021 Adjusted Non-GAAP EPS to be consistent with the 2022 Adjusted Non-GAAP EPS treatment of development milestone charges. Those adjusted 2021 and 2020 results are presented in this table for comparability.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21" w:name="page122"/>
    <w:bookmarkEnd w:id="121"/>
    <w:p>
      <w:pPr>
        <w:ind w:right="1040"/>
        <w:spacing w:after="0" w:line="276" w:lineRule="auto"/>
        <w:rPr>
          <w:sz w:val="20"/>
          <w:szCs w:val="20"/>
          <w:color w:val="auto"/>
        </w:rPr>
      </w:pPr>
      <w:r>
        <w:rPr>
          <w:rFonts w:ascii="Arial" w:cs="Arial" w:eastAsia="Arial" w:hAnsi="Arial"/>
          <w:sz w:val="32"/>
          <w:szCs w:val="32"/>
          <w:b w:val="1"/>
          <w:bCs w:val="1"/>
          <w:color w:val="D52B1E"/>
        </w:rPr>
        <w:t>Appendix B - Proposed Amendments to the Company’s Articles of Incorporation</w:t>
      </w:r>
    </w:p>
    <w:p>
      <w:pPr>
        <w:spacing w:after="0" w:line="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Proposed changes to the company’s articles of incorporation are shown below related to Items 5 and 6. The changes shown to Article 9(b) will be effective if Item 5, “Proposal to Amend the Company’s Articles of Incorporation to Eliminate the Classified Board Structure,” receives the vote of at least 80 percent of the outstanding shares. The changes to Articles 9(c), 9(d), and 13 will be effective if Item 6, “Proposal to Amend the Company’s Articles of Incorporation to Eliminate Supermajority Voting Provisions,” receives the vote of at least 80 percent of the outstanding shares. Additions are indicated by underlining and deletions are indicated by strike-outs. The full text of the company’s Articles of Incorporation can be found on our website at </w:t>
      </w:r>
      <w:r>
        <w:rPr>
          <w:rFonts w:ascii="Arial" w:cs="Arial" w:eastAsia="Arial" w:hAnsi="Arial"/>
          <w:sz w:val="18"/>
          <w:szCs w:val="18"/>
          <w:color w:val="D52B1E"/>
        </w:rPr>
        <w:t>lilly.com/leadership/governance</w:t>
      </w:r>
      <w:r>
        <w:rPr>
          <w:rFonts w:ascii="Arial" w:cs="Arial" w:eastAsia="Arial" w:hAnsi="Arial"/>
          <w:sz w:val="18"/>
          <w:szCs w:val="18"/>
          <w:color w:val="auto"/>
        </w:rPr>
        <w:t>.</w:t>
      </w:r>
    </w:p>
    <w:p>
      <w:pPr>
        <w:spacing w:after="0" w:line="371" w:lineRule="exact"/>
        <w:rPr>
          <w:sz w:val="20"/>
          <w:szCs w:val="20"/>
          <w:color w:val="auto"/>
        </w:rPr>
      </w:pPr>
    </w:p>
    <w:p>
      <w:pPr>
        <w:ind w:left="660" w:right="20" w:hanging="4"/>
        <w:spacing w:after="0" w:line="253" w:lineRule="auto"/>
        <w:tabs>
          <w:tab w:leader="none" w:pos="8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following provisions are inserted for the management of the business and for the conduct of the affairs of the Corporation, and it is expressly provided that the same are intended to be in furtherance and not in limitation or exclusion of the powers conferred by statute:</w:t>
      </w:r>
    </w:p>
    <w:p>
      <w:pPr>
        <w:spacing w:after="0" w:line="128" w:lineRule="exact"/>
        <w:rPr>
          <w:rFonts w:ascii="Arial" w:cs="Arial" w:eastAsia="Arial" w:hAnsi="Arial"/>
          <w:sz w:val="18"/>
          <w:szCs w:val="18"/>
          <w:color w:val="auto"/>
        </w:rPr>
      </w:pPr>
    </w:p>
    <w:p>
      <w:pPr>
        <w:ind w:left="660" w:right="160" w:firstLine="644"/>
        <w:spacing w:after="0" w:line="262" w:lineRule="auto"/>
        <w:tabs>
          <w:tab w:leader="none" w:pos="1725" w:val="left"/>
        </w:tabs>
        <w:numPr>
          <w:ilvl w:val="1"/>
          <w:numId w:val="227"/>
        </w:numPr>
        <w:rPr>
          <w:rFonts w:ascii="Arial" w:cs="Arial" w:eastAsia="Arial" w:hAnsi="Arial"/>
          <w:sz w:val="18"/>
          <w:szCs w:val="18"/>
          <w:color w:val="auto"/>
        </w:rPr>
      </w:pPr>
      <w:r>
        <w:rPr>
          <w:rFonts w:ascii="Arial" w:cs="Arial" w:eastAsia="Arial" w:hAnsi="Arial"/>
          <w:sz w:val="18"/>
          <w:szCs w:val="18"/>
          <w:color w:val="auto"/>
        </w:rPr>
        <w:t>The number of directors of the Corporation, exclusive of directors who may be elected by the holders of any one or more series of Preferred Stock pursuant to Article 7(b) (the “</w:t>
      </w:r>
      <w:r>
        <w:rPr>
          <w:rFonts w:ascii="Arial" w:cs="Arial" w:eastAsia="Arial" w:hAnsi="Arial"/>
          <w:sz w:val="18"/>
          <w:szCs w:val="18"/>
          <w:u w:val="single" w:color="auto"/>
          <w:color w:val="auto"/>
        </w:rPr>
        <w:t>Preferred Stock Directors</w:t>
      </w:r>
      <w:r>
        <w:rPr>
          <w:rFonts w:ascii="Arial" w:cs="Arial" w:eastAsia="Arial" w:hAnsi="Arial"/>
          <w:sz w:val="18"/>
          <w:szCs w:val="18"/>
          <w:color w:val="auto"/>
        </w:rPr>
        <w:t>”), shall not be less than nine, the exact number to be fixed from time to time solely by resolution of the Board of Directors, acting by not less than a majority of the directors then in office.</w:t>
      </w:r>
    </w:p>
    <w:p>
      <w:pPr>
        <w:spacing w:after="0" w:line="122" w:lineRule="exact"/>
        <w:rPr>
          <w:rFonts w:ascii="Arial" w:cs="Arial" w:eastAsia="Arial" w:hAnsi="Arial"/>
          <w:sz w:val="18"/>
          <w:szCs w:val="18"/>
          <w:color w:val="auto"/>
        </w:rPr>
      </w:pPr>
    </w:p>
    <w:p>
      <w:pPr>
        <w:ind w:left="660" w:firstLine="644"/>
        <w:spacing w:after="0" w:line="253" w:lineRule="auto"/>
        <w:tabs>
          <w:tab w:leader="none" w:pos="1728" w:val="left"/>
        </w:tabs>
        <w:numPr>
          <w:ilvl w:val="1"/>
          <w:numId w:val="227"/>
        </w:numPr>
        <w:rPr>
          <w:rFonts w:ascii="Arial" w:cs="Arial" w:eastAsia="Arial" w:hAnsi="Arial"/>
          <w:sz w:val="18"/>
          <w:szCs w:val="18"/>
          <w:color w:val="auto"/>
        </w:rPr>
      </w:pPr>
      <w:r>
        <w:rPr>
          <w:rFonts w:ascii="Arial" w:cs="Arial" w:eastAsia="Arial" w:hAnsi="Arial"/>
          <w:sz w:val="18"/>
          <w:szCs w:val="18"/>
          <w:u w:val="single" w:color="auto"/>
          <w:color w:val="auto"/>
        </w:rPr>
        <w:t>Prior to the 2023 annual meeting of directors, T</w:t>
      </w:r>
      <w:r>
        <w:rPr>
          <w:rFonts w:ascii="Arial" w:cs="Arial" w:eastAsia="Arial" w:hAnsi="Arial"/>
          <w:sz w:val="18"/>
          <w:szCs w:val="18"/>
          <w:color w:val="auto"/>
          <w:strike w:val="1"/>
        </w:rPr>
        <w:t>t</w:t>
      </w:r>
      <w:r>
        <w:rPr>
          <w:rFonts w:ascii="Arial" w:cs="Arial" w:eastAsia="Arial" w:hAnsi="Arial"/>
          <w:sz w:val="18"/>
          <w:szCs w:val="18"/>
          <w:color w:val="auto"/>
        </w:rPr>
        <w:t xml:space="preserve">he Board of Directors (exclusive of Preferred Stock Directors) shall be divided into three classes, with the term of office of one class expiring each year. </w:t>
      </w:r>
      <w:r>
        <w:rPr>
          <w:rFonts w:ascii="Arial" w:cs="Arial" w:eastAsia="Arial" w:hAnsi="Arial"/>
          <w:sz w:val="18"/>
          <w:szCs w:val="18"/>
          <w:color w:val="auto"/>
          <w:strike w:val="1"/>
        </w:rPr>
        <w:t>At the annual meeting of shareholders in 1985, five</w:t>
      </w:r>
      <w:r>
        <w:rPr>
          <w:rFonts w:ascii="Arial" w:cs="Arial" w:eastAsia="Arial" w:hAnsi="Arial"/>
          <w:sz w:val="18"/>
          <w:szCs w:val="18"/>
          <w:color w:val="auto"/>
        </w:rPr>
        <w:t xml:space="preserve"> </w:t>
      </w:r>
      <w:r>
        <w:rPr>
          <w:rFonts w:ascii="Arial" w:cs="Arial" w:eastAsia="Arial" w:hAnsi="Arial"/>
          <w:sz w:val="18"/>
          <w:szCs w:val="18"/>
          <w:color w:val="auto"/>
          <w:strike w:val="1"/>
        </w:rPr>
        <w:t>directors of the first class shall be elected to hold office for a term expiring at the 1986 annual meeting, five directors of the second class shall be elected to hold office for a term expiring at the 1987 annual meeting, and six directors of the third class shall be elected to hold office for a term expiring at the 1988 annual meeting. Commencing with the annual meeting of shareholders in 1986</w:t>
      </w:r>
      <w:r>
        <w:rPr>
          <w:rFonts w:ascii="Arial" w:cs="Arial" w:eastAsia="Arial" w:hAnsi="Arial"/>
          <w:sz w:val="18"/>
          <w:szCs w:val="18"/>
          <w:u w:val="single" w:color="auto"/>
          <w:color w:val="auto"/>
          <w:strike w:val="1"/>
        </w:rPr>
        <w:t>2023</w:t>
      </w:r>
      <w:r>
        <w:rPr>
          <w:rFonts w:ascii="Arial" w:cs="Arial" w:eastAsia="Arial" w:hAnsi="Arial"/>
          <w:sz w:val="18"/>
          <w:szCs w:val="18"/>
          <w:color w:val="auto"/>
          <w:strike w:val="1"/>
        </w:rPr>
        <w:t>, each class of directors whose term shall then expire shall be elected to hold office for a three</w:t>
      </w:r>
      <w:r>
        <w:rPr>
          <w:rFonts w:ascii="Arial" w:cs="Arial" w:eastAsia="Arial" w:hAnsi="Arial"/>
          <w:sz w:val="18"/>
          <w:szCs w:val="18"/>
          <w:u w:val="single" w:color="auto"/>
          <w:color w:val="auto"/>
          <w:strike w:val="1"/>
        </w:rPr>
        <w:t>one</w:t>
      </w:r>
      <w:r>
        <w:rPr>
          <w:rFonts w:ascii="Arial" w:cs="Arial" w:eastAsia="Arial" w:hAnsi="Arial"/>
          <w:sz w:val="18"/>
          <w:szCs w:val="18"/>
          <w:color w:val="auto"/>
          <w:strike w:val="1"/>
        </w:rPr>
        <w:t xml:space="preserve">-year term </w:t>
      </w:r>
      <w:r>
        <w:rPr>
          <w:rFonts w:ascii="Arial" w:cs="Arial" w:eastAsia="Arial" w:hAnsi="Arial"/>
          <w:sz w:val="18"/>
          <w:szCs w:val="18"/>
          <w:u w:val="single" w:color="auto"/>
          <w:color w:val="auto"/>
          <w:strike w:val="1"/>
        </w:rPr>
        <w:t>expiring at the next</w:t>
      </w:r>
      <w:r>
        <w:rPr>
          <w:rFonts w:ascii="Arial" w:cs="Arial" w:eastAsia="Arial" w:hAnsi="Arial"/>
          <w:sz w:val="18"/>
          <w:szCs w:val="18"/>
          <w:color w:val="auto"/>
          <w:strike w:val="1"/>
        </w:rPr>
        <w:t xml:space="preserve"> </w:t>
      </w:r>
      <w:r>
        <w:rPr>
          <w:rFonts w:ascii="Arial" w:cs="Arial" w:eastAsia="Arial" w:hAnsi="Arial"/>
          <w:sz w:val="18"/>
          <w:szCs w:val="18"/>
          <w:u w:val="single" w:color="auto"/>
          <w:color w:val="auto"/>
          <w:strike w:val="1"/>
        </w:rPr>
        <w:t>annual meeting of shareholders</w:t>
      </w:r>
      <w:r>
        <w:rPr>
          <w:rFonts w:ascii="Arial" w:cs="Arial" w:eastAsia="Arial" w:hAnsi="Arial"/>
          <w:sz w:val="18"/>
          <w:szCs w:val="18"/>
          <w:color w:val="auto"/>
          <w:strike w:val="1"/>
        </w:rPr>
        <w:t xml:space="preserve">. In the case of any vacancy on the Board of Directors, including a vacancy created by an increase in the number of </w:t>
      </w:r>
      <w:r>
        <w:rPr>
          <w:rFonts w:ascii="Arial" w:cs="Arial" w:eastAsia="Arial" w:hAnsi="Arial"/>
          <w:sz w:val="18"/>
          <w:szCs w:val="18"/>
          <w:u w:val="single" w:color="auto"/>
          <w:color w:val="auto"/>
          <w:strike w:val="1"/>
        </w:rPr>
        <w:t>D</w:t>
      </w:r>
      <w:r>
        <w:rPr>
          <w:rFonts w:ascii="Arial" w:cs="Arial" w:eastAsia="Arial" w:hAnsi="Arial"/>
          <w:sz w:val="18"/>
          <w:szCs w:val="18"/>
          <w:color w:val="auto"/>
          <w:strike w:val="1"/>
        </w:rPr>
        <w:t xml:space="preserve">directors, the vacancy shall be filled by election of the Board of Directors with the director so elected to serve for the remainder of the term of the director being replaced or, in the case of an additional director, for the remainder of the term of the class to which the director has been assigned </w:t>
      </w:r>
      <w:r>
        <w:rPr>
          <w:rFonts w:ascii="Arial" w:cs="Arial" w:eastAsia="Arial" w:hAnsi="Arial"/>
          <w:sz w:val="18"/>
          <w:szCs w:val="18"/>
          <w:u w:val="single" w:color="auto"/>
          <w:color w:val="auto"/>
          <w:strike w:val="1"/>
        </w:rPr>
        <w:t>until the next annual meeting of shareholders</w:t>
      </w:r>
      <w:r>
        <w:rPr>
          <w:rFonts w:ascii="Arial" w:cs="Arial" w:eastAsia="Arial" w:hAnsi="Arial"/>
          <w:sz w:val="18"/>
          <w:szCs w:val="18"/>
          <w:color w:val="auto"/>
          <w:strike w:val="1"/>
        </w:rPr>
        <w:t>. All directors shall continue in office until the election and qualification of their respective successors in office. When the number of directors is changed, any newly created directorships or any decrease in directorships shall be so assigned among the classes by a majority of the directors then in office, though less than a quorum, as to make all classes as nearly equal in number as possible. No decrease in the number of directors shall have the effect of shortening the term of any incumbent director. Election of directors need not be by written ballot unless the By-laws so provide.</w:t>
      </w:r>
    </w:p>
    <w:p>
      <w:pPr>
        <w:spacing w:after="0" w:line="129" w:lineRule="exact"/>
        <w:rPr>
          <w:rFonts w:ascii="Arial" w:cs="Arial" w:eastAsia="Arial" w:hAnsi="Arial"/>
          <w:sz w:val="18"/>
          <w:szCs w:val="18"/>
          <w:color w:val="auto"/>
        </w:rPr>
      </w:pPr>
    </w:p>
    <w:p>
      <w:pPr>
        <w:ind w:left="660" w:right="240" w:firstLine="644"/>
        <w:spacing w:after="0" w:line="268" w:lineRule="auto"/>
        <w:tabs>
          <w:tab w:leader="none" w:pos="1708" w:val="left"/>
        </w:tabs>
        <w:numPr>
          <w:ilvl w:val="1"/>
          <w:numId w:val="227"/>
        </w:numPr>
        <w:rPr>
          <w:rFonts w:ascii="Arial" w:cs="Arial" w:eastAsia="Arial" w:hAnsi="Arial"/>
          <w:sz w:val="18"/>
          <w:szCs w:val="18"/>
          <w:color w:val="auto"/>
        </w:rPr>
      </w:pPr>
      <w:r>
        <w:rPr>
          <w:rFonts w:ascii="Arial" w:cs="Arial" w:eastAsia="Arial" w:hAnsi="Arial"/>
          <w:sz w:val="18"/>
          <w:szCs w:val="18"/>
          <w:color w:val="auto"/>
        </w:rPr>
        <w:t xml:space="preserve">Any director or directors (exclusive of Preferred Stock Directors) may be removed from office at any time, but only for cause and only by the affirmative vote of at least </w:t>
      </w:r>
      <w:r>
        <w:rPr>
          <w:rFonts w:ascii="Arial" w:cs="Arial" w:eastAsia="Arial" w:hAnsi="Arial"/>
          <w:sz w:val="18"/>
          <w:szCs w:val="18"/>
          <w:color w:val="auto"/>
          <w:strike w:val="1"/>
        </w:rPr>
        <w:t>80%</w:t>
      </w:r>
      <w:r>
        <w:rPr>
          <w:rFonts w:ascii="Arial" w:cs="Arial" w:eastAsia="Arial" w:hAnsi="Arial"/>
          <w:sz w:val="18"/>
          <w:szCs w:val="18"/>
          <w:u w:val="single" w:color="auto"/>
          <w:color w:val="auto"/>
        </w:rPr>
        <w:t>a majority</w:t>
      </w:r>
      <w:r>
        <w:rPr>
          <w:rFonts w:ascii="Arial" w:cs="Arial" w:eastAsia="Arial" w:hAnsi="Arial"/>
          <w:sz w:val="18"/>
          <w:szCs w:val="18"/>
          <w:color w:val="auto"/>
        </w:rPr>
        <w:t xml:space="preserve"> of the votes </w:t>
      </w:r>
      <w:r>
        <w:rPr>
          <w:rFonts w:ascii="Arial" w:cs="Arial" w:eastAsia="Arial" w:hAnsi="Arial"/>
          <w:sz w:val="18"/>
          <w:szCs w:val="18"/>
          <w:color w:val="auto"/>
          <w:strike w:val="1"/>
        </w:rPr>
        <w:t>entitled to be</w:t>
      </w:r>
      <w:r>
        <w:rPr>
          <w:rFonts w:ascii="Arial" w:cs="Arial" w:eastAsia="Arial" w:hAnsi="Arial"/>
          <w:sz w:val="18"/>
          <w:szCs w:val="18"/>
          <w:color w:val="auto"/>
        </w:rPr>
        <w:t xml:space="preserve"> cast by holders of all the outstanding shares of Voting Stock (as defined in Article 13 hereof), voting together as a single class.</w:t>
      </w:r>
    </w:p>
    <w:p>
      <w:pPr>
        <w:spacing w:after="0" w:line="116" w:lineRule="exact"/>
        <w:rPr>
          <w:rFonts w:ascii="Arial" w:cs="Arial" w:eastAsia="Arial" w:hAnsi="Arial"/>
          <w:sz w:val="18"/>
          <w:szCs w:val="18"/>
          <w:color w:val="auto"/>
        </w:rPr>
      </w:pPr>
    </w:p>
    <w:p>
      <w:pPr>
        <w:ind w:left="660" w:right="20" w:firstLine="644"/>
        <w:spacing w:after="0" w:line="262" w:lineRule="auto"/>
        <w:tabs>
          <w:tab w:leader="none" w:pos="1728" w:val="left"/>
        </w:tabs>
        <w:numPr>
          <w:ilvl w:val="1"/>
          <w:numId w:val="227"/>
        </w:numPr>
        <w:rPr>
          <w:rFonts w:ascii="Arial" w:cs="Arial" w:eastAsia="Arial" w:hAnsi="Arial"/>
          <w:sz w:val="18"/>
          <w:szCs w:val="18"/>
          <w:color w:val="auto"/>
          <w:strike w:val="1"/>
        </w:rPr>
      </w:pPr>
      <w:r>
        <w:rPr>
          <w:rFonts w:ascii="Arial" w:cs="Arial" w:eastAsia="Arial" w:hAnsi="Arial"/>
          <w:sz w:val="18"/>
          <w:szCs w:val="18"/>
          <w:color w:val="auto"/>
          <w:strike w:val="1"/>
        </w:rPr>
        <w:t>Notwithstanding any other provision of these Amended Articles of Incorporation or of law which might otherwise permit a lesser vote or no vote, but in addition to any affirmative vote of the holders of any particular class of Voting Stock required by law or these Amended Articles of Incorporation, the affirmative vote of at least 80% of the votes entitled to be cast by holders of all the outstanding shares of Voting Stock, voting together as a single class, shall be required to alter, amend or repeal this Article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5164455</wp:posOffset>
            </wp:positionH>
            <wp:positionV relativeFrom="paragraph">
              <wp:posOffset>-878205</wp:posOffset>
            </wp:positionV>
            <wp:extent cx="31750" cy="889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31750"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60" w:hanging="4"/>
        <w:spacing w:after="0" w:line="247" w:lineRule="auto"/>
        <w:tabs>
          <w:tab w:leader="none" w:pos="9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In addition to all other requirements imposed by law and these Amended Articles and except as otherwise expressly provided in paragraph (c) of this Article 13, none of the actions or transactions listed below shall be effected by the Corporation, or approved by the Corporation as a shareholder of any majority-owned subsidiary of the Corporation if, as of the record date for the determination of the shareholders entitled to vote thereon, any Related Person (as hereinafter defined) exists, unless the applicable requirements of paragraphs (b), (c), (d), (e), and (f) of this Article 13 are satisfied.</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122" w:name="page123"/>
    <w:bookmarkEnd w:id="122"/>
    <w:p>
      <w:pPr>
        <w:ind w:left="600" w:hanging="416"/>
        <w:spacing w:after="0"/>
        <w:tabs>
          <w:tab w:leader="none" w:pos="6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actions or transactions within the scope of this Article 13 are as follows:</w:t>
      </w:r>
    </w:p>
    <w:p>
      <w:pPr>
        <w:spacing w:after="0" w:line="171" w:lineRule="exact"/>
        <w:rPr>
          <w:rFonts w:ascii="Arial" w:cs="Arial" w:eastAsia="Arial" w:hAnsi="Arial"/>
          <w:sz w:val="18"/>
          <w:szCs w:val="18"/>
          <w:color w:val="auto"/>
        </w:rPr>
      </w:pPr>
    </w:p>
    <w:p>
      <w:pPr>
        <w:ind w:left="180" w:right="460" w:firstLine="652"/>
        <w:spacing w:after="0" w:line="287" w:lineRule="auto"/>
        <w:tabs>
          <w:tab w:leader="none" w:pos="1188" w:val="left"/>
        </w:tabs>
        <w:numPr>
          <w:ilvl w:val="1"/>
          <w:numId w:val="229"/>
        </w:numPr>
        <w:rPr>
          <w:rFonts w:ascii="Arial" w:cs="Arial" w:eastAsia="Arial" w:hAnsi="Arial"/>
          <w:sz w:val="18"/>
          <w:szCs w:val="18"/>
          <w:color w:val="auto"/>
        </w:rPr>
      </w:pPr>
      <w:r>
        <w:rPr>
          <w:rFonts w:ascii="Arial" w:cs="Arial" w:eastAsia="Arial" w:hAnsi="Arial"/>
          <w:sz w:val="18"/>
          <w:szCs w:val="18"/>
          <w:color w:val="auto"/>
        </w:rPr>
        <w:t xml:space="preserve">any merger or consolidation of </w:t>
      </w:r>
      <w:r>
        <w:rPr>
          <w:rFonts w:ascii="Arial" w:cs="Arial" w:eastAsia="Arial" w:hAnsi="Arial"/>
          <w:sz w:val="18"/>
          <w:szCs w:val="18"/>
          <w:color w:val="auto"/>
          <w:strike w:val="1"/>
        </w:rPr>
        <w:t>the Corporation or</w:t>
      </w:r>
      <w:r>
        <w:rPr>
          <w:rFonts w:ascii="Arial" w:cs="Arial" w:eastAsia="Arial" w:hAnsi="Arial"/>
          <w:sz w:val="18"/>
          <w:szCs w:val="18"/>
          <w:color w:val="auto"/>
        </w:rPr>
        <w:t xml:space="preserve"> any of </w:t>
      </w:r>
      <w:r>
        <w:rPr>
          <w:rFonts w:ascii="Arial" w:cs="Arial" w:eastAsia="Arial" w:hAnsi="Arial"/>
          <w:sz w:val="18"/>
          <w:szCs w:val="18"/>
          <w:color w:val="auto"/>
          <w:strike w:val="1"/>
        </w:rPr>
        <w:t>its</w:t>
      </w:r>
      <w:r>
        <w:rPr>
          <w:rFonts w:ascii="Arial" w:cs="Arial" w:eastAsia="Arial" w:hAnsi="Arial"/>
          <w:sz w:val="18"/>
          <w:szCs w:val="18"/>
          <w:color w:val="auto"/>
        </w:rPr>
        <w:t xml:space="preserve"> </w:t>
      </w:r>
      <w:r>
        <w:rPr>
          <w:rFonts w:ascii="Arial" w:cs="Arial" w:eastAsia="Arial" w:hAnsi="Arial"/>
          <w:sz w:val="18"/>
          <w:szCs w:val="18"/>
          <w:u w:val="single" w:color="auto"/>
          <w:color w:val="auto"/>
        </w:rPr>
        <w:t>the Corporation’s</w:t>
      </w:r>
      <w:r>
        <w:rPr>
          <w:rFonts w:ascii="Arial" w:cs="Arial" w:eastAsia="Arial" w:hAnsi="Arial"/>
          <w:sz w:val="18"/>
          <w:szCs w:val="18"/>
          <w:color w:val="auto"/>
        </w:rPr>
        <w:t xml:space="preserve"> subsidiaries into or with such Related Person;</w:t>
      </w:r>
    </w:p>
    <w:p>
      <w:pPr>
        <w:spacing w:after="0" w:line="98" w:lineRule="exact"/>
        <w:rPr>
          <w:rFonts w:ascii="Arial" w:cs="Arial" w:eastAsia="Arial" w:hAnsi="Arial"/>
          <w:sz w:val="18"/>
          <w:szCs w:val="18"/>
          <w:color w:val="auto"/>
        </w:rPr>
      </w:pPr>
    </w:p>
    <w:p>
      <w:pPr>
        <w:ind w:left="180" w:right="140" w:firstLine="652"/>
        <w:spacing w:after="0" w:line="287" w:lineRule="auto"/>
        <w:tabs>
          <w:tab w:leader="none" w:pos="1228" w:val="left"/>
        </w:tabs>
        <w:numPr>
          <w:ilvl w:val="1"/>
          <w:numId w:val="229"/>
        </w:numPr>
        <w:rPr>
          <w:rFonts w:ascii="Arial" w:cs="Arial" w:eastAsia="Arial" w:hAnsi="Arial"/>
          <w:sz w:val="18"/>
          <w:szCs w:val="18"/>
          <w:color w:val="auto"/>
        </w:rPr>
      </w:pPr>
      <w:r>
        <w:rPr>
          <w:rFonts w:ascii="Arial" w:cs="Arial" w:eastAsia="Arial" w:hAnsi="Arial"/>
          <w:sz w:val="18"/>
          <w:szCs w:val="18"/>
          <w:color w:val="auto"/>
        </w:rPr>
        <w:t xml:space="preserve">any sale, lease, exchange, or other disposition of all or any substantial part of the assets of </w:t>
      </w:r>
      <w:r>
        <w:rPr>
          <w:rFonts w:ascii="Arial" w:cs="Arial" w:eastAsia="Arial" w:hAnsi="Arial"/>
          <w:sz w:val="18"/>
          <w:szCs w:val="18"/>
          <w:color w:val="auto"/>
          <w:strike w:val="1"/>
        </w:rPr>
        <w:t>the Corporation</w:t>
      </w:r>
      <w:r>
        <w:rPr>
          <w:rFonts w:ascii="Arial" w:cs="Arial" w:eastAsia="Arial" w:hAnsi="Arial"/>
          <w:sz w:val="18"/>
          <w:szCs w:val="18"/>
          <w:color w:val="auto"/>
        </w:rPr>
        <w:t xml:space="preserve"> or any of i</w:t>
      </w:r>
      <w:r>
        <w:rPr>
          <w:rFonts w:ascii="Arial" w:cs="Arial" w:eastAsia="Arial" w:hAnsi="Arial"/>
          <w:sz w:val="18"/>
          <w:szCs w:val="18"/>
          <w:color w:val="auto"/>
          <w:strike w:val="1"/>
        </w:rPr>
        <w:t>ts</w:t>
      </w:r>
      <w:r>
        <w:rPr>
          <w:rFonts w:ascii="Arial" w:cs="Arial" w:eastAsia="Arial" w:hAnsi="Arial"/>
          <w:sz w:val="18"/>
          <w:szCs w:val="18"/>
          <w:u w:val="single" w:color="auto"/>
          <w:color w:val="auto"/>
        </w:rPr>
        <w:t>the Corporation’s</w:t>
      </w:r>
      <w:r>
        <w:rPr>
          <w:rFonts w:ascii="Arial" w:cs="Arial" w:eastAsia="Arial" w:hAnsi="Arial"/>
          <w:sz w:val="18"/>
          <w:szCs w:val="18"/>
          <w:color w:val="auto"/>
        </w:rPr>
        <w:t xml:space="preserve"> majority-owned subsidiaries to or with such Related Person;</w:t>
      </w:r>
    </w:p>
    <w:p>
      <w:pPr>
        <w:spacing w:after="0" w:line="98" w:lineRule="exact"/>
        <w:rPr>
          <w:rFonts w:ascii="Arial" w:cs="Arial" w:eastAsia="Arial" w:hAnsi="Arial"/>
          <w:sz w:val="18"/>
          <w:szCs w:val="18"/>
          <w:color w:val="auto"/>
        </w:rPr>
      </w:pPr>
    </w:p>
    <w:p>
      <w:pPr>
        <w:ind w:left="180" w:right="440" w:firstLine="652"/>
        <w:spacing w:after="0" w:line="268" w:lineRule="auto"/>
        <w:tabs>
          <w:tab w:leader="none" w:pos="1268" w:val="left"/>
        </w:tabs>
        <w:numPr>
          <w:ilvl w:val="1"/>
          <w:numId w:val="229"/>
        </w:numPr>
        <w:rPr>
          <w:rFonts w:ascii="Arial" w:cs="Arial" w:eastAsia="Arial" w:hAnsi="Arial"/>
          <w:sz w:val="18"/>
          <w:szCs w:val="18"/>
          <w:color w:val="auto"/>
        </w:rPr>
      </w:pPr>
      <w:r>
        <w:rPr>
          <w:rFonts w:ascii="Arial" w:cs="Arial" w:eastAsia="Arial" w:hAnsi="Arial"/>
          <w:sz w:val="18"/>
          <w:szCs w:val="18"/>
          <w:color w:val="auto"/>
        </w:rPr>
        <w:t>the issuance or delivery of any Voting Stock (as hereinafter defined) or of voting securities of any of the Corporation’s majority-owned subsidiaries to such Related Person in exchange for cash, other assets or securities, or a combination thereof;</w:t>
      </w:r>
    </w:p>
    <w:p>
      <w:pPr>
        <w:spacing w:after="0" w:line="116" w:lineRule="exact"/>
        <w:rPr>
          <w:rFonts w:ascii="Arial" w:cs="Arial" w:eastAsia="Arial" w:hAnsi="Arial"/>
          <w:sz w:val="18"/>
          <w:szCs w:val="18"/>
          <w:color w:val="auto"/>
        </w:rPr>
      </w:pPr>
    </w:p>
    <w:p>
      <w:pPr>
        <w:ind w:left="1340" w:hanging="508"/>
        <w:spacing w:after="0"/>
        <w:tabs>
          <w:tab w:leader="none" w:pos="1340" w:val="left"/>
        </w:tabs>
        <w:numPr>
          <w:ilvl w:val="1"/>
          <w:numId w:val="229"/>
        </w:numPr>
        <w:rPr>
          <w:rFonts w:ascii="Arial" w:cs="Arial" w:eastAsia="Arial" w:hAnsi="Arial"/>
          <w:sz w:val="18"/>
          <w:szCs w:val="18"/>
          <w:color w:val="auto"/>
          <w:strike w:val="1"/>
        </w:rPr>
      </w:pPr>
      <w:r>
        <w:rPr>
          <w:rFonts w:ascii="Arial" w:cs="Arial" w:eastAsia="Arial" w:hAnsi="Arial"/>
          <w:sz w:val="18"/>
          <w:szCs w:val="18"/>
          <w:color w:val="auto"/>
          <w:strike w:val="1"/>
        </w:rPr>
        <w:t>any voluntary dissolution or liquidation of the Corporation;</w:t>
      </w:r>
    </w:p>
    <w:p>
      <w:pPr>
        <w:spacing w:after="0" w:line="171" w:lineRule="exact"/>
        <w:rPr>
          <w:sz w:val="20"/>
          <w:szCs w:val="20"/>
          <w:color w:val="auto"/>
        </w:rPr>
      </w:pPr>
    </w:p>
    <w:p>
      <w:pPr>
        <w:jc w:val="both"/>
        <w:ind w:left="180" w:right="2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w:t>
      </w:r>
      <w:r>
        <w:rPr>
          <w:rFonts w:ascii="Arial" w:cs="Arial" w:eastAsia="Arial" w:hAnsi="Arial"/>
          <w:sz w:val="18"/>
          <w:szCs w:val="18"/>
          <w:color w:val="auto"/>
        </w:rPr>
        <w:t>v) any reclassification of securities (including any reverse stock split), or recapitalization of the Corporation, or any merger or consolidation of the Corporation with any of its subsidiaries, or any other transaction (whether or not with or otherwise involving a Related Person) that has the effect, directly or indirectly, of increasing the proportionate share of any class or series of capital stock of the Corporation, or any securities convertible into capital stock of the Corporation or into equity securities of any subsidiary, that is beneficially owned by any Related Person; or</w:t>
      </w:r>
    </w:p>
    <w:p>
      <w:pPr>
        <w:spacing w:after="0" w:line="125" w:lineRule="exact"/>
        <w:rPr>
          <w:sz w:val="20"/>
          <w:szCs w:val="20"/>
          <w:color w:val="auto"/>
        </w:rPr>
      </w:pPr>
    </w:p>
    <w:p>
      <w:pPr>
        <w:ind w:left="180" w:right="320" w:firstLine="648"/>
        <w:spacing w:after="0" w:line="287" w:lineRule="auto"/>
        <w:rPr>
          <w:sz w:val="20"/>
          <w:szCs w:val="20"/>
          <w:color w:val="auto"/>
        </w:rPr>
      </w:pPr>
      <w:r>
        <w:rPr>
          <w:rFonts w:ascii="Arial" w:cs="Arial" w:eastAsia="Arial" w:hAnsi="Arial"/>
          <w:sz w:val="18"/>
          <w:szCs w:val="18"/>
          <w:color w:val="auto"/>
        </w:rPr>
        <w:t>(v</w:t>
      </w:r>
      <w:r>
        <w:rPr>
          <w:rFonts w:ascii="Arial" w:cs="Arial" w:eastAsia="Arial" w:hAnsi="Arial"/>
          <w:sz w:val="18"/>
          <w:szCs w:val="18"/>
          <w:color w:val="auto"/>
          <w:strike w:val="1"/>
        </w:rPr>
        <w:t>i</w:t>
      </w:r>
      <w:r>
        <w:rPr>
          <w:rFonts w:ascii="Arial" w:cs="Arial" w:eastAsia="Arial" w:hAnsi="Arial"/>
          <w:sz w:val="18"/>
          <w:szCs w:val="18"/>
          <w:color w:val="auto"/>
        </w:rPr>
        <w:t>) any agreement, contract, or other arrangement providing for any one or more of the actions specified in the foregoing clauses (i) through (iv).</w:t>
      </w:r>
    </w:p>
    <w:p>
      <w:pPr>
        <w:spacing w:after="0" w:line="99" w:lineRule="exact"/>
        <w:rPr>
          <w:sz w:val="20"/>
          <w:szCs w:val="20"/>
          <w:color w:val="auto"/>
        </w:rPr>
      </w:pPr>
    </w:p>
    <w:p>
      <w:pPr>
        <w:ind w:left="-460" w:firstLine="725"/>
        <w:spacing w:after="0" w:line="268" w:lineRule="auto"/>
        <w:tabs>
          <w:tab w:leader="none" w:pos="686" w:val="left"/>
        </w:tabs>
        <w:numPr>
          <w:ilvl w:val="1"/>
          <w:numId w:val="230"/>
        </w:numPr>
        <w:rPr>
          <w:rFonts w:ascii="Arial" w:cs="Arial" w:eastAsia="Arial" w:hAnsi="Arial"/>
          <w:sz w:val="18"/>
          <w:szCs w:val="18"/>
          <w:color w:val="auto"/>
        </w:rPr>
      </w:pPr>
      <w:r>
        <w:rPr>
          <w:rFonts w:ascii="Arial" w:cs="Arial" w:eastAsia="Arial" w:hAnsi="Arial"/>
          <w:sz w:val="18"/>
          <w:szCs w:val="18"/>
          <w:color w:val="auto"/>
        </w:rPr>
        <w:t xml:space="preserve">The actions and transactions described in paragraph (a) of this Article 13 shall have been authorized by the affirmative vote of </w:t>
      </w:r>
      <w:r>
        <w:rPr>
          <w:rFonts w:ascii="Arial" w:cs="Arial" w:eastAsia="Arial" w:hAnsi="Arial"/>
          <w:sz w:val="18"/>
          <w:szCs w:val="18"/>
          <w:color w:val="auto"/>
          <w:strike w:val="1"/>
        </w:rPr>
        <w:t>at least 80% of all</w:t>
      </w:r>
      <w:r>
        <w:rPr>
          <w:rFonts w:ascii="Arial" w:cs="Arial" w:eastAsia="Arial" w:hAnsi="Arial"/>
          <w:sz w:val="18"/>
          <w:szCs w:val="18"/>
          <w:color w:val="auto"/>
        </w:rPr>
        <w:t xml:space="preserve"> </w:t>
      </w:r>
      <w:r>
        <w:rPr>
          <w:rFonts w:ascii="Arial" w:cs="Arial" w:eastAsia="Arial" w:hAnsi="Arial"/>
          <w:sz w:val="18"/>
          <w:szCs w:val="18"/>
          <w:u w:val="single" w:color="auto"/>
          <w:color w:val="auto"/>
        </w:rPr>
        <w:t>a majority</w:t>
      </w:r>
      <w:r>
        <w:rPr>
          <w:rFonts w:ascii="Arial" w:cs="Arial" w:eastAsia="Arial" w:hAnsi="Arial"/>
          <w:sz w:val="18"/>
          <w:szCs w:val="18"/>
          <w:color w:val="auto"/>
        </w:rPr>
        <w:t xml:space="preserve"> of the votes entitled to be cast by holders of </w:t>
      </w:r>
      <w:r>
        <w:rPr>
          <w:rFonts w:ascii="Arial" w:cs="Arial" w:eastAsia="Arial" w:hAnsi="Arial"/>
          <w:sz w:val="18"/>
          <w:szCs w:val="18"/>
          <w:u w:val="single" w:color="auto"/>
          <w:color w:val="auto"/>
        </w:rPr>
        <w:t>all</w:t>
      </w:r>
      <w:r>
        <w:rPr>
          <w:rFonts w:ascii="Arial" w:cs="Arial" w:eastAsia="Arial" w:hAnsi="Arial"/>
          <w:sz w:val="18"/>
          <w:szCs w:val="18"/>
          <w:color w:val="auto"/>
        </w:rPr>
        <w:t xml:space="preserve"> the outstanding shares of Voting Stock, voting together as a single class.</w:t>
      </w:r>
    </w:p>
    <w:p>
      <w:pPr>
        <w:spacing w:after="0" w:line="116" w:lineRule="exact"/>
        <w:rPr>
          <w:rFonts w:ascii="Arial" w:cs="Arial" w:eastAsia="Arial" w:hAnsi="Arial"/>
          <w:sz w:val="18"/>
          <w:szCs w:val="18"/>
          <w:color w:val="auto"/>
        </w:rPr>
      </w:pPr>
    </w:p>
    <w:p>
      <w:pPr>
        <w:ind w:left="-460" w:right="40" w:firstLine="725"/>
        <w:spacing w:after="0" w:line="268" w:lineRule="auto"/>
        <w:tabs>
          <w:tab w:leader="none" w:pos="679" w:val="left"/>
        </w:tabs>
        <w:numPr>
          <w:ilvl w:val="1"/>
          <w:numId w:val="230"/>
        </w:numPr>
        <w:rPr>
          <w:rFonts w:ascii="Arial" w:cs="Arial" w:eastAsia="Arial" w:hAnsi="Arial"/>
          <w:sz w:val="18"/>
          <w:szCs w:val="18"/>
          <w:color w:val="auto"/>
        </w:rPr>
      </w:pPr>
      <w:r>
        <w:rPr>
          <w:rFonts w:ascii="Arial" w:cs="Arial" w:eastAsia="Arial" w:hAnsi="Arial"/>
          <w:sz w:val="18"/>
          <w:szCs w:val="18"/>
          <w:color w:val="auto"/>
        </w:rPr>
        <w:t xml:space="preserve">Notwithstanding paragraph (b) of this Article 13, the </w:t>
      </w:r>
      <w:r>
        <w:rPr>
          <w:rFonts w:ascii="Arial" w:cs="Arial" w:eastAsia="Arial" w:hAnsi="Arial"/>
          <w:sz w:val="18"/>
          <w:szCs w:val="18"/>
          <w:color w:val="auto"/>
          <w:strike w:val="1"/>
        </w:rPr>
        <w:t>80% voting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special shareholder approval</w:t>
      </w:r>
      <w:r>
        <w:rPr>
          <w:rFonts w:ascii="Arial" w:cs="Arial" w:eastAsia="Arial" w:hAnsi="Arial"/>
          <w:sz w:val="18"/>
          <w:szCs w:val="18"/>
          <w:color w:val="auto"/>
        </w:rPr>
        <w:t xml:space="preserve"> requirement </w:t>
      </w:r>
      <w:r>
        <w:rPr>
          <w:rFonts w:ascii="Arial" w:cs="Arial" w:eastAsia="Arial" w:hAnsi="Arial"/>
          <w:sz w:val="18"/>
          <w:szCs w:val="18"/>
          <w:u w:val="single" w:color="auto"/>
          <w:color w:val="auto"/>
        </w:rPr>
        <w:t>set forth in</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shall not be applicable if any action or transaction specified in paragraph (a) is approved by the Corporation’s Board of Directors and by a majority of the Continuing Directors (as hereinafter defined).</w:t>
      </w:r>
    </w:p>
    <w:p>
      <w:pPr>
        <w:spacing w:after="0" w:line="116" w:lineRule="exact"/>
        <w:rPr>
          <w:rFonts w:ascii="Arial" w:cs="Arial" w:eastAsia="Arial" w:hAnsi="Arial"/>
          <w:sz w:val="18"/>
          <w:szCs w:val="18"/>
          <w:color w:val="auto"/>
        </w:rPr>
      </w:pPr>
    </w:p>
    <w:p>
      <w:pPr>
        <w:ind w:left="-460" w:right="1120" w:firstLine="725"/>
        <w:spacing w:after="0" w:line="287" w:lineRule="auto"/>
        <w:tabs>
          <w:tab w:leader="none" w:pos="689" w:val="left"/>
        </w:tabs>
        <w:numPr>
          <w:ilvl w:val="1"/>
          <w:numId w:val="230"/>
        </w:numPr>
        <w:rPr>
          <w:rFonts w:ascii="Arial" w:cs="Arial" w:eastAsia="Arial" w:hAnsi="Arial"/>
          <w:sz w:val="18"/>
          <w:szCs w:val="18"/>
          <w:color w:val="auto"/>
        </w:rPr>
      </w:pPr>
      <w:r>
        <w:rPr>
          <w:rFonts w:ascii="Arial" w:cs="Arial" w:eastAsia="Arial" w:hAnsi="Arial"/>
          <w:sz w:val="18"/>
          <w:szCs w:val="18"/>
          <w:color w:val="auto"/>
        </w:rPr>
        <w:t>Unless approved by a majority of the Continuing Directors, after becoming a Related Person and prior to consummation of such action or transaction.:</w:t>
      </w:r>
    </w:p>
    <w:p>
      <w:pPr>
        <w:spacing w:after="0" w:line="98" w:lineRule="exact"/>
        <w:rPr>
          <w:rFonts w:ascii="Arial" w:cs="Arial" w:eastAsia="Arial" w:hAnsi="Arial"/>
          <w:sz w:val="18"/>
          <w:szCs w:val="18"/>
          <w:color w:val="auto"/>
        </w:rPr>
      </w:pPr>
    </w:p>
    <w:p>
      <w:pPr>
        <w:ind w:left="180" w:right="160" w:firstLine="652"/>
        <w:spacing w:after="0" w:line="259" w:lineRule="auto"/>
        <w:tabs>
          <w:tab w:leader="none" w:pos="1188" w:val="left"/>
        </w:tabs>
        <w:numPr>
          <w:ilvl w:val="2"/>
          <w:numId w:val="230"/>
        </w:numPr>
        <w:rPr>
          <w:rFonts w:ascii="Arial" w:cs="Arial" w:eastAsia="Arial" w:hAnsi="Arial"/>
          <w:sz w:val="18"/>
          <w:szCs w:val="18"/>
          <w:color w:val="auto"/>
        </w:rPr>
      </w:pPr>
      <w:r>
        <w:rPr>
          <w:rFonts w:ascii="Arial" w:cs="Arial" w:eastAsia="Arial" w:hAnsi="Arial"/>
          <w:sz w:val="18"/>
          <w:szCs w:val="18"/>
          <w:color w:val="auto"/>
        </w:rPr>
        <w:t>the Related Person shall not have acquired from the Corporation or any of its subsidiaries any newly issued or treasury shares of capital stock or any newly issued securities convertible into capital stock of the Corporation or any of its majority-owned subsidiaries, directly or indirectly (except upon conversion of convertible securities acquired by it prior to becoming a Related Person or as a result of a pro rata stock dividend or stock split or other distribution of stock to all shareholders pro rata);</w:t>
      </w:r>
    </w:p>
    <w:p>
      <w:pPr>
        <w:spacing w:after="0" w:line="125" w:lineRule="exact"/>
        <w:rPr>
          <w:rFonts w:ascii="Arial" w:cs="Arial" w:eastAsia="Arial" w:hAnsi="Arial"/>
          <w:sz w:val="18"/>
          <w:szCs w:val="18"/>
          <w:color w:val="auto"/>
        </w:rPr>
      </w:pPr>
    </w:p>
    <w:p>
      <w:pPr>
        <w:ind w:left="180" w:right="60" w:firstLine="652"/>
        <w:spacing w:after="0" w:line="259" w:lineRule="auto"/>
        <w:tabs>
          <w:tab w:leader="none" w:pos="1228" w:val="left"/>
        </w:tabs>
        <w:numPr>
          <w:ilvl w:val="2"/>
          <w:numId w:val="230"/>
        </w:numPr>
        <w:rPr>
          <w:rFonts w:ascii="Arial" w:cs="Arial" w:eastAsia="Arial" w:hAnsi="Arial"/>
          <w:sz w:val="18"/>
          <w:szCs w:val="18"/>
          <w:color w:val="auto"/>
        </w:rPr>
      </w:pPr>
      <w:r>
        <w:rPr>
          <w:rFonts w:ascii="Arial" w:cs="Arial" w:eastAsia="Arial" w:hAnsi="Arial"/>
          <w:sz w:val="18"/>
          <w:szCs w:val="18"/>
          <w:color w:val="auto"/>
        </w:rPr>
        <w:t>such Related Person shall not have received the benefit, directly or indirectly (except proportionately as a shareholder), of any loans, advances, guarantees, pledges, or other financial assistance or tax credits provided by the Corporation or any of its majority-owned subsidiaries, or made any major changes in the Corporation’s or any of its majority-owned subsidiaries’ businesses or capital structures or reduced the current rate of dividends payable on the Corporation’s capital stock below the rate in effect immediately prior to the time such Related Person became a Related Person; and</w:t>
      </w:r>
    </w:p>
    <w:p>
      <w:pPr>
        <w:spacing w:after="0" w:line="125" w:lineRule="exact"/>
        <w:rPr>
          <w:rFonts w:ascii="Arial" w:cs="Arial" w:eastAsia="Arial" w:hAnsi="Arial"/>
          <w:sz w:val="18"/>
          <w:szCs w:val="18"/>
          <w:color w:val="auto"/>
        </w:rPr>
      </w:pPr>
    </w:p>
    <w:p>
      <w:pPr>
        <w:ind w:left="180" w:right="200" w:firstLine="652"/>
        <w:spacing w:after="0" w:line="259" w:lineRule="auto"/>
        <w:tabs>
          <w:tab w:leader="none" w:pos="1268" w:val="left"/>
        </w:tabs>
        <w:numPr>
          <w:ilvl w:val="2"/>
          <w:numId w:val="230"/>
        </w:numPr>
        <w:rPr>
          <w:rFonts w:ascii="Arial" w:cs="Arial" w:eastAsia="Arial" w:hAnsi="Arial"/>
          <w:sz w:val="18"/>
          <w:szCs w:val="18"/>
          <w:color w:val="auto"/>
        </w:rPr>
      </w:pPr>
      <w:r>
        <w:rPr>
          <w:rFonts w:ascii="Arial" w:cs="Arial" w:eastAsia="Arial" w:hAnsi="Arial"/>
          <w:sz w:val="18"/>
          <w:szCs w:val="18"/>
          <w:color w:val="auto"/>
        </w:rPr>
        <w:t>such Related Person shall have taken all required actions within its power to ensure that the Corporation’s Board of Directors included representation by Continuing Directors at least proportionate to the voting power of the shareholdings of Voting Stock of the Corporation’s Remaining Public Shareholders (as hereinafter defined), with a Continuing Director to occupy an additional Board position if a fractional right to a director results and, in any event, with at least one Continuing Director to serve on the Board so long as there are any Remaining Public Shareholders.</w:t>
      </w:r>
    </w:p>
    <w:p>
      <w:pPr>
        <w:spacing w:after="0" w:line="125" w:lineRule="exact"/>
        <w:rPr>
          <w:rFonts w:ascii="Arial" w:cs="Arial" w:eastAsia="Arial" w:hAnsi="Arial"/>
          <w:sz w:val="18"/>
          <w:szCs w:val="18"/>
          <w:color w:val="auto"/>
        </w:rPr>
      </w:pPr>
    </w:p>
    <w:p>
      <w:pPr>
        <w:ind w:left="-460" w:right="40" w:firstLine="644"/>
        <w:spacing w:after="0" w:line="287" w:lineRule="auto"/>
        <w:tabs>
          <w:tab w:leader="none" w:pos="598"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 proxy statement responsive to the requirements of the Securities Exchange Act of 1934, as amended, whether or not the Corporation is then subject to such requirements, shall be mailed</w:t>
      </w:r>
    </w:p>
    <w:p>
      <w:pPr>
        <w:spacing w:after="0" w:line="200" w:lineRule="exact"/>
        <w:rPr>
          <w:sz w:val="20"/>
          <w:szCs w:val="20"/>
          <w:color w:val="auto"/>
        </w:rPr>
      </w:pPr>
    </w:p>
    <w:p>
      <w:pPr>
        <w:spacing w:after="0" w:line="22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142240</wp:posOffset>
            </wp:positionV>
            <wp:extent cx="7157720" cy="42545"/>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755" w:right="359" w:bottom="1440" w:gutter="0" w:footer="0" w:header="0"/>
        </w:sectPr>
      </w:pPr>
    </w:p>
    <w:bookmarkStart w:id="123" w:name="page124"/>
    <w:bookmarkEnd w:id="123"/>
    <w:p>
      <w:pPr>
        <w:spacing w:after="0" w:line="256" w:lineRule="auto"/>
        <w:rPr>
          <w:sz w:val="20"/>
          <w:szCs w:val="20"/>
          <w:color w:val="auto"/>
        </w:rPr>
      </w:pPr>
      <w:r>
        <w:rPr>
          <w:rFonts w:ascii="Arial" w:cs="Arial" w:eastAsia="Arial" w:hAnsi="Arial"/>
          <w:sz w:val="18"/>
          <w:szCs w:val="18"/>
          <w:color w:val="auto"/>
        </w:rPr>
        <w:t>to the shareholders of the Corporation for the purpose of soliciting shareholder approval of such action or transaction and shall contain at the front thereof, in a prominent place, any recommendations as to the advisability or inadvisability of the action or transaction which the Continuing Directors may choose to state and, if deemed advisable by a majority of the Continuing Directors, the opinion of an investment banking firm selected by a majority of the Continuing Directors as to the fairness (or not) of the terms of the action or transaction from a financial point of view to the Remaining Public Shareholders, such investment banking firm to be paid a reasonable fee for its services by the Corporation. The requirements of this paragraph (e) shall not apply to any such action or transaction which is approved by a majority of the Continuing Directors.</w:t>
      </w:r>
    </w:p>
    <w:p>
      <w:pPr>
        <w:spacing w:after="0" w:line="129" w:lineRule="exact"/>
        <w:rPr>
          <w:sz w:val="20"/>
          <w:szCs w:val="20"/>
          <w:color w:val="auto"/>
        </w:rPr>
      </w:pPr>
    </w:p>
    <w:p>
      <w:pPr>
        <w:ind w:left="1020" w:hanging="376"/>
        <w:spacing w:after="0"/>
        <w:tabs>
          <w:tab w:leader="none" w:pos="102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For the purpose of this Article 13:</w:t>
      </w:r>
    </w:p>
    <w:p>
      <w:pPr>
        <w:spacing w:after="0" w:line="171" w:lineRule="exact"/>
        <w:rPr>
          <w:rFonts w:ascii="Arial" w:cs="Arial" w:eastAsia="Arial" w:hAnsi="Arial"/>
          <w:sz w:val="18"/>
          <w:szCs w:val="18"/>
          <w:color w:val="auto"/>
        </w:rPr>
      </w:pPr>
    </w:p>
    <w:p>
      <w:pPr>
        <w:ind w:left="640" w:right="20" w:firstLine="652"/>
        <w:spacing w:after="0" w:line="255" w:lineRule="auto"/>
        <w:tabs>
          <w:tab w:leader="none" w:pos="1648" w:val="left"/>
        </w:tabs>
        <w:numPr>
          <w:ilvl w:val="1"/>
          <w:numId w:val="23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Related Person</w:t>
      </w:r>
      <w:r>
        <w:rPr>
          <w:rFonts w:ascii="Arial" w:cs="Arial" w:eastAsia="Arial" w:hAnsi="Arial"/>
          <w:sz w:val="18"/>
          <w:szCs w:val="18"/>
          <w:color w:val="auto"/>
        </w:rPr>
        <w:t xml:space="preserve">” shall mean any other corporation, person, or entity which beneficially owns or controls, directly or indirectly, 5% or more of the outstanding shares of Voting Stock, and any Affiliate or Associate (as those terms are defined in the General Rules and Regulations under the Securities Exchange Act of 1934) of a Related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term Related Person shall not include (a) the Corporation or any of its subsidiaries, (b) any profit-sharing, employee stock ownership or other employee benefit plan of the Corporation or any subsidiary of the Corporation or any trustee of or fiduciary with respect to any such plan when acting in such capacity, or (c) Lilly Endowment, Inc.; and </w:t>
      </w:r>
      <w:r>
        <w:rPr>
          <w:rFonts w:ascii="Arial" w:cs="Arial" w:eastAsia="Arial" w:hAnsi="Arial"/>
          <w:sz w:val="18"/>
          <w:szCs w:val="18"/>
          <w:u w:val="single" w:color="auto"/>
          <w:color w:val="auto"/>
        </w:rPr>
        <w:t>further provided</w:t>
      </w:r>
      <w:r>
        <w:rPr>
          <w:rFonts w:ascii="Arial" w:cs="Arial" w:eastAsia="Arial" w:hAnsi="Arial"/>
          <w:sz w:val="18"/>
          <w:szCs w:val="18"/>
          <w:color w:val="auto"/>
        </w:rPr>
        <w:t>, that no corporation, person, or entity shall be deemed to be a Related Person solely by reason of being an Affiliate or Associate of Lilly Endowment, Inc.;</w:t>
      </w:r>
    </w:p>
    <w:p>
      <w:pPr>
        <w:spacing w:after="0" w:line="130" w:lineRule="exact"/>
        <w:rPr>
          <w:rFonts w:ascii="Arial" w:cs="Arial" w:eastAsia="Arial" w:hAnsi="Arial"/>
          <w:sz w:val="18"/>
          <w:szCs w:val="18"/>
          <w:color w:val="auto"/>
        </w:rPr>
      </w:pPr>
    </w:p>
    <w:p>
      <w:pPr>
        <w:ind w:left="640" w:right="420" w:firstLine="652"/>
        <w:spacing w:after="0" w:line="287" w:lineRule="auto"/>
        <w:tabs>
          <w:tab w:leader="none" w:pos="1688" w:val="left"/>
        </w:tabs>
        <w:numPr>
          <w:ilvl w:val="1"/>
          <w:numId w:val="232"/>
        </w:numPr>
        <w:rPr>
          <w:rFonts w:ascii="Arial" w:cs="Arial" w:eastAsia="Arial" w:hAnsi="Arial"/>
          <w:sz w:val="18"/>
          <w:szCs w:val="18"/>
          <w:color w:val="auto"/>
        </w:rPr>
      </w:pPr>
      <w:r>
        <w:rPr>
          <w:rFonts w:ascii="Arial" w:cs="Arial" w:eastAsia="Arial" w:hAnsi="Arial"/>
          <w:sz w:val="18"/>
          <w:szCs w:val="18"/>
          <w:color w:val="auto"/>
        </w:rPr>
        <w:t>a Related Person shall be deemed to own or control, directly or indirectly, any outstanding shares of Voting Stock owned by it or any Affiliate or Associate of record or beneficially, including, without limitation, shares</w:t>
      </w:r>
    </w:p>
    <w:p>
      <w:pPr>
        <w:spacing w:after="0" w:line="98" w:lineRule="exact"/>
        <w:rPr>
          <w:rFonts w:ascii="Arial" w:cs="Arial" w:eastAsia="Arial" w:hAnsi="Arial"/>
          <w:sz w:val="18"/>
          <w:szCs w:val="18"/>
          <w:color w:val="auto"/>
        </w:rPr>
      </w:pPr>
    </w:p>
    <w:p>
      <w:pPr>
        <w:ind w:left="1300" w:right="520" w:firstLine="640"/>
        <w:spacing w:after="0" w:line="287" w:lineRule="auto"/>
        <w:tabs>
          <w:tab w:leader="none" w:pos="2298" w:val="left"/>
        </w:tabs>
        <w:numPr>
          <w:ilvl w:val="2"/>
          <w:numId w:val="232"/>
        </w:numPr>
        <w:rPr>
          <w:rFonts w:ascii="Arial" w:cs="Arial" w:eastAsia="Arial" w:hAnsi="Arial"/>
          <w:sz w:val="18"/>
          <w:szCs w:val="18"/>
          <w:color w:val="auto"/>
        </w:rPr>
      </w:pPr>
      <w:r>
        <w:rPr>
          <w:rFonts w:ascii="Arial" w:cs="Arial" w:eastAsia="Arial" w:hAnsi="Arial"/>
          <w:sz w:val="18"/>
          <w:szCs w:val="18"/>
          <w:color w:val="auto"/>
        </w:rPr>
        <w:t>which it has the right to acquire pursuant to any agreement, or upon exercise of conversion rights, warrants, or options, or otherwise; or</w:t>
      </w:r>
    </w:p>
    <w:p>
      <w:pPr>
        <w:spacing w:after="0" w:line="98" w:lineRule="exact"/>
        <w:rPr>
          <w:rFonts w:ascii="Arial" w:cs="Arial" w:eastAsia="Arial" w:hAnsi="Arial"/>
          <w:sz w:val="18"/>
          <w:szCs w:val="18"/>
          <w:color w:val="auto"/>
        </w:rPr>
      </w:pPr>
    </w:p>
    <w:p>
      <w:pPr>
        <w:jc w:val="both"/>
        <w:ind w:left="1300" w:right="60" w:firstLine="640"/>
        <w:spacing w:after="0" w:line="262" w:lineRule="auto"/>
        <w:tabs>
          <w:tab w:leader="none" w:pos="2298" w:val="left"/>
        </w:tabs>
        <w:numPr>
          <w:ilvl w:val="2"/>
          <w:numId w:val="232"/>
        </w:numPr>
        <w:rPr>
          <w:rFonts w:ascii="Arial" w:cs="Arial" w:eastAsia="Arial" w:hAnsi="Arial"/>
          <w:sz w:val="18"/>
          <w:szCs w:val="18"/>
          <w:color w:val="auto"/>
        </w:rPr>
      </w:pPr>
      <w:r>
        <w:rPr>
          <w:rFonts w:ascii="Arial" w:cs="Arial" w:eastAsia="Arial" w:hAnsi="Arial"/>
          <w:sz w:val="18"/>
          <w:szCs w:val="18"/>
          <w:color w:val="auto"/>
        </w:rPr>
        <w:t>which are beneficially owned, directly or indirectly (including shares deemed owned through application of clause a. above), by any other corporation, person, or other entity with which it or its Affiliate or Associate has any agreement, arrangement, or understanding for the purpose of acquiring, holding, voting, or disposing of Voting Stock, or which is its Affiliate (other than the Corporation) or Associate (other than the Corporation);</w:t>
      </w:r>
    </w:p>
    <w:p>
      <w:pPr>
        <w:spacing w:after="0" w:line="122" w:lineRule="exact"/>
        <w:rPr>
          <w:rFonts w:ascii="Arial" w:cs="Arial" w:eastAsia="Arial" w:hAnsi="Arial"/>
          <w:sz w:val="18"/>
          <w:szCs w:val="18"/>
          <w:color w:val="auto"/>
        </w:rPr>
      </w:pPr>
    </w:p>
    <w:p>
      <w:pPr>
        <w:ind w:left="640" w:right="100" w:firstLine="652"/>
        <w:spacing w:after="0" w:line="287" w:lineRule="auto"/>
        <w:tabs>
          <w:tab w:leader="none" w:pos="1728" w:val="left"/>
        </w:tabs>
        <w:numPr>
          <w:ilvl w:val="1"/>
          <w:numId w:val="23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Voting Stock</w:t>
      </w:r>
      <w:r>
        <w:rPr>
          <w:rFonts w:ascii="Arial" w:cs="Arial" w:eastAsia="Arial" w:hAnsi="Arial"/>
          <w:sz w:val="18"/>
          <w:szCs w:val="18"/>
          <w:color w:val="auto"/>
        </w:rPr>
        <w:t>” shall mean all shares of any class of capital stock of the Corporation which are entitled to vote generally in the election of directors;</w:t>
      </w:r>
    </w:p>
    <w:p>
      <w:pPr>
        <w:spacing w:after="0" w:line="98" w:lineRule="exact"/>
        <w:rPr>
          <w:rFonts w:ascii="Arial" w:cs="Arial" w:eastAsia="Arial" w:hAnsi="Arial"/>
          <w:sz w:val="18"/>
          <w:szCs w:val="18"/>
          <w:color w:val="auto"/>
        </w:rPr>
      </w:pPr>
    </w:p>
    <w:p>
      <w:pPr>
        <w:ind w:left="640" w:right="140" w:firstLine="652"/>
        <w:spacing w:after="0" w:line="259" w:lineRule="auto"/>
        <w:tabs>
          <w:tab w:leader="none" w:pos="1738" w:val="left"/>
        </w:tabs>
        <w:numPr>
          <w:ilvl w:val="1"/>
          <w:numId w:val="23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Continuing Director</w:t>
      </w:r>
      <w:r>
        <w:rPr>
          <w:rFonts w:ascii="Arial" w:cs="Arial" w:eastAsia="Arial" w:hAnsi="Arial"/>
          <w:sz w:val="18"/>
          <w:szCs w:val="18"/>
          <w:color w:val="auto"/>
        </w:rPr>
        <w:t>” shall mean a director who is not an Affiliate or Associate or representative of a Related Person and who was a member of the Board of Directors of the Corporation immediately prior to the time that any Related Person involved in the proposed action or transaction became a Related Person or a director who is not an Affiliate or Associate or representative of a Related Person and who was nominated by a majority of the remaining Continuing Directors; and</w:t>
      </w:r>
    </w:p>
    <w:p>
      <w:pPr>
        <w:spacing w:after="0" w:line="125" w:lineRule="exact"/>
        <w:rPr>
          <w:rFonts w:ascii="Arial" w:cs="Arial" w:eastAsia="Arial" w:hAnsi="Arial"/>
          <w:sz w:val="18"/>
          <w:szCs w:val="18"/>
          <w:color w:val="auto"/>
        </w:rPr>
      </w:pPr>
    </w:p>
    <w:p>
      <w:pPr>
        <w:ind w:left="640" w:right="160" w:firstLine="652"/>
        <w:spacing w:after="0" w:line="287" w:lineRule="auto"/>
        <w:tabs>
          <w:tab w:leader="none" w:pos="1698" w:val="left"/>
        </w:tabs>
        <w:numPr>
          <w:ilvl w:val="1"/>
          <w:numId w:val="23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Remaining Public Shareholders</w:t>
      </w:r>
      <w:r>
        <w:rPr>
          <w:rFonts w:ascii="Arial" w:cs="Arial" w:eastAsia="Arial" w:hAnsi="Arial"/>
          <w:sz w:val="18"/>
          <w:szCs w:val="18"/>
          <w:color w:val="auto"/>
        </w:rPr>
        <w:t>” shall mean the holders of the Corporation’s capital stock other than the Related Person.</w:t>
      </w:r>
    </w:p>
    <w:p>
      <w:pPr>
        <w:spacing w:after="0" w:line="98" w:lineRule="exact"/>
        <w:rPr>
          <w:rFonts w:ascii="Arial" w:cs="Arial" w:eastAsia="Arial" w:hAnsi="Arial"/>
          <w:sz w:val="18"/>
          <w:szCs w:val="18"/>
          <w:color w:val="auto"/>
        </w:rPr>
      </w:pPr>
    </w:p>
    <w:p>
      <w:pPr>
        <w:ind w:right="20" w:firstLine="644"/>
        <w:spacing w:after="0" w:line="259" w:lineRule="auto"/>
        <w:tabs>
          <w:tab w:leader="none" w:pos="1058"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 majority of the Continuing Directors of the Corporation shall have the power and duty to determine for the purposes of this Article 13, on the basis of information then known to the Continuing Directors, whether (i) any Related Person exists or is an Affiliate or an Associate of another and (ii) any proposed sale, lease, exchange, or other disposition of part of the assets of the Corporation or any majority-owned subsidiary involves a substantial part of the assets of the Corporation or any of its subsidiaries. Any such determination by the Continuing Directors shall be conclusive and binding for all purposes.</w:t>
      </w:r>
    </w:p>
    <w:p>
      <w:pPr>
        <w:spacing w:after="0" w:line="125" w:lineRule="exact"/>
        <w:rPr>
          <w:rFonts w:ascii="Arial" w:cs="Arial" w:eastAsia="Arial" w:hAnsi="Arial"/>
          <w:sz w:val="18"/>
          <w:szCs w:val="18"/>
          <w:color w:val="auto"/>
        </w:rPr>
      </w:pPr>
    </w:p>
    <w:p>
      <w:pPr>
        <w:ind w:right="60" w:firstLine="644"/>
        <w:spacing w:after="0" w:line="287" w:lineRule="auto"/>
        <w:tabs>
          <w:tab w:leader="none" w:pos="1068"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Nothing contained in this Article 13 shall be construed to relieve any Related Person or any Affiliate or Associate of any Related Person from any fiduciary obligation imposed by law.</w:t>
      </w:r>
    </w:p>
    <w:p>
      <w:pPr>
        <w:spacing w:after="0" w:line="98" w:lineRule="exact"/>
        <w:rPr>
          <w:rFonts w:ascii="Arial" w:cs="Arial" w:eastAsia="Arial" w:hAnsi="Arial"/>
          <w:sz w:val="18"/>
          <w:szCs w:val="18"/>
          <w:color w:val="auto"/>
        </w:rPr>
      </w:pPr>
    </w:p>
    <w:p>
      <w:pPr>
        <w:ind w:left="1000" w:hanging="356"/>
        <w:spacing w:after="0"/>
        <w:tabs>
          <w:tab w:leader="none" w:pos="10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fact that any action or transaction complies with the provisions of this Article 13 shall</w:t>
      </w:r>
    </w:p>
    <w:p>
      <w:pPr>
        <w:spacing w:after="0" w:line="200" w:lineRule="exact"/>
        <w:rPr>
          <w:sz w:val="20"/>
          <w:szCs w:val="20"/>
          <w:color w:val="auto"/>
        </w:rPr>
      </w:pPr>
    </w:p>
    <w:p>
      <w:pPr>
        <w:spacing w:after="0" w:line="29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142240</wp:posOffset>
            </wp:positionV>
            <wp:extent cx="7157720" cy="42545"/>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769" w:right="339" w:bottom="1440" w:gutter="0" w:footer="0" w:header="0"/>
        </w:sectPr>
      </w:pPr>
    </w:p>
    <w:bookmarkStart w:id="124" w:name="page125"/>
    <w:bookmarkEnd w:id="124"/>
    <w:p>
      <w:pPr>
        <w:ind w:right="20"/>
        <w:spacing w:after="0" w:line="255" w:lineRule="auto"/>
        <w:rPr>
          <w:sz w:val="20"/>
          <w:szCs w:val="20"/>
          <w:color w:val="auto"/>
        </w:rPr>
      </w:pPr>
      <w:r>
        <w:rPr>
          <w:rFonts w:ascii="Arial" w:cs="Arial" w:eastAsia="Arial" w:hAnsi="Arial"/>
          <w:sz w:val="18"/>
          <w:szCs w:val="18"/>
          <w:color w:val="auto"/>
        </w:rPr>
        <w:t>not be construed to waive or satisfy any other requirement of law or these Amended Articles of Incorporation or to impose any fiduciary duty, obligation, or responsibility on the Board of Directors or any member thereof, to approve such action or transaction or recommend its adoption or approval to the shareholders of the Corporation, nor shall such compliance limit, prohibit, or otherwise restrict in any manner the Board of Directors, or any member thereof, with respect to evaluations of or actions and responses taken with respect to such action or transaction. The Board of Directors of the Corporation, when evaluating any actions or transactions described in paragraph (a) of this Article 13, shall, in connection with the exercise of its judgment in determining what is in the best interests of the Corporation and its shareholders, give due consideration to all relevant factors, including, without limitation, the social and economic effects on the employees, customers, suppliers, and other constituents of the Corporation and its subsidiaries and on the communities in which the Corporation and its subsidiaries operate or are located.</w:t>
      </w:r>
    </w:p>
    <w:p>
      <w:pPr>
        <w:spacing w:after="0" w:line="127" w:lineRule="exact"/>
        <w:rPr>
          <w:sz w:val="20"/>
          <w:szCs w:val="20"/>
          <w:color w:val="auto"/>
        </w:rPr>
      </w:pPr>
    </w:p>
    <w:p>
      <w:pPr>
        <w:ind w:firstLine="644"/>
        <w:spacing w:after="0" w:line="259" w:lineRule="auto"/>
        <w:tabs>
          <w:tab w:leader="none" w:pos="1007" w:val="left"/>
        </w:tabs>
        <w:numPr>
          <w:ilvl w:val="0"/>
          <w:numId w:val="233"/>
        </w:numPr>
        <w:rPr>
          <w:rFonts w:ascii="Arial" w:cs="Arial" w:eastAsia="Arial" w:hAnsi="Arial"/>
          <w:sz w:val="18"/>
          <w:szCs w:val="18"/>
          <w:color w:val="auto"/>
          <w:strike w:val="1"/>
        </w:rPr>
      </w:pPr>
      <w:r>
        <w:rPr>
          <w:rFonts w:ascii="Arial" w:cs="Arial" w:eastAsia="Arial" w:hAnsi="Arial"/>
          <w:sz w:val="18"/>
          <w:szCs w:val="18"/>
          <w:color w:val="auto"/>
          <w:strike w:val="1"/>
        </w:rPr>
        <w:t>Notwithstanding any other provision of these Amended Articles of Incorporation or of law which might otherwise permit a lesser vote or no vote, but in addition to any affirmative vote of the holders of any particular class of Voting Stock required by law or these Amended Articles of Incorporation, the affirmative vote of the holders of at least 80% of the votes entitled to be cast by holders of all the outstanding shares of Voting Stock, voting together as a single class, shall be required to alter, amend, or repeal this Article 13.</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142240</wp:posOffset>
            </wp:positionV>
            <wp:extent cx="7157720" cy="42545"/>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980" w:top="769" w:right="359" w:bottom="1440" w:gutter="0" w:footer="0" w:header="0"/>
        </w:sectPr>
      </w:pPr>
    </w:p>
    <w:bookmarkStart w:id="125" w:name="page126"/>
    <w:bookmarkEnd w:id="1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5760720" cy="7423785"/>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clrChange>
                        <a:clrFrom>
                          <a:srgbClr val="FFFFFF"/>
                        </a:clrFrom>
                        <a:clrTo>
                          <a:srgbClr val="FFFFFF">
                            <a:alpha val="0"/>
                          </a:srgbClr>
                        </a:clrTo>
                      </a:clrChange>
                      <a:extLst>
                        <a:ext uri="{28A0092B-C50C-407E-A947-70E740481C1C}"/>
                      </a:extLst>
                    </a:blip>
                    <a:srcRect/>
                    <a:stretch>
                      <a:fillRect/>
                    </a:stretch>
                  </pic:blipFill>
                  <pic:spPr bwMode="auto">
                    <a:xfrm>
                      <a:off x="0" y="0"/>
                      <a:ext cx="5760720" cy="7423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149225</wp:posOffset>
            </wp:positionV>
            <wp:extent cx="7157720" cy="42545"/>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6" w:name="page127"/>
    <w:bookmarkEnd w:id="1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5760720" cy="7449185"/>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clrChange>
                        <a:clrFrom>
                          <a:srgbClr val="FFFFFF"/>
                        </a:clrFrom>
                        <a:clrTo>
                          <a:srgbClr val="FFFFFF">
                            <a:alpha val="0"/>
                          </a:srgbClr>
                        </a:clrTo>
                      </a:clrChange>
                      <a:extLst>
                        <a:ext uri="{28A0092B-C50C-407E-A947-70E740481C1C}"/>
                      </a:extLst>
                    </a:blip>
                    <a:srcRect/>
                    <a:stretch>
                      <a:fillRect/>
                    </a:stretch>
                  </pic:blipFill>
                  <pic:spPr bwMode="auto">
                    <a:xfrm>
                      <a:off x="0" y="0"/>
                      <a:ext cx="5760720" cy="7449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149225</wp:posOffset>
            </wp:positionV>
            <wp:extent cx="7157720" cy="42545"/>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7" w:name="page128"/>
    <w:bookmarkEnd w:id="1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5760720" cy="7423785"/>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clrChange>
                        <a:clrFrom>
                          <a:srgbClr val="FFFFFF"/>
                        </a:clrFrom>
                        <a:clrTo>
                          <a:srgbClr val="FFFFFF">
                            <a:alpha val="0"/>
                          </a:srgbClr>
                        </a:clrTo>
                      </a:clrChange>
                      <a:extLst>
                        <a:ext uri="{28A0092B-C50C-407E-A947-70E740481C1C}"/>
                      </a:extLst>
                    </a:blip>
                    <a:srcRect/>
                    <a:stretch>
                      <a:fillRect/>
                    </a:stretch>
                  </pic:blipFill>
                  <pic:spPr bwMode="auto">
                    <a:xfrm>
                      <a:off x="0" y="0"/>
                      <a:ext cx="5760720" cy="7423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149225</wp:posOffset>
            </wp:positionV>
            <wp:extent cx="7157720" cy="42545"/>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8" w:name="page129"/>
    <w:bookmarkEnd w:id="1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5760720" cy="744982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clrChange>
                        <a:clrFrom>
                          <a:srgbClr val="FFFFFF"/>
                        </a:clrFrom>
                        <a:clrTo>
                          <a:srgbClr val="FFFFFF">
                            <a:alpha val="0"/>
                          </a:srgbClr>
                        </a:clrTo>
                      </a:clrChange>
                      <a:extLst>
                        <a:ext uri="{28A0092B-C50C-407E-A947-70E740481C1C}"/>
                      </a:extLst>
                    </a:blip>
                    <a:srcRect/>
                    <a:stretch>
                      <a:fillRect/>
                    </a:stretch>
                  </pic:blipFill>
                  <pic:spPr bwMode="auto">
                    <a:xfrm>
                      <a:off x="0" y="0"/>
                      <a:ext cx="5760720" cy="7449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PC-4</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C80EC70"/>
    <w:multiLevelType w:val="hybridMultilevel"/>
    <w:lvl w:ilvl="0">
      <w:lvlJc w:val="left"/>
      <w:lvlText w:val="o"/>
      <w:numFmt w:val="bullet"/>
      <w:start w:val="1"/>
    </w:lvl>
  </w:abstractNum>
  <w:abstractNum w:abstractNumId="1">
    <w:nsid w:val="379E21B5"/>
    <w:multiLevelType w:val="hybridMultilevel"/>
    <w:lvl w:ilvl="0">
      <w:lvlJc w:val="left"/>
      <w:lvlText w:val="x"/>
      <w:numFmt w:val="bullet"/>
      <w:start w:val="1"/>
    </w:lvl>
  </w:abstractNum>
  <w:abstractNum w:abstractNumId="2">
    <w:nsid w:val="69E373"/>
    <w:multiLevelType w:val="hybridMultilevel"/>
    <w:lvl w:ilvl="0">
      <w:lvlJc w:val="left"/>
      <w:lvlText w:val="o"/>
      <w:numFmt w:val="bullet"/>
      <w:start w:val="1"/>
    </w:lvl>
  </w:abstractNum>
  <w:abstractNum w:abstractNumId="3">
    <w:nsid w:val="2C27173B"/>
    <w:multiLevelType w:val="hybridMultilevel"/>
    <w:lvl w:ilvl="0">
      <w:lvlJc w:val="left"/>
      <w:lvlText w:val="x"/>
      <w:numFmt w:val="bullet"/>
      <w:start w:val="1"/>
    </w:lvl>
  </w:abstractNum>
  <w:abstractNum w:abstractNumId="4">
    <w:nsid w:val="4C9B0904"/>
    <w:multiLevelType w:val="hybridMultilevel"/>
    <w:lvl w:ilvl="0">
      <w:lvlJc w:val="left"/>
      <w:lvlText w:val="o"/>
      <w:numFmt w:val="bullet"/>
      <w:start w:val="1"/>
    </w:lvl>
  </w:abstractNum>
  <w:abstractNum w:abstractNumId="5">
    <w:nsid w:val="6AA7B75C"/>
    <w:multiLevelType w:val="hybridMultilevel"/>
    <w:lvl w:ilvl="0">
      <w:lvlJc w:val="left"/>
      <w:lvlText w:val="•"/>
      <w:numFmt w:val="bullet"/>
      <w:start w:val="1"/>
    </w:lvl>
  </w:abstractNum>
  <w:abstractNum w:abstractNumId="6">
    <w:nsid w:val="1DF029D3"/>
    <w:multiLevelType w:val="hybridMultilevel"/>
    <w:lvl w:ilvl="0">
      <w:lvlJc w:val="left"/>
      <w:lvlText w:val="•"/>
      <w:numFmt w:val="bullet"/>
      <w:start w:val="1"/>
    </w:lvl>
  </w:abstractNum>
  <w:abstractNum w:abstractNumId="7">
    <w:nsid w:val="5675FF36"/>
    <w:multiLevelType w:val="hybridMultilevel"/>
    <w:lvl w:ilvl="0">
      <w:lvlJc w:val="left"/>
      <w:lvlText w:val="•"/>
      <w:numFmt w:val="bullet"/>
      <w:start w:val="1"/>
    </w:lvl>
  </w:abstractNum>
  <w:abstractNum w:abstractNumId="8">
    <w:nsid w:val="3DD15094"/>
    <w:multiLevelType w:val="hybridMultilevel"/>
    <w:lvl w:ilvl="0">
      <w:lvlJc w:val="left"/>
      <w:lvlText w:val="•"/>
      <w:numFmt w:val="bullet"/>
      <w:start w:val="1"/>
    </w:lvl>
  </w:abstractNum>
  <w:abstractNum w:abstractNumId="9">
    <w:nsid w:val="3DB012B3"/>
    <w:multiLevelType w:val="hybridMultilevel"/>
    <w:lvl w:ilvl="0">
      <w:lvlJc w:val="left"/>
      <w:lvlText w:val="•"/>
      <w:numFmt w:val="bullet"/>
      <w:start w:val="1"/>
    </w:lvl>
  </w:abstractNum>
  <w:abstractNum w:abstractNumId="10">
    <w:nsid w:val="2708C9AF"/>
    <w:multiLevelType w:val="hybridMultilevel"/>
    <w:lvl w:ilvl="0">
      <w:lvlJc w:val="left"/>
      <w:lvlText w:val="•"/>
      <w:numFmt w:val="bullet"/>
      <w:start w:val="1"/>
    </w:lvl>
  </w:abstractNum>
  <w:abstractNum w:abstractNumId="11">
    <w:nsid w:val="5B25ACE2"/>
    <w:multiLevelType w:val="hybridMultilevel"/>
    <w:lvl w:ilvl="0">
      <w:lvlJc w:val="left"/>
      <w:lvlText w:val="•"/>
      <w:numFmt w:val="bullet"/>
      <w:start w:val="1"/>
    </w:lvl>
  </w:abstractNum>
  <w:abstractNum w:abstractNumId="12">
    <w:nsid w:val="175DFCF0"/>
    <w:multiLevelType w:val="hybridMultilevel"/>
    <w:lvl w:ilvl="0">
      <w:lvlJc w:val="left"/>
      <w:lvlText w:val="•"/>
      <w:numFmt w:val="bullet"/>
      <w:start w:val="1"/>
    </w:lvl>
  </w:abstractNum>
  <w:abstractNum w:abstractNumId="13">
    <w:nsid w:val="4F97E3E4"/>
    <w:multiLevelType w:val="hybridMultilevel"/>
    <w:lvl w:ilvl="0">
      <w:lvlJc w:val="left"/>
      <w:lvlText w:val="•"/>
      <w:numFmt w:val="bullet"/>
      <w:start w:val="1"/>
    </w:lvl>
  </w:abstractNum>
  <w:abstractNum w:abstractNumId="14">
    <w:nsid w:val="53B0A9E"/>
    <w:multiLevelType w:val="hybridMultilevel"/>
    <w:lvl w:ilvl="0">
      <w:lvlJc w:val="left"/>
      <w:lvlText w:val="•"/>
      <w:numFmt w:val="bullet"/>
      <w:start w:val="1"/>
    </w:lvl>
  </w:abstractNum>
  <w:abstractNum w:abstractNumId="15">
    <w:nsid w:val="34FD6B4F"/>
    <w:multiLevelType w:val="hybridMultilevel"/>
    <w:lvl w:ilvl="0">
      <w:lvlJc w:val="left"/>
      <w:lvlText w:val="•"/>
      <w:numFmt w:val="bullet"/>
      <w:start w:val="1"/>
    </w:lvl>
  </w:abstractNum>
  <w:abstractNum w:abstractNumId="16">
    <w:nsid w:val="5915FF32"/>
    <w:multiLevelType w:val="hybridMultilevel"/>
    <w:lvl w:ilvl="0">
      <w:lvlJc w:val="left"/>
      <w:lvlText w:val="✔"/>
      <w:numFmt w:val="bullet"/>
      <w:start w:val="1"/>
    </w:lvl>
  </w:abstractNum>
  <w:abstractNum w:abstractNumId="17">
    <w:nsid w:val="56438D15"/>
    <w:multiLevelType w:val="hybridMultilevel"/>
    <w:lvl w:ilvl="0">
      <w:lvlJc w:val="left"/>
      <w:lvlText w:val="\endash "/>
      <w:numFmt w:val="bullet"/>
      <w:start w:val="1"/>
    </w:lvl>
  </w:abstractNum>
  <w:abstractNum w:abstractNumId="18">
    <w:nsid w:val="519E3149"/>
    <w:multiLevelType w:val="hybridMultilevel"/>
    <w:lvl w:ilvl="0">
      <w:lvlJc w:val="left"/>
      <w:lvlText w:val="\endash "/>
      <w:numFmt w:val="bullet"/>
      <w:start w:val="1"/>
    </w:lvl>
  </w:abstractNum>
  <w:abstractNum w:abstractNumId="19">
    <w:nsid w:val="2C6E4AFD"/>
    <w:multiLevelType w:val="hybridMultilevel"/>
    <w:lvl w:ilvl="0">
      <w:lvlJc w:val="left"/>
      <w:lvlText w:val="•"/>
      <w:numFmt w:val="bullet"/>
      <w:start w:val="1"/>
    </w:lvl>
  </w:abstractNum>
  <w:abstractNum w:abstractNumId="20">
    <w:nsid w:val="17A1B582"/>
    <w:multiLevelType w:val="hybridMultilevel"/>
    <w:lvl w:ilvl="0">
      <w:lvlJc w:val="left"/>
      <w:lvlText w:val="•"/>
      <w:numFmt w:val="bullet"/>
      <w:start w:val="1"/>
    </w:lvl>
  </w:abstractNum>
  <w:abstractNum w:abstractNumId="21">
    <w:nsid w:val="4DF72E4E"/>
    <w:multiLevelType w:val="hybridMultilevel"/>
    <w:lvl w:ilvl="0">
      <w:lvlJc w:val="left"/>
      <w:lvlText w:val="•"/>
      <w:numFmt w:val="bullet"/>
      <w:start w:val="1"/>
    </w:lvl>
    <w:lvl w:ilvl="1">
      <w:lvlJc w:val="left"/>
      <w:lvlText w:val="\endash "/>
      <w:numFmt w:val="bullet"/>
      <w:start w:val="1"/>
    </w:lvl>
  </w:abstractNum>
  <w:abstractNum w:abstractNumId="22">
    <w:nsid w:val="5046B5A9"/>
    <w:multiLevelType w:val="hybridMultilevel"/>
    <w:lvl w:ilvl="0">
      <w:lvlJc w:val="left"/>
      <w:lvlText w:val="\endash "/>
      <w:numFmt w:val="bullet"/>
      <w:start w:val="1"/>
    </w:lvl>
  </w:abstractNum>
  <w:abstractNum w:abstractNumId="23">
    <w:nsid w:val="5D888A08"/>
    <w:multiLevelType w:val="hybridMultilevel"/>
    <w:lvl w:ilvl="0">
      <w:lvlJc w:val="left"/>
      <w:lvlText w:val="•"/>
      <w:numFmt w:val="bullet"/>
      <w:start w:val="1"/>
    </w:lvl>
  </w:abstractNum>
  <w:abstractNum w:abstractNumId="24">
    <w:nsid w:val="2A082C70"/>
    <w:multiLevelType w:val="hybridMultilevel"/>
    <w:lvl w:ilvl="0">
      <w:lvlJc w:val="left"/>
      <w:lvlText w:val="•"/>
      <w:numFmt w:val="bullet"/>
      <w:start w:val="1"/>
    </w:lvl>
    <w:lvl w:ilvl="1">
      <w:lvlJc w:val="left"/>
      <w:lvlText w:val="\endash "/>
      <w:numFmt w:val="bullet"/>
      <w:start w:val="1"/>
    </w:lvl>
    <w:lvl w:ilvl="2">
      <w:lvlJc w:val="left"/>
      <w:lvlText w:val="•"/>
      <w:numFmt w:val="bullet"/>
      <w:start w:val="1"/>
    </w:lvl>
  </w:abstractNum>
  <w:abstractNum w:abstractNumId="25">
    <w:nsid w:val="5EC6AFD4"/>
    <w:multiLevelType w:val="hybridMultilevel"/>
    <w:lvl w:ilvl="0">
      <w:lvlJc w:val="left"/>
      <w:lvlText w:val="•"/>
      <w:numFmt w:val="bullet"/>
      <w:start w:val="1"/>
    </w:lvl>
  </w:abstractNum>
  <w:abstractNum w:abstractNumId="26">
    <w:nsid w:val="19E21BB2"/>
    <w:multiLevelType w:val="hybridMultilevel"/>
    <w:lvl w:ilvl="0">
      <w:lvlJc w:val="left"/>
      <w:lvlText w:val="\endash "/>
      <w:numFmt w:val="bullet"/>
      <w:start w:val="1"/>
    </w:lvl>
  </w:abstractNum>
  <w:abstractNum w:abstractNumId="27">
    <w:nsid w:val="75E0858A"/>
    <w:multiLevelType w:val="hybridMultilevel"/>
    <w:lvl w:ilvl="0">
      <w:lvlJc w:val="left"/>
      <w:lvlText w:val="\endash "/>
      <w:numFmt w:val="bullet"/>
      <w:start w:val="1"/>
    </w:lvl>
  </w:abstractNum>
  <w:abstractNum w:abstractNumId="28">
    <w:nsid w:val="57A61A29"/>
    <w:multiLevelType w:val="hybridMultilevel"/>
    <w:lvl w:ilvl="0">
      <w:lvlJc w:val="left"/>
      <w:lvlText w:val="•"/>
      <w:numFmt w:val="bullet"/>
      <w:start w:val="1"/>
    </w:lvl>
  </w:abstractNum>
  <w:abstractNum w:abstractNumId="29">
    <w:nsid w:val="5399C654"/>
    <w:multiLevelType w:val="hybridMultilevel"/>
    <w:lvl w:ilvl="0">
      <w:lvlJc w:val="left"/>
      <w:lvlText w:val="•"/>
      <w:numFmt w:val="bullet"/>
      <w:start w:val="1"/>
    </w:lvl>
    <w:lvl w:ilvl="1">
      <w:lvlJc w:val="left"/>
      <w:lvlText w:val="\endash "/>
      <w:numFmt w:val="bullet"/>
      <w:start w:val="1"/>
    </w:lvl>
  </w:abstractNum>
  <w:abstractNum w:abstractNumId="30">
    <w:nsid w:val="20EE1348"/>
    <w:multiLevelType w:val="hybridMultilevel"/>
    <w:lvl w:ilvl="0">
      <w:lvlJc w:val="left"/>
      <w:lvlText w:val="•"/>
      <w:numFmt w:val="bullet"/>
      <w:start w:val="1"/>
    </w:lvl>
  </w:abstractNum>
  <w:abstractNum w:abstractNumId="31">
    <w:nsid w:val="4427069A"/>
    <w:multiLevelType w:val="hybridMultilevel"/>
    <w:lvl w:ilvl="0">
      <w:lvlJc w:val="left"/>
      <w:lvlText w:val="\endash "/>
      <w:numFmt w:val="bullet"/>
      <w:start w:val="1"/>
    </w:lvl>
    <w:lvl w:ilvl="1">
      <w:lvlJc w:val="left"/>
      <w:lvlText w:val="\endash "/>
      <w:numFmt w:val="bullet"/>
      <w:start w:val="1"/>
    </w:lvl>
  </w:abstractNum>
  <w:abstractNum w:abstractNumId="32">
    <w:nsid w:val="B37E80A"/>
    <w:multiLevelType w:val="hybridMultilevel"/>
    <w:lvl w:ilvl="0">
      <w:lvlJc w:val="left"/>
      <w:lvlText w:val="•"/>
      <w:numFmt w:val="bullet"/>
      <w:start w:val="1"/>
    </w:lvl>
  </w:abstractNum>
  <w:abstractNum w:abstractNumId="33">
    <w:nsid w:val="2157F6BC"/>
    <w:multiLevelType w:val="hybridMultilevel"/>
    <w:lvl w:ilvl="0">
      <w:lvlJc w:val="left"/>
      <w:lvlText w:val="•"/>
      <w:numFmt w:val="bullet"/>
      <w:start w:val="1"/>
    </w:lvl>
    <w:lvl w:ilvl="1">
      <w:lvlJc w:val="left"/>
      <w:lvlText w:val="\endash "/>
      <w:numFmt w:val="bullet"/>
      <w:start w:val="1"/>
    </w:lvl>
  </w:abstractNum>
  <w:abstractNum w:abstractNumId="34">
    <w:nsid w:val="704E1DD5"/>
    <w:multiLevelType w:val="hybridMultilevel"/>
    <w:lvl w:ilvl="0">
      <w:lvlJc w:val="left"/>
      <w:lvlText w:val="•"/>
      <w:numFmt w:val="bullet"/>
      <w:start w:val="1"/>
    </w:lvl>
  </w:abstractNum>
  <w:abstractNum w:abstractNumId="35">
    <w:nsid w:val="57D2F10E"/>
    <w:multiLevelType w:val="hybridMultilevel"/>
    <w:lvl w:ilvl="0">
      <w:lvlJc w:val="left"/>
      <w:lvlText w:val="\endash "/>
      <w:numFmt w:val="bullet"/>
      <w:start w:val="1"/>
    </w:lvl>
  </w:abstractNum>
  <w:abstractNum w:abstractNumId="36">
    <w:nsid w:val="BFFAE18"/>
    <w:multiLevelType w:val="hybridMultilevel"/>
    <w:lvl w:ilvl="0">
      <w:lvlJc w:val="left"/>
      <w:lvlText w:val="\endash "/>
      <w:numFmt w:val="bullet"/>
      <w:start w:val="1"/>
    </w:lvl>
  </w:abstractNum>
  <w:abstractNum w:abstractNumId="37">
    <w:nsid w:val="E3E47A8"/>
    <w:multiLevelType w:val="hybridMultilevel"/>
    <w:lvl w:ilvl="0">
      <w:lvlJc w:val="left"/>
      <w:lvlText w:val="•"/>
      <w:numFmt w:val="bullet"/>
      <w:start w:val="1"/>
    </w:lvl>
  </w:abstractNum>
  <w:abstractNum w:abstractNumId="38">
    <w:nsid w:val="2E48F044"/>
    <w:multiLevelType w:val="hybridMultilevel"/>
    <w:lvl w:ilvl="0">
      <w:lvlJc w:val="left"/>
      <w:lvlText w:val="•"/>
      <w:numFmt w:val="bullet"/>
      <w:start w:val="1"/>
    </w:lvl>
    <w:lvl w:ilvl="1">
      <w:lvlJc w:val="left"/>
      <w:lvlText w:val="\endash "/>
      <w:numFmt w:val="bullet"/>
      <w:start w:val="1"/>
    </w:lvl>
    <w:lvl w:ilvl="2">
      <w:lvlJc w:val="left"/>
      <w:lvlText w:val="\endash "/>
      <w:numFmt w:val="bullet"/>
      <w:start w:val="1"/>
    </w:lvl>
  </w:abstractNum>
  <w:abstractNum w:abstractNumId="39">
    <w:nsid w:val="49D0FEAC"/>
    <w:multiLevelType w:val="hybridMultilevel"/>
    <w:lvl w:ilvl="0">
      <w:lvlJc w:val="left"/>
      <w:lvlText w:val="•"/>
      <w:numFmt w:val="bullet"/>
      <w:start w:val="1"/>
    </w:lvl>
  </w:abstractNum>
  <w:abstractNum w:abstractNumId="40">
    <w:nsid w:val="4BEE5A5B"/>
    <w:multiLevelType w:val="hybridMultilevel"/>
    <w:lvl w:ilvl="0">
      <w:lvlJc w:val="left"/>
      <w:lvlText w:val="\endash "/>
      <w:numFmt w:val="bullet"/>
      <w:start w:val="1"/>
    </w:lvl>
  </w:abstractNum>
  <w:abstractNum w:abstractNumId="41">
    <w:nsid w:val="5551B9F3"/>
    <w:multiLevelType w:val="hybridMultilevel"/>
    <w:lvl w:ilvl="0">
      <w:lvlJc w:val="left"/>
      <w:lvlText w:val="\endash "/>
      <w:numFmt w:val="bullet"/>
      <w:start w:val="1"/>
    </w:lvl>
  </w:abstractNum>
  <w:abstractNum w:abstractNumId="42">
    <w:nsid w:val="24F6AB8E"/>
    <w:multiLevelType w:val="hybridMultilevel"/>
    <w:lvl w:ilvl="0">
      <w:lvlJc w:val="left"/>
      <w:lvlText w:val="•"/>
      <w:numFmt w:val="bullet"/>
      <w:start w:val="1"/>
    </w:lvl>
  </w:abstractNum>
  <w:abstractNum w:abstractNumId="43">
    <w:nsid w:val="634C574C"/>
    <w:multiLevelType w:val="hybridMultilevel"/>
    <w:lvl w:ilvl="0">
      <w:lvlJc w:val="left"/>
      <w:lvlText w:val="•"/>
      <w:numFmt w:val="bullet"/>
      <w:start w:val="1"/>
    </w:lvl>
    <w:lvl w:ilvl="1">
      <w:lvlJc w:val="left"/>
      <w:lvlText w:val="\endash "/>
      <w:numFmt w:val="bullet"/>
      <w:start w:val="1"/>
    </w:lvl>
  </w:abstractNum>
  <w:abstractNum w:abstractNumId="44">
    <w:nsid w:val="24E99DD7"/>
    <w:multiLevelType w:val="hybridMultilevel"/>
    <w:lvl w:ilvl="0">
      <w:lvlJc w:val="left"/>
      <w:lvlText w:val="•"/>
      <w:numFmt w:val="bullet"/>
      <w:start w:val="1"/>
    </w:lvl>
    <w:lvl w:ilvl="1">
      <w:lvlJc w:val="left"/>
      <w:lvlText w:val="\endash "/>
      <w:numFmt w:val="bullet"/>
      <w:start w:val="1"/>
    </w:lvl>
  </w:abstractNum>
  <w:abstractNum w:abstractNumId="45">
    <w:nsid w:val="2A31B62D"/>
    <w:multiLevelType w:val="hybridMultilevel"/>
    <w:lvl w:ilvl="0">
      <w:lvlJc w:val="left"/>
      <w:lvlText w:val="\endash "/>
      <w:numFmt w:val="bullet"/>
      <w:start w:val="1"/>
    </w:lvl>
  </w:abstractNum>
  <w:abstractNum w:abstractNumId="46">
    <w:nsid w:val="1849C29B"/>
    <w:multiLevelType w:val="hybridMultilevel"/>
    <w:lvl w:ilvl="0">
      <w:lvlJc w:val="left"/>
      <w:lvlText w:val="\endash "/>
      <w:numFmt w:val="bullet"/>
      <w:start w:val="1"/>
    </w:lvl>
  </w:abstractNum>
  <w:abstractNum w:abstractNumId="47">
    <w:nsid w:val="7DFF9D09"/>
    <w:multiLevelType w:val="hybridMultilevel"/>
    <w:lvl w:ilvl="0">
      <w:lvlJc w:val="left"/>
      <w:lvlText w:val="•"/>
      <w:numFmt w:val="bullet"/>
      <w:start w:val="1"/>
    </w:lvl>
  </w:abstractNum>
  <w:abstractNum w:abstractNumId="48">
    <w:nsid w:val="754342"/>
    <w:multiLevelType w:val="hybridMultilevel"/>
    <w:lvl w:ilvl="0">
      <w:lvlJc w:val="left"/>
      <w:lvlText w:val="•"/>
      <w:numFmt w:val="bullet"/>
      <w:start w:val="1"/>
    </w:lvl>
  </w:abstractNum>
  <w:abstractNum w:abstractNumId="49">
    <w:nsid w:val="69E7F3E5"/>
    <w:multiLevelType w:val="hybridMultilevel"/>
    <w:lvl w:ilvl="0">
      <w:lvlJc w:val="left"/>
      <w:lvlText w:val="•"/>
      <w:numFmt w:val="bullet"/>
      <w:start w:val="1"/>
    </w:lvl>
    <w:lvl w:ilvl="1">
      <w:lvlJc w:val="left"/>
      <w:lvlText w:val="\endash "/>
      <w:numFmt w:val="bullet"/>
      <w:start w:val="1"/>
    </w:lvl>
  </w:abstractNum>
  <w:abstractNum w:abstractNumId="50">
    <w:nsid w:val="2A6DE806"/>
    <w:multiLevelType w:val="hybridMultilevel"/>
    <w:lvl w:ilvl="0">
      <w:lvlJc w:val="left"/>
      <w:lvlText w:val="\endash "/>
      <w:numFmt w:val="bullet"/>
      <w:start w:val="1"/>
    </w:lvl>
  </w:abstractNum>
  <w:abstractNum w:abstractNumId="51">
    <w:nsid w:val="1816F8C4"/>
    <w:multiLevelType w:val="hybridMultilevel"/>
    <w:lvl w:ilvl="0">
      <w:lvlJc w:val="left"/>
      <w:lvlText w:val="\endash "/>
      <w:numFmt w:val="bullet"/>
      <w:start w:val="1"/>
    </w:lvl>
  </w:abstractNum>
  <w:abstractNum w:abstractNumId="52">
    <w:nsid w:val="37DF2233"/>
    <w:multiLevelType w:val="hybridMultilevel"/>
    <w:lvl w:ilvl="0">
      <w:lvlJc w:val="left"/>
      <w:lvlText w:val="•"/>
      <w:numFmt w:val="bullet"/>
      <w:start w:val="1"/>
    </w:lvl>
  </w:abstractNum>
  <w:abstractNum w:abstractNumId="53">
    <w:nsid w:val="7AB49DAF"/>
    <w:multiLevelType w:val="hybridMultilevel"/>
    <w:lvl w:ilvl="0">
      <w:lvlJc w:val="left"/>
      <w:lvlText w:val="•"/>
      <w:numFmt w:val="bullet"/>
      <w:start w:val="1"/>
    </w:lvl>
  </w:abstractNum>
  <w:abstractNum w:abstractNumId="54">
    <w:nsid w:val="759F82CD"/>
    <w:multiLevelType w:val="hybridMultilevel"/>
    <w:lvl w:ilvl="0">
      <w:lvlJc w:val="left"/>
      <w:lvlText w:val="•"/>
      <w:numFmt w:val="bullet"/>
      <w:start w:val="1"/>
    </w:lvl>
  </w:abstractNum>
  <w:abstractNum w:abstractNumId="55">
    <w:nsid w:val="61E74EA3"/>
    <w:multiLevelType w:val="hybridMultilevel"/>
    <w:lvl w:ilvl="0">
      <w:lvlJc w:val="left"/>
      <w:lvlText w:val="\endash "/>
      <w:numFmt w:val="bullet"/>
      <w:start w:val="1"/>
    </w:lvl>
  </w:abstractNum>
  <w:abstractNum w:abstractNumId="56">
    <w:nsid w:val="597B4D84"/>
    <w:multiLevelType w:val="hybridMultilevel"/>
    <w:lvl w:ilvl="0">
      <w:lvlJc w:val="left"/>
      <w:lvlText w:val="\endash "/>
      <w:numFmt w:val="bullet"/>
      <w:start w:val="1"/>
    </w:lvl>
  </w:abstractNum>
  <w:abstractNum w:abstractNumId="57">
    <w:nsid w:val="F819E7F"/>
    <w:multiLevelType w:val="hybridMultilevel"/>
    <w:lvl w:ilvl="0">
      <w:lvlJc w:val="left"/>
      <w:lvlText w:val="•"/>
      <w:numFmt w:val="bullet"/>
      <w:start w:val="1"/>
    </w:lvl>
  </w:abstractNum>
  <w:abstractNum w:abstractNumId="58">
    <w:nsid w:val="57C7D42D"/>
    <w:multiLevelType w:val="hybridMultilevel"/>
    <w:lvl w:ilvl="0">
      <w:lvlJc w:val="left"/>
      <w:lvlText w:val="•"/>
      <w:numFmt w:val="bullet"/>
      <w:start w:val="1"/>
    </w:lvl>
    <w:lvl w:ilvl="1">
      <w:lvlJc w:val="left"/>
      <w:lvlText w:val="\endash "/>
      <w:numFmt w:val="bullet"/>
      <w:start w:val="1"/>
    </w:lvl>
  </w:abstractNum>
  <w:abstractNum w:abstractNumId="59">
    <w:nsid w:val="312167AD"/>
    <w:multiLevelType w:val="hybridMultilevel"/>
    <w:lvl w:ilvl="0">
      <w:lvlJc w:val="left"/>
      <w:lvlText w:val="•"/>
      <w:numFmt w:val="bullet"/>
      <w:start w:val="1"/>
    </w:lvl>
  </w:abstractNum>
  <w:abstractNum w:abstractNumId="60">
    <w:nsid w:val="631B64D4"/>
    <w:multiLevelType w:val="hybridMultilevel"/>
    <w:lvl w:ilvl="0">
      <w:lvlJc w:val="left"/>
      <w:lvlText w:val="\endash "/>
      <w:numFmt w:val="bullet"/>
      <w:start w:val="1"/>
    </w:lvl>
  </w:abstractNum>
  <w:abstractNum w:abstractNumId="61">
    <w:nsid w:val="78B5E776"/>
    <w:multiLevelType w:val="hybridMultilevel"/>
    <w:lvl w:ilvl="0">
      <w:lvlJc w:val="left"/>
      <w:lvlText w:val="\endash "/>
      <w:numFmt w:val="bullet"/>
      <w:start w:val="1"/>
    </w:lvl>
  </w:abstractNum>
  <w:abstractNum w:abstractNumId="62">
    <w:nsid w:val="75486E47"/>
    <w:multiLevelType w:val="hybridMultilevel"/>
    <w:lvl w:ilvl="0">
      <w:lvlJc w:val="left"/>
      <w:lvlText w:val="\endash "/>
      <w:numFmt w:val="bullet"/>
      <w:start w:val="1"/>
    </w:lvl>
  </w:abstractNum>
  <w:abstractNum w:abstractNumId="63">
    <w:nsid w:val="6E534CDE"/>
    <w:multiLevelType w:val="hybridMultilevel"/>
    <w:lvl w:ilvl="0">
      <w:lvlJc w:val="left"/>
      <w:lvlText w:val="•"/>
      <w:numFmt w:val="bullet"/>
      <w:start w:val="1"/>
    </w:lvl>
  </w:abstractNum>
  <w:abstractNum w:abstractNumId="64">
    <w:nsid w:val="1A0DDE32"/>
    <w:multiLevelType w:val="hybridMultilevel"/>
    <w:lvl w:ilvl="0">
      <w:lvlJc w:val="left"/>
      <w:lvlText w:val="•"/>
      <w:numFmt w:val="bullet"/>
      <w:start w:val="1"/>
    </w:lvl>
  </w:abstractNum>
  <w:abstractNum w:abstractNumId="65">
    <w:nsid w:val="65968C1C"/>
    <w:multiLevelType w:val="hybridMultilevel"/>
    <w:lvl w:ilvl="0">
      <w:lvlJc w:val="left"/>
      <w:lvlText w:val="•"/>
      <w:numFmt w:val="bullet"/>
      <w:start w:val="1"/>
    </w:lvl>
  </w:abstractNum>
  <w:abstractNum w:abstractNumId="66">
    <w:nsid w:val="46263DEC"/>
    <w:multiLevelType w:val="hybridMultilevel"/>
    <w:lvl w:ilvl="0">
      <w:lvlJc w:val="left"/>
      <w:lvlText w:val="\endash "/>
      <w:numFmt w:val="bullet"/>
      <w:start w:val="1"/>
    </w:lvl>
  </w:abstractNum>
  <w:abstractNum w:abstractNumId="67">
    <w:nsid w:val="260D8C4A"/>
    <w:multiLevelType w:val="hybridMultilevel"/>
    <w:lvl w:ilvl="0">
      <w:lvlJc w:val="left"/>
      <w:lvlText w:val="\endash "/>
      <w:numFmt w:val="bullet"/>
      <w:start w:val="1"/>
    </w:lvl>
  </w:abstractNum>
  <w:abstractNum w:abstractNumId="68">
    <w:nsid w:val="73D4D3C4"/>
    <w:multiLevelType w:val="hybridMultilevel"/>
    <w:lvl w:ilvl="0">
      <w:lvlJc w:val="left"/>
      <w:lvlText w:val="•"/>
      <w:numFmt w:val="bullet"/>
      <w:start w:val="1"/>
    </w:lvl>
  </w:abstractNum>
  <w:abstractNum w:abstractNumId="69">
    <w:nsid w:val="746F2E30"/>
    <w:multiLevelType w:val="hybridMultilevel"/>
    <w:lvl w:ilvl="0">
      <w:lvlJc w:val="left"/>
      <w:lvlText w:val="•"/>
      <w:numFmt w:val="bullet"/>
      <w:start w:val="1"/>
    </w:lvl>
  </w:abstractNum>
  <w:abstractNum w:abstractNumId="70">
    <w:nsid w:val="6FDE8AF6"/>
    <w:multiLevelType w:val="hybridMultilevel"/>
    <w:lvl w:ilvl="0">
      <w:lvlJc w:val="left"/>
      <w:lvlText w:val="•"/>
      <w:numFmt w:val="bullet"/>
      <w:start w:val="1"/>
    </w:lvl>
  </w:abstractNum>
  <w:abstractNum w:abstractNumId="71">
    <w:nsid w:val="3FC32E20"/>
    <w:multiLevelType w:val="hybridMultilevel"/>
    <w:lvl w:ilvl="0">
      <w:lvlJc w:val="left"/>
      <w:lvlText w:val="\endash "/>
      <w:numFmt w:val="bullet"/>
      <w:start w:val="1"/>
    </w:lvl>
  </w:abstractNum>
  <w:abstractNum w:abstractNumId="72">
    <w:nsid w:val="49C0E823"/>
    <w:multiLevelType w:val="hybridMultilevel"/>
    <w:lvl w:ilvl="0">
      <w:lvlJc w:val="left"/>
      <w:lvlText w:val="\endash "/>
      <w:numFmt w:val="bullet"/>
      <w:start w:val="1"/>
    </w:lvl>
  </w:abstractNum>
  <w:abstractNum w:abstractNumId="73">
    <w:nsid w:val="14D53685"/>
    <w:multiLevelType w:val="hybridMultilevel"/>
    <w:lvl w:ilvl="0">
      <w:lvlJc w:val="left"/>
      <w:lvlText w:val="•"/>
      <w:numFmt w:val="bullet"/>
      <w:start w:val="1"/>
    </w:lvl>
  </w:abstractNum>
  <w:abstractNum w:abstractNumId="74">
    <w:nsid w:val="230F856C"/>
    <w:multiLevelType w:val="hybridMultilevel"/>
    <w:lvl w:ilvl="0">
      <w:lvlJc w:val="left"/>
      <w:lvlText w:val="•"/>
      <w:numFmt w:val="bullet"/>
      <w:start w:val="1"/>
    </w:lvl>
  </w:abstractNum>
  <w:abstractNum w:abstractNumId="75">
    <w:nsid w:val="6EAA85FB"/>
    <w:multiLevelType w:val="hybridMultilevel"/>
    <w:lvl w:ilvl="0">
      <w:lvlJc w:val="left"/>
      <w:lvlText w:val="•"/>
      <w:numFmt w:val="bullet"/>
      <w:start w:val="1"/>
    </w:lvl>
  </w:abstractNum>
  <w:abstractNum w:abstractNumId="76">
    <w:nsid w:val="3F06ECB2"/>
    <w:multiLevelType w:val="hybridMultilevel"/>
    <w:lvl w:ilvl="0">
      <w:lvlJc w:val="left"/>
      <w:lvlText w:val="\endash "/>
      <w:numFmt w:val="bullet"/>
      <w:start w:val="1"/>
    </w:lvl>
  </w:abstractNum>
  <w:abstractNum w:abstractNumId="77">
    <w:nsid w:val="3B594807"/>
    <w:multiLevelType w:val="hybridMultilevel"/>
    <w:lvl w:ilvl="0">
      <w:lvlJc w:val="left"/>
      <w:lvlText w:val="\endash "/>
      <w:numFmt w:val="bullet"/>
      <w:start w:val="1"/>
    </w:lvl>
  </w:abstractNum>
  <w:abstractNum w:abstractNumId="78">
    <w:nsid w:val="6CAA2304"/>
    <w:multiLevelType w:val="hybridMultilevel"/>
    <w:lvl w:ilvl="0">
      <w:lvlJc w:val="left"/>
      <w:lvlText w:val="\endash "/>
      <w:numFmt w:val="bullet"/>
      <w:start w:val="1"/>
    </w:lvl>
  </w:abstractNum>
  <w:abstractNum w:abstractNumId="79">
    <w:nsid w:val="3F7C2FF4"/>
    <w:multiLevelType w:val="hybridMultilevel"/>
    <w:lvl w:ilvl="0">
      <w:lvlJc w:val="left"/>
      <w:lvlText w:val="•"/>
      <w:numFmt w:val="bullet"/>
      <w:start w:val="1"/>
    </w:lvl>
  </w:abstractNum>
  <w:abstractNum w:abstractNumId="80">
    <w:nsid w:val="25413BEC"/>
    <w:multiLevelType w:val="hybridMultilevel"/>
    <w:lvl w:ilvl="0">
      <w:lvlJc w:val="left"/>
      <w:lvlText w:val="•"/>
      <w:numFmt w:val="bullet"/>
      <w:start w:val="1"/>
    </w:lvl>
  </w:abstractNum>
  <w:abstractNum w:abstractNumId="81">
    <w:nsid w:val="17180B0B"/>
    <w:multiLevelType w:val="hybridMultilevel"/>
    <w:lvl w:ilvl="0">
      <w:lvlJc w:val="left"/>
      <w:lvlText w:val="•"/>
      <w:numFmt w:val="bullet"/>
      <w:start w:val="1"/>
    </w:lvl>
  </w:abstractNum>
  <w:abstractNum w:abstractNumId="82">
    <w:nsid w:val="579328B9"/>
    <w:multiLevelType w:val="hybridMultilevel"/>
    <w:lvl w:ilvl="0">
      <w:lvlJc w:val="left"/>
      <w:lvlText w:val="%1."/>
      <w:numFmt w:val="decimal"/>
      <w:start w:val="1"/>
    </w:lvl>
  </w:abstractNum>
  <w:abstractNum w:abstractNumId="83">
    <w:nsid w:val="5D205E20"/>
    <w:multiLevelType w:val="hybridMultilevel"/>
    <w:lvl w:ilvl="0">
      <w:lvlJc w:val="left"/>
      <w:lvlText w:val="•"/>
      <w:numFmt w:val="bullet"/>
      <w:start w:val="1"/>
    </w:lvl>
  </w:abstractNum>
  <w:abstractNum w:abstractNumId="84">
    <w:nsid w:val="11CCA8BA"/>
    <w:multiLevelType w:val="hybridMultilevel"/>
    <w:lvl w:ilvl="0">
      <w:lvlJc w:val="left"/>
      <w:lvlText w:val="•"/>
      <w:numFmt w:val="bullet"/>
      <w:start w:val="1"/>
    </w:lvl>
  </w:abstractNum>
  <w:abstractNum w:abstractNumId="85">
    <w:nsid w:val="4D32AB86"/>
    <w:multiLevelType w:val="hybridMultilevel"/>
    <w:lvl w:ilvl="0">
      <w:lvlJc w:val="left"/>
      <w:lvlText w:val="•"/>
      <w:numFmt w:val="bullet"/>
      <w:start w:val="1"/>
    </w:lvl>
  </w:abstractNum>
  <w:abstractNum w:abstractNumId="86">
    <w:nsid w:val="3F07ACC3"/>
    <w:multiLevelType w:val="hybridMultilevel"/>
    <w:lvl w:ilvl="0">
      <w:lvlJc w:val="left"/>
      <w:lvlText w:val="*"/>
      <w:numFmt w:val="bullet"/>
      <w:start w:val="1"/>
    </w:lvl>
    <w:lvl w:ilvl="1">
      <w:lvlJc w:val="left"/>
      <w:lvlText w:val="•"/>
      <w:numFmt w:val="bullet"/>
      <w:start w:val="1"/>
    </w:lvl>
  </w:abstractNum>
  <w:abstractNum w:abstractNumId="87">
    <w:nsid w:val="6B47F63E"/>
    <w:multiLevelType w:val="hybridMultilevel"/>
    <w:lvl w:ilvl="0">
      <w:lvlJc w:val="left"/>
      <w:lvlText w:val="•"/>
      <w:numFmt w:val="bullet"/>
      <w:start w:val="1"/>
    </w:lvl>
  </w:abstractNum>
  <w:abstractNum w:abstractNumId="88">
    <w:nsid w:val="5CB44A05"/>
    <w:multiLevelType w:val="hybridMultilevel"/>
    <w:lvl w:ilvl="0">
      <w:lvlJc w:val="left"/>
      <w:lvlText w:val="•"/>
      <w:numFmt w:val="bullet"/>
      <w:start w:val="1"/>
    </w:lvl>
  </w:abstractNum>
  <w:abstractNum w:abstractNumId="89">
    <w:nsid w:val="16CF80F1"/>
    <w:multiLevelType w:val="hybridMultilevel"/>
    <w:lvl w:ilvl="0">
      <w:lvlJc w:val="left"/>
      <w:lvlText w:val="•"/>
      <w:numFmt w:val="bullet"/>
      <w:start w:val="1"/>
    </w:lvl>
  </w:abstractNum>
  <w:abstractNum w:abstractNumId="90">
    <w:nsid w:val="1C695DEC"/>
    <w:multiLevelType w:val="hybridMultilevel"/>
    <w:lvl w:ilvl="0">
      <w:lvlJc w:val="left"/>
      <w:lvlText w:val="•"/>
      <w:numFmt w:val="bullet"/>
      <w:start w:val="1"/>
    </w:lvl>
  </w:abstractNum>
  <w:abstractNum w:abstractNumId="91">
    <w:nsid w:val="3FCFAED9"/>
    <w:multiLevelType w:val="hybridMultilevel"/>
    <w:lvl w:ilvl="0">
      <w:lvlJc w:val="left"/>
      <w:lvlText w:val="•"/>
      <w:numFmt w:val="bullet"/>
      <w:start w:val="1"/>
    </w:lvl>
  </w:abstractNum>
  <w:abstractNum w:abstractNumId="92">
    <w:nsid w:val="F856867"/>
    <w:multiLevelType w:val="hybridMultilevel"/>
    <w:lvl w:ilvl="0">
      <w:lvlJc w:val="left"/>
      <w:lvlText w:val="•"/>
      <w:numFmt w:val="bullet"/>
      <w:start w:val="1"/>
    </w:lvl>
  </w:abstractNum>
  <w:abstractNum w:abstractNumId="93">
    <w:nsid w:val="11B1CC33"/>
    <w:multiLevelType w:val="hybridMultilevel"/>
    <w:lvl w:ilvl="0">
      <w:lvlJc w:val="left"/>
      <w:lvlText w:val="•"/>
      <w:numFmt w:val="bullet"/>
      <w:start w:val="1"/>
    </w:lvl>
  </w:abstractNum>
  <w:abstractNum w:abstractNumId="94">
    <w:nsid w:val="2E22FBB7"/>
    <w:multiLevelType w:val="hybridMultilevel"/>
    <w:lvl w:ilvl="0">
      <w:lvlJc w:val="left"/>
      <w:lvlText w:val="•"/>
      <w:numFmt w:val="bullet"/>
      <w:start w:val="1"/>
    </w:lvl>
  </w:abstractNum>
  <w:abstractNum w:abstractNumId="95">
    <w:nsid w:val="29934699"/>
    <w:multiLevelType w:val="hybridMultilevel"/>
    <w:lvl w:ilvl="0">
      <w:lvlJc w:val="left"/>
      <w:lvlText w:val="•"/>
      <w:numFmt w:val="bullet"/>
      <w:start w:val="1"/>
    </w:lvl>
  </w:abstractNum>
  <w:abstractNum w:abstractNumId="96">
    <w:nsid w:val="77485850"/>
    <w:multiLevelType w:val="hybridMultilevel"/>
    <w:lvl w:ilvl="0">
      <w:lvlJc w:val="left"/>
      <w:lvlText w:val="•"/>
      <w:numFmt w:val="bullet"/>
      <w:start w:val="1"/>
    </w:lvl>
  </w:abstractNum>
  <w:abstractNum w:abstractNumId="97">
    <w:nsid w:val="744939A3"/>
    <w:multiLevelType w:val="hybridMultilevel"/>
    <w:lvl w:ilvl="0">
      <w:lvlJc w:val="left"/>
      <w:lvlText w:val="•"/>
      <w:numFmt w:val="bullet"/>
      <w:start w:val="1"/>
    </w:lvl>
  </w:abstractNum>
  <w:abstractNum w:abstractNumId="98">
    <w:nsid w:val="4FA0D2E3"/>
    <w:multiLevelType w:val="hybridMultilevel"/>
    <w:lvl w:ilvl="0">
      <w:lvlJc w:val="left"/>
      <w:lvlText w:val="•"/>
      <w:numFmt w:val="bullet"/>
      <w:start w:val="1"/>
    </w:lvl>
  </w:abstractNum>
  <w:abstractNum w:abstractNumId="99">
    <w:nsid w:val="6B1D2C14"/>
    <w:multiLevelType w:val="hybridMultilevel"/>
    <w:lvl w:ilvl="0">
      <w:lvlJc w:val="left"/>
      <w:lvlText w:val="%1."/>
      <w:numFmt w:val="decimal"/>
      <w:start w:val="1"/>
    </w:lvl>
  </w:abstractNum>
  <w:abstractNum w:abstractNumId="100">
    <w:nsid w:val="68B867D3"/>
    <w:multiLevelType w:val="hybridMultilevel"/>
    <w:lvl w:ilvl="0">
      <w:lvlJc w:val="left"/>
      <w:lvlText w:val="•"/>
      <w:numFmt w:val="bullet"/>
      <w:start w:val="1"/>
    </w:lvl>
  </w:abstractNum>
  <w:abstractNum w:abstractNumId="101">
    <w:nsid w:val="3F7F5DD9"/>
    <w:multiLevelType w:val="hybridMultilevel"/>
    <w:lvl w:ilvl="0">
      <w:lvlJc w:val="left"/>
      <w:lvlText w:val="•"/>
      <w:numFmt w:val="bullet"/>
      <w:start w:val="1"/>
    </w:lvl>
  </w:abstractNum>
  <w:abstractNum w:abstractNumId="102">
    <w:nsid w:val="2AE05A34"/>
    <w:multiLevelType w:val="hybridMultilevel"/>
    <w:lvl w:ilvl="0">
      <w:lvlJc w:val="left"/>
      <w:lvlText w:val="•"/>
      <w:numFmt w:val="bullet"/>
      <w:start w:val="1"/>
    </w:lvl>
  </w:abstractNum>
  <w:abstractNum w:abstractNumId="103">
    <w:nsid w:val="32794FF7"/>
    <w:multiLevelType w:val="hybridMultilevel"/>
    <w:lvl w:ilvl="0">
      <w:lvlJc w:val="left"/>
      <w:lvlText w:val="✔"/>
      <w:numFmt w:val="bullet"/>
      <w:start w:val="1"/>
    </w:lvl>
  </w:abstractNum>
  <w:abstractNum w:abstractNumId="104">
    <w:nsid w:val="5454945E"/>
    <w:multiLevelType w:val="hybridMultilevel"/>
    <w:lvl w:ilvl="0">
      <w:lvlJc w:val="left"/>
      <w:lvlText w:val="1"/>
      <w:numFmt w:val="bullet"/>
      <w:start w:val="1"/>
    </w:lvl>
  </w:abstractNum>
  <w:abstractNum w:abstractNumId="105">
    <w:nsid w:val="4DEFDFA0"/>
    <w:multiLevelType w:val="hybridMultilevel"/>
    <w:lvl w:ilvl="0">
      <w:lvlJc w:val="left"/>
      <w:lvlText w:val="2"/>
      <w:numFmt w:val="bullet"/>
      <w:start w:val="1"/>
    </w:lvl>
  </w:abstractNum>
  <w:abstractNum w:abstractNumId="106">
    <w:nsid w:val="2123D5F2"/>
    <w:multiLevelType w:val="hybridMultilevel"/>
    <w:lvl w:ilvl="0">
      <w:lvlJc w:val="left"/>
      <w:lvlText w:val="3"/>
      <w:numFmt w:val="bullet"/>
      <w:start w:val="1"/>
    </w:lvl>
  </w:abstractNum>
  <w:abstractNum w:abstractNumId="107">
    <w:nsid w:val="135B8110"/>
    <w:multiLevelType w:val="hybridMultilevel"/>
    <w:lvl w:ilvl="0">
      <w:lvlJc w:val="left"/>
      <w:lvlText w:val="4"/>
      <w:numFmt w:val="bullet"/>
      <w:start w:val="1"/>
    </w:lvl>
  </w:abstractNum>
  <w:abstractNum w:abstractNumId="108">
    <w:nsid w:val="94927A8"/>
    <w:multiLevelType w:val="hybridMultilevel"/>
    <w:lvl w:ilvl="0">
      <w:lvlJc w:val="left"/>
      <w:lvlText w:val="•"/>
      <w:numFmt w:val="bullet"/>
      <w:start w:val="1"/>
    </w:lvl>
  </w:abstractNum>
  <w:abstractNum w:abstractNumId="109">
    <w:nsid w:val="DCDF8F6"/>
    <w:multiLevelType w:val="hybridMultilevel"/>
    <w:lvl w:ilvl="0">
      <w:lvlJc w:val="left"/>
      <w:lvlText w:val="1"/>
      <w:numFmt w:val="bullet"/>
      <w:start w:val="1"/>
    </w:lvl>
  </w:abstractNum>
  <w:abstractNum w:abstractNumId="110">
    <w:nsid w:val="52D7B105"/>
    <w:multiLevelType w:val="hybridMultilevel"/>
    <w:lvl w:ilvl="0">
      <w:lvlJc w:val="left"/>
      <w:lvlText w:val="2"/>
      <w:numFmt w:val="bullet"/>
      <w:start w:val="1"/>
    </w:lvl>
  </w:abstractNum>
  <w:abstractNum w:abstractNumId="111">
    <w:nsid w:val="2E8A6394"/>
    <w:multiLevelType w:val="hybridMultilevel"/>
    <w:lvl w:ilvl="0">
      <w:lvlJc w:val="left"/>
      <w:lvlText w:val="3"/>
      <w:numFmt w:val="bullet"/>
      <w:start w:val="1"/>
    </w:lvl>
  </w:abstractNum>
  <w:abstractNum w:abstractNumId="112">
    <w:nsid w:val="24E60401"/>
    <w:multiLevelType w:val="hybridMultilevel"/>
    <w:lvl w:ilvl="0">
      <w:lvlJc w:val="left"/>
      <w:lvlText w:val="1"/>
      <w:numFmt w:val="bullet"/>
      <w:start w:val="1"/>
    </w:lvl>
  </w:abstractNum>
  <w:abstractNum w:abstractNumId="113">
    <w:nsid w:val="2A6AD9BE"/>
    <w:multiLevelType w:val="hybridMultilevel"/>
    <w:lvl w:ilvl="0">
      <w:lvlJc w:val="left"/>
      <w:lvlText w:val="2"/>
      <w:numFmt w:val="bullet"/>
      <w:start w:val="1"/>
    </w:lvl>
  </w:abstractNum>
  <w:abstractNum w:abstractNumId="114">
    <w:nsid w:val="BAAC1B4"/>
    <w:multiLevelType w:val="hybridMultilevel"/>
    <w:lvl w:ilvl="0">
      <w:lvlJc w:val="left"/>
      <w:lvlText w:val="3"/>
      <w:numFmt w:val="bullet"/>
      <w:start w:val="1"/>
    </w:lvl>
  </w:abstractNum>
  <w:abstractNum w:abstractNumId="115">
    <w:nsid w:val="36B2ACBC"/>
    <w:multiLevelType w:val="hybridMultilevel"/>
    <w:lvl w:ilvl="0">
      <w:lvlJc w:val="left"/>
      <w:lvlText w:val="4"/>
      <w:numFmt w:val="bullet"/>
      <w:start w:val="1"/>
    </w:lvl>
  </w:abstractNum>
  <w:abstractNum w:abstractNumId="116">
    <w:nsid w:val="779D8544"/>
    <w:multiLevelType w:val="hybridMultilevel"/>
    <w:lvl w:ilvl="0">
      <w:lvlJc w:val="left"/>
      <w:lvlText w:val="5"/>
      <w:numFmt w:val="bullet"/>
      <w:start w:val="1"/>
    </w:lvl>
  </w:abstractNum>
  <w:abstractNum w:abstractNumId="117">
    <w:nsid w:val="4AB26E78"/>
    <w:multiLevelType w:val="hybridMultilevel"/>
    <w:lvl w:ilvl="0">
      <w:lvlJc w:val="left"/>
      <w:lvlText w:val="1"/>
      <w:numFmt w:val="bullet"/>
      <w:start w:val="1"/>
    </w:lvl>
  </w:abstractNum>
  <w:abstractNum w:abstractNumId="118">
    <w:nsid w:val="21FAA2FA"/>
    <w:multiLevelType w:val="hybridMultilevel"/>
    <w:lvl w:ilvl="0">
      <w:lvlJc w:val="left"/>
      <w:lvlText w:val="2"/>
      <w:numFmt w:val="bullet"/>
      <w:start w:val="1"/>
    </w:lvl>
  </w:abstractNum>
  <w:abstractNum w:abstractNumId="119">
    <w:nsid w:val="5451CF49"/>
    <w:multiLevelType w:val="hybridMultilevel"/>
    <w:lvl w:ilvl="0">
      <w:lvlJc w:val="left"/>
      <w:lvlText w:val="3"/>
      <w:numFmt w:val="bullet"/>
      <w:start w:val="1"/>
    </w:lvl>
  </w:abstractNum>
  <w:abstractNum w:abstractNumId="120">
    <w:nsid w:val="6181EF69"/>
    <w:multiLevelType w:val="hybridMultilevel"/>
    <w:lvl w:ilvl="0">
      <w:lvlJc w:val="left"/>
      <w:lvlText w:val="4"/>
      <w:numFmt w:val="bullet"/>
      <w:start w:val="1"/>
    </w:lvl>
  </w:abstractNum>
  <w:abstractNum w:abstractNumId="121">
    <w:nsid w:val="3E6400E6"/>
    <w:multiLevelType w:val="hybridMultilevel"/>
    <w:lvl w:ilvl="0">
      <w:lvlJc w:val="left"/>
      <w:lvlText w:val="•"/>
      <w:numFmt w:val="bullet"/>
      <w:start w:val="1"/>
    </w:lvl>
  </w:abstractNum>
  <w:abstractNum w:abstractNumId="122">
    <w:nsid w:val="14217E23"/>
    <w:multiLevelType w:val="hybridMultilevel"/>
    <w:lvl w:ilvl="0">
      <w:lvlJc w:val="left"/>
      <w:lvlText w:val="•"/>
      <w:numFmt w:val="bullet"/>
      <w:start w:val="1"/>
    </w:lvl>
  </w:abstractNum>
  <w:abstractNum w:abstractNumId="123">
    <w:nsid w:val="710757D0"/>
    <w:multiLevelType w:val="hybridMultilevel"/>
    <w:lvl w:ilvl="0">
      <w:lvlJc w:val="left"/>
      <w:lvlText w:val="•"/>
      <w:numFmt w:val="bullet"/>
      <w:start w:val="1"/>
    </w:lvl>
  </w:abstractNum>
  <w:abstractNum w:abstractNumId="124">
    <w:nsid w:val="5015CD1A"/>
    <w:multiLevelType w:val="hybridMultilevel"/>
    <w:lvl w:ilvl="0">
      <w:lvlJc w:val="left"/>
      <w:lvlText w:val="•"/>
      <w:numFmt w:val="bullet"/>
      <w:start w:val="1"/>
    </w:lvl>
  </w:abstractNum>
  <w:abstractNum w:abstractNumId="125">
    <w:nsid w:val="424479DA"/>
    <w:multiLevelType w:val="hybridMultilevel"/>
    <w:lvl w:ilvl="0">
      <w:lvlJc w:val="left"/>
      <w:lvlText w:val="•"/>
      <w:numFmt w:val="bullet"/>
      <w:start w:val="1"/>
    </w:lvl>
    <w:lvl w:ilvl="1">
      <w:lvlJc w:val="left"/>
      <w:lvlText w:val="\endash "/>
      <w:numFmt w:val="bullet"/>
      <w:start w:val="1"/>
    </w:lvl>
  </w:abstractNum>
  <w:abstractNum w:abstractNumId="126">
    <w:nsid w:val="1A9A9E69"/>
    <w:multiLevelType w:val="hybridMultilevel"/>
    <w:lvl w:ilvl="0">
      <w:lvlJc w:val="left"/>
      <w:lvlText w:val="•"/>
      <w:numFmt w:val="bullet"/>
      <w:start w:val="1"/>
    </w:lvl>
    <w:lvl w:ilvl="1">
      <w:lvlJc w:val="left"/>
      <w:lvlText w:val="\endash "/>
      <w:numFmt w:val="bullet"/>
      <w:start w:val="1"/>
    </w:lvl>
  </w:abstractNum>
  <w:abstractNum w:abstractNumId="127">
    <w:nsid w:val="475E256A"/>
    <w:multiLevelType w:val="hybridMultilevel"/>
    <w:lvl w:ilvl="0">
      <w:lvlJc w:val="left"/>
      <w:lvlText w:val="•"/>
      <w:numFmt w:val="bullet"/>
      <w:start w:val="1"/>
    </w:lvl>
  </w:abstractNum>
  <w:abstractNum w:abstractNumId="128">
    <w:nsid w:val="368DB37E"/>
    <w:multiLevelType w:val="hybridMultilevel"/>
    <w:lvl w:ilvl="0">
      <w:lvlJc w:val="left"/>
      <w:lvlText w:val="•"/>
      <w:numFmt w:val="bullet"/>
      <w:start w:val="1"/>
    </w:lvl>
  </w:abstractNum>
  <w:abstractNum w:abstractNumId="129">
    <w:nsid w:val="6A3B714C"/>
    <w:multiLevelType w:val="hybridMultilevel"/>
    <w:lvl w:ilvl="0">
      <w:lvlJc w:val="left"/>
      <w:lvlText w:val="•"/>
      <w:numFmt w:val="bullet"/>
      <w:start w:val="1"/>
    </w:lvl>
  </w:abstractNum>
  <w:abstractNum w:abstractNumId="130">
    <w:nsid w:val="327B517E"/>
    <w:multiLevelType w:val="hybridMultilevel"/>
    <w:lvl w:ilvl="0">
      <w:lvlJc w:val="left"/>
      <w:lvlText w:val="•"/>
      <w:numFmt w:val="bullet"/>
      <w:start w:val="1"/>
    </w:lvl>
  </w:abstractNum>
  <w:abstractNum w:abstractNumId="131">
    <w:nsid w:val="1F461B51"/>
    <w:multiLevelType w:val="hybridMultilevel"/>
    <w:lvl w:ilvl="0">
      <w:lvlJc w:val="left"/>
      <w:lvlText w:val="◦"/>
      <w:numFmt w:val="bullet"/>
      <w:start w:val="1"/>
    </w:lvl>
  </w:abstractNum>
  <w:abstractNum w:abstractNumId="132">
    <w:nsid w:val="29BACF25"/>
    <w:multiLevelType w:val="hybridMultilevel"/>
    <w:lvl w:ilvl="0">
      <w:lvlJc w:val="left"/>
      <w:lvlText w:val="•"/>
      <w:numFmt w:val="bullet"/>
      <w:start w:val="1"/>
    </w:lvl>
  </w:abstractNum>
  <w:abstractNum w:abstractNumId="133">
    <w:nsid w:val="5D5BABB3"/>
    <w:multiLevelType w:val="hybridMultilevel"/>
    <w:lvl w:ilvl="0">
      <w:lvlJc w:val="left"/>
      <w:lvlText w:val="•"/>
      <w:numFmt w:val="bullet"/>
      <w:start w:val="1"/>
    </w:lvl>
  </w:abstractNum>
  <w:abstractNum w:abstractNumId="134">
    <w:nsid w:val="51BF6B48"/>
    <w:multiLevelType w:val="hybridMultilevel"/>
    <w:lvl w:ilvl="0">
      <w:lvlJc w:val="left"/>
      <w:lvlText w:val="•"/>
      <w:numFmt w:val="bullet"/>
      <w:start w:val="1"/>
    </w:lvl>
  </w:abstractNum>
  <w:abstractNum w:abstractNumId="135">
    <w:nsid w:val="7E0F6384"/>
    <w:multiLevelType w:val="hybridMultilevel"/>
    <w:lvl w:ilvl="0">
      <w:lvlJc w:val="left"/>
      <w:lvlText w:val="•"/>
      <w:numFmt w:val="bullet"/>
      <w:start w:val="1"/>
    </w:lvl>
  </w:abstractNum>
  <w:abstractNum w:abstractNumId="136">
    <w:nsid w:val="2B4B8B53"/>
    <w:multiLevelType w:val="hybridMultilevel"/>
    <w:lvl w:ilvl="0">
      <w:lvlJc w:val="left"/>
      <w:lvlText w:val="1"/>
      <w:numFmt w:val="bullet"/>
      <w:start w:val="1"/>
    </w:lvl>
  </w:abstractNum>
  <w:abstractNum w:abstractNumId="137">
    <w:nsid w:val="72E3413A"/>
    <w:multiLevelType w:val="hybridMultilevel"/>
    <w:lvl w:ilvl="0">
      <w:lvlJc w:val="left"/>
      <w:lvlText w:val="1"/>
      <w:numFmt w:val="bullet"/>
      <w:start w:val="1"/>
    </w:lvl>
  </w:abstractNum>
  <w:abstractNum w:abstractNumId="138">
    <w:nsid w:val="116AE494"/>
    <w:multiLevelType w:val="hybridMultilevel"/>
    <w:lvl w:ilvl="0">
      <w:lvlJc w:val="left"/>
      <w:lvlText w:val="1"/>
      <w:numFmt w:val="bullet"/>
      <w:start w:val="1"/>
    </w:lvl>
  </w:abstractNum>
  <w:abstractNum w:abstractNumId="139">
    <w:nsid w:val="3494B2FB"/>
    <w:multiLevelType w:val="hybridMultilevel"/>
    <w:lvl w:ilvl="0">
      <w:lvlJc w:val="left"/>
      <w:lvlText w:val="•"/>
      <w:numFmt w:val="bullet"/>
      <w:start w:val="1"/>
    </w:lvl>
  </w:abstractNum>
  <w:abstractNum w:abstractNumId="140">
    <w:nsid w:val="B13A31"/>
    <w:multiLevelType w:val="hybridMultilevel"/>
    <w:lvl w:ilvl="0">
      <w:lvlJc w:val="left"/>
      <w:lvlText w:val="•"/>
      <w:numFmt w:val="bullet"/>
      <w:start w:val="1"/>
    </w:lvl>
  </w:abstractNum>
  <w:abstractNum w:abstractNumId="141">
    <w:nsid w:val="64429599"/>
    <w:multiLevelType w:val="hybridMultilevel"/>
    <w:lvl w:ilvl="0">
      <w:lvlJc w:val="left"/>
      <w:lvlText w:val="1"/>
      <w:numFmt w:val="bullet"/>
      <w:start w:val="1"/>
    </w:lvl>
  </w:abstractNum>
  <w:abstractNum w:abstractNumId="142">
    <w:nsid w:val="631F1690"/>
    <w:multiLevelType w:val="hybridMultilevel"/>
    <w:lvl w:ilvl="0">
      <w:lvlJc w:val="left"/>
      <w:lvlText w:val="1"/>
      <w:numFmt w:val="bullet"/>
      <w:start w:val="1"/>
    </w:lvl>
  </w:abstractNum>
  <w:abstractNum w:abstractNumId="143">
    <w:nsid w:val="25973E32"/>
    <w:multiLevelType w:val="hybridMultilevel"/>
    <w:lvl w:ilvl="0">
      <w:lvlJc w:val="left"/>
      <w:lvlText w:val="1"/>
      <w:numFmt w:val="bullet"/>
      <w:start w:val="1"/>
    </w:lvl>
  </w:abstractNum>
  <w:abstractNum w:abstractNumId="144">
    <w:nsid w:val="EAD6F57"/>
    <w:multiLevelType w:val="hybridMultilevel"/>
    <w:lvl w:ilvl="0">
      <w:lvlJc w:val="left"/>
      <w:lvlText w:val="•"/>
      <w:numFmt w:val="bullet"/>
      <w:start w:val="1"/>
    </w:lvl>
  </w:abstractNum>
  <w:abstractNum w:abstractNumId="145">
    <w:nsid w:val="6EC9D844"/>
    <w:multiLevelType w:val="hybridMultilevel"/>
    <w:lvl w:ilvl="0">
      <w:lvlJc w:val="left"/>
      <w:lvlText w:val="•"/>
      <w:numFmt w:val="bullet"/>
      <w:start w:val="1"/>
    </w:lvl>
  </w:abstractNum>
  <w:abstractNum w:abstractNumId="146">
    <w:nsid w:val="5C49EAEE"/>
    <w:multiLevelType w:val="hybridMultilevel"/>
    <w:lvl w:ilvl="0">
      <w:lvlJc w:val="left"/>
      <w:lvlText w:val="•"/>
      <w:numFmt w:val="bullet"/>
      <w:start w:val="1"/>
    </w:lvl>
  </w:abstractNum>
  <w:abstractNum w:abstractNumId="147">
    <w:nsid w:val="64AF49B"/>
    <w:multiLevelType w:val="hybridMultilevel"/>
    <w:lvl w:ilvl="0">
      <w:lvlJc w:val="left"/>
      <w:lvlText w:val="•"/>
      <w:numFmt w:val="bullet"/>
      <w:start w:val="1"/>
    </w:lvl>
    <w:lvl w:ilvl="1">
      <w:lvlJc w:val="left"/>
      <w:lvlText w:val="•"/>
      <w:numFmt w:val="bullet"/>
      <w:start w:val="1"/>
    </w:lvl>
  </w:abstractNum>
  <w:abstractNum w:abstractNumId="148">
    <w:nsid w:val="397C46BC"/>
    <w:multiLevelType w:val="hybridMultilevel"/>
    <w:lvl w:ilvl="0">
      <w:lvlJc w:val="left"/>
      <w:lvlText w:val="1"/>
      <w:numFmt w:val="bullet"/>
      <w:start w:val="1"/>
    </w:lvl>
  </w:abstractNum>
  <w:abstractNum w:abstractNumId="149">
    <w:nsid w:val="7E448DE9"/>
    <w:multiLevelType w:val="hybridMultilevel"/>
    <w:lvl w:ilvl="0">
      <w:lvlJc w:val="left"/>
      <w:lvlText w:val="2"/>
      <w:numFmt w:val="bullet"/>
      <w:start w:val="1"/>
    </w:lvl>
  </w:abstractNum>
  <w:abstractNum w:abstractNumId="150">
    <w:nsid w:val="5A9CC3E5"/>
    <w:multiLevelType w:val="hybridMultilevel"/>
    <w:lvl w:ilvl="0">
      <w:lvlJc w:val="left"/>
      <w:lvlText w:val="3"/>
      <w:numFmt w:val="bullet"/>
      <w:start w:val="1"/>
    </w:lvl>
  </w:abstractNum>
  <w:abstractNum w:abstractNumId="151">
    <w:nsid w:val="1AFE3625"/>
    <w:multiLevelType w:val="hybridMultilevel"/>
    <w:lvl w:ilvl="0">
      <w:lvlJc w:val="left"/>
      <w:lvlText w:val="4"/>
      <w:numFmt w:val="bullet"/>
      <w:start w:val="1"/>
    </w:lvl>
  </w:abstractNum>
  <w:abstractNum w:abstractNumId="152">
    <w:nsid w:val="3CA88ECF"/>
    <w:multiLevelType w:val="hybridMultilevel"/>
    <w:lvl w:ilvl="0">
      <w:lvlJc w:val="left"/>
      <w:lvlText w:val="5"/>
      <w:numFmt w:val="bullet"/>
      <w:start w:val="1"/>
    </w:lvl>
  </w:abstractNum>
  <w:abstractNum w:abstractNumId="153">
    <w:nsid w:val="6EBE4208"/>
    <w:multiLevelType w:val="hybridMultilevel"/>
    <w:lvl w:ilvl="0">
      <w:lvlJc w:val="left"/>
      <w:lvlText w:val="1"/>
      <w:numFmt w:val="bullet"/>
      <w:start w:val="1"/>
    </w:lvl>
  </w:abstractNum>
  <w:abstractNum w:abstractNumId="154">
    <w:nsid w:val="C058DF5"/>
    <w:multiLevelType w:val="hybridMultilevel"/>
    <w:lvl w:ilvl="0">
      <w:lvlJc w:val="left"/>
      <w:lvlText w:val="2"/>
      <w:numFmt w:val="bullet"/>
      <w:start w:val="1"/>
    </w:lvl>
  </w:abstractNum>
  <w:abstractNum w:abstractNumId="155">
    <w:nsid w:val="CBE5BE9"/>
    <w:multiLevelType w:val="hybridMultilevel"/>
    <w:lvl w:ilvl="0">
      <w:lvlJc w:val="left"/>
      <w:lvlText w:val="3"/>
      <w:numFmt w:val="bullet"/>
      <w:start w:val="1"/>
    </w:lvl>
  </w:abstractNum>
  <w:abstractNum w:abstractNumId="156">
    <w:nsid w:val="3102BBE2"/>
    <w:multiLevelType w:val="hybridMultilevel"/>
    <w:lvl w:ilvl="0">
      <w:lvlJc w:val="left"/>
      <w:lvlText w:val="4"/>
      <w:numFmt w:val="bullet"/>
      <w:start w:val="1"/>
    </w:lvl>
  </w:abstractNum>
  <w:abstractNum w:abstractNumId="157">
    <w:nsid w:val="26A02C5E"/>
    <w:multiLevelType w:val="hybridMultilevel"/>
    <w:lvl w:ilvl="0">
      <w:lvlJc w:val="left"/>
      <w:lvlText w:val="5"/>
      <w:numFmt w:val="bullet"/>
      <w:start w:val="1"/>
    </w:lvl>
  </w:abstractNum>
  <w:abstractNum w:abstractNumId="158">
    <w:nsid w:val="541C8153"/>
    <w:multiLevelType w:val="hybridMultilevel"/>
    <w:lvl w:ilvl="0">
      <w:lvlJc w:val="left"/>
      <w:lvlText w:val="1"/>
      <w:numFmt w:val="bullet"/>
      <w:start w:val="1"/>
    </w:lvl>
  </w:abstractNum>
  <w:abstractNum w:abstractNumId="159">
    <w:nsid w:val="67906F60"/>
    <w:multiLevelType w:val="hybridMultilevel"/>
    <w:lvl w:ilvl="0">
      <w:lvlJc w:val="left"/>
      <w:lvlText w:val="2"/>
      <w:numFmt w:val="bullet"/>
      <w:start w:val="1"/>
    </w:lvl>
  </w:abstractNum>
  <w:abstractNum w:abstractNumId="160">
    <w:nsid w:val="10DB9DAA"/>
    <w:multiLevelType w:val="hybridMultilevel"/>
    <w:lvl w:ilvl="0">
      <w:lvlJc w:val="left"/>
      <w:lvlText w:val="3"/>
      <w:numFmt w:val="bullet"/>
      <w:start w:val="1"/>
    </w:lvl>
  </w:abstractNum>
  <w:abstractNum w:abstractNumId="161">
    <w:nsid w:val="697D2D2"/>
    <w:multiLevelType w:val="hybridMultilevel"/>
    <w:lvl w:ilvl="0">
      <w:lvlJc w:val="left"/>
      <w:lvlText w:val="4"/>
      <w:numFmt w:val="bullet"/>
      <w:start w:val="1"/>
    </w:lvl>
  </w:abstractNum>
  <w:abstractNum w:abstractNumId="162">
    <w:nsid w:val="6D68AB2"/>
    <w:multiLevelType w:val="hybridMultilevel"/>
    <w:lvl w:ilvl="0">
      <w:lvlJc w:val="left"/>
      <w:lvlText w:val="5"/>
      <w:numFmt w:val="bullet"/>
      <w:start w:val="1"/>
    </w:lvl>
  </w:abstractNum>
  <w:abstractNum w:abstractNumId="163">
    <w:nsid w:val="3A966CD0"/>
    <w:multiLevelType w:val="hybridMultilevel"/>
    <w:lvl w:ilvl="0">
      <w:lvlJc w:val="left"/>
      <w:lvlText w:val="6"/>
      <w:numFmt w:val="bullet"/>
      <w:start w:val="1"/>
    </w:lvl>
  </w:abstractNum>
  <w:abstractNum w:abstractNumId="164">
    <w:nsid w:val="63F37E85"/>
    <w:multiLevelType w:val="hybridMultilevel"/>
    <w:lvl w:ilvl="0">
      <w:lvlJc w:val="left"/>
      <w:lvlText w:val="7"/>
      <w:numFmt w:val="bullet"/>
      <w:start w:val="1"/>
    </w:lvl>
  </w:abstractNum>
  <w:abstractNum w:abstractNumId="165">
    <w:nsid w:val="5895F5FA"/>
    <w:multiLevelType w:val="hybridMultilevel"/>
    <w:lvl w:ilvl="0">
      <w:lvlJc w:val="left"/>
      <w:lvlText w:val="8"/>
      <w:numFmt w:val="bullet"/>
      <w:start w:val="1"/>
    </w:lvl>
  </w:abstractNum>
  <w:abstractNum w:abstractNumId="166">
    <w:nsid w:val="38A5D054"/>
    <w:multiLevelType w:val="hybridMultilevel"/>
    <w:lvl w:ilvl="0">
      <w:lvlJc w:val="left"/>
      <w:lvlText w:val="1"/>
      <w:numFmt w:val="bullet"/>
      <w:start w:val="1"/>
    </w:lvl>
  </w:abstractNum>
  <w:abstractNum w:abstractNumId="167">
    <w:nsid w:val="F3F09D8"/>
    <w:multiLevelType w:val="hybridMultilevel"/>
    <w:lvl w:ilvl="0">
      <w:lvlJc w:val="left"/>
      <w:lvlText w:val="2"/>
      <w:numFmt w:val="bullet"/>
      <w:start w:val="1"/>
    </w:lvl>
  </w:abstractNum>
  <w:abstractNum w:abstractNumId="168">
    <w:nsid w:val="4B793735"/>
    <w:multiLevelType w:val="hybridMultilevel"/>
    <w:lvl w:ilvl="0">
      <w:lvlJc w:val="left"/>
      <w:lvlText w:val="5"/>
      <w:numFmt w:val="bullet"/>
      <w:start w:val="1"/>
    </w:lvl>
  </w:abstractNum>
  <w:abstractNum w:abstractNumId="169">
    <w:nsid w:val="4A10B4E8"/>
    <w:multiLevelType w:val="hybridMultilevel"/>
    <w:lvl w:ilvl="0">
      <w:lvlJc w:val="left"/>
      <w:lvlText w:val="6"/>
      <w:numFmt w:val="bullet"/>
      <w:start w:val="1"/>
    </w:lvl>
  </w:abstractNum>
  <w:abstractNum w:abstractNumId="170">
    <w:nsid w:val="43D3BCD4"/>
    <w:multiLevelType w:val="hybridMultilevel"/>
    <w:lvl w:ilvl="0">
      <w:lvlJc w:val="left"/>
      <w:lvlText w:val="•"/>
      <w:numFmt w:val="bullet"/>
      <w:start w:val="1"/>
    </w:lvl>
  </w:abstractNum>
  <w:abstractNum w:abstractNumId="171">
    <w:nsid w:val="4C2A7166"/>
    <w:multiLevelType w:val="hybridMultilevel"/>
    <w:lvl w:ilvl="0">
      <w:lvlJc w:val="left"/>
      <w:lvlText w:val="1"/>
      <w:numFmt w:val="bullet"/>
      <w:start w:val="1"/>
    </w:lvl>
  </w:abstractNum>
  <w:abstractNum w:abstractNumId="172">
    <w:nsid w:val="2E534A82"/>
    <w:multiLevelType w:val="hybridMultilevel"/>
    <w:lvl w:ilvl="0">
      <w:lvlJc w:val="left"/>
      <w:lvlText w:val="•"/>
      <w:numFmt w:val="bullet"/>
      <w:start w:val="1"/>
    </w:lvl>
  </w:abstractNum>
  <w:abstractNum w:abstractNumId="173">
    <w:nsid w:val="26F2D364"/>
    <w:multiLevelType w:val="hybridMultilevel"/>
    <w:lvl w:ilvl="0">
      <w:lvlJc w:val="left"/>
      <w:lvlText w:val="1"/>
      <w:numFmt w:val="bullet"/>
      <w:start w:val="1"/>
    </w:lvl>
  </w:abstractNum>
  <w:abstractNum w:abstractNumId="174">
    <w:nsid w:val="71C1AF98"/>
    <w:multiLevelType w:val="hybridMultilevel"/>
    <w:lvl w:ilvl="0">
      <w:lvlJc w:val="left"/>
      <w:lvlText w:val="2"/>
      <w:numFmt w:val="bullet"/>
      <w:start w:val="1"/>
    </w:lvl>
  </w:abstractNum>
  <w:abstractNum w:abstractNumId="175">
    <w:nsid w:val="3D00B9D9"/>
    <w:multiLevelType w:val="hybridMultilevel"/>
    <w:lvl w:ilvl="0">
      <w:lvlJc w:val="left"/>
      <w:lvlText w:val="1"/>
      <w:numFmt w:val="bullet"/>
      <w:start w:val="1"/>
    </w:lvl>
  </w:abstractNum>
  <w:abstractNum w:abstractNumId="176">
    <w:nsid w:val="15BCABA8"/>
    <w:multiLevelType w:val="hybridMultilevel"/>
    <w:lvl w:ilvl="0">
      <w:lvlJc w:val="left"/>
      <w:lvlText w:val="2"/>
      <w:numFmt w:val="bullet"/>
      <w:start w:val="1"/>
    </w:lvl>
  </w:abstractNum>
  <w:abstractNum w:abstractNumId="177">
    <w:nsid w:val="4E0B9A87"/>
    <w:multiLevelType w:val="hybridMultilevel"/>
    <w:lvl w:ilvl="0">
      <w:lvlJc w:val="left"/>
      <w:lvlText w:val="•"/>
      <w:numFmt w:val="bullet"/>
      <w:start w:val="1"/>
    </w:lvl>
  </w:abstractNum>
  <w:abstractNum w:abstractNumId="178">
    <w:nsid w:val="434BAE75"/>
    <w:multiLevelType w:val="hybridMultilevel"/>
    <w:lvl w:ilvl="0">
      <w:lvlJc w:val="left"/>
      <w:lvlText w:val="•"/>
      <w:numFmt w:val="bullet"/>
      <w:start w:val="1"/>
    </w:lvl>
    <w:lvl w:ilvl="1">
      <w:lvlJc w:val="left"/>
      <w:lvlText w:val="•"/>
      <w:numFmt w:val="bullet"/>
      <w:start w:val="1"/>
    </w:lvl>
  </w:abstractNum>
  <w:abstractNum w:abstractNumId="179">
    <w:nsid w:val="4F38F265"/>
    <w:multiLevelType w:val="hybridMultilevel"/>
    <w:lvl w:ilvl="0">
      <w:lvlJc w:val="left"/>
      <w:lvlText w:val="•"/>
      <w:numFmt w:val="bullet"/>
      <w:start w:val="1"/>
    </w:lvl>
  </w:abstractNum>
  <w:abstractNum w:abstractNumId="180">
    <w:nsid w:val="4C502870"/>
    <w:multiLevelType w:val="hybridMultilevel"/>
    <w:lvl w:ilvl="0">
      <w:lvlJc w:val="left"/>
      <w:lvlText w:val="•"/>
      <w:numFmt w:val="bullet"/>
      <w:start w:val="1"/>
    </w:lvl>
  </w:abstractNum>
  <w:abstractNum w:abstractNumId="181">
    <w:nsid w:val="1DE8725A"/>
    <w:multiLevelType w:val="hybridMultilevel"/>
    <w:lvl w:ilvl="0">
      <w:lvlJc w:val="left"/>
      <w:lvlText w:val="•"/>
      <w:numFmt w:val="bullet"/>
      <w:start w:val="1"/>
    </w:lvl>
  </w:abstractNum>
  <w:abstractNum w:abstractNumId="182">
    <w:nsid w:val="6A37288A"/>
    <w:multiLevelType w:val="hybridMultilevel"/>
    <w:lvl w:ilvl="0">
      <w:lvlJc w:val="left"/>
      <w:lvlText w:val="1"/>
      <w:numFmt w:val="bullet"/>
      <w:start w:val="1"/>
    </w:lvl>
  </w:abstractNum>
  <w:abstractNum w:abstractNumId="183">
    <w:nsid w:val="8F8B73F"/>
    <w:multiLevelType w:val="hybridMultilevel"/>
    <w:lvl w:ilvl="0">
      <w:lvlJc w:val="left"/>
      <w:lvlText w:val="2"/>
      <w:numFmt w:val="bullet"/>
      <w:start w:val="1"/>
    </w:lvl>
  </w:abstractNum>
  <w:abstractNum w:abstractNumId="184">
    <w:nsid w:val="CA6B462"/>
    <w:multiLevelType w:val="hybridMultilevel"/>
    <w:lvl w:ilvl="0">
      <w:lvlJc w:val="left"/>
      <w:lvlText w:val="3"/>
      <w:numFmt w:val="bullet"/>
      <w:start w:val="1"/>
    </w:lvl>
  </w:abstractNum>
  <w:abstractNum w:abstractNumId="185">
    <w:nsid w:val="763CB680"/>
    <w:multiLevelType w:val="hybridMultilevel"/>
    <w:lvl w:ilvl="0">
      <w:lvlJc w:val="left"/>
      <w:lvlText w:val="4"/>
      <w:numFmt w:val="bullet"/>
      <w:start w:val="1"/>
    </w:lvl>
  </w:abstractNum>
  <w:abstractNum w:abstractNumId="186">
    <w:nsid w:val="15B71329"/>
    <w:multiLevelType w:val="hybridMultilevel"/>
    <w:lvl w:ilvl="0">
      <w:lvlJc w:val="left"/>
      <w:lvlText w:val="5"/>
      <w:numFmt w:val="bullet"/>
      <w:start w:val="1"/>
    </w:lvl>
  </w:abstractNum>
  <w:abstractNum w:abstractNumId="187">
    <w:nsid w:val="3DA97044"/>
    <w:multiLevelType w:val="hybridMultilevel"/>
    <w:lvl w:ilvl="0">
      <w:lvlJc w:val="left"/>
      <w:lvlText w:val="6"/>
      <w:numFmt w:val="bullet"/>
      <w:start w:val="1"/>
    </w:lvl>
  </w:abstractNum>
  <w:abstractNum w:abstractNumId="188">
    <w:nsid w:val="1CDCE2DE"/>
    <w:multiLevelType w:val="hybridMultilevel"/>
    <w:lvl w:ilvl="0">
      <w:lvlJc w:val="left"/>
      <w:lvlText w:val="7"/>
      <w:numFmt w:val="bullet"/>
      <w:start w:val="1"/>
    </w:lvl>
  </w:abstractNum>
  <w:abstractNum w:abstractNumId="189">
    <w:nsid w:val="69D3947C"/>
    <w:multiLevelType w:val="hybridMultilevel"/>
    <w:lvl w:ilvl="0">
      <w:lvlJc w:val="left"/>
      <w:lvlText w:val="1"/>
      <w:numFmt w:val="bullet"/>
      <w:start w:val="1"/>
    </w:lvl>
  </w:abstractNum>
  <w:abstractNum w:abstractNumId="190">
    <w:nsid w:val="2539DFA5"/>
    <w:multiLevelType w:val="hybridMultilevel"/>
    <w:lvl w:ilvl="0">
      <w:lvlJc w:val="left"/>
      <w:lvlText w:val="*"/>
      <w:numFmt w:val="bullet"/>
      <w:start w:val="1"/>
    </w:lvl>
  </w:abstractNum>
  <w:abstractNum w:abstractNumId="191">
    <w:nsid w:val="2DB88089"/>
    <w:multiLevelType w:val="hybridMultilevel"/>
    <w:lvl w:ilvl="0">
      <w:lvlJc w:val="left"/>
      <w:lvlText w:val="%1."/>
      <w:numFmt w:val="decimal"/>
      <w:start w:val="1"/>
    </w:lvl>
  </w:abstractNum>
  <w:abstractNum w:abstractNumId="192">
    <w:nsid w:val="706B674E"/>
    <w:multiLevelType w:val="hybridMultilevel"/>
    <w:lvl w:ilvl="0">
      <w:lvlJc w:val="left"/>
      <w:lvlText w:val="•"/>
      <w:numFmt w:val="bullet"/>
      <w:start w:val="1"/>
    </w:lvl>
  </w:abstractNum>
  <w:abstractNum w:abstractNumId="193">
    <w:nsid w:val="2C106A57"/>
    <w:multiLevelType w:val="hybridMultilevel"/>
    <w:lvl w:ilvl="0">
      <w:lvlJc w:val="left"/>
      <w:lvlText w:val="•"/>
      <w:numFmt w:val="bullet"/>
      <w:start w:val="1"/>
    </w:lvl>
  </w:abstractNum>
  <w:abstractNum w:abstractNumId="194">
    <w:nsid w:val="684EED59"/>
    <w:multiLevelType w:val="hybridMultilevel"/>
    <w:lvl w:ilvl="0">
      <w:lvlJc w:val="left"/>
      <w:lvlText w:val="•"/>
      <w:numFmt w:val="bullet"/>
      <w:start w:val="1"/>
    </w:lvl>
    <w:lvl w:ilvl="1">
      <w:lvlJc w:val="left"/>
      <w:lvlText w:val="\endash "/>
      <w:numFmt w:val="bullet"/>
      <w:start w:val="1"/>
    </w:lvl>
  </w:abstractNum>
  <w:abstractNum w:abstractNumId="195">
    <w:nsid w:val="545EE5D3"/>
    <w:multiLevelType w:val="hybridMultilevel"/>
    <w:lvl w:ilvl="0">
      <w:lvlJc w:val="left"/>
      <w:lvlText w:val="•"/>
      <w:numFmt w:val="bullet"/>
      <w:start w:val="1"/>
    </w:lvl>
  </w:abstractNum>
  <w:abstractNum w:abstractNumId="196">
    <w:nsid w:val="4A66051"/>
    <w:multiLevelType w:val="hybridMultilevel"/>
    <w:lvl w:ilvl="0">
      <w:lvlJc w:val="left"/>
      <w:lvlText w:val="%1."/>
      <w:numFmt w:val="decimal"/>
      <w:start w:val="1"/>
    </w:lvl>
  </w:abstractNum>
  <w:abstractNum w:abstractNumId="197">
    <w:nsid w:val="20F4BDAD"/>
    <w:multiLevelType w:val="hybridMultilevel"/>
    <w:lvl w:ilvl="0">
      <w:lvlJc w:val="left"/>
      <w:lvlText w:val="1"/>
      <w:numFmt w:val="bullet"/>
      <w:start w:val="1"/>
    </w:lvl>
  </w:abstractNum>
  <w:abstractNum w:abstractNumId="198">
    <w:nsid w:val="639DEFAC"/>
    <w:multiLevelType w:val="hybridMultilevel"/>
    <w:lvl w:ilvl="0">
      <w:lvlJc w:val="left"/>
      <w:lvlText w:val="2"/>
      <w:numFmt w:val="bullet"/>
      <w:start w:val="1"/>
    </w:lvl>
  </w:abstractNum>
  <w:abstractNum w:abstractNumId="199">
    <w:nsid w:val="501F9786"/>
    <w:multiLevelType w:val="hybridMultilevel"/>
    <w:lvl w:ilvl="0">
      <w:lvlJc w:val="left"/>
      <w:lvlText w:val="•"/>
      <w:numFmt w:val="bullet"/>
      <w:start w:val="1"/>
    </w:lvl>
  </w:abstractNum>
  <w:abstractNum w:abstractNumId="200">
    <w:nsid w:val="6B057295"/>
    <w:multiLevelType w:val="hybridMultilevel"/>
    <w:lvl w:ilvl="0">
      <w:lvlJc w:val="left"/>
      <w:lvlText w:val="4"/>
      <w:numFmt w:val="bullet"/>
      <w:start w:val="1"/>
    </w:lvl>
  </w:abstractNum>
  <w:abstractNum w:abstractNumId="201">
    <w:nsid w:val="2771AC80"/>
    <w:multiLevelType w:val="hybridMultilevel"/>
    <w:lvl w:ilvl="0">
      <w:lvlJc w:val="left"/>
      <w:lvlText w:val="5"/>
      <w:numFmt w:val="bullet"/>
      <w:start w:val="1"/>
    </w:lvl>
  </w:abstractNum>
  <w:abstractNum w:abstractNumId="202">
    <w:nsid w:val="1C4A08EC"/>
    <w:multiLevelType w:val="hybridMultilevel"/>
    <w:lvl w:ilvl="0">
      <w:lvlJc w:val="left"/>
      <w:lvlText w:val="•"/>
      <w:numFmt w:val="bullet"/>
      <w:start w:val="1"/>
    </w:lvl>
  </w:abstractNum>
  <w:abstractNum w:abstractNumId="203">
    <w:nsid w:val="1958BD17"/>
    <w:multiLevelType w:val="hybridMultilevel"/>
    <w:lvl w:ilvl="0">
      <w:lvlJc w:val="left"/>
      <w:lvlText w:val="6"/>
      <w:numFmt w:val="bullet"/>
      <w:start w:val="1"/>
    </w:lvl>
  </w:abstractNum>
  <w:abstractNum w:abstractNumId="204">
    <w:nsid w:val="4E647FE4"/>
    <w:multiLevelType w:val="hybridMultilevel"/>
    <w:lvl w:ilvl="0">
      <w:lvlJc w:val="left"/>
      <w:lvlText w:val="7"/>
      <w:numFmt w:val="bullet"/>
      <w:start w:val="1"/>
    </w:lvl>
  </w:abstractNum>
  <w:abstractNum w:abstractNumId="205">
    <w:nsid w:val="E0BB885"/>
    <w:multiLevelType w:val="hybridMultilevel"/>
    <w:lvl w:ilvl="0">
      <w:lvlJc w:val="left"/>
      <w:lvlText w:val="8"/>
      <w:numFmt w:val="bullet"/>
      <w:start w:val="1"/>
    </w:lvl>
  </w:abstractNum>
  <w:abstractNum w:abstractNumId="206">
    <w:nsid w:val="565976F1"/>
    <w:multiLevelType w:val="hybridMultilevel"/>
    <w:lvl w:ilvl="0">
      <w:lvlJc w:val="left"/>
      <w:lvlText w:val="9"/>
      <w:numFmt w:val="bullet"/>
      <w:start w:val="1"/>
    </w:lvl>
  </w:abstractNum>
  <w:abstractNum w:abstractNumId="207">
    <w:nsid w:val="64212B8C"/>
    <w:multiLevelType w:val="hybridMultilevel"/>
    <w:lvl w:ilvl="0">
      <w:lvlJc w:val="left"/>
      <w:lvlText w:val="%1"/>
      <w:numFmt w:val="decimal"/>
      <w:start w:val="10"/>
    </w:lvl>
  </w:abstractNum>
  <w:abstractNum w:abstractNumId="208">
    <w:nsid w:val="5C17530C"/>
    <w:multiLevelType w:val="hybridMultilevel"/>
    <w:lvl w:ilvl="0">
      <w:lvlJc w:val="left"/>
      <w:lvlText w:val="•"/>
      <w:numFmt w:val="bullet"/>
      <w:start w:val="1"/>
    </w:lvl>
  </w:abstractNum>
  <w:abstractNum w:abstractNumId="209">
    <w:nsid w:val="19A52566"/>
    <w:multiLevelType w:val="hybridMultilevel"/>
    <w:lvl w:ilvl="0">
      <w:lvlJc w:val="left"/>
      <w:lvlText w:val="%1"/>
      <w:numFmt w:val="decimal"/>
      <w:start w:val="14"/>
    </w:lvl>
  </w:abstractNum>
  <w:abstractNum w:abstractNumId="210">
    <w:nsid w:val="335A1DF1"/>
    <w:multiLevelType w:val="hybridMultilevel"/>
    <w:lvl w:ilvl="0">
      <w:lvlJc w:val="left"/>
      <w:lvlText w:val="•"/>
      <w:numFmt w:val="bullet"/>
      <w:start w:val="1"/>
    </w:lvl>
  </w:abstractNum>
  <w:abstractNum w:abstractNumId="211">
    <w:nsid w:val="28677B7C"/>
    <w:multiLevelType w:val="hybridMultilevel"/>
    <w:lvl w:ilvl="0">
      <w:lvlJc w:val="left"/>
      <w:lvlText w:val="%1"/>
      <w:numFmt w:val="decimal"/>
      <w:start w:val="15"/>
    </w:lvl>
  </w:abstractNum>
  <w:abstractNum w:abstractNumId="212">
    <w:nsid w:val="378D97C0"/>
    <w:multiLevelType w:val="hybridMultilevel"/>
    <w:lvl w:ilvl="0">
      <w:lvlJc w:val="left"/>
      <w:lvlText w:val="%1"/>
      <w:numFmt w:val="decimal"/>
      <w:start w:val="20"/>
    </w:lvl>
  </w:abstractNum>
  <w:abstractNum w:abstractNumId="213">
    <w:nsid w:val="1D91467C"/>
    <w:multiLevelType w:val="hybridMultilevel"/>
    <w:lvl w:ilvl="0">
      <w:lvlJc w:val="left"/>
      <w:lvlText w:val="•"/>
      <w:numFmt w:val="bullet"/>
      <w:start w:val="1"/>
    </w:lvl>
  </w:abstractNum>
  <w:abstractNum w:abstractNumId="214">
    <w:nsid w:val="316032BB"/>
    <w:multiLevelType w:val="hybridMultilevel"/>
    <w:lvl w:ilvl="0">
      <w:lvlJc w:val="left"/>
      <w:lvlText w:val="•"/>
      <w:numFmt w:val="bullet"/>
      <w:start w:val="1"/>
    </w:lvl>
  </w:abstractNum>
  <w:abstractNum w:abstractNumId="215">
    <w:nsid w:val="44344C22"/>
    <w:multiLevelType w:val="hybridMultilevel"/>
    <w:lvl w:ilvl="0">
      <w:lvlJc w:val="left"/>
      <w:lvlText w:val="%1"/>
      <w:numFmt w:val="decimal"/>
      <w:start w:val="31"/>
    </w:lvl>
  </w:abstractNum>
  <w:abstractNum w:abstractNumId="216">
    <w:nsid w:val="13CDFCFC"/>
    <w:multiLevelType w:val="hybridMultilevel"/>
    <w:lvl w:ilvl="0">
      <w:lvlJc w:val="left"/>
      <w:lvlText w:val="◦"/>
      <w:numFmt w:val="bullet"/>
      <w:start w:val="1"/>
    </w:lvl>
  </w:abstractNum>
  <w:abstractNum w:abstractNumId="217">
    <w:nsid w:val="471745E4"/>
    <w:multiLevelType w:val="hybridMultilevel"/>
    <w:lvl w:ilvl="0">
      <w:lvlJc w:val="left"/>
      <w:lvlText w:val="1"/>
      <w:numFmt w:val="bullet"/>
      <w:start w:val="1"/>
    </w:lvl>
  </w:abstractNum>
  <w:abstractNum w:abstractNumId="218">
    <w:nsid w:val="1DDBC66"/>
    <w:multiLevelType w:val="hybridMultilevel"/>
    <w:lvl w:ilvl="0">
      <w:lvlJc w:val="left"/>
      <w:lvlText w:val="•"/>
      <w:numFmt w:val="bullet"/>
      <w:start w:val="1"/>
    </w:lvl>
  </w:abstractNum>
  <w:abstractNum w:abstractNumId="219">
    <w:nsid w:val="30AADFDA"/>
    <w:multiLevelType w:val="hybridMultilevel"/>
    <w:lvl w:ilvl="0">
      <w:lvlJc w:val="left"/>
      <w:lvlText w:val="•"/>
      <w:numFmt w:val="bullet"/>
      <w:start w:val="1"/>
    </w:lvl>
  </w:abstractNum>
  <w:abstractNum w:abstractNumId="220">
    <w:nsid w:val="30EADA61"/>
    <w:multiLevelType w:val="hybridMultilevel"/>
    <w:lvl w:ilvl="0">
      <w:lvlJc w:val="left"/>
      <w:lvlText w:val="•"/>
      <w:numFmt w:val="bullet"/>
      <w:start w:val="1"/>
    </w:lvl>
  </w:abstractNum>
  <w:abstractNum w:abstractNumId="221">
    <w:nsid w:val="27179C0B"/>
    <w:multiLevelType w:val="hybridMultilevel"/>
    <w:lvl w:ilvl="0">
      <w:lvlJc w:val="left"/>
      <w:lvlText w:val="•"/>
      <w:numFmt w:val="bullet"/>
      <w:start w:val="1"/>
    </w:lvl>
  </w:abstractNum>
  <w:abstractNum w:abstractNumId="222">
    <w:nsid w:val="5E636063"/>
    <w:multiLevelType w:val="hybridMultilevel"/>
    <w:lvl w:ilvl="0">
      <w:lvlJc w:val="left"/>
      <w:lvlText w:val="•"/>
      <w:numFmt w:val="bullet"/>
      <w:start w:val="1"/>
    </w:lvl>
  </w:abstractNum>
  <w:abstractNum w:abstractNumId="223">
    <w:nsid w:val="215641AF"/>
    <w:multiLevelType w:val="hybridMultilevel"/>
    <w:lvl w:ilvl="0">
      <w:lvlJc w:val="left"/>
      <w:lvlText w:val="•"/>
      <w:numFmt w:val="bullet"/>
      <w:start w:val="1"/>
    </w:lvl>
  </w:abstractNum>
  <w:abstractNum w:abstractNumId="224">
    <w:nsid w:val="53280662"/>
    <w:multiLevelType w:val="hybridMultilevel"/>
    <w:lvl w:ilvl="0">
      <w:lvlJc w:val="left"/>
      <w:lvlText w:val="•"/>
      <w:numFmt w:val="bullet"/>
      <w:start w:val="1"/>
    </w:lvl>
  </w:abstractNum>
  <w:abstractNum w:abstractNumId="225">
    <w:nsid w:val="46B24DBC"/>
    <w:multiLevelType w:val="hybridMultilevel"/>
    <w:lvl w:ilvl="0">
      <w:lvlJc w:val="left"/>
      <w:lvlText w:val="(%1)"/>
      <w:numFmt w:val="lowerLetter"/>
      <w:start w:val="1"/>
    </w:lvl>
  </w:abstractNum>
  <w:abstractNum w:abstractNumId="226">
    <w:nsid w:val="75B52783"/>
    <w:multiLevelType w:val="hybridMultilevel"/>
    <w:lvl w:ilvl="0">
      <w:lvlJc w:val="left"/>
      <w:lvlText w:val="%1."/>
      <w:numFmt w:val="decimal"/>
      <w:start w:val="9"/>
    </w:lvl>
    <w:lvl w:ilvl="1">
      <w:lvlJc w:val="left"/>
      <w:lvlText w:val="(%2)"/>
      <w:numFmt w:val="lowerLetter"/>
      <w:start w:val="1"/>
    </w:lvl>
  </w:abstractNum>
  <w:abstractNum w:abstractNumId="227">
    <w:nsid w:val="57CE66B4"/>
    <w:multiLevelType w:val="hybridMultilevel"/>
    <w:lvl w:ilvl="0">
      <w:lvlJc w:val="left"/>
      <w:lvlText w:val="%1."/>
      <w:numFmt w:val="decimal"/>
      <w:start w:val="13"/>
    </w:lvl>
  </w:abstractNum>
  <w:abstractNum w:abstractNumId="228">
    <w:nsid w:val="67A70B69"/>
    <w:multiLevelType w:val="hybridMultilevel"/>
    <w:lvl w:ilvl="0">
      <w:lvlJc w:val="left"/>
      <w:lvlText w:val="(%1)"/>
      <w:numFmt w:val="lowerLetter"/>
      <w:start w:val="1"/>
    </w:lvl>
    <w:lvl w:ilvl="1">
      <w:lvlJc w:val="left"/>
      <w:lvlText w:val="(%2)"/>
      <w:numFmt w:val="lowerRoman"/>
      <w:start w:val="1"/>
    </w:lvl>
  </w:abstractNum>
  <w:abstractNum w:abstractNumId="229">
    <w:nsid w:val="5953172F"/>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30">
    <w:nsid w:val="27EDFE3A"/>
    <w:multiLevelType w:val="hybridMultilevel"/>
    <w:lvl w:ilvl="0">
      <w:lvlJc w:val="left"/>
      <w:lvlText w:val="(%1)"/>
      <w:numFmt w:val="lowerLetter"/>
      <w:start w:val="5"/>
    </w:lvl>
    <w:lvl w:ilvl="1">
      <w:lvlJc w:val="left"/>
      <w:lvlText w:val="%2"/>
      <w:numFmt w:val="lowerLetter"/>
      <w:start w:val="1"/>
    </w:lvl>
    <w:lvl w:ilvl="2">
      <w:lvlJc w:val="left"/>
      <w:lvlText w:val="%3"/>
      <w:numFmt w:val="lowerRoman"/>
      <w:start w:val="1"/>
    </w:lvl>
  </w:abstractNum>
  <w:abstractNum w:abstractNumId="231">
    <w:nsid w:val="52AC7DFF"/>
    <w:multiLevelType w:val="hybridMultilevel"/>
    <w:lvl w:ilvl="0">
      <w:lvlJc w:val="left"/>
      <w:lvlText w:val="(%1)"/>
      <w:numFmt w:val="lowerLetter"/>
      <w:start w:val="6"/>
    </w:lvl>
    <w:lvl w:ilvl="1">
      <w:lvlJc w:val="left"/>
      <w:lvlText w:val="(%2)"/>
      <w:numFmt w:val="lowerRoman"/>
      <w:start w:val="1"/>
    </w:lvl>
    <w:lvl w:ilvl="2">
      <w:lvlJc w:val="left"/>
      <w:lvlText w:val="%3."/>
      <w:numFmt w:val="lowerLetter"/>
      <w:start w:val="1"/>
    </w:lvl>
  </w:abstractNum>
  <w:abstractNum w:abstractNumId="232">
    <w:nsid w:val="C4C3AF"/>
    <w:multiLevelType w:val="hybridMultilevel"/>
    <w:lvl w:ilvl="0">
      <w:lvlJc w:val="left"/>
      <w:lvlText w:val="(%1)"/>
      <w:numFmt w:val="low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jpeg"/><Relationship Id="rId372" Type="http://schemas.openxmlformats.org/officeDocument/2006/relationships/image" Target="media/image365.jpeg"/><Relationship Id="rId373" Type="http://schemas.openxmlformats.org/officeDocument/2006/relationships/image" Target="media/image366.jpe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jpeg"/><Relationship Id="rId1181" Type="http://schemas.openxmlformats.org/officeDocument/2006/relationships/image" Target="media/image1174.jpeg"/><Relationship Id="rId1182" Type="http://schemas.openxmlformats.org/officeDocument/2006/relationships/image" Target="media/image1175.png"/><Relationship Id="rId1183" Type="http://schemas.openxmlformats.org/officeDocument/2006/relationships/image" Target="media/image1176.jpeg"/><Relationship Id="rId1184" Type="http://schemas.openxmlformats.org/officeDocument/2006/relationships/image" Target="media/image1177.jpe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jpeg"/><Relationship Id="rId1191" Type="http://schemas.openxmlformats.org/officeDocument/2006/relationships/image" Target="media/image1184.jpe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jpeg"/><Relationship Id="rId1195" Type="http://schemas.openxmlformats.org/officeDocument/2006/relationships/image" Target="media/image1188.jpeg"/><Relationship Id="rId1196" Type="http://schemas.openxmlformats.org/officeDocument/2006/relationships/image" Target="media/image1189.jpe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jpe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jpeg"/><Relationship Id="rId1211" Type="http://schemas.openxmlformats.org/officeDocument/2006/relationships/image" Target="media/image1204.jpeg"/><Relationship Id="rId1212" Type="http://schemas.openxmlformats.org/officeDocument/2006/relationships/image" Target="media/image1205.png"/><Relationship Id="rId1213" Type="http://schemas.openxmlformats.org/officeDocument/2006/relationships/image" Target="media/image1206.jpe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jpeg"/><Relationship Id="rId1218" Type="http://schemas.openxmlformats.org/officeDocument/2006/relationships/image" Target="media/image1211.jpeg"/><Relationship Id="rId1219" Type="http://schemas.openxmlformats.org/officeDocument/2006/relationships/image" Target="media/image1212.jpeg"/><Relationship Id="rId1220" Type="http://schemas.openxmlformats.org/officeDocument/2006/relationships/image" Target="media/image1213.jpe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jpe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jpe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jpeg"/><Relationship Id="rId1618" Type="http://schemas.openxmlformats.org/officeDocument/2006/relationships/image" Target="media/image1611.jpeg"/><Relationship Id="rId1619" Type="http://schemas.openxmlformats.org/officeDocument/2006/relationships/image" Target="media/image1612.png"/><Relationship Id="rId1620" Type="http://schemas.openxmlformats.org/officeDocument/2006/relationships/image" Target="media/image1613.jpeg"/><Relationship Id="rId1621" Type="http://schemas.openxmlformats.org/officeDocument/2006/relationships/image" Target="media/image1614.png"/><Relationship Id="rId1622" Type="http://schemas.openxmlformats.org/officeDocument/2006/relationships/image" Target="media/image1615.jpe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jpe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jpeg"/><Relationship Id="rId1671" Type="http://schemas.openxmlformats.org/officeDocument/2006/relationships/image" Target="media/image1664.jpeg"/><Relationship Id="rId1672" Type="http://schemas.openxmlformats.org/officeDocument/2006/relationships/image" Target="media/image1665.jpeg"/><Relationship Id="rId1673" Type="http://schemas.openxmlformats.org/officeDocument/2006/relationships/image" Target="media/image1666.jpe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jpeg"/><Relationship Id="rId1693" Type="http://schemas.openxmlformats.org/officeDocument/2006/relationships/image" Target="media/image1686.png"/><Relationship Id="rId1694" Type="http://schemas.openxmlformats.org/officeDocument/2006/relationships/image" Target="media/image1687.jpeg"/><Relationship Id="rId1695" Type="http://schemas.openxmlformats.org/officeDocument/2006/relationships/image" Target="media/image1688.png"/><Relationship Id="rId1696" Type="http://schemas.openxmlformats.org/officeDocument/2006/relationships/image" Target="media/image1689.jpeg"/><Relationship Id="rId1697" Type="http://schemas.openxmlformats.org/officeDocument/2006/relationships/image" Target="media/image1690.png"/><Relationship Id="rId1698" Type="http://schemas.openxmlformats.org/officeDocument/2006/relationships/image" Target="media/image169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2023-03-17T16:40:26Z</dcterms:created>
  <dcterms:modified xsi:type="dcterms:W3CDTF">2023-03-17T16:40:26Z</dcterms:modified>
</cp:coreProperties>
</file>